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D8" w:rsidRDefault="00B16CAD">
      <w:pPr>
        <w:rPr>
          <w:rFonts w:ascii="標楷體" w:eastAsia="標楷體" w:hAnsi="標楷體"/>
          <w:sz w:val="36"/>
          <w:szCs w:val="36"/>
        </w:rPr>
      </w:pPr>
      <w:r w:rsidRPr="00B16CAD">
        <w:rPr>
          <w:rFonts w:ascii="標楷體" w:eastAsia="標楷體" w:hAnsi="標楷體" w:hint="eastAsia"/>
          <w:sz w:val="36"/>
          <w:szCs w:val="36"/>
        </w:rPr>
        <w:t>「財團法人中華民國證券櫃檯買賣中心債券等殖成交系統債券給付結算準備金管理辦法」第八條修正</w:t>
      </w:r>
      <w:bookmarkStart w:id="0" w:name="_GoBack"/>
      <w:bookmarkEnd w:id="0"/>
      <w:r w:rsidRPr="00B16CAD">
        <w:rPr>
          <w:rFonts w:ascii="標楷體" w:eastAsia="標楷體" w:hAnsi="標楷體" w:hint="eastAsia"/>
          <w:sz w:val="36"/>
          <w:szCs w:val="36"/>
        </w:rPr>
        <w:t>條文對照表</w:t>
      </w:r>
    </w:p>
    <w:tbl>
      <w:tblPr>
        <w:tblStyle w:val="a3"/>
        <w:tblW w:w="4910" w:type="pct"/>
        <w:tblInd w:w="108" w:type="dxa"/>
        <w:tblLook w:val="04A0" w:firstRow="1" w:lastRow="0" w:firstColumn="1" w:lastColumn="0" w:noHBand="0" w:noVBand="1"/>
      </w:tblPr>
      <w:tblGrid>
        <w:gridCol w:w="3496"/>
        <w:gridCol w:w="3497"/>
        <w:gridCol w:w="3497"/>
      </w:tblGrid>
      <w:tr w:rsidR="00B16CAD" w:rsidRPr="006F46D9" w:rsidTr="008A145E">
        <w:tc>
          <w:tcPr>
            <w:tcW w:w="1666" w:type="pct"/>
          </w:tcPr>
          <w:p w:rsidR="00B16CAD" w:rsidRPr="006F46D9" w:rsidRDefault="006F46D9">
            <w:pPr>
              <w:rPr>
                <w:rFonts w:ascii="標楷體" w:eastAsia="標楷體" w:hAnsi="標楷體"/>
                <w:sz w:val="28"/>
                <w:szCs w:val="24"/>
              </w:rPr>
            </w:pPr>
            <w:r w:rsidRPr="006F46D9">
              <w:rPr>
                <w:rFonts w:ascii="標楷體" w:eastAsia="標楷體" w:hAnsi="標楷體" w:hint="eastAsia"/>
                <w:sz w:val="28"/>
                <w:szCs w:val="24"/>
              </w:rPr>
              <w:t>修正條文</w:t>
            </w:r>
          </w:p>
        </w:tc>
        <w:tc>
          <w:tcPr>
            <w:tcW w:w="1667" w:type="pct"/>
          </w:tcPr>
          <w:p w:rsidR="00B16CAD" w:rsidRPr="006F46D9" w:rsidRDefault="006F46D9">
            <w:pPr>
              <w:rPr>
                <w:rFonts w:ascii="標楷體" w:eastAsia="標楷體" w:hAnsi="標楷體"/>
                <w:sz w:val="28"/>
                <w:szCs w:val="24"/>
              </w:rPr>
            </w:pPr>
            <w:r w:rsidRPr="006F46D9">
              <w:rPr>
                <w:rFonts w:ascii="標楷體" w:eastAsia="標楷體" w:hAnsi="標楷體" w:hint="eastAsia"/>
                <w:sz w:val="28"/>
                <w:szCs w:val="24"/>
              </w:rPr>
              <w:t>原條文</w:t>
            </w:r>
          </w:p>
        </w:tc>
        <w:tc>
          <w:tcPr>
            <w:tcW w:w="1667" w:type="pct"/>
          </w:tcPr>
          <w:p w:rsidR="00B16CAD" w:rsidRPr="006F46D9" w:rsidRDefault="006F46D9">
            <w:pPr>
              <w:rPr>
                <w:rFonts w:ascii="標楷體" w:eastAsia="標楷體" w:hAnsi="標楷體"/>
                <w:sz w:val="28"/>
                <w:szCs w:val="24"/>
              </w:rPr>
            </w:pPr>
            <w:r w:rsidRPr="006F46D9">
              <w:rPr>
                <w:rFonts w:ascii="標楷體" w:eastAsia="標楷體" w:hAnsi="標楷體" w:hint="eastAsia"/>
                <w:sz w:val="28"/>
                <w:szCs w:val="24"/>
              </w:rPr>
              <w:t>說明</w:t>
            </w:r>
          </w:p>
        </w:tc>
      </w:tr>
      <w:tr w:rsidR="00B16CAD" w:rsidRPr="006F46D9" w:rsidTr="008A145E">
        <w:tc>
          <w:tcPr>
            <w:tcW w:w="1666" w:type="pct"/>
          </w:tcPr>
          <w:p w:rsidR="00B16CAD" w:rsidRDefault="006F46D9">
            <w:pPr>
              <w:rPr>
                <w:rFonts w:ascii="標楷體" w:eastAsia="標楷體" w:hAnsi="標楷體"/>
                <w:szCs w:val="24"/>
              </w:rPr>
            </w:pPr>
            <w:r>
              <w:rPr>
                <w:rFonts w:ascii="標楷體" w:eastAsia="標楷體" w:hAnsi="標楷體" w:hint="eastAsia"/>
                <w:szCs w:val="24"/>
              </w:rPr>
              <w:t>第八條</w:t>
            </w:r>
          </w:p>
          <w:p w:rsidR="006F46D9" w:rsidRDefault="006F46D9" w:rsidP="003A3B35">
            <w:pPr>
              <w:ind w:firstLineChars="213" w:firstLine="511"/>
              <w:jc w:val="both"/>
              <w:rPr>
                <w:rFonts w:ascii="標楷體" w:eastAsia="標楷體" w:hAnsi="標楷體"/>
                <w:szCs w:val="24"/>
              </w:rPr>
            </w:pPr>
            <w:r w:rsidRPr="006F46D9">
              <w:rPr>
                <w:rFonts w:ascii="標楷體" w:eastAsia="標楷體" w:hAnsi="標楷體" w:hint="eastAsia"/>
                <w:szCs w:val="24"/>
              </w:rPr>
              <w:t>證券商所繳存之準備金，經扣減風險值、加計買賣斷交易損益後，有低於準備金最低限額者，須於次一營業日上午九時前補足其差額。</w:t>
            </w:r>
          </w:p>
          <w:p w:rsidR="006F46D9" w:rsidRPr="006F46D9" w:rsidRDefault="006F46D9" w:rsidP="003A3B35">
            <w:pPr>
              <w:ind w:firstLineChars="190" w:firstLine="456"/>
              <w:jc w:val="both"/>
              <w:rPr>
                <w:rFonts w:ascii="標楷體" w:eastAsia="標楷體" w:hAnsi="標楷體"/>
                <w:szCs w:val="24"/>
              </w:rPr>
            </w:pPr>
            <w:r w:rsidRPr="006F46D9">
              <w:rPr>
                <w:rFonts w:ascii="標楷體" w:eastAsia="標楷體" w:hAnsi="標楷體" w:hint="eastAsia"/>
                <w:szCs w:val="24"/>
              </w:rPr>
              <w:t>前項風險值計算方式：</w:t>
            </w:r>
          </w:p>
          <w:p w:rsidR="006F46D9" w:rsidRPr="006F46D9" w:rsidRDefault="006F46D9" w:rsidP="00FE2ED9">
            <w:pPr>
              <w:ind w:leftChars="-15" w:left="422" w:hangingChars="191" w:hanging="458"/>
              <w:jc w:val="both"/>
              <w:rPr>
                <w:rFonts w:ascii="標楷體" w:eastAsia="標楷體" w:hAnsi="標楷體"/>
                <w:szCs w:val="24"/>
              </w:rPr>
            </w:pPr>
            <w:r w:rsidRPr="006F46D9">
              <w:rPr>
                <w:rFonts w:ascii="標楷體" w:eastAsia="標楷體" w:hAnsi="標楷體" w:hint="eastAsia"/>
                <w:szCs w:val="24"/>
              </w:rPr>
              <w:t>一、中央登錄公債買賣斷交易部分，係參考一段期間內債券價格變動幅度，依證券商未沖銷部位估算至少可涵蓋一日價格變動幅度百分之九十七點五信賴區間之值計算之。</w:t>
            </w:r>
          </w:p>
          <w:p w:rsidR="006F46D9" w:rsidRPr="006F46D9" w:rsidRDefault="006F46D9" w:rsidP="004830A3">
            <w:pPr>
              <w:ind w:left="458" w:hangingChars="191" w:hanging="458"/>
              <w:jc w:val="both"/>
              <w:rPr>
                <w:rFonts w:ascii="標楷體" w:eastAsia="標楷體" w:hAnsi="標楷體"/>
                <w:szCs w:val="24"/>
              </w:rPr>
            </w:pPr>
            <w:r w:rsidRPr="006F46D9">
              <w:rPr>
                <w:rFonts w:ascii="標楷體" w:eastAsia="標楷體" w:hAnsi="標楷體" w:hint="eastAsia"/>
                <w:szCs w:val="24"/>
              </w:rPr>
              <w:t>二、國際債券、地方政府公債、公司債及金融債券買賣斷交易部分，依各證券商買賣淨額之千分之一計算之。</w:t>
            </w:r>
          </w:p>
          <w:p w:rsidR="006F46D9" w:rsidRDefault="006F46D9" w:rsidP="004830A3">
            <w:pPr>
              <w:ind w:left="458" w:hangingChars="191" w:hanging="458"/>
              <w:rPr>
                <w:rFonts w:ascii="標楷體" w:eastAsia="標楷體" w:hAnsi="標楷體"/>
                <w:szCs w:val="24"/>
              </w:rPr>
            </w:pPr>
            <w:r w:rsidRPr="006F46D9">
              <w:rPr>
                <w:rFonts w:ascii="標楷體" w:eastAsia="標楷體" w:hAnsi="標楷體" w:hint="eastAsia"/>
                <w:szCs w:val="24"/>
              </w:rPr>
              <w:t>三、外國債券電子交易系統部分，依各證券商未交割債券面額之淨部位，按下列比例計算之：</w:t>
            </w:r>
          </w:p>
          <w:p w:rsidR="0028706D" w:rsidRDefault="006F46D9" w:rsidP="008A145E">
            <w:pPr>
              <w:ind w:left="662" w:hanging="742"/>
              <w:jc w:val="both"/>
              <w:rPr>
                <w:rFonts w:ascii="標楷體" w:eastAsia="標楷體" w:hAnsi="標楷體"/>
                <w:szCs w:val="24"/>
              </w:rPr>
            </w:pPr>
            <w:r w:rsidRPr="006F46D9">
              <w:rPr>
                <w:rFonts w:ascii="標楷體" w:eastAsia="標楷體" w:hAnsi="標楷體" w:hint="eastAsia"/>
                <w:szCs w:val="24"/>
              </w:rPr>
              <w:t>（一）證券商取得中華信用評等股份有限公司評級</w:t>
            </w:r>
            <w:proofErr w:type="spellStart"/>
            <w:r w:rsidRPr="006F46D9">
              <w:rPr>
                <w:rFonts w:ascii="標楷體" w:eastAsia="標楷體" w:hAnsi="標楷體" w:hint="eastAsia"/>
                <w:szCs w:val="24"/>
              </w:rPr>
              <w:t>twAA</w:t>
            </w:r>
            <w:proofErr w:type="spellEnd"/>
            <w:r w:rsidRPr="006F46D9">
              <w:rPr>
                <w:rFonts w:ascii="標楷體" w:eastAsia="標楷體" w:hAnsi="標楷體" w:hint="eastAsia"/>
                <w:szCs w:val="24"/>
              </w:rPr>
              <w:t>-級以上或Standard &amp; Poor's Corp.評級 AA-級以上</w:t>
            </w:r>
            <w:proofErr w:type="gramStart"/>
            <w:r w:rsidRPr="006F46D9">
              <w:rPr>
                <w:rFonts w:ascii="標楷體" w:eastAsia="標楷體" w:hAnsi="標楷體" w:hint="eastAsia"/>
                <w:szCs w:val="24"/>
              </w:rPr>
              <w:t>或惠譽</w:t>
            </w:r>
            <w:proofErr w:type="gramEnd"/>
            <w:r w:rsidRPr="006F46D9">
              <w:rPr>
                <w:rFonts w:ascii="標楷體" w:eastAsia="標楷體" w:hAnsi="標楷體" w:hint="eastAsia"/>
                <w:szCs w:val="24"/>
              </w:rPr>
              <w:t>國際信用評等股份有限公司台灣分公司AA-（</w:t>
            </w:r>
            <w:proofErr w:type="spellStart"/>
            <w:r w:rsidRPr="006F46D9">
              <w:rPr>
                <w:rFonts w:ascii="標楷體" w:eastAsia="標楷體" w:hAnsi="標楷體" w:hint="eastAsia"/>
                <w:szCs w:val="24"/>
              </w:rPr>
              <w:t>twn</w:t>
            </w:r>
            <w:proofErr w:type="spellEnd"/>
            <w:r w:rsidRPr="006F46D9">
              <w:rPr>
                <w:rFonts w:ascii="標楷體" w:eastAsia="標楷體" w:hAnsi="標楷體" w:hint="eastAsia"/>
                <w:szCs w:val="24"/>
              </w:rPr>
              <w:t>）級以上或</w:t>
            </w:r>
            <w:proofErr w:type="spellStart"/>
            <w:r w:rsidRPr="006F46D9">
              <w:rPr>
                <w:rFonts w:ascii="標楷體" w:eastAsia="標楷體" w:hAnsi="標楷體" w:hint="eastAsia"/>
                <w:szCs w:val="24"/>
              </w:rPr>
              <w:t>Fitch,Inc</w:t>
            </w:r>
            <w:proofErr w:type="spellEnd"/>
            <w:r w:rsidRPr="006F46D9">
              <w:rPr>
                <w:rFonts w:ascii="標楷體" w:eastAsia="標楷體" w:hAnsi="標楷體" w:hint="eastAsia"/>
                <w:szCs w:val="24"/>
              </w:rPr>
              <w:t>.評級 AA-級以上或Moody's Investors Service評級AA3級以上之長期信用評等者為一百分之一。</w:t>
            </w:r>
          </w:p>
          <w:p w:rsidR="0028706D" w:rsidRDefault="0028706D" w:rsidP="008A145E">
            <w:pPr>
              <w:ind w:left="662" w:hanging="742"/>
              <w:jc w:val="both"/>
              <w:rPr>
                <w:rFonts w:ascii="標楷體" w:eastAsia="標楷體" w:hAnsi="標楷體"/>
                <w:szCs w:val="24"/>
              </w:rPr>
            </w:pPr>
          </w:p>
          <w:p w:rsidR="0028706D" w:rsidRPr="006F46D9" w:rsidRDefault="0028706D" w:rsidP="008A145E">
            <w:pPr>
              <w:ind w:left="662" w:hanging="742"/>
              <w:jc w:val="both"/>
              <w:rPr>
                <w:rFonts w:ascii="標楷體" w:eastAsia="標楷體" w:hAnsi="標楷體"/>
                <w:szCs w:val="24"/>
              </w:rPr>
            </w:pPr>
          </w:p>
          <w:p w:rsidR="006F46D9" w:rsidRDefault="006F46D9" w:rsidP="008A145E">
            <w:pPr>
              <w:ind w:left="644" w:hanging="750"/>
              <w:jc w:val="both"/>
              <w:rPr>
                <w:rFonts w:ascii="標楷體" w:eastAsia="標楷體" w:hAnsi="標楷體"/>
                <w:szCs w:val="24"/>
              </w:rPr>
            </w:pPr>
            <w:r w:rsidRPr="006F46D9">
              <w:rPr>
                <w:rFonts w:ascii="標楷體" w:eastAsia="標楷體" w:hAnsi="標楷體" w:hint="eastAsia"/>
                <w:szCs w:val="24"/>
              </w:rPr>
              <w:lastRenderedPageBreak/>
              <w:t>（二）證券商取得中華信用評等股份有限公司評級</w:t>
            </w:r>
            <w:proofErr w:type="spellStart"/>
            <w:r w:rsidRPr="006F46D9">
              <w:rPr>
                <w:rFonts w:ascii="標楷體" w:eastAsia="標楷體" w:hAnsi="標楷體" w:hint="eastAsia"/>
                <w:szCs w:val="24"/>
              </w:rPr>
              <w:t>twA</w:t>
            </w:r>
            <w:proofErr w:type="spellEnd"/>
            <w:r w:rsidRPr="006F46D9">
              <w:rPr>
                <w:rFonts w:ascii="標楷體" w:eastAsia="標楷體" w:hAnsi="標楷體" w:hint="eastAsia"/>
                <w:szCs w:val="24"/>
              </w:rPr>
              <w:t>-級以上或Standard &amp; Poor's</w:t>
            </w:r>
            <w:r>
              <w:rPr>
                <w:rFonts w:ascii="標楷體" w:eastAsia="標楷體" w:hAnsi="標楷體" w:hint="eastAsia"/>
                <w:szCs w:val="24"/>
              </w:rPr>
              <w:t xml:space="preserve"> </w:t>
            </w:r>
            <w:r w:rsidRPr="006F46D9">
              <w:rPr>
                <w:rFonts w:ascii="標楷體" w:eastAsia="標楷體" w:hAnsi="標楷體" w:hint="eastAsia"/>
                <w:szCs w:val="24"/>
              </w:rPr>
              <w:t>Corp.評級A-級以上</w:t>
            </w:r>
            <w:proofErr w:type="gramStart"/>
            <w:r w:rsidRPr="006F46D9">
              <w:rPr>
                <w:rFonts w:ascii="標楷體" w:eastAsia="標楷體" w:hAnsi="標楷體" w:hint="eastAsia"/>
                <w:szCs w:val="24"/>
              </w:rPr>
              <w:t>或惠譽</w:t>
            </w:r>
            <w:proofErr w:type="gramEnd"/>
            <w:r w:rsidRPr="006F46D9">
              <w:rPr>
                <w:rFonts w:ascii="標楷體" w:eastAsia="標楷體" w:hAnsi="標楷體" w:hint="eastAsia"/>
                <w:szCs w:val="24"/>
              </w:rPr>
              <w:t>國際信用評等股份有限公司台灣分公司A-（</w:t>
            </w:r>
            <w:proofErr w:type="spellStart"/>
            <w:r w:rsidRPr="006F46D9">
              <w:rPr>
                <w:rFonts w:ascii="標楷體" w:eastAsia="標楷體" w:hAnsi="標楷體" w:hint="eastAsia"/>
                <w:szCs w:val="24"/>
              </w:rPr>
              <w:t>twn</w:t>
            </w:r>
            <w:proofErr w:type="spellEnd"/>
            <w:r w:rsidRPr="006F46D9">
              <w:rPr>
                <w:rFonts w:ascii="標楷體" w:eastAsia="標楷體" w:hAnsi="標楷體" w:hint="eastAsia"/>
                <w:szCs w:val="24"/>
              </w:rPr>
              <w:t xml:space="preserve">）級以上或 </w:t>
            </w:r>
            <w:proofErr w:type="spellStart"/>
            <w:r w:rsidRPr="006F46D9">
              <w:rPr>
                <w:rFonts w:ascii="標楷體" w:eastAsia="標楷體" w:hAnsi="標楷體" w:hint="eastAsia"/>
                <w:szCs w:val="24"/>
              </w:rPr>
              <w:t>Fitch,Inc</w:t>
            </w:r>
            <w:proofErr w:type="spellEnd"/>
            <w:r w:rsidRPr="006F46D9">
              <w:rPr>
                <w:rFonts w:ascii="標楷體" w:eastAsia="標楷體" w:hAnsi="標楷體" w:hint="eastAsia"/>
                <w:szCs w:val="24"/>
              </w:rPr>
              <w:t>.評級A-級以上或Moody's Investors        Service評級A3級以上之長期信用評等者為八十分之一。</w:t>
            </w:r>
          </w:p>
          <w:p w:rsidR="0028706D" w:rsidRDefault="0028706D" w:rsidP="008A145E">
            <w:pPr>
              <w:ind w:left="644" w:hanging="750"/>
              <w:jc w:val="both"/>
              <w:rPr>
                <w:rFonts w:ascii="標楷體" w:eastAsia="標楷體" w:hAnsi="標楷體"/>
                <w:szCs w:val="24"/>
              </w:rPr>
            </w:pPr>
          </w:p>
          <w:p w:rsidR="0028706D" w:rsidRPr="006F46D9" w:rsidRDefault="0028706D" w:rsidP="008A145E">
            <w:pPr>
              <w:ind w:left="644" w:hanging="750"/>
              <w:jc w:val="both"/>
              <w:rPr>
                <w:rFonts w:ascii="標楷體" w:eastAsia="標楷體" w:hAnsi="標楷體"/>
                <w:szCs w:val="24"/>
              </w:rPr>
            </w:pPr>
          </w:p>
          <w:p w:rsidR="006F46D9" w:rsidRDefault="006F46D9" w:rsidP="008A145E">
            <w:pPr>
              <w:ind w:left="652" w:hanging="652"/>
              <w:jc w:val="both"/>
              <w:rPr>
                <w:rFonts w:ascii="標楷體" w:eastAsia="標楷體" w:hAnsi="標楷體"/>
                <w:szCs w:val="24"/>
              </w:rPr>
            </w:pPr>
            <w:r w:rsidRPr="006F46D9">
              <w:rPr>
                <w:rFonts w:ascii="標楷體" w:eastAsia="標楷體" w:hAnsi="標楷體" w:hint="eastAsia"/>
                <w:szCs w:val="24"/>
              </w:rPr>
              <w:t>（三）取得中華信用評等股份有限公司評級</w:t>
            </w:r>
            <w:proofErr w:type="spellStart"/>
            <w:r w:rsidRPr="006F46D9">
              <w:rPr>
                <w:rFonts w:ascii="標楷體" w:eastAsia="標楷體" w:hAnsi="標楷體" w:hint="eastAsia"/>
                <w:szCs w:val="24"/>
              </w:rPr>
              <w:t>twBBB</w:t>
            </w:r>
            <w:proofErr w:type="spellEnd"/>
            <w:r w:rsidRPr="006F46D9">
              <w:rPr>
                <w:rFonts w:ascii="標楷體" w:eastAsia="標楷體" w:hAnsi="標楷體" w:hint="eastAsia"/>
                <w:szCs w:val="24"/>
              </w:rPr>
              <w:t>-級以上或</w:t>
            </w:r>
            <w:proofErr w:type="spellStart"/>
            <w:r w:rsidR="00AA28DE">
              <w:rPr>
                <w:rFonts w:ascii="標楷體" w:eastAsia="標楷體" w:hAnsi="標楷體" w:hint="eastAsia"/>
                <w:szCs w:val="24"/>
              </w:rPr>
              <w:t>Standard</w:t>
            </w:r>
            <w:r w:rsidRPr="006F46D9">
              <w:rPr>
                <w:rFonts w:ascii="標楷體" w:eastAsia="標楷體" w:hAnsi="標楷體" w:hint="eastAsia"/>
                <w:szCs w:val="24"/>
              </w:rPr>
              <w:t>&amp;Poor's</w:t>
            </w:r>
            <w:proofErr w:type="spellEnd"/>
            <w:r w:rsidRPr="006F46D9">
              <w:rPr>
                <w:rFonts w:ascii="標楷體" w:eastAsia="標楷體" w:hAnsi="標楷體" w:hint="eastAsia"/>
                <w:szCs w:val="24"/>
              </w:rPr>
              <w:t xml:space="preserve"> Corp.評級BBB-級以上</w:t>
            </w:r>
            <w:proofErr w:type="gramStart"/>
            <w:r w:rsidRPr="006F46D9">
              <w:rPr>
                <w:rFonts w:ascii="標楷體" w:eastAsia="標楷體" w:hAnsi="標楷體" w:hint="eastAsia"/>
                <w:szCs w:val="24"/>
              </w:rPr>
              <w:t>或惠譽</w:t>
            </w:r>
            <w:proofErr w:type="gramEnd"/>
            <w:r w:rsidRPr="006F46D9">
              <w:rPr>
                <w:rFonts w:ascii="標楷體" w:eastAsia="標楷體" w:hAnsi="標楷體" w:hint="eastAsia"/>
                <w:szCs w:val="24"/>
              </w:rPr>
              <w:t>國際信用評等股份有限公司台灣分公司BBB-（</w:t>
            </w:r>
            <w:proofErr w:type="spellStart"/>
            <w:r w:rsidRPr="006F46D9">
              <w:rPr>
                <w:rFonts w:ascii="標楷體" w:eastAsia="標楷體" w:hAnsi="標楷體" w:hint="eastAsia"/>
                <w:szCs w:val="24"/>
              </w:rPr>
              <w:t>twn</w:t>
            </w:r>
            <w:proofErr w:type="spellEnd"/>
            <w:r w:rsidRPr="006F46D9">
              <w:rPr>
                <w:rFonts w:ascii="標楷體" w:eastAsia="標楷體" w:hAnsi="標楷體" w:hint="eastAsia"/>
                <w:szCs w:val="24"/>
              </w:rPr>
              <w:t xml:space="preserve">）級以上或 </w:t>
            </w:r>
            <w:proofErr w:type="spellStart"/>
            <w:r w:rsidRPr="006F46D9">
              <w:rPr>
                <w:rFonts w:ascii="標楷體" w:eastAsia="標楷體" w:hAnsi="標楷體" w:hint="eastAsia"/>
                <w:szCs w:val="24"/>
              </w:rPr>
              <w:t>Fitch,Inc</w:t>
            </w:r>
            <w:proofErr w:type="spellEnd"/>
            <w:r w:rsidRPr="006F46D9">
              <w:rPr>
                <w:rFonts w:ascii="標楷體" w:eastAsia="標楷體" w:hAnsi="標楷體" w:hint="eastAsia"/>
                <w:szCs w:val="24"/>
              </w:rPr>
              <w:t>.評級BBB-級以上或Moody's Investors Service評級BBB3級以上之長期信用評等者為六十分之一。</w:t>
            </w:r>
          </w:p>
          <w:p w:rsidR="00D35BDC" w:rsidRDefault="00D35BDC" w:rsidP="008A145E">
            <w:pPr>
              <w:ind w:left="652" w:hanging="652"/>
              <w:jc w:val="both"/>
              <w:rPr>
                <w:rFonts w:ascii="標楷體" w:eastAsia="標楷體" w:hAnsi="標楷體"/>
                <w:szCs w:val="24"/>
              </w:rPr>
            </w:pPr>
          </w:p>
          <w:p w:rsidR="00D35BDC" w:rsidRPr="00D35BDC" w:rsidRDefault="00D35BDC" w:rsidP="008A145E">
            <w:pPr>
              <w:ind w:left="652" w:hanging="652"/>
              <w:jc w:val="both"/>
              <w:rPr>
                <w:rFonts w:ascii="標楷體" w:eastAsia="標楷體" w:hAnsi="標楷體"/>
                <w:szCs w:val="24"/>
              </w:rPr>
            </w:pPr>
          </w:p>
          <w:p w:rsidR="006F46D9" w:rsidRPr="006F46D9" w:rsidRDefault="006F46D9" w:rsidP="00F90639">
            <w:pPr>
              <w:ind w:leftChars="-7" w:left="451" w:hangingChars="195" w:hanging="468"/>
              <w:jc w:val="both"/>
              <w:rPr>
                <w:rFonts w:ascii="標楷體" w:eastAsia="標楷體" w:hAnsi="標楷體"/>
                <w:szCs w:val="24"/>
              </w:rPr>
            </w:pPr>
            <w:r w:rsidRPr="006F46D9">
              <w:rPr>
                <w:rFonts w:ascii="標楷體" w:eastAsia="標楷體" w:hAnsi="標楷體" w:hint="eastAsia"/>
                <w:szCs w:val="24"/>
              </w:rPr>
              <w:t>四、指定債券附條件交易部分，係按證券商附買回交易與附賣回交易相抵後餘額之千分之一計算之。</w:t>
            </w:r>
          </w:p>
          <w:p w:rsidR="006F46D9" w:rsidRPr="006F46D9" w:rsidRDefault="006F46D9" w:rsidP="00F90639">
            <w:pPr>
              <w:ind w:firstLineChars="205" w:firstLine="492"/>
              <w:jc w:val="both"/>
              <w:rPr>
                <w:rFonts w:ascii="標楷體" w:eastAsia="標楷體" w:hAnsi="標楷體"/>
                <w:szCs w:val="24"/>
              </w:rPr>
            </w:pPr>
            <w:r w:rsidRPr="006F46D9">
              <w:rPr>
                <w:rFonts w:ascii="標楷體" w:eastAsia="標楷體" w:hAnsi="標楷體" w:hint="eastAsia"/>
                <w:szCs w:val="24"/>
              </w:rPr>
              <w:t>外國債券電子交易系統及國際債券之買賣斷及附條件交易風險值應依本中心指定之外匯銀行前月份每日外匯匯率收盤價中價之平均值換算為新台幣。</w:t>
            </w:r>
          </w:p>
          <w:p w:rsidR="006F46D9" w:rsidRPr="006F46D9" w:rsidRDefault="006F46D9" w:rsidP="00F90639">
            <w:pPr>
              <w:ind w:firstLineChars="216" w:firstLine="518"/>
              <w:jc w:val="both"/>
              <w:rPr>
                <w:rFonts w:ascii="標楷體" w:eastAsia="標楷體" w:hAnsi="標楷體"/>
                <w:szCs w:val="24"/>
              </w:rPr>
            </w:pPr>
            <w:r w:rsidRPr="006F46D9">
              <w:rPr>
                <w:rFonts w:ascii="標楷體" w:eastAsia="標楷體" w:hAnsi="標楷體" w:hint="eastAsia"/>
                <w:szCs w:val="24"/>
              </w:rPr>
              <w:t>第一項買賣斷交易損益計算方式，依本系統次日參考</w:t>
            </w:r>
            <w:proofErr w:type="gramStart"/>
            <w:r w:rsidRPr="006F46D9">
              <w:rPr>
                <w:rFonts w:ascii="標楷體" w:eastAsia="標楷體" w:hAnsi="標楷體" w:hint="eastAsia"/>
                <w:szCs w:val="24"/>
              </w:rPr>
              <w:t>殖</w:t>
            </w:r>
            <w:proofErr w:type="gramEnd"/>
            <w:r w:rsidRPr="006F46D9">
              <w:rPr>
                <w:rFonts w:ascii="標楷體" w:eastAsia="標楷體" w:hAnsi="標楷體" w:hint="eastAsia"/>
                <w:szCs w:val="24"/>
              </w:rPr>
              <w:t>利率或百元價格結清證券商累計未完成給付結算之買賣超部位</w:t>
            </w:r>
            <w:r w:rsidRPr="006F46D9">
              <w:rPr>
                <w:rFonts w:ascii="標楷體" w:eastAsia="標楷體" w:hAnsi="標楷體" w:hint="eastAsia"/>
                <w:szCs w:val="24"/>
              </w:rPr>
              <w:lastRenderedPageBreak/>
              <w:t>損益，</w:t>
            </w:r>
            <w:proofErr w:type="gramStart"/>
            <w:r w:rsidRPr="006F46D9">
              <w:rPr>
                <w:rFonts w:ascii="標楷體" w:eastAsia="標楷體" w:hAnsi="標楷體" w:hint="eastAsia"/>
                <w:szCs w:val="24"/>
              </w:rPr>
              <w:t>併</w:t>
            </w:r>
            <w:proofErr w:type="gramEnd"/>
            <w:r w:rsidRPr="006F46D9">
              <w:rPr>
                <w:rFonts w:ascii="標楷體" w:eastAsia="標楷體" w:hAnsi="標楷體" w:hint="eastAsia"/>
                <w:szCs w:val="24"/>
              </w:rPr>
              <w:t>同證券商已沖銷部位損益計算之。</w:t>
            </w:r>
          </w:p>
        </w:tc>
        <w:tc>
          <w:tcPr>
            <w:tcW w:w="1667" w:type="pct"/>
          </w:tcPr>
          <w:p w:rsidR="00B16CAD" w:rsidRDefault="006F46D9">
            <w:pPr>
              <w:rPr>
                <w:rFonts w:ascii="標楷體" w:eastAsia="標楷體" w:hAnsi="標楷體"/>
                <w:szCs w:val="24"/>
              </w:rPr>
            </w:pPr>
            <w:r>
              <w:rPr>
                <w:rFonts w:ascii="標楷體" w:eastAsia="標楷體" w:hAnsi="標楷體" w:hint="eastAsia"/>
                <w:szCs w:val="24"/>
              </w:rPr>
              <w:lastRenderedPageBreak/>
              <w:t>第八條</w:t>
            </w:r>
          </w:p>
          <w:p w:rsidR="00185E1C" w:rsidRDefault="00185E1C" w:rsidP="00185E1C">
            <w:pPr>
              <w:ind w:firstLineChars="213" w:firstLine="511"/>
              <w:jc w:val="both"/>
              <w:rPr>
                <w:rFonts w:ascii="標楷體" w:eastAsia="標楷體" w:hAnsi="標楷體"/>
                <w:szCs w:val="24"/>
              </w:rPr>
            </w:pPr>
            <w:r w:rsidRPr="006F46D9">
              <w:rPr>
                <w:rFonts w:ascii="標楷體" w:eastAsia="標楷體" w:hAnsi="標楷體" w:hint="eastAsia"/>
                <w:szCs w:val="24"/>
              </w:rPr>
              <w:t>證券商所繳存之準備金，經扣減風險值、加計買賣斷交易損益後，有低於準備金最低限額者，須於次一營業日上午九時前補足其差額。</w:t>
            </w:r>
          </w:p>
          <w:p w:rsidR="00185E1C" w:rsidRPr="006F46D9" w:rsidRDefault="00185E1C" w:rsidP="00185E1C">
            <w:pPr>
              <w:ind w:firstLineChars="190" w:firstLine="456"/>
              <w:jc w:val="both"/>
              <w:rPr>
                <w:rFonts w:ascii="標楷體" w:eastAsia="標楷體" w:hAnsi="標楷體"/>
                <w:szCs w:val="24"/>
              </w:rPr>
            </w:pPr>
            <w:r w:rsidRPr="006F46D9">
              <w:rPr>
                <w:rFonts w:ascii="標楷體" w:eastAsia="標楷體" w:hAnsi="標楷體" w:hint="eastAsia"/>
                <w:szCs w:val="24"/>
              </w:rPr>
              <w:t>前項風險值計算方式：</w:t>
            </w:r>
          </w:p>
          <w:p w:rsidR="00185E1C" w:rsidRPr="006F46D9" w:rsidRDefault="00185E1C" w:rsidP="00185E1C">
            <w:pPr>
              <w:ind w:leftChars="-15" w:left="422" w:hangingChars="191" w:hanging="458"/>
              <w:jc w:val="both"/>
              <w:rPr>
                <w:rFonts w:ascii="標楷體" w:eastAsia="標楷體" w:hAnsi="標楷體"/>
                <w:szCs w:val="24"/>
              </w:rPr>
            </w:pPr>
            <w:r w:rsidRPr="006F46D9">
              <w:rPr>
                <w:rFonts w:ascii="標楷體" w:eastAsia="標楷體" w:hAnsi="標楷體" w:hint="eastAsia"/>
                <w:szCs w:val="24"/>
              </w:rPr>
              <w:t>一、中央登錄公債買賣斷交易部分，係參考一段期間內債券價格變動幅度，依證券商未沖銷部位估算至少可涵蓋一日價格變動幅度百分之九十七點五信賴區間之值計算之。</w:t>
            </w:r>
          </w:p>
          <w:p w:rsidR="00185E1C" w:rsidRPr="006F46D9" w:rsidRDefault="00185E1C" w:rsidP="00185E1C">
            <w:pPr>
              <w:ind w:left="458" w:hangingChars="191" w:hanging="458"/>
              <w:jc w:val="both"/>
              <w:rPr>
                <w:rFonts w:ascii="標楷體" w:eastAsia="標楷體" w:hAnsi="標楷體"/>
                <w:szCs w:val="24"/>
              </w:rPr>
            </w:pPr>
            <w:r w:rsidRPr="006F46D9">
              <w:rPr>
                <w:rFonts w:ascii="標楷體" w:eastAsia="標楷體" w:hAnsi="標楷體" w:hint="eastAsia"/>
                <w:szCs w:val="24"/>
              </w:rPr>
              <w:t>二、國際債券、地方政府公債、公司債及金融債券買賣斷交易部分，依各證券商買賣淨額之千分之一計算之。</w:t>
            </w:r>
          </w:p>
          <w:p w:rsidR="00185E1C" w:rsidRDefault="00185E1C" w:rsidP="00185E1C">
            <w:pPr>
              <w:ind w:left="458" w:hangingChars="191" w:hanging="458"/>
              <w:rPr>
                <w:rFonts w:ascii="標楷體" w:eastAsia="標楷體" w:hAnsi="標楷體"/>
                <w:szCs w:val="24"/>
              </w:rPr>
            </w:pPr>
            <w:r w:rsidRPr="006F46D9">
              <w:rPr>
                <w:rFonts w:ascii="標楷體" w:eastAsia="標楷體" w:hAnsi="標楷體" w:hint="eastAsia"/>
                <w:szCs w:val="24"/>
              </w:rPr>
              <w:t>三、外國債券電子交易系統部分，依各證券商未交割債券面額之淨部位，按下列比例計算之：</w:t>
            </w:r>
          </w:p>
          <w:p w:rsidR="00185E1C" w:rsidRPr="006F46D9" w:rsidRDefault="00185E1C" w:rsidP="00185E1C">
            <w:pPr>
              <w:ind w:left="662" w:hanging="742"/>
              <w:jc w:val="both"/>
              <w:rPr>
                <w:rFonts w:ascii="標楷體" w:eastAsia="標楷體" w:hAnsi="標楷體"/>
                <w:szCs w:val="24"/>
              </w:rPr>
            </w:pPr>
            <w:r w:rsidRPr="006F46D9">
              <w:rPr>
                <w:rFonts w:ascii="標楷體" w:eastAsia="標楷體" w:hAnsi="標楷體" w:hint="eastAsia"/>
                <w:szCs w:val="24"/>
              </w:rPr>
              <w:t>（一）證券商取得中華信用評等股份有限公司評級</w:t>
            </w:r>
            <w:proofErr w:type="spellStart"/>
            <w:r w:rsidRPr="006F46D9">
              <w:rPr>
                <w:rFonts w:ascii="標楷體" w:eastAsia="標楷體" w:hAnsi="標楷體" w:hint="eastAsia"/>
                <w:szCs w:val="24"/>
              </w:rPr>
              <w:t>twAA</w:t>
            </w:r>
            <w:proofErr w:type="spellEnd"/>
            <w:r w:rsidRPr="006F46D9">
              <w:rPr>
                <w:rFonts w:ascii="標楷體" w:eastAsia="標楷體" w:hAnsi="標楷體" w:hint="eastAsia"/>
                <w:szCs w:val="24"/>
              </w:rPr>
              <w:t>-級以上或Standard &amp; Poor's Corp.評級 AA-級以上或</w:t>
            </w:r>
            <w:r w:rsidRPr="00175E90">
              <w:rPr>
                <w:rFonts w:ascii="標楷體" w:eastAsia="標楷體" w:hAnsi="標楷體" w:hint="eastAsia"/>
                <w:szCs w:val="24"/>
                <w:u w:val="thick"/>
              </w:rPr>
              <w:t>英</w:t>
            </w:r>
            <w:proofErr w:type="gramStart"/>
            <w:r w:rsidRPr="00175E90">
              <w:rPr>
                <w:rFonts w:ascii="標楷體" w:eastAsia="標楷體" w:hAnsi="標楷體" w:hint="eastAsia"/>
                <w:szCs w:val="24"/>
                <w:u w:val="thick"/>
              </w:rPr>
              <w:t>商</w:t>
            </w:r>
            <w:r w:rsidRPr="006F46D9">
              <w:rPr>
                <w:rFonts w:ascii="標楷體" w:eastAsia="標楷體" w:hAnsi="標楷體" w:hint="eastAsia"/>
                <w:szCs w:val="24"/>
              </w:rPr>
              <w:t>惠譽國際</w:t>
            </w:r>
            <w:proofErr w:type="gramEnd"/>
            <w:r w:rsidRPr="006F46D9">
              <w:rPr>
                <w:rFonts w:ascii="標楷體" w:eastAsia="標楷體" w:hAnsi="標楷體" w:hint="eastAsia"/>
                <w:szCs w:val="24"/>
              </w:rPr>
              <w:t>信用評等股份有限公司台灣分公司AA-（</w:t>
            </w:r>
            <w:proofErr w:type="spellStart"/>
            <w:r w:rsidRPr="006F46D9">
              <w:rPr>
                <w:rFonts w:ascii="標楷體" w:eastAsia="標楷體" w:hAnsi="標楷體" w:hint="eastAsia"/>
                <w:szCs w:val="24"/>
              </w:rPr>
              <w:t>twn</w:t>
            </w:r>
            <w:proofErr w:type="spellEnd"/>
            <w:r w:rsidRPr="006F46D9">
              <w:rPr>
                <w:rFonts w:ascii="標楷體" w:eastAsia="標楷體" w:hAnsi="標楷體" w:hint="eastAsia"/>
                <w:szCs w:val="24"/>
              </w:rPr>
              <w:t>）級以上或</w:t>
            </w:r>
            <w:proofErr w:type="spellStart"/>
            <w:r w:rsidRPr="006F46D9">
              <w:rPr>
                <w:rFonts w:ascii="標楷體" w:eastAsia="標楷體" w:hAnsi="標楷體" w:hint="eastAsia"/>
                <w:szCs w:val="24"/>
              </w:rPr>
              <w:t>Fitch,Inc</w:t>
            </w:r>
            <w:proofErr w:type="spellEnd"/>
            <w:r w:rsidRPr="006F46D9">
              <w:rPr>
                <w:rFonts w:ascii="標楷體" w:eastAsia="標楷體" w:hAnsi="標楷體" w:hint="eastAsia"/>
                <w:szCs w:val="24"/>
              </w:rPr>
              <w:t>.評級 AA-級以上或</w:t>
            </w:r>
            <w:r w:rsidRPr="006A773A">
              <w:rPr>
                <w:rFonts w:ascii="標楷體" w:eastAsia="標楷體" w:hAnsi="標楷體" w:hint="eastAsia"/>
                <w:szCs w:val="24"/>
                <w:u w:val="thick"/>
              </w:rPr>
              <w:t>穆迪信用評等股份有限公司AA3.tw級以上或</w:t>
            </w:r>
            <w:r w:rsidRPr="006F46D9">
              <w:rPr>
                <w:rFonts w:ascii="標楷體" w:eastAsia="標楷體" w:hAnsi="標楷體" w:hint="eastAsia"/>
                <w:szCs w:val="24"/>
              </w:rPr>
              <w:t>Moody's Investors Service評級AA3級以上之長期信用評等者為一百分之一。</w:t>
            </w:r>
          </w:p>
          <w:p w:rsidR="00185E1C" w:rsidRPr="006F46D9" w:rsidRDefault="00185E1C" w:rsidP="00185E1C">
            <w:pPr>
              <w:ind w:left="644" w:hanging="750"/>
              <w:jc w:val="both"/>
              <w:rPr>
                <w:rFonts w:ascii="標楷體" w:eastAsia="標楷體" w:hAnsi="標楷體"/>
                <w:szCs w:val="24"/>
              </w:rPr>
            </w:pPr>
            <w:r w:rsidRPr="006F46D9">
              <w:rPr>
                <w:rFonts w:ascii="標楷體" w:eastAsia="標楷體" w:hAnsi="標楷體" w:hint="eastAsia"/>
                <w:szCs w:val="24"/>
              </w:rPr>
              <w:lastRenderedPageBreak/>
              <w:t>（二）證券商取得中華信用評等股份有限公司評級</w:t>
            </w:r>
            <w:proofErr w:type="spellStart"/>
            <w:r w:rsidRPr="006F46D9">
              <w:rPr>
                <w:rFonts w:ascii="標楷體" w:eastAsia="標楷體" w:hAnsi="標楷體" w:hint="eastAsia"/>
                <w:szCs w:val="24"/>
              </w:rPr>
              <w:t>twA</w:t>
            </w:r>
            <w:proofErr w:type="spellEnd"/>
            <w:r w:rsidRPr="006F46D9">
              <w:rPr>
                <w:rFonts w:ascii="標楷體" w:eastAsia="標楷體" w:hAnsi="標楷體" w:hint="eastAsia"/>
                <w:szCs w:val="24"/>
              </w:rPr>
              <w:t>-級以上或Standard &amp; Poor's</w:t>
            </w:r>
            <w:r>
              <w:rPr>
                <w:rFonts w:ascii="標楷體" w:eastAsia="標楷體" w:hAnsi="標楷體" w:hint="eastAsia"/>
                <w:szCs w:val="24"/>
              </w:rPr>
              <w:t xml:space="preserve"> </w:t>
            </w:r>
            <w:r w:rsidRPr="006F46D9">
              <w:rPr>
                <w:rFonts w:ascii="標楷體" w:eastAsia="標楷體" w:hAnsi="標楷體" w:hint="eastAsia"/>
                <w:szCs w:val="24"/>
              </w:rPr>
              <w:t>Corp.評級A-級以上或</w:t>
            </w:r>
            <w:r w:rsidRPr="00175E90">
              <w:rPr>
                <w:rFonts w:ascii="標楷體" w:eastAsia="標楷體" w:hAnsi="標楷體" w:hint="eastAsia"/>
                <w:szCs w:val="24"/>
                <w:u w:val="thick"/>
              </w:rPr>
              <w:t>英</w:t>
            </w:r>
            <w:proofErr w:type="gramStart"/>
            <w:r w:rsidRPr="00175E90">
              <w:rPr>
                <w:rFonts w:ascii="標楷體" w:eastAsia="標楷體" w:hAnsi="標楷體" w:hint="eastAsia"/>
                <w:szCs w:val="24"/>
                <w:u w:val="thick"/>
              </w:rPr>
              <w:t>商</w:t>
            </w:r>
            <w:r w:rsidRPr="006F46D9">
              <w:rPr>
                <w:rFonts w:ascii="標楷體" w:eastAsia="標楷體" w:hAnsi="標楷體" w:hint="eastAsia"/>
                <w:szCs w:val="24"/>
              </w:rPr>
              <w:t>惠譽國際</w:t>
            </w:r>
            <w:proofErr w:type="gramEnd"/>
            <w:r w:rsidRPr="006F46D9">
              <w:rPr>
                <w:rFonts w:ascii="標楷體" w:eastAsia="標楷體" w:hAnsi="標楷體" w:hint="eastAsia"/>
                <w:szCs w:val="24"/>
              </w:rPr>
              <w:t>信用評等股份有限公司台灣分公司A-（</w:t>
            </w:r>
            <w:proofErr w:type="spellStart"/>
            <w:r w:rsidRPr="006F46D9">
              <w:rPr>
                <w:rFonts w:ascii="標楷體" w:eastAsia="標楷體" w:hAnsi="標楷體" w:hint="eastAsia"/>
                <w:szCs w:val="24"/>
              </w:rPr>
              <w:t>twn</w:t>
            </w:r>
            <w:proofErr w:type="spellEnd"/>
            <w:r w:rsidRPr="006F46D9">
              <w:rPr>
                <w:rFonts w:ascii="標楷體" w:eastAsia="標楷體" w:hAnsi="標楷體" w:hint="eastAsia"/>
                <w:szCs w:val="24"/>
              </w:rPr>
              <w:t xml:space="preserve">）級以上或 </w:t>
            </w:r>
            <w:proofErr w:type="spellStart"/>
            <w:r w:rsidRPr="006F46D9">
              <w:rPr>
                <w:rFonts w:ascii="標楷體" w:eastAsia="標楷體" w:hAnsi="標楷體" w:hint="eastAsia"/>
                <w:szCs w:val="24"/>
              </w:rPr>
              <w:t>Fitch,Inc</w:t>
            </w:r>
            <w:proofErr w:type="spellEnd"/>
            <w:r w:rsidRPr="006F46D9">
              <w:rPr>
                <w:rFonts w:ascii="標楷體" w:eastAsia="標楷體" w:hAnsi="標楷體" w:hint="eastAsia"/>
                <w:szCs w:val="24"/>
              </w:rPr>
              <w:t>.評級A-級以上或</w:t>
            </w:r>
            <w:r w:rsidRPr="006A773A">
              <w:rPr>
                <w:rFonts w:ascii="標楷體" w:eastAsia="標楷體" w:hAnsi="標楷體" w:hint="eastAsia"/>
                <w:szCs w:val="24"/>
                <w:u w:val="thick"/>
              </w:rPr>
              <w:t>穆迪信用評等股份有限公司A3.tw級以上或</w:t>
            </w:r>
            <w:r w:rsidRPr="006F46D9">
              <w:rPr>
                <w:rFonts w:ascii="標楷體" w:eastAsia="標楷體" w:hAnsi="標楷體" w:hint="eastAsia"/>
                <w:szCs w:val="24"/>
              </w:rPr>
              <w:t>Moody's Investors        Service評級A3級以上之長期信用評等者為八十分之一。</w:t>
            </w:r>
          </w:p>
          <w:p w:rsidR="00185E1C" w:rsidRDefault="00185E1C" w:rsidP="00185E1C">
            <w:pPr>
              <w:ind w:left="652" w:hanging="652"/>
              <w:jc w:val="both"/>
              <w:rPr>
                <w:rFonts w:ascii="標楷體" w:eastAsia="標楷體" w:hAnsi="標楷體"/>
                <w:szCs w:val="24"/>
              </w:rPr>
            </w:pPr>
            <w:r w:rsidRPr="006F46D9">
              <w:rPr>
                <w:rFonts w:ascii="標楷體" w:eastAsia="標楷體" w:hAnsi="標楷體" w:hint="eastAsia"/>
                <w:szCs w:val="24"/>
              </w:rPr>
              <w:t>（三）取得中華信用評等股份有限公司評級</w:t>
            </w:r>
            <w:proofErr w:type="spellStart"/>
            <w:r w:rsidRPr="006F46D9">
              <w:rPr>
                <w:rFonts w:ascii="標楷體" w:eastAsia="標楷體" w:hAnsi="標楷體" w:hint="eastAsia"/>
                <w:szCs w:val="24"/>
              </w:rPr>
              <w:t>twBBB</w:t>
            </w:r>
            <w:proofErr w:type="spellEnd"/>
            <w:r w:rsidRPr="006F46D9">
              <w:rPr>
                <w:rFonts w:ascii="標楷體" w:eastAsia="標楷體" w:hAnsi="標楷體" w:hint="eastAsia"/>
                <w:szCs w:val="24"/>
              </w:rPr>
              <w:t>-級以上或</w:t>
            </w:r>
            <w:proofErr w:type="spellStart"/>
            <w:r>
              <w:rPr>
                <w:rFonts w:ascii="標楷體" w:eastAsia="標楷體" w:hAnsi="標楷體" w:hint="eastAsia"/>
                <w:szCs w:val="24"/>
              </w:rPr>
              <w:t>Standard</w:t>
            </w:r>
            <w:r w:rsidRPr="006F46D9">
              <w:rPr>
                <w:rFonts w:ascii="標楷體" w:eastAsia="標楷體" w:hAnsi="標楷體" w:hint="eastAsia"/>
                <w:szCs w:val="24"/>
              </w:rPr>
              <w:t>&amp;Poor's</w:t>
            </w:r>
            <w:proofErr w:type="spellEnd"/>
            <w:r w:rsidRPr="006F46D9">
              <w:rPr>
                <w:rFonts w:ascii="標楷體" w:eastAsia="標楷體" w:hAnsi="標楷體" w:hint="eastAsia"/>
                <w:szCs w:val="24"/>
              </w:rPr>
              <w:t xml:space="preserve"> Corp.評級BBB-級以上或</w:t>
            </w:r>
            <w:r w:rsidRPr="00175E90">
              <w:rPr>
                <w:rFonts w:ascii="標楷體" w:eastAsia="標楷體" w:hAnsi="標楷體" w:hint="eastAsia"/>
                <w:szCs w:val="24"/>
                <w:u w:val="thick"/>
              </w:rPr>
              <w:t>英</w:t>
            </w:r>
            <w:proofErr w:type="gramStart"/>
            <w:r w:rsidRPr="00175E90">
              <w:rPr>
                <w:rFonts w:ascii="標楷體" w:eastAsia="標楷體" w:hAnsi="標楷體" w:hint="eastAsia"/>
                <w:szCs w:val="24"/>
                <w:u w:val="thick"/>
              </w:rPr>
              <w:t>商</w:t>
            </w:r>
            <w:r w:rsidRPr="006F46D9">
              <w:rPr>
                <w:rFonts w:ascii="標楷體" w:eastAsia="標楷體" w:hAnsi="標楷體" w:hint="eastAsia"/>
                <w:szCs w:val="24"/>
              </w:rPr>
              <w:t>惠譽國際</w:t>
            </w:r>
            <w:proofErr w:type="gramEnd"/>
            <w:r w:rsidRPr="006F46D9">
              <w:rPr>
                <w:rFonts w:ascii="標楷體" w:eastAsia="標楷體" w:hAnsi="標楷體" w:hint="eastAsia"/>
                <w:szCs w:val="24"/>
              </w:rPr>
              <w:t>信用評等股份有限公司台灣分公司BBB-（</w:t>
            </w:r>
            <w:proofErr w:type="spellStart"/>
            <w:r w:rsidRPr="006F46D9">
              <w:rPr>
                <w:rFonts w:ascii="標楷體" w:eastAsia="標楷體" w:hAnsi="標楷體" w:hint="eastAsia"/>
                <w:szCs w:val="24"/>
              </w:rPr>
              <w:t>twn</w:t>
            </w:r>
            <w:proofErr w:type="spellEnd"/>
            <w:r w:rsidRPr="006F46D9">
              <w:rPr>
                <w:rFonts w:ascii="標楷體" w:eastAsia="標楷體" w:hAnsi="標楷體" w:hint="eastAsia"/>
                <w:szCs w:val="24"/>
              </w:rPr>
              <w:t xml:space="preserve">）級以上或 </w:t>
            </w:r>
            <w:proofErr w:type="spellStart"/>
            <w:r w:rsidRPr="006F46D9">
              <w:rPr>
                <w:rFonts w:ascii="標楷體" w:eastAsia="標楷體" w:hAnsi="標楷體" w:hint="eastAsia"/>
                <w:szCs w:val="24"/>
              </w:rPr>
              <w:t>Fitch,Inc</w:t>
            </w:r>
            <w:proofErr w:type="spellEnd"/>
            <w:r w:rsidRPr="006F46D9">
              <w:rPr>
                <w:rFonts w:ascii="標楷體" w:eastAsia="標楷體" w:hAnsi="標楷體" w:hint="eastAsia"/>
                <w:szCs w:val="24"/>
              </w:rPr>
              <w:t>.評級BBB-級以上或</w:t>
            </w:r>
            <w:r w:rsidRPr="00FF6985">
              <w:rPr>
                <w:rFonts w:ascii="標楷體" w:eastAsia="標楷體" w:hAnsi="標楷體" w:hint="eastAsia"/>
                <w:szCs w:val="24"/>
                <w:u w:val="thick"/>
              </w:rPr>
              <w:t>穆迪信用評等股份有限公司BBB3.tw級以上或</w:t>
            </w:r>
            <w:r w:rsidRPr="006F46D9">
              <w:rPr>
                <w:rFonts w:ascii="標楷體" w:eastAsia="標楷體" w:hAnsi="標楷體" w:hint="eastAsia"/>
                <w:szCs w:val="24"/>
              </w:rPr>
              <w:t>Moody's Investors Service評級BBB3級以上之長期信用評等者為六十分之一。</w:t>
            </w:r>
          </w:p>
          <w:p w:rsidR="00185E1C" w:rsidRPr="006F46D9" w:rsidRDefault="00185E1C" w:rsidP="00185E1C">
            <w:pPr>
              <w:ind w:leftChars="-7" w:left="451" w:hangingChars="195" w:hanging="468"/>
              <w:jc w:val="both"/>
              <w:rPr>
                <w:rFonts w:ascii="標楷體" w:eastAsia="標楷體" w:hAnsi="標楷體"/>
                <w:szCs w:val="24"/>
              </w:rPr>
            </w:pPr>
            <w:r w:rsidRPr="006F46D9">
              <w:rPr>
                <w:rFonts w:ascii="標楷體" w:eastAsia="標楷體" w:hAnsi="標楷體" w:hint="eastAsia"/>
                <w:szCs w:val="24"/>
              </w:rPr>
              <w:t>四、指定債券附條件交易部分，係按證券商附買回交易與附賣回交易相抵後餘額之千分之一計算之。</w:t>
            </w:r>
          </w:p>
          <w:p w:rsidR="00185E1C" w:rsidRPr="006F46D9" w:rsidRDefault="00185E1C" w:rsidP="00185E1C">
            <w:pPr>
              <w:ind w:firstLineChars="205" w:firstLine="492"/>
              <w:jc w:val="both"/>
              <w:rPr>
                <w:rFonts w:ascii="標楷體" w:eastAsia="標楷體" w:hAnsi="標楷體"/>
                <w:szCs w:val="24"/>
              </w:rPr>
            </w:pPr>
            <w:r w:rsidRPr="006F46D9">
              <w:rPr>
                <w:rFonts w:ascii="標楷體" w:eastAsia="標楷體" w:hAnsi="標楷體" w:hint="eastAsia"/>
                <w:szCs w:val="24"/>
              </w:rPr>
              <w:t>外國債券電子交易系統及國際債券之買賣斷及附條件交易風險值應依本中心指定之外匯銀行前月份每日外匯匯率收盤價中價之平均值換算為新台幣。</w:t>
            </w:r>
          </w:p>
          <w:p w:rsidR="006F46D9" w:rsidRPr="006F46D9" w:rsidRDefault="00185E1C" w:rsidP="00185E1C">
            <w:pPr>
              <w:rPr>
                <w:rFonts w:ascii="標楷體" w:eastAsia="標楷體" w:hAnsi="標楷體"/>
                <w:szCs w:val="24"/>
              </w:rPr>
            </w:pPr>
            <w:r w:rsidRPr="006F46D9">
              <w:rPr>
                <w:rFonts w:ascii="標楷體" w:eastAsia="標楷體" w:hAnsi="標楷體" w:hint="eastAsia"/>
                <w:szCs w:val="24"/>
              </w:rPr>
              <w:t>第一項買賣斷交易損益計算方式，依本系統次日參考</w:t>
            </w:r>
            <w:proofErr w:type="gramStart"/>
            <w:r w:rsidRPr="006F46D9">
              <w:rPr>
                <w:rFonts w:ascii="標楷體" w:eastAsia="標楷體" w:hAnsi="標楷體" w:hint="eastAsia"/>
                <w:szCs w:val="24"/>
              </w:rPr>
              <w:t>殖</w:t>
            </w:r>
            <w:proofErr w:type="gramEnd"/>
            <w:r w:rsidRPr="006F46D9">
              <w:rPr>
                <w:rFonts w:ascii="標楷體" w:eastAsia="標楷體" w:hAnsi="標楷體" w:hint="eastAsia"/>
                <w:szCs w:val="24"/>
              </w:rPr>
              <w:t>利率或百元價格結清證券商累計未完成給付結算之買賣超部位損</w:t>
            </w:r>
            <w:r w:rsidRPr="006F46D9">
              <w:rPr>
                <w:rFonts w:ascii="標楷體" w:eastAsia="標楷體" w:hAnsi="標楷體" w:hint="eastAsia"/>
                <w:szCs w:val="24"/>
              </w:rPr>
              <w:lastRenderedPageBreak/>
              <w:t>益，</w:t>
            </w:r>
            <w:proofErr w:type="gramStart"/>
            <w:r w:rsidRPr="006F46D9">
              <w:rPr>
                <w:rFonts w:ascii="標楷體" w:eastAsia="標楷體" w:hAnsi="標楷體" w:hint="eastAsia"/>
                <w:szCs w:val="24"/>
              </w:rPr>
              <w:t>併</w:t>
            </w:r>
            <w:proofErr w:type="gramEnd"/>
            <w:r w:rsidRPr="006F46D9">
              <w:rPr>
                <w:rFonts w:ascii="標楷體" w:eastAsia="標楷體" w:hAnsi="標楷體" w:hint="eastAsia"/>
                <w:szCs w:val="24"/>
              </w:rPr>
              <w:t>同證券商已沖銷部位損益計算之。</w:t>
            </w:r>
          </w:p>
        </w:tc>
        <w:tc>
          <w:tcPr>
            <w:tcW w:w="1667" w:type="pct"/>
          </w:tcPr>
          <w:p w:rsidR="00B16CAD" w:rsidRPr="00097770" w:rsidRDefault="00234EBE" w:rsidP="00097770">
            <w:pPr>
              <w:jc w:val="both"/>
              <w:rPr>
                <w:rFonts w:ascii="標楷體" w:eastAsia="標楷體" w:hAnsi="標楷體"/>
                <w:szCs w:val="24"/>
              </w:rPr>
            </w:pPr>
            <w:r w:rsidRPr="00097770">
              <w:rPr>
                <w:rFonts w:ascii="標楷體" w:eastAsia="標楷體" w:hAnsi="標楷體" w:hint="eastAsia"/>
                <w:szCs w:val="24"/>
              </w:rPr>
              <w:lastRenderedPageBreak/>
              <w:t>配合「英商惠譽國際信用評等股份有限公司台灣分公司」更名為「澳洲商惠譽國際信用評等股份有限公司台灣分公司」</w:t>
            </w:r>
            <w:r w:rsidR="00097770">
              <w:rPr>
                <w:rFonts w:ascii="標楷體" w:eastAsia="標楷體" w:hAnsi="標楷體" w:hint="eastAsia"/>
                <w:szCs w:val="24"/>
              </w:rPr>
              <w:t>以及</w:t>
            </w:r>
            <w:r w:rsidR="00097770" w:rsidRPr="00097770">
              <w:rPr>
                <w:rFonts w:ascii="標楷體" w:eastAsia="標楷體" w:hAnsi="標楷體" w:hint="eastAsia"/>
                <w:szCs w:val="24"/>
              </w:rPr>
              <w:t>穆迪信用評等股份有限公司</w:t>
            </w:r>
            <w:r w:rsidR="00643E61">
              <w:rPr>
                <w:rFonts w:ascii="標楷體" w:eastAsia="標楷體" w:hAnsi="標楷體" w:hint="eastAsia"/>
                <w:szCs w:val="24"/>
              </w:rPr>
              <w:t>(在台設立之子公司)</w:t>
            </w:r>
            <w:r w:rsidR="00097770" w:rsidRPr="00097770">
              <w:rPr>
                <w:rFonts w:ascii="標楷體" w:eastAsia="標楷體" w:hAnsi="標楷體" w:hint="eastAsia"/>
                <w:szCs w:val="24"/>
              </w:rPr>
              <w:t>業已完成清算解散</w:t>
            </w:r>
            <w:r w:rsidRPr="00097770">
              <w:rPr>
                <w:rFonts w:ascii="標楷體" w:eastAsia="標楷體" w:hAnsi="標楷體" w:hint="eastAsia"/>
                <w:szCs w:val="24"/>
              </w:rPr>
              <w:t>，爰刪除第二項第三款第一目、第二目及第三目</w:t>
            </w:r>
            <w:r w:rsidR="009252AC" w:rsidRPr="009252AC">
              <w:rPr>
                <w:rFonts w:ascii="標楷體" w:eastAsia="標楷體" w:hAnsi="標楷體" w:hint="eastAsia"/>
                <w:szCs w:val="24"/>
              </w:rPr>
              <w:t>「英商」</w:t>
            </w:r>
            <w:r w:rsidR="00AD653E">
              <w:rPr>
                <w:rFonts w:ascii="標楷體" w:eastAsia="標楷體" w:hAnsi="標楷體" w:hint="eastAsia"/>
                <w:szCs w:val="24"/>
              </w:rPr>
              <w:t>以及</w:t>
            </w:r>
            <w:r w:rsidR="009252AC" w:rsidRPr="009252AC">
              <w:rPr>
                <w:rFonts w:ascii="標楷體" w:eastAsia="標楷體" w:hAnsi="標楷體" w:hint="eastAsia"/>
                <w:szCs w:val="24"/>
              </w:rPr>
              <w:t>「穆迪信用評等股份有限公司」</w:t>
            </w:r>
            <w:r w:rsidR="00AD653E">
              <w:rPr>
                <w:rFonts w:ascii="標楷體" w:eastAsia="標楷體" w:hAnsi="標楷體" w:hint="eastAsia"/>
                <w:szCs w:val="24"/>
              </w:rPr>
              <w:t>與</w:t>
            </w:r>
            <w:r w:rsidR="009252AC" w:rsidRPr="009252AC">
              <w:rPr>
                <w:rFonts w:ascii="標楷體" w:eastAsia="標楷體" w:hAnsi="標楷體" w:hint="eastAsia"/>
                <w:szCs w:val="24"/>
              </w:rPr>
              <w:t>相關信評等級之文字。</w:t>
            </w:r>
          </w:p>
          <w:p w:rsidR="00234EBE" w:rsidRPr="00234EBE" w:rsidRDefault="00234EBE" w:rsidP="00234EBE">
            <w:pPr>
              <w:jc w:val="both"/>
              <w:rPr>
                <w:rFonts w:ascii="標楷體" w:eastAsia="標楷體" w:hAnsi="標楷體"/>
                <w:szCs w:val="24"/>
              </w:rPr>
            </w:pPr>
          </w:p>
          <w:p w:rsidR="00234EBE" w:rsidRPr="00234EBE" w:rsidRDefault="00234EBE" w:rsidP="00234EBE">
            <w:pPr>
              <w:ind w:left="410" w:hangingChars="171" w:hanging="410"/>
              <w:jc w:val="both"/>
              <w:rPr>
                <w:rFonts w:ascii="標楷體" w:eastAsia="標楷體" w:hAnsi="標楷體"/>
                <w:szCs w:val="24"/>
              </w:rPr>
            </w:pPr>
          </w:p>
          <w:p w:rsidR="00234EBE" w:rsidRPr="00234EBE" w:rsidRDefault="00234EBE" w:rsidP="00234EBE">
            <w:pPr>
              <w:rPr>
                <w:rFonts w:ascii="標楷體" w:eastAsia="標楷體" w:hAnsi="標楷體"/>
                <w:szCs w:val="24"/>
              </w:rPr>
            </w:pPr>
          </w:p>
        </w:tc>
      </w:tr>
    </w:tbl>
    <w:p w:rsidR="00B16CAD" w:rsidRPr="00B16CAD" w:rsidRDefault="00B16CAD">
      <w:pPr>
        <w:rPr>
          <w:rFonts w:ascii="標楷體" w:eastAsia="標楷體" w:hAnsi="標楷體"/>
          <w:sz w:val="36"/>
          <w:szCs w:val="36"/>
        </w:rPr>
      </w:pPr>
    </w:p>
    <w:sectPr w:rsidR="00B16CAD" w:rsidRPr="00B16CAD" w:rsidSect="00B16CA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1D" w:rsidRDefault="00FA041D" w:rsidP="00A92F72">
      <w:r>
        <w:separator/>
      </w:r>
    </w:p>
  </w:endnote>
  <w:endnote w:type="continuationSeparator" w:id="0">
    <w:p w:rsidR="00FA041D" w:rsidRDefault="00FA041D" w:rsidP="00A9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1D" w:rsidRDefault="00FA041D" w:rsidP="00A92F72">
      <w:r>
        <w:separator/>
      </w:r>
    </w:p>
  </w:footnote>
  <w:footnote w:type="continuationSeparator" w:id="0">
    <w:p w:rsidR="00FA041D" w:rsidRDefault="00FA041D" w:rsidP="00A92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464C"/>
    <w:multiLevelType w:val="hybridMultilevel"/>
    <w:tmpl w:val="E904D54A"/>
    <w:lvl w:ilvl="0" w:tplc="DE6092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6FD63073"/>
    <w:multiLevelType w:val="hybridMultilevel"/>
    <w:tmpl w:val="D0C47A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93E2372"/>
    <w:multiLevelType w:val="hybridMultilevel"/>
    <w:tmpl w:val="FBBE2C3E"/>
    <w:lvl w:ilvl="0" w:tplc="90B601D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rawingGridHorizontalSpacing w:val="2"/>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AD"/>
    <w:rsid w:val="00097770"/>
    <w:rsid w:val="00175E90"/>
    <w:rsid w:val="00185E1C"/>
    <w:rsid w:val="00197992"/>
    <w:rsid w:val="001B21F5"/>
    <w:rsid w:val="001C4775"/>
    <w:rsid w:val="002157A6"/>
    <w:rsid w:val="00234EBE"/>
    <w:rsid w:val="00276C0B"/>
    <w:rsid w:val="0028706D"/>
    <w:rsid w:val="003A3B35"/>
    <w:rsid w:val="004830A3"/>
    <w:rsid w:val="00490EF4"/>
    <w:rsid w:val="00531526"/>
    <w:rsid w:val="005E5E15"/>
    <w:rsid w:val="00603DE2"/>
    <w:rsid w:val="00643E61"/>
    <w:rsid w:val="006A25AC"/>
    <w:rsid w:val="006A773A"/>
    <w:rsid w:val="006F46D9"/>
    <w:rsid w:val="008011E5"/>
    <w:rsid w:val="00811BE3"/>
    <w:rsid w:val="00835467"/>
    <w:rsid w:val="008A145E"/>
    <w:rsid w:val="008F1BDE"/>
    <w:rsid w:val="009252AC"/>
    <w:rsid w:val="00A2218D"/>
    <w:rsid w:val="00A55F46"/>
    <w:rsid w:val="00A717EB"/>
    <w:rsid w:val="00A92F72"/>
    <w:rsid w:val="00AA28DE"/>
    <w:rsid w:val="00AB0692"/>
    <w:rsid w:val="00AD653E"/>
    <w:rsid w:val="00B16CAD"/>
    <w:rsid w:val="00B33701"/>
    <w:rsid w:val="00BB0A32"/>
    <w:rsid w:val="00BC6AC4"/>
    <w:rsid w:val="00D35BDC"/>
    <w:rsid w:val="00DF7B58"/>
    <w:rsid w:val="00E05AFF"/>
    <w:rsid w:val="00E24A8E"/>
    <w:rsid w:val="00EA7C48"/>
    <w:rsid w:val="00EF6BDE"/>
    <w:rsid w:val="00F90639"/>
    <w:rsid w:val="00FA041D"/>
    <w:rsid w:val="00FE2ED9"/>
    <w:rsid w:val="00FF6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2F72"/>
    <w:pPr>
      <w:tabs>
        <w:tab w:val="center" w:pos="4153"/>
        <w:tab w:val="right" w:pos="8306"/>
      </w:tabs>
      <w:snapToGrid w:val="0"/>
    </w:pPr>
    <w:rPr>
      <w:sz w:val="20"/>
      <w:szCs w:val="20"/>
    </w:rPr>
  </w:style>
  <w:style w:type="character" w:customStyle="1" w:styleId="a5">
    <w:name w:val="頁首 字元"/>
    <w:basedOn w:val="a0"/>
    <w:link w:val="a4"/>
    <w:uiPriority w:val="99"/>
    <w:rsid w:val="00A92F72"/>
    <w:rPr>
      <w:sz w:val="20"/>
      <w:szCs w:val="20"/>
    </w:rPr>
  </w:style>
  <w:style w:type="paragraph" w:styleId="a6">
    <w:name w:val="footer"/>
    <w:basedOn w:val="a"/>
    <w:link w:val="a7"/>
    <w:uiPriority w:val="99"/>
    <w:unhideWhenUsed/>
    <w:rsid w:val="00A92F72"/>
    <w:pPr>
      <w:tabs>
        <w:tab w:val="center" w:pos="4153"/>
        <w:tab w:val="right" w:pos="8306"/>
      </w:tabs>
      <w:snapToGrid w:val="0"/>
    </w:pPr>
    <w:rPr>
      <w:sz w:val="20"/>
      <w:szCs w:val="20"/>
    </w:rPr>
  </w:style>
  <w:style w:type="character" w:customStyle="1" w:styleId="a7">
    <w:name w:val="頁尾 字元"/>
    <w:basedOn w:val="a0"/>
    <w:link w:val="a6"/>
    <w:uiPriority w:val="99"/>
    <w:rsid w:val="00A92F72"/>
    <w:rPr>
      <w:sz w:val="20"/>
      <w:szCs w:val="20"/>
    </w:rPr>
  </w:style>
  <w:style w:type="paragraph" w:styleId="a8">
    <w:name w:val="List Paragraph"/>
    <w:basedOn w:val="a"/>
    <w:uiPriority w:val="34"/>
    <w:qFormat/>
    <w:rsid w:val="00234EB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2F72"/>
    <w:pPr>
      <w:tabs>
        <w:tab w:val="center" w:pos="4153"/>
        <w:tab w:val="right" w:pos="8306"/>
      </w:tabs>
      <w:snapToGrid w:val="0"/>
    </w:pPr>
    <w:rPr>
      <w:sz w:val="20"/>
      <w:szCs w:val="20"/>
    </w:rPr>
  </w:style>
  <w:style w:type="character" w:customStyle="1" w:styleId="a5">
    <w:name w:val="頁首 字元"/>
    <w:basedOn w:val="a0"/>
    <w:link w:val="a4"/>
    <w:uiPriority w:val="99"/>
    <w:rsid w:val="00A92F72"/>
    <w:rPr>
      <w:sz w:val="20"/>
      <w:szCs w:val="20"/>
    </w:rPr>
  </w:style>
  <w:style w:type="paragraph" w:styleId="a6">
    <w:name w:val="footer"/>
    <w:basedOn w:val="a"/>
    <w:link w:val="a7"/>
    <w:uiPriority w:val="99"/>
    <w:unhideWhenUsed/>
    <w:rsid w:val="00A92F72"/>
    <w:pPr>
      <w:tabs>
        <w:tab w:val="center" w:pos="4153"/>
        <w:tab w:val="right" w:pos="8306"/>
      </w:tabs>
      <w:snapToGrid w:val="0"/>
    </w:pPr>
    <w:rPr>
      <w:sz w:val="20"/>
      <w:szCs w:val="20"/>
    </w:rPr>
  </w:style>
  <w:style w:type="character" w:customStyle="1" w:styleId="a7">
    <w:name w:val="頁尾 字元"/>
    <w:basedOn w:val="a0"/>
    <w:link w:val="a6"/>
    <w:uiPriority w:val="99"/>
    <w:rsid w:val="00A92F72"/>
    <w:rPr>
      <w:sz w:val="20"/>
      <w:szCs w:val="20"/>
    </w:rPr>
  </w:style>
  <w:style w:type="paragraph" w:styleId="a8">
    <w:name w:val="List Paragraph"/>
    <w:basedOn w:val="a"/>
    <w:uiPriority w:val="34"/>
    <w:qFormat/>
    <w:rsid w:val="00234E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5C30E-83F0-4F39-A4A1-E0A36519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邱鈺玶</dc:creator>
  <cp:lastModifiedBy>邱鈺玶</cp:lastModifiedBy>
  <cp:revision>37</cp:revision>
  <dcterms:created xsi:type="dcterms:W3CDTF">2016-12-19T04:02:00Z</dcterms:created>
  <dcterms:modified xsi:type="dcterms:W3CDTF">2017-02-14T09:05:00Z</dcterms:modified>
</cp:coreProperties>
</file>