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14" w:rsidRPr="00777785" w:rsidRDefault="0045152A" w:rsidP="000F1DE9">
      <w:pPr>
        <w:spacing w:line="400" w:lineRule="exact"/>
        <w:rPr>
          <w:rFonts w:ascii="標楷體" w:eastAsia="標楷體" w:hAnsi="標楷體"/>
          <w:sz w:val="36"/>
          <w:szCs w:val="36"/>
        </w:rPr>
      </w:pPr>
      <w:r w:rsidRPr="0045152A">
        <w:rPr>
          <w:rFonts w:ascii="標楷體" w:eastAsia="標楷體" w:hAnsi="標楷體" w:hint="eastAsia"/>
          <w:sz w:val="36"/>
          <w:szCs w:val="36"/>
        </w:rPr>
        <w:t>財團法人中華民國證券櫃檯買賣中心有價證券借貸辦法</w:t>
      </w:r>
      <w:r w:rsidR="000F1DE9" w:rsidRPr="00777785">
        <w:rPr>
          <w:rFonts w:ascii="標楷體" w:eastAsia="標楷體" w:hAnsi="標楷體" w:hint="eastAsia"/>
          <w:sz w:val="36"/>
          <w:szCs w:val="36"/>
        </w:rPr>
        <w:t>第</w:t>
      </w:r>
      <w:r>
        <w:rPr>
          <w:rFonts w:ascii="標楷體" w:eastAsia="標楷體" w:hAnsi="標楷體" w:hint="eastAsia"/>
          <w:sz w:val="36"/>
          <w:szCs w:val="36"/>
        </w:rPr>
        <w:t>八</w:t>
      </w:r>
      <w:r w:rsidR="000F1DE9" w:rsidRPr="00777785">
        <w:rPr>
          <w:rFonts w:ascii="標楷體" w:eastAsia="標楷體" w:hAnsi="標楷體" w:hint="eastAsia"/>
          <w:sz w:val="36"/>
          <w:szCs w:val="36"/>
        </w:rPr>
        <w:t>條條文修正</w:t>
      </w:r>
      <w:bookmarkStart w:id="0" w:name="_GoBack"/>
      <w:bookmarkEnd w:id="0"/>
      <w:r w:rsidR="000F1DE9" w:rsidRPr="00777785">
        <w:rPr>
          <w:rFonts w:ascii="標楷體" w:eastAsia="標楷體" w:hAnsi="標楷體" w:hint="eastAsia"/>
          <w:sz w:val="36"/>
          <w:szCs w:val="36"/>
        </w:rPr>
        <w:t>條文對照表</w:t>
      </w:r>
    </w:p>
    <w:tbl>
      <w:tblPr>
        <w:tblStyle w:val="a7"/>
        <w:tblW w:w="0" w:type="auto"/>
        <w:tblLook w:val="04A0" w:firstRow="1" w:lastRow="0" w:firstColumn="1" w:lastColumn="0" w:noHBand="0" w:noVBand="1"/>
      </w:tblPr>
      <w:tblGrid>
        <w:gridCol w:w="3402"/>
        <w:gridCol w:w="3402"/>
        <w:gridCol w:w="2478"/>
      </w:tblGrid>
      <w:tr w:rsidR="00C36273" w:rsidRPr="009F75E7" w:rsidTr="000A3F6E">
        <w:trPr>
          <w:trHeight w:val="469"/>
        </w:trPr>
        <w:tc>
          <w:tcPr>
            <w:tcW w:w="3402" w:type="dxa"/>
            <w:vAlign w:val="center"/>
          </w:tcPr>
          <w:p w:rsidR="00C36273" w:rsidRPr="009F7276" w:rsidRDefault="00C36273" w:rsidP="00355103">
            <w:pPr>
              <w:jc w:val="center"/>
              <w:rPr>
                <w:rFonts w:ascii="標楷體" w:eastAsia="標楷體" w:hAnsi="標楷體"/>
                <w:szCs w:val="24"/>
              </w:rPr>
            </w:pPr>
            <w:r w:rsidRPr="009F7276">
              <w:rPr>
                <w:rFonts w:ascii="標楷體" w:eastAsia="標楷體" w:hAnsi="標楷體" w:hint="eastAsia"/>
                <w:szCs w:val="24"/>
              </w:rPr>
              <w:t>修正條文</w:t>
            </w:r>
          </w:p>
        </w:tc>
        <w:tc>
          <w:tcPr>
            <w:tcW w:w="3402" w:type="dxa"/>
            <w:vAlign w:val="center"/>
          </w:tcPr>
          <w:p w:rsidR="00C36273" w:rsidRPr="009F7276" w:rsidRDefault="00C36273" w:rsidP="00355103">
            <w:pPr>
              <w:jc w:val="center"/>
              <w:rPr>
                <w:rFonts w:ascii="標楷體" w:eastAsia="標楷體" w:hAnsi="標楷體"/>
                <w:szCs w:val="24"/>
              </w:rPr>
            </w:pPr>
            <w:r w:rsidRPr="009F7276">
              <w:rPr>
                <w:rFonts w:ascii="標楷體" w:eastAsia="標楷體" w:hAnsi="標楷體" w:hint="eastAsia"/>
                <w:szCs w:val="24"/>
              </w:rPr>
              <w:t>現行條文</w:t>
            </w:r>
          </w:p>
        </w:tc>
        <w:tc>
          <w:tcPr>
            <w:tcW w:w="2478" w:type="dxa"/>
            <w:vAlign w:val="center"/>
          </w:tcPr>
          <w:p w:rsidR="00C36273" w:rsidRPr="009F7276" w:rsidRDefault="00C36273" w:rsidP="00355103">
            <w:pPr>
              <w:jc w:val="center"/>
              <w:rPr>
                <w:rFonts w:ascii="標楷體" w:eastAsia="標楷體" w:hAnsi="標楷體"/>
                <w:szCs w:val="24"/>
              </w:rPr>
            </w:pPr>
            <w:r w:rsidRPr="009F7276">
              <w:rPr>
                <w:rFonts w:ascii="標楷體" w:eastAsia="標楷體" w:hAnsi="標楷體" w:hint="eastAsia"/>
                <w:szCs w:val="24"/>
              </w:rPr>
              <w:t>說明</w:t>
            </w:r>
          </w:p>
        </w:tc>
      </w:tr>
      <w:tr w:rsidR="00687B70" w:rsidRPr="009F75E7" w:rsidTr="0093287D">
        <w:tc>
          <w:tcPr>
            <w:tcW w:w="3402" w:type="dxa"/>
          </w:tcPr>
          <w:p w:rsidR="00687B70" w:rsidRPr="00687B70" w:rsidRDefault="00687B70" w:rsidP="00355103">
            <w:pPr>
              <w:jc w:val="both"/>
              <w:rPr>
                <w:rFonts w:ascii="標楷體" w:eastAsia="標楷體" w:hAnsi="標楷體"/>
                <w:szCs w:val="24"/>
              </w:rPr>
            </w:pPr>
            <w:r w:rsidRPr="00687B70">
              <w:rPr>
                <w:rFonts w:ascii="標楷體" w:eastAsia="標楷體" w:hAnsi="標楷體" w:hint="eastAsia"/>
                <w:szCs w:val="24"/>
              </w:rPr>
              <w:t>第八條</w:t>
            </w:r>
          </w:p>
          <w:p w:rsidR="00687B70" w:rsidRPr="00687B70" w:rsidRDefault="00687B70" w:rsidP="00355103">
            <w:pPr>
              <w:ind w:firstLineChars="198" w:firstLine="475"/>
              <w:jc w:val="both"/>
              <w:rPr>
                <w:rFonts w:ascii="標楷體" w:eastAsia="標楷體" w:hAnsi="標楷體"/>
                <w:szCs w:val="24"/>
              </w:rPr>
            </w:pPr>
            <w:r w:rsidRPr="00687B70">
              <w:rPr>
                <w:rFonts w:ascii="標楷體" w:eastAsia="標楷體" w:hAnsi="標楷體" w:hint="eastAsia"/>
                <w:szCs w:val="24"/>
              </w:rPr>
              <w:t>證券金融事業因辦理融資融券、有價證券借貸及轉融通業務致某種有價證券發生差額時（以下簡稱融資融券交易</w:t>
            </w:r>
            <w:proofErr w:type="gramStart"/>
            <w:r w:rsidRPr="00687B70">
              <w:rPr>
                <w:rFonts w:ascii="標楷體" w:eastAsia="標楷體" w:hAnsi="標楷體" w:hint="eastAsia"/>
                <w:szCs w:val="24"/>
              </w:rPr>
              <w:t>券</w:t>
            </w:r>
            <w:proofErr w:type="gramEnd"/>
            <w:r w:rsidRPr="00687B70">
              <w:rPr>
                <w:rFonts w:ascii="標楷體" w:eastAsia="標楷體" w:hAnsi="標楷體" w:hint="eastAsia"/>
                <w:szCs w:val="24"/>
              </w:rPr>
              <w:t>差），或證券金融事業接受證券商委託代理因客戶有價證券當日沖銷交易先賣出後買進之未完成沖銷部位（以下簡稱當沖交易</w:t>
            </w:r>
            <w:proofErr w:type="gramStart"/>
            <w:r w:rsidRPr="00687B70">
              <w:rPr>
                <w:rFonts w:ascii="標楷體" w:eastAsia="標楷體" w:hAnsi="標楷體" w:hint="eastAsia"/>
                <w:szCs w:val="24"/>
              </w:rPr>
              <w:t>券</w:t>
            </w:r>
            <w:proofErr w:type="gramEnd"/>
            <w:r w:rsidRPr="00687B70">
              <w:rPr>
                <w:rFonts w:ascii="標楷體" w:eastAsia="標楷體" w:hAnsi="標楷體" w:hint="eastAsia"/>
                <w:szCs w:val="24"/>
              </w:rPr>
              <w:t>差），於次一營業日上午九時起，向下列出借人標借；若再有不足，於下午二時前，洽特定</w:t>
            </w:r>
            <w:proofErr w:type="gramStart"/>
            <w:r w:rsidRPr="00687B70">
              <w:rPr>
                <w:rFonts w:ascii="標楷體" w:eastAsia="標楷體" w:hAnsi="標楷體" w:hint="eastAsia"/>
                <w:szCs w:val="24"/>
              </w:rPr>
              <w:t>人議借</w:t>
            </w:r>
            <w:proofErr w:type="gramEnd"/>
            <w:r w:rsidRPr="00687B70">
              <w:rPr>
                <w:rFonts w:ascii="標楷體" w:eastAsia="標楷體" w:hAnsi="標楷體" w:hint="eastAsia"/>
                <w:szCs w:val="24"/>
              </w:rPr>
              <w:t>：</w:t>
            </w:r>
          </w:p>
          <w:p w:rsidR="00687B70" w:rsidRPr="00687B70" w:rsidRDefault="00687B70" w:rsidP="00355103">
            <w:pPr>
              <w:jc w:val="both"/>
              <w:rPr>
                <w:rFonts w:ascii="標楷體" w:eastAsia="標楷體" w:hAnsi="標楷體"/>
                <w:szCs w:val="24"/>
              </w:rPr>
            </w:pPr>
            <w:r w:rsidRPr="00687B70">
              <w:rPr>
                <w:rFonts w:ascii="標楷體" w:eastAsia="標楷體" w:hAnsi="標楷體" w:hint="eastAsia"/>
                <w:szCs w:val="24"/>
              </w:rPr>
              <w:t>一、該種有價證券所有人。</w:t>
            </w:r>
          </w:p>
          <w:p w:rsidR="00687B70" w:rsidRPr="00687B70" w:rsidRDefault="00687B70" w:rsidP="00355103">
            <w:pPr>
              <w:ind w:left="461" w:hangingChars="192" w:hanging="461"/>
              <w:jc w:val="both"/>
              <w:rPr>
                <w:rFonts w:ascii="標楷體" w:eastAsia="標楷體" w:hAnsi="標楷體"/>
                <w:szCs w:val="24"/>
              </w:rPr>
            </w:pPr>
            <w:r w:rsidRPr="00687B70">
              <w:rPr>
                <w:rFonts w:ascii="標楷體" w:eastAsia="標楷體" w:hAnsi="標楷體" w:hint="eastAsia"/>
                <w:szCs w:val="24"/>
              </w:rPr>
              <w:t>二、辦理有價證券借貸業務或有價證券融資融券業務之證券商或證券金融事業。</w:t>
            </w:r>
          </w:p>
          <w:p w:rsidR="00687B70" w:rsidRPr="00687B70" w:rsidRDefault="00687B70" w:rsidP="00355103">
            <w:pPr>
              <w:ind w:firstLineChars="198" w:firstLine="475"/>
              <w:jc w:val="both"/>
              <w:rPr>
                <w:rFonts w:ascii="標楷體" w:eastAsia="標楷體" w:hAnsi="標楷體"/>
                <w:szCs w:val="24"/>
              </w:rPr>
            </w:pPr>
            <w:r w:rsidRPr="00687B70">
              <w:rPr>
                <w:rFonts w:ascii="標楷體" w:eastAsia="標楷體" w:hAnsi="標楷體" w:hint="eastAsia"/>
                <w:szCs w:val="24"/>
              </w:rPr>
              <w:t>依前項程序所取得有價證券之數量仍有不足時，除當沖交易</w:t>
            </w:r>
            <w:proofErr w:type="gramStart"/>
            <w:r w:rsidRPr="00687B70">
              <w:rPr>
                <w:rFonts w:ascii="標楷體" w:eastAsia="標楷體" w:hAnsi="標楷體" w:hint="eastAsia"/>
                <w:szCs w:val="24"/>
              </w:rPr>
              <w:t>券差外</w:t>
            </w:r>
            <w:proofErr w:type="gramEnd"/>
            <w:r w:rsidRPr="00687B70">
              <w:rPr>
                <w:rFonts w:ascii="標楷體" w:eastAsia="標楷體" w:hAnsi="標楷體" w:hint="eastAsia"/>
                <w:szCs w:val="24"/>
              </w:rPr>
              <w:t>，證券金融事業應於當日下午二時三十分前，委託證券商在本中心辦理標購。</w:t>
            </w:r>
          </w:p>
          <w:p w:rsidR="00687B70" w:rsidRPr="00687B70" w:rsidRDefault="00687B70" w:rsidP="00355103">
            <w:pPr>
              <w:ind w:firstLineChars="198" w:firstLine="475"/>
              <w:jc w:val="both"/>
              <w:rPr>
                <w:rFonts w:ascii="標楷體" w:eastAsia="標楷體" w:hAnsi="標楷體"/>
                <w:szCs w:val="24"/>
              </w:rPr>
            </w:pPr>
            <w:r w:rsidRPr="00687B70">
              <w:rPr>
                <w:rFonts w:ascii="標楷體" w:eastAsia="標楷體" w:hAnsi="標楷體" w:hint="eastAsia"/>
                <w:szCs w:val="24"/>
              </w:rPr>
              <w:t>前二項標借、</w:t>
            </w:r>
            <w:proofErr w:type="gramStart"/>
            <w:r w:rsidRPr="00687B70">
              <w:rPr>
                <w:rFonts w:ascii="標楷體" w:eastAsia="標楷體" w:hAnsi="標楷體" w:hint="eastAsia"/>
                <w:szCs w:val="24"/>
              </w:rPr>
              <w:t>議借及</w:t>
            </w:r>
            <w:proofErr w:type="gramEnd"/>
            <w:r w:rsidRPr="00687B70">
              <w:rPr>
                <w:rFonts w:ascii="標楷體" w:eastAsia="標楷體" w:hAnsi="標楷體" w:hint="eastAsia"/>
                <w:szCs w:val="24"/>
              </w:rPr>
              <w:t>標購作業，除因發行公司召開臨時股東會或其原因不影響行使股東權者停止過戶外，於停止過戶開始日前第二</w:t>
            </w:r>
            <w:proofErr w:type="gramStart"/>
            <w:r w:rsidRPr="00687B70">
              <w:rPr>
                <w:rFonts w:ascii="標楷體" w:eastAsia="標楷體" w:hAnsi="標楷體" w:hint="eastAsia"/>
                <w:szCs w:val="24"/>
              </w:rPr>
              <w:t>個</w:t>
            </w:r>
            <w:proofErr w:type="gramEnd"/>
            <w:r w:rsidRPr="00687B70">
              <w:rPr>
                <w:rFonts w:ascii="標楷體" w:eastAsia="標楷體" w:hAnsi="標楷體" w:hint="eastAsia"/>
                <w:szCs w:val="24"/>
              </w:rPr>
              <w:t>營業日停止辦理。</w:t>
            </w:r>
          </w:p>
          <w:p w:rsidR="00687B70" w:rsidRPr="00282C2E" w:rsidRDefault="00687B70" w:rsidP="00355103">
            <w:pPr>
              <w:ind w:firstLineChars="198" w:firstLine="475"/>
              <w:jc w:val="both"/>
              <w:rPr>
                <w:rFonts w:ascii="標楷體" w:eastAsia="標楷體" w:hAnsi="標楷體"/>
                <w:szCs w:val="24"/>
              </w:rPr>
            </w:pPr>
            <w:r w:rsidRPr="00687B70">
              <w:rPr>
                <w:rFonts w:ascii="標楷體" w:eastAsia="標楷體" w:hAnsi="標楷體" w:hint="eastAsia"/>
                <w:szCs w:val="24"/>
              </w:rPr>
              <w:t>前項營業日之計算，依證券商辦理有價證券買賣融資融券業務操作辦法第</w:t>
            </w:r>
            <w:r w:rsidRPr="00687B70">
              <w:rPr>
                <w:rFonts w:ascii="標楷體" w:eastAsia="標楷體" w:hAnsi="標楷體" w:hint="eastAsia"/>
                <w:szCs w:val="24"/>
                <w:u w:val="single"/>
              </w:rPr>
              <w:t>七十六</w:t>
            </w:r>
            <w:r w:rsidRPr="00687B70">
              <w:rPr>
                <w:rFonts w:ascii="標楷體" w:eastAsia="標楷體" w:hAnsi="標楷體" w:hint="eastAsia"/>
                <w:szCs w:val="24"/>
              </w:rPr>
              <w:t>條規定辦理。</w:t>
            </w:r>
          </w:p>
        </w:tc>
        <w:tc>
          <w:tcPr>
            <w:tcW w:w="3402" w:type="dxa"/>
          </w:tcPr>
          <w:p w:rsidR="00687B70" w:rsidRPr="00687B70" w:rsidRDefault="00687B70" w:rsidP="00355103">
            <w:pPr>
              <w:jc w:val="both"/>
              <w:rPr>
                <w:rFonts w:ascii="標楷體" w:eastAsia="標楷體" w:hAnsi="標楷體"/>
                <w:szCs w:val="24"/>
              </w:rPr>
            </w:pPr>
            <w:r w:rsidRPr="00687B70">
              <w:rPr>
                <w:rFonts w:ascii="標楷體" w:eastAsia="標楷體" w:hAnsi="標楷體" w:hint="eastAsia"/>
                <w:szCs w:val="24"/>
              </w:rPr>
              <w:t>第八條</w:t>
            </w:r>
          </w:p>
          <w:p w:rsidR="00687B70" w:rsidRPr="00687B70" w:rsidRDefault="00687B70" w:rsidP="00355103">
            <w:pPr>
              <w:ind w:firstLineChars="198" w:firstLine="475"/>
              <w:jc w:val="both"/>
              <w:rPr>
                <w:rFonts w:ascii="標楷體" w:eastAsia="標楷體" w:hAnsi="標楷體"/>
                <w:szCs w:val="24"/>
              </w:rPr>
            </w:pPr>
            <w:r w:rsidRPr="00687B70">
              <w:rPr>
                <w:rFonts w:ascii="標楷體" w:eastAsia="標楷體" w:hAnsi="標楷體" w:hint="eastAsia"/>
                <w:szCs w:val="24"/>
              </w:rPr>
              <w:t>證券金融事業因辦理融資融券、有價證券借貸及轉融通業務致某種有價證券發生差額時（以下簡稱融資融券交易</w:t>
            </w:r>
            <w:proofErr w:type="gramStart"/>
            <w:r w:rsidRPr="00687B70">
              <w:rPr>
                <w:rFonts w:ascii="標楷體" w:eastAsia="標楷體" w:hAnsi="標楷體" w:hint="eastAsia"/>
                <w:szCs w:val="24"/>
              </w:rPr>
              <w:t>券</w:t>
            </w:r>
            <w:proofErr w:type="gramEnd"/>
            <w:r w:rsidRPr="00687B70">
              <w:rPr>
                <w:rFonts w:ascii="標楷體" w:eastAsia="標楷體" w:hAnsi="標楷體" w:hint="eastAsia"/>
                <w:szCs w:val="24"/>
              </w:rPr>
              <w:t>差），或證券金融事業接受證券商委託代理因客戶有價證券當日沖銷交易先賣出後買進之未完成沖銷部位（以下簡稱當沖交易</w:t>
            </w:r>
            <w:proofErr w:type="gramStart"/>
            <w:r w:rsidRPr="00687B70">
              <w:rPr>
                <w:rFonts w:ascii="標楷體" w:eastAsia="標楷體" w:hAnsi="標楷體" w:hint="eastAsia"/>
                <w:szCs w:val="24"/>
              </w:rPr>
              <w:t>券</w:t>
            </w:r>
            <w:proofErr w:type="gramEnd"/>
            <w:r w:rsidRPr="00687B70">
              <w:rPr>
                <w:rFonts w:ascii="標楷體" w:eastAsia="標楷體" w:hAnsi="標楷體" w:hint="eastAsia"/>
                <w:szCs w:val="24"/>
              </w:rPr>
              <w:t>差），於次一營業日上午九時起，向下列出借人標借；若再有不足，於下午二時前，洽特定</w:t>
            </w:r>
            <w:proofErr w:type="gramStart"/>
            <w:r w:rsidRPr="00687B70">
              <w:rPr>
                <w:rFonts w:ascii="標楷體" w:eastAsia="標楷體" w:hAnsi="標楷體" w:hint="eastAsia"/>
                <w:szCs w:val="24"/>
              </w:rPr>
              <w:t>人議借</w:t>
            </w:r>
            <w:proofErr w:type="gramEnd"/>
            <w:r w:rsidRPr="00687B70">
              <w:rPr>
                <w:rFonts w:ascii="標楷體" w:eastAsia="標楷體" w:hAnsi="標楷體" w:hint="eastAsia"/>
                <w:szCs w:val="24"/>
              </w:rPr>
              <w:t>：</w:t>
            </w:r>
          </w:p>
          <w:p w:rsidR="00687B70" w:rsidRPr="00687B70" w:rsidRDefault="00687B70" w:rsidP="00355103">
            <w:pPr>
              <w:jc w:val="both"/>
              <w:rPr>
                <w:rFonts w:ascii="標楷體" w:eastAsia="標楷體" w:hAnsi="標楷體"/>
                <w:szCs w:val="24"/>
              </w:rPr>
            </w:pPr>
            <w:r w:rsidRPr="00687B70">
              <w:rPr>
                <w:rFonts w:ascii="標楷體" w:eastAsia="標楷體" w:hAnsi="標楷體" w:hint="eastAsia"/>
                <w:szCs w:val="24"/>
              </w:rPr>
              <w:t>一、該種有價證券所有人。</w:t>
            </w:r>
          </w:p>
          <w:p w:rsidR="00687B70" w:rsidRPr="00687B70" w:rsidRDefault="00687B70" w:rsidP="00355103">
            <w:pPr>
              <w:ind w:left="461" w:hangingChars="192" w:hanging="461"/>
              <w:jc w:val="both"/>
              <w:rPr>
                <w:rFonts w:ascii="標楷體" w:eastAsia="標楷體" w:hAnsi="標楷體"/>
                <w:szCs w:val="24"/>
              </w:rPr>
            </w:pPr>
            <w:r w:rsidRPr="00687B70">
              <w:rPr>
                <w:rFonts w:ascii="標楷體" w:eastAsia="標楷體" w:hAnsi="標楷體" w:hint="eastAsia"/>
                <w:szCs w:val="24"/>
              </w:rPr>
              <w:t>二、辦理有價證券借貸業務或有價證券融資融券業務之證券商或證券金融事業。</w:t>
            </w:r>
          </w:p>
          <w:p w:rsidR="00687B70" w:rsidRPr="00687B70" w:rsidRDefault="00687B70" w:rsidP="00355103">
            <w:pPr>
              <w:ind w:firstLineChars="198" w:firstLine="475"/>
              <w:jc w:val="both"/>
              <w:rPr>
                <w:rFonts w:ascii="標楷體" w:eastAsia="標楷體" w:hAnsi="標楷體"/>
                <w:szCs w:val="24"/>
              </w:rPr>
            </w:pPr>
            <w:r w:rsidRPr="00687B70">
              <w:rPr>
                <w:rFonts w:ascii="標楷體" w:eastAsia="標楷體" w:hAnsi="標楷體" w:hint="eastAsia"/>
                <w:szCs w:val="24"/>
              </w:rPr>
              <w:t>依前項程序所取得有價證券之數量仍有不足時，除當沖交易</w:t>
            </w:r>
            <w:proofErr w:type="gramStart"/>
            <w:r w:rsidRPr="00687B70">
              <w:rPr>
                <w:rFonts w:ascii="標楷體" w:eastAsia="標楷體" w:hAnsi="標楷體" w:hint="eastAsia"/>
                <w:szCs w:val="24"/>
              </w:rPr>
              <w:t>券差外</w:t>
            </w:r>
            <w:proofErr w:type="gramEnd"/>
            <w:r w:rsidRPr="00687B70">
              <w:rPr>
                <w:rFonts w:ascii="標楷體" w:eastAsia="標楷體" w:hAnsi="標楷體" w:hint="eastAsia"/>
                <w:szCs w:val="24"/>
              </w:rPr>
              <w:t>，證券金融事業應於當日下午二時三十分前，委託證券商在本中心辦理標購。</w:t>
            </w:r>
          </w:p>
          <w:p w:rsidR="00687B70" w:rsidRPr="00687B70" w:rsidRDefault="00687B70" w:rsidP="00355103">
            <w:pPr>
              <w:ind w:firstLineChars="198" w:firstLine="475"/>
              <w:jc w:val="both"/>
              <w:rPr>
                <w:rFonts w:ascii="標楷體" w:eastAsia="標楷體" w:hAnsi="標楷體"/>
                <w:szCs w:val="24"/>
              </w:rPr>
            </w:pPr>
            <w:r w:rsidRPr="00687B70">
              <w:rPr>
                <w:rFonts w:ascii="標楷體" w:eastAsia="標楷體" w:hAnsi="標楷體" w:hint="eastAsia"/>
                <w:szCs w:val="24"/>
              </w:rPr>
              <w:t>前二項標借、</w:t>
            </w:r>
            <w:proofErr w:type="gramStart"/>
            <w:r w:rsidRPr="00687B70">
              <w:rPr>
                <w:rFonts w:ascii="標楷體" w:eastAsia="標楷體" w:hAnsi="標楷體" w:hint="eastAsia"/>
                <w:szCs w:val="24"/>
              </w:rPr>
              <w:t>議借及</w:t>
            </w:r>
            <w:proofErr w:type="gramEnd"/>
            <w:r w:rsidRPr="00687B70">
              <w:rPr>
                <w:rFonts w:ascii="標楷體" w:eastAsia="標楷體" w:hAnsi="標楷體" w:hint="eastAsia"/>
                <w:szCs w:val="24"/>
              </w:rPr>
              <w:t>標購作業，除因發行公司召開臨時股東會或其原因不影響行使股東權者停止過戶外，於停止過戶開始日前第二</w:t>
            </w:r>
            <w:proofErr w:type="gramStart"/>
            <w:r w:rsidRPr="00687B70">
              <w:rPr>
                <w:rFonts w:ascii="標楷體" w:eastAsia="標楷體" w:hAnsi="標楷體" w:hint="eastAsia"/>
                <w:szCs w:val="24"/>
              </w:rPr>
              <w:t>個</w:t>
            </w:r>
            <w:proofErr w:type="gramEnd"/>
            <w:r w:rsidRPr="00687B70">
              <w:rPr>
                <w:rFonts w:ascii="標楷體" w:eastAsia="標楷體" w:hAnsi="標楷體" w:hint="eastAsia"/>
                <w:szCs w:val="24"/>
              </w:rPr>
              <w:t>營業日停止辦理。</w:t>
            </w:r>
          </w:p>
          <w:p w:rsidR="00687B70" w:rsidRPr="00282C2E" w:rsidRDefault="00687B70" w:rsidP="00355103">
            <w:pPr>
              <w:ind w:firstLineChars="198" w:firstLine="475"/>
              <w:jc w:val="both"/>
              <w:rPr>
                <w:rFonts w:ascii="標楷體" w:eastAsia="標楷體" w:hAnsi="標楷體"/>
                <w:szCs w:val="24"/>
              </w:rPr>
            </w:pPr>
            <w:r w:rsidRPr="00687B70">
              <w:rPr>
                <w:rFonts w:ascii="標楷體" w:eastAsia="標楷體" w:hAnsi="標楷體" w:hint="eastAsia"/>
                <w:szCs w:val="24"/>
              </w:rPr>
              <w:t>前項營業日之計算，依證券商辦理有價證券買賣融資融券業務操作辦法第</w:t>
            </w:r>
            <w:r w:rsidRPr="00687B70">
              <w:rPr>
                <w:rFonts w:ascii="標楷體" w:eastAsia="標楷體" w:hAnsi="標楷體" w:hint="eastAsia"/>
                <w:szCs w:val="24"/>
                <w:u w:val="single"/>
              </w:rPr>
              <w:t>三十五</w:t>
            </w:r>
            <w:r w:rsidRPr="00687B70">
              <w:rPr>
                <w:rFonts w:ascii="標楷體" w:eastAsia="標楷體" w:hAnsi="標楷體" w:hint="eastAsia"/>
                <w:szCs w:val="24"/>
              </w:rPr>
              <w:t>條規定辦理。</w:t>
            </w:r>
          </w:p>
        </w:tc>
        <w:tc>
          <w:tcPr>
            <w:tcW w:w="2478" w:type="dxa"/>
          </w:tcPr>
          <w:p w:rsidR="00687B70" w:rsidRPr="00777785" w:rsidRDefault="00750CD1" w:rsidP="00355103">
            <w:pPr>
              <w:jc w:val="both"/>
              <w:rPr>
                <w:rFonts w:ascii="標楷體" w:eastAsia="標楷體" w:hAnsi="標楷體"/>
                <w:szCs w:val="24"/>
              </w:rPr>
            </w:pPr>
            <w:r w:rsidRPr="00750CD1">
              <w:rPr>
                <w:rFonts w:ascii="標楷體" w:eastAsia="標楷體" w:hint="eastAsia"/>
              </w:rPr>
              <w:t>配合上市及上櫃二市場信用交易部分規章之整</w:t>
            </w:r>
            <w:r w:rsidR="00E31D1B">
              <w:rPr>
                <w:rFonts w:ascii="標楷體" w:eastAsia="標楷體" w:hint="eastAsia"/>
              </w:rPr>
              <w:t>合</w:t>
            </w:r>
            <w:r w:rsidR="00355103" w:rsidRPr="00907B62">
              <w:rPr>
                <w:rFonts w:ascii="標楷體" w:eastAsia="標楷體" w:hint="eastAsia"/>
              </w:rPr>
              <w:t>，</w:t>
            </w:r>
            <w:r w:rsidR="00355103">
              <w:rPr>
                <w:rFonts w:ascii="標楷體" w:eastAsia="標楷體" w:hint="eastAsia"/>
              </w:rPr>
              <w:t>修訂</w:t>
            </w:r>
            <w:r w:rsidR="00355103" w:rsidRPr="00907B62">
              <w:rPr>
                <w:rFonts w:ascii="標楷體" w:eastAsia="標楷體" w:hint="eastAsia"/>
              </w:rPr>
              <w:t>「證券商辦理有價證券買賣融資融券業務操作辦法」</w:t>
            </w:r>
            <w:r w:rsidR="00355103" w:rsidRPr="005C685D">
              <w:rPr>
                <w:rFonts w:ascii="標楷體" w:eastAsia="標楷體" w:hint="eastAsia"/>
              </w:rPr>
              <w:t>，並</w:t>
            </w:r>
            <w:r w:rsidR="00BB58B3">
              <w:rPr>
                <w:rFonts w:ascii="標楷體" w:eastAsia="標楷體" w:hint="eastAsia"/>
              </w:rPr>
              <w:t>於</w:t>
            </w:r>
            <w:r w:rsidR="00355103" w:rsidRPr="005C685D">
              <w:rPr>
                <w:rFonts w:ascii="標楷體" w:eastAsia="標楷體" w:hint="eastAsia"/>
              </w:rPr>
              <w:t>105年12月30日</w:t>
            </w:r>
            <w:r w:rsidR="00355103" w:rsidRPr="00661D16">
              <w:rPr>
                <w:rFonts w:ascii="標楷體" w:eastAsia="標楷體" w:hAnsi="標楷體" w:cs="Times New Roman" w:hint="eastAsia"/>
                <w:szCs w:val="24"/>
              </w:rPr>
              <w:t>公告實施</w:t>
            </w:r>
            <w:r w:rsidR="00684A2C">
              <w:rPr>
                <w:rFonts w:ascii="標楷體" w:eastAsia="標楷體" w:hAnsi="標楷體" w:cs="Times New Roman" w:hint="eastAsia"/>
                <w:szCs w:val="24"/>
              </w:rPr>
              <w:t>，因</w:t>
            </w:r>
            <w:r w:rsidR="00BB58B3">
              <w:rPr>
                <w:rFonts w:ascii="標楷體" w:eastAsia="標楷體" w:hAnsi="標楷體" w:cs="Times New Roman" w:hint="eastAsia"/>
                <w:szCs w:val="24"/>
              </w:rPr>
              <w:t>相關條次更動</w:t>
            </w:r>
            <w:r w:rsidR="00355103" w:rsidRPr="003F5F2A">
              <w:rPr>
                <w:rFonts w:ascii="標楷體" w:eastAsia="標楷體" w:hint="eastAsia"/>
              </w:rPr>
              <w:t>，</w:t>
            </w:r>
            <w:proofErr w:type="gramStart"/>
            <w:r w:rsidR="00355103" w:rsidRPr="00A60468">
              <w:rPr>
                <w:rFonts w:ascii="標楷體" w:eastAsia="標楷體" w:hint="eastAsia"/>
              </w:rPr>
              <w:t>爰</w:t>
            </w:r>
            <w:proofErr w:type="gramEnd"/>
            <w:r w:rsidR="00684A2C">
              <w:rPr>
                <w:rFonts w:ascii="標楷體" w:eastAsia="標楷體" w:hint="eastAsia"/>
              </w:rPr>
              <w:t>配合</w:t>
            </w:r>
            <w:r w:rsidR="00355103">
              <w:rPr>
                <w:rFonts w:ascii="標楷體" w:eastAsia="標楷體" w:hint="eastAsia"/>
              </w:rPr>
              <w:t>修正</w:t>
            </w:r>
            <w:proofErr w:type="gramStart"/>
            <w:r w:rsidR="005B2B42">
              <w:rPr>
                <w:rFonts w:ascii="標楷體" w:eastAsia="標楷體" w:hint="eastAsia"/>
              </w:rPr>
              <w:t>援引</w:t>
            </w:r>
            <w:r w:rsidR="00355103" w:rsidRPr="00A60468">
              <w:rPr>
                <w:rFonts w:ascii="標楷體" w:eastAsia="標楷體" w:hint="eastAsia"/>
              </w:rPr>
              <w:t>條號</w:t>
            </w:r>
            <w:proofErr w:type="gramEnd"/>
            <w:r w:rsidR="00687B70" w:rsidRPr="00777785">
              <w:rPr>
                <w:rFonts w:ascii="標楷體" w:eastAsia="標楷體" w:hAnsi="標楷體" w:hint="eastAsia"/>
                <w:szCs w:val="24"/>
              </w:rPr>
              <w:t>。</w:t>
            </w:r>
          </w:p>
          <w:p w:rsidR="00687B70" w:rsidRPr="00355103" w:rsidRDefault="00687B70" w:rsidP="00355103">
            <w:pPr>
              <w:ind w:left="502" w:hangingChars="209" w:hanging="502"/>
              <w:jc w:val="both"/>
              <w:rPr>
                <w:rFonts w:ascii="標楷體" w:eastAsia="標楷體" w:hAnsi="標楷體"/>
                <w:szCs w:val="24"/>
              </w:rPr>
            </w:pPr>
          </w:p>
        </w:tc>
      </w:tr>
    </w:tbl>
    <w:p w:rsidR="009F75E7" w:rsidRDefault="009F75E7">
      <w:pPr>
        <w:rPr>
          <w:rFonts w:ascii="標楷體" w:eastAsia="標楷體" w:hAnsi="標楷體"/>
        </w:rPr>
      </w:pPr>
    </w:p>
    <w:sectPr w:rsidR="009F75E7" w:rsidSect="0093287D">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FA" w:rsidRDefault="00DD3CFA" w:rsidP="009F75E7">
      <w:r>
        <w:separator/>
      </w:r>
    </w:p>
  </w:endnote>
  <w:endnote w:type="continuationSeparator" w:id="0">
    <w:p w:rsidR="00DD3CFA" w:rsidRDefault="00DD3CFA" w:rsidP="009F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FA" w:rsidRDefault="00DD3CFA" w:rsidP="009F75E7">
      <w:r>
        <w:separator/>
      </w:r>
    </w:p>
  </w:footnote>
  <w:footnote w:type="continuationSeparator" w:id="0">
    <w:p w:rsidR="00DD3CFA" w:rsidRDefault="00DD3CFA" w:rsidP="009F7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5E7"/>
    <w:rsid w:val="00067506"/>
    <w:rsid w:val="00081BF0"/>
    <w:rsid w:val="000A3F6E"/>
    <w:rsid w:val="000B025B"/>
    <w:rsid w:val="000E7AC3"/>
    <w:rsid w:val="000F1DE9"/>
    <w:rsid w:val="00114E88"/>
    <w:rsid w:val="00125B8C"/>
    <w:rsid w:val="00133695"/>
    <w:rsid w:val="001C748F"/>
    <w:rsid w:val="001D55B8"/>
    <w:rsid w:val="002765F6"/>
    <w:rsid w:val="00282C2E"/>
    <w:rsid w:val="003057EC"/>
    <w:rsid w:val="00332336"/>
    <w:rsid w:val="00355103"/>
    <w:rsid w:val="00373095"/>
    <w:rsid w:val="003A7E56"/>
    <w:rsid w:val="00405A88"/>
    <w:rsid w:val="0040772A"/>
    <w:rsid w:val="0045152A"/>
    <w:rsid w:val="004570A2"/>
    <w:rsid w:val="004912BE"/>
    <w:rsid w:val="004A50CB"/>
    <w:rsid w:val="004B5D18"/>
    <w:rsid w:val="004C6FE1"/>
    <w:rsid w:val="004D7272"/>
    <w:rsid w:val="004E104B"/>
    <w:rsid w:val="005B2B42"/>
    <w:rsid w:val="005D5DE7"/>
    <w:rsid w:val="006243B2"/>
    <w:rsid w:val="00624FFB"/>
    <w:rsid w:val="00684A2C"/>
    <w:rsid w:val="00687B70"/>
    <w:rsid w:val="006B7B1C"/>
    <w:rsid w:val="006C240A"/>
    <w:rsid w:val="006C5195"/>
    <w:rsid w:val="006F6A52"/>
    <w:rsid w:val="00750CD1"/>
    <w:rsid w:val="007665C3"/>
    <w:rsid w:val="00777785"/>
    <w:rsid w:val="007B5C14"/>
    <w:rsid w:val="00822930"/>
    <w:rsid w:val="00892A12"/>
    <w:rsid w:val="008D4F98"/>
    <w:rsid w:val="008F25C2"/>
    <w:rsid w:val="00900855"/>
    <w:rsid w:val="00900B59"/>
    <w:rsid w:val="0093287D"/>
    <w:rsid w:val="00937755"/>
    <w:rsid w:val="00960A93"/>
    <w:rsid w:val="009619CF"/>
    <w:rsid w:val="00965E9C"/>
    <w:rsid w:val="0097068F"/>
    <w:rsid w:val="00980964"/>
    <w:rsid w:val="009C6C5F"/>
    <w:rsid w:val="009F75E7"/>
    <w:rsid w:val="00A73211"/>
    <w:rsid w:val="00A74F41"/>
    <w:rsid w:val="00A7719E"/>
    <w:rsid w:val="00A905FB"/>
    <w:rsid w:val="00AE37C8"/>
    <w:rsid w:val="00B46BA8"/>
    <w:rsid w:val="00B505C1"/>
    <w:rsid w:val="00B530CC"/>
    <w:rsid w:val="00B5493E"/>
    <w:rsid w:val="00BB58B3"/>
    <w:rsid w:val="00BD200F"/>
    <w:rsid w:val="00C17458"/>
    <w:rsid w:val="00C36273"/>
    <w:rsid w:val="00C76880"/>
    <w:rsid w:val="00D20EC6"/>
    <w:rsid w:val="00D44765"/>
    <w:rsid w:val="00DD3CFA"/>
    <w:rsid w:val="00DE3A6A"/>
    <w:rsid w:val="00E31D1B"/>
    <w:rsid w:val="00E37B6C"/>
    <w:rsid w:val="00E62411"/>
    <w:rsid w:val="00E77F7D"/>
    <w:rsid w:val="00ED2641"/>
    <w:rsid w:val="00EE166D"/>
    <w:rsid w:val="00EE2985"/>
    <w:rsid w:val="00F34927"/>
    <w:rsid w:val="00FD5C2D"/>
    <w:rsid w:val="00FE7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5E7"/>
    <w:pPr>
      <w:tabs>
        <w:tab w:val="center" w:pos="4153"/>
        <w:tab w:val="right" w:pos="8306"/>
      </w:tabs>
      <w:snapToGrid w:val="0"/>
    </w:pPr>
    <w:rPr>
      <w:sz w:val="20"/>
      <w:szCs w:val="20"/>
    </w:rPr>
  </w:style>
  <w:style w:type="character" w:customStyle="1" w:styleId="a4">
    <w:name w:val="頁首 字元"/>
    <w:basedOn w:val="a0"/>
    <w:link w:val="a3"/>
    <w:uiPriority w:val="99"/>
    <w:rsid w:val="009F75E7"/>
    <w:rPr>
      <w:sz w:val="20"/>
      <w:szCs w:val="20"/>
    </w:rPr>
  </w:style>
  <w:style w:type="paragraph" w:styleId="a5">
    <w:name w:val="footer"/>
    <w:basedOn w:val="a"/>
    <w:link w:val="a6"/>
    <w:uiPriority w:val="99"/>
    <w:unhideWhenUsed/>
    <w:rsid w:val="009F75E7"/>
    <w:pPr>
      <w:tabs>
        <w:tab w:val="center" w:pos="4153"/>
        <w:tab w:val="right" w:pos="8306"/>
      </w:tabs>
      <w:snapToGrid w:val="0"/>
    </w:pPr>
    <w:rPr>
      <w:sz w:val="20"/>
      <w:szCs w:val="20"/>
    </w:rPr>
  </w:style>
  <w:style w:type="character" w:customStyle="1" w:styleId="a6">
    <w:name w:val="頁尾 字元"/>
    <w:basedOn w:val="a0"/>
    <w:link w:val="a5"/>
    <w:uiPriority w:val="99"/>
    <w:rsid w:val="009F75E7"/>
    <w:rPr>
      <w:sz w:val="20"/>
      <w:szCs w:val="20"/>
    </w:rPr>
  </w:style>
  <w:style w:type="table" w:styleId="a7">
    <w:name w:val="Table Grid"/>
    <w:basedOn w:val="a1"/>
    <w:uiPriority w:val="59"/>
    <w:rsid w:val="009F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F7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F75E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闕鴻華</cp:lastModifiedBy>
  <cp:revision>12</cp:revision>
  <cp:lastPrinted>2017-02-20T09:09:00Z</cp:lastPrinted>
  <dcterms:created xsi:type="dcterms:W3CDTF">2017-02-20T01:23:00Z</dcterms:created>
  <dcterms:modified xsi:type="dcterms:W3CDTF">2017-04-05T03:37:00Z</dcterms:modified>
</cp:coreProperties>
</file>