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14" w:rsidRPr="00AA11D3" w:rsidRDefault="009C1526" w:rsidP="000F1DE9">
      <w:pPr>
        <w:spacing w:line="400" w:lineRule="exact"/>
        <w:rPr>
          <w:rFonts w:ascii="標楷體" w:eastAsia="標楷體" w:hAnsi="標楷體"/>
          <w:sz w:val="36"/>
          <w:szCs w:val="36"/>
        </w:rPr>
      </w:pPr>
      <w:r w:rsidRPr="00AA11D3">
        <w:rPr>
          <w:rFonts w:ascii="標楷體" w:eastAsia="標楷體" w:hAnsi="標楷體" w:hint="eastAsia"/>
          <w:sz w:val="36"/>
          <w:szCs w:val="36"/>
        </w:rPr>
        <w:t>財團法人中華民國證券櫃檯買賣中心證券商營業處所買賣認購（售）權證審查準則</w:t>
      </w:r>
      <w:r w:rsidR="000F1DE9" w:rsidRPr="00AA11D3">
        <w:rPr>
          <w:rFonts w:ascii="標楷體" w:eastAsia="標楷體" w:hAnsi="標楷體" w:hint="eastAsia"/>
          <w:sz w:val="36"/>
          <w:szCs w:val="36"/>
        </w:rPr>
        <w:t>第</w:t>
      </w:r>
      <w:r w:rsidRPr="00AA11D3">
        <w:rPr>
          <w:rFonts w:ascii="標楷體" w:eastAsia="標楷體" w:hAnsi="標楷體" w:hint="eastAsia"/>
          <w:sz w:val="36"/>
          <w:szCs w:val="36"/>
        </w:rPr>
        <w:t>二</w:t>
      </w:r>
      <w:r w:rsidR="00282C2E" w:rsidRPr="00AA11D3">
        <w:rPr>
          <w:rFonts w:ascii="標楷體" w:eastAsia="標楷體" w:hAnsi="標楷體" w:hint="eastAsia"/>
          <w:sz w:val="36"/>
          <w:szCs w:val="36"/>
        </w:rPr>
        <w:t>十</w:t>
      </w:r>
      <w:r w:rsidRPr="00AA11D3">
        <w:rPr>
          <w:rFonts w:ascii="標楷體" w:eastAsia="標楷體" w:hAnsi="標楷體" w:hint="eastAsia"/>
          <w:sz w:val="36"/>
          <w:szCs w:val="36"/>
        </w:rPr>
        <w:t>二</w:t>
      </w:r>
      <w:r w:rsidR="000F1DE9" w:rsidRPr="00AA11D3">
        <w:rPr>
          <w:rFonts w:ascii="標楷體" w:eastAsia="標楷體" w:hAnsi="標楷體" w:hint="eastAsia"/>
          <w:sz w:val="36"/>
          <w:szCs w:val="36"/>
        </w:rPr>
        <w:t>條條文修正</w:t>
      </w:r>
      <w:bookmarkStart w:id="0" w:name="_GoBack"/>
      <w:bookmarkEnd w:id="0"/>
      <w:r w:rsidR="000F1DE9" w:rsidRPr="00AA11D3">
        <w:rPr>
          <w:rFonts w:ascii="標楷體" w:eastAsia="標楷體" w:hAnsi="標楷體" w:hint="eastAsia"/>
          <w:sz w:val="36"/>
          <w:szCs w:val="36"/>
        </w:rPr>
        <w:t>條文對照表</w:t>
      </w:r>
    </w:p>
    <w:tbl>
      <w:tblPr>
        <w:tblStyle w:val="a7"/>
        <w:tblW w:w="0" w:type="auto"/>
        <w:tblLook w:val="04A0" w:firstRow="1" w:lastRow="0" w:firstColumn="1" w:lastColumn="0" w:noHBand="0" w:noVBand="1"/>
      </w:tblPr>
      <w:tblGrid>
        <w:gridCol w:w="3567"/>
        <w:gridCol w:w="3568"/>
        <w:gridCol w:w="2646"/>
      </w:tblGrid>
      <w:tr w:rsidR="00C36273" w:rsidRPr="009F75E7" w:rsidTr="00AA11D3">
        <w:trPr>
          <w:trHeight w:val="469"/>
        </w:trPr>
        <w:tc>
          <w:tcPr>
            <w:tcW w:w="3567" w:type="dxa"/>
            <w:vAlign w:val="center"/>
          </w:tcPr>
          <w:p w:rsidR="00C36273" w:rsidRPr="009F7276" w:rsidRDefault="00C36273" w:rsidP="00AA11D3">
            <w:pPr>
              <w:spacing w:line="340" w:lineRule="exact"/>
              <w:jc w:val="center"/>
              <w:rPr>
                <w:rFonts w:ascii="標楷體" w:eastAsia="標楷體" w:hAnsi="標楷體"/>
                <w:szCs w:val="24"/>
              </w:rPr>
            </w:pPr>
            <w:r w:rsidRPr="009F7276">
              <w:rPr>
                <w:rFonts w:ascii="標楷體" w:eastAsia="標楷體" w:hAnsi="標楷體" w:hint="eastAsia"/>
                <w:szCs w:val="24"/>
              </w:rPr>
              <w:t>修正條文</w:t>
            </w:r>
          </w:p>
        </w:tc>
        <w:tc>
          <w:tcPr>
            <w:tcW w:w="3568" w:type="dxa"/>
            <w:vAlign w:val="center"/>
          </w:tcPr>
          <w:p w:rsidR="00C36273" w:rsidRPr="009F7276" w:rsidRDefault="00C36273" w:rsidP="00AA11D3">
            <w:pPr>
              <w:spacing w:line="340" w:lineRule="exact"/>
              <w:jc w:val="center"/>
              <w:rPr>
                <w:rFonts w:ascii="標楷體" w:eastAsia="標楷體" w:hAnsi="標楷體"/>
                <w:szCs w:val="24"/>
              </w:rPr>
            </w:pPr>
            <w:r w:rsidRPr="009F7276">
              <w:rPr>
                <w:rFonts w:ascii="標楷體" w:eastAsia="標楷體" w:hAnsi="標楷體" w:hint="eastAsia"/>
                <w:szCs w:val="24"/>
              </w:rPr>
              <w:t>現行條文</w:t>
            </w:r>
          </w:p>
        </w:tc>
        <w:tc>
          <w:tcPr>
            <w:tcW w:w="2646" w:type="dxa"/>
            <w:vAlign w:val="center"/>
          </w:tcPr>
          <w:p w:rsidR="00C36273" w:rsidRPr="009F7276" w:rsidRDefault="00C36273" w:rsidP="00AA11D3">
            <w:pPr>
              <w:spacing w:line="340" w:lineRule="exact"/>
              <w:jc w:val="center"/>
              <w:rPr>
                <w:rFonts w:ascii="標楷體" w:eastAsia="標楷體" w:hAnsi="標楷體"/>
                <w:szCs w:val="24"/>
              </w:rPr>
            </w:pPr>
            <w:r w:rsidRPr="009F7276">
              <w:rPr>
                <w:rFonts w:ascii="標楷體" w:eastAsia="標楷體" w:hAnsi="標楷體" w:hint="eastAsia"/>
                <w:szCs w:val="24"/>
              </w:rPr>
              <w:t>說明</w:t>
            </w:r>
          </w:p>
        </w:tc>
      </w:tr>
      <w:tr w:rsidR="00332336" w:rsidRPr="009F75E7" w:rsidTr="00AA11D3">
        <w:tc>
          <w:tcPr>
            <w:tcW w:w="3567" w:type="dxa"/>
          </w:tcPr>
          <w:p w:rsidR="001A5EA3" w:rsidRPr="00EB52D9" w:rsidRDefault="001A5EA3" w:rsidP="00AA11D3">
            <w:pPr>
              <w:spacing w:line="340" w:lineRule="exact"/>
              <w:jc w:val="both"/>
              <w:rPr>
                <w:rFonts w:ascii="標楷體" w:eastAsia="標楷體" w:hAnsi="標楷體" w:cs="Times New Roman"/>
                <w:szCs w:val="24"/>
              </w:rPr>
            </w:pPr>
            <w:r w:rsidRPr="00EB52D9">
              <w:rPr>
                <w:rFonts w:ascii="標楷體" w:eastAsia="標楷體" w:hAnsi="標楷體" w:cs="Times New Roman"/>
                <w:szCs w:val="24"/>
              </w:rPr>
              <w:t>第</w:t>
            </w:r>
            <w:r w:rsidR="009C1526" w:rsidRPr="00EB52D9">
              <w:rPr>
                <w:rFonts w:ascii="標楷體" w:eastAsia="標楷體" w:hAnsi="標楷體" w:cs="Times New Roman"/>
                <w:szCs w:val="24"/>
              </w:rPr>
              <w:t>二</w:t>
            </w:r>
            <w:r w:rsidRPr="00EB52D9">
              <w:rPr>
                <w:rFonts w:ascii="標楷體" w:eastAsia="標楷體" w:hAnsi="標楷體" w:cs="Times New Roman"/>
                <w:szCs w:val="24"/>
              </w:rPr>
              <w:t>十</w:t>
            </w:r>
            <w:r w:rsidR="009C1526" w:rsidRPr="00EB52D9">
              <w:rPr>
                <w:rFonts w:ascii="標楷體" w:eastAsia="標楷體" w:hAnsi="標楷體" w:cs="Times New Roman"/>
                <w:szCs w:val="24"/>
              </w:rPr>
              <w:t>二</w:t>
            </w:r>
            <w:r w:rsidRPr="00EB52D9">
              <w:rPr>
                <w:rFonts w:ascii="標楷體" w:eastAsia="標楷體" w:hAnsi="標楷體" w:cs="Times New Roman"/>
                <w:szCs w:val="24"/>
              </w:rPr>
              <w:t>條</w:t>
            </w:r>
          </w:p>
          <w:p w:rsidR="00EB52D9" w:rsidRPr="00EB52D9" w:rsidRDefault="00EB52D9" w:rsidP="00AA11D3">
            <w:pPr>
              <w:spacing w:line="340" w:lineRule="exact"/>
              <w:ind w:firstLineChars="204" w:firstLine="490"/>
              <w:jc w:val="both"/>
              <w:rPr>
                <w:rFonts w:ascii="標楷體" w:eastAsia="標楷體" w:hAnsi="標楷體" w:cs="Times New Roman"/>
                <w:szCs w:val="24"/>
              </w:rPr>
            </w:pPr>
            <w:r w:rsidRPr="00EB52D9">
              <w:rPr>
                <w:rFonts w:ascii="標楷體" w:eastAsia="標楷體" w:hAnsi="標楷體" w:cs="Times New Roman"/>
                <w:szCs w:val="24"/>
              </w:rPr>
              <w:t>證券商發行認購（售）權證所</w:t>
            </w:r>
            <w:proofErr w:type="gramStart"/>
            <w:r w:rsidRPr="00EB52D9">
              <w:rPr>
                <w:rFonts w:ascii="標楷體" w:eastAsia="標楷體" w:hAnsi="標楷體" w:cs="Times New Roman"/>
                <w:szCs w:val="24"/>
              </w:rPr>
              <w:t>採</w:t>
            </w:r>
            <w:proofErr w:type="gramEnd"/>
            <w:r w:rsidRPr="00EB52D9">
              <w:rPr>
                <w:rFonts w:ascii="標楷體" w:eastAsia="標楷體" w:hAnsi="標楷體" w:cs="Times New Roman"/>
                <w:szCs w:val="24"/>
              </w:rPr>
              <w:t>之避險方式，得以向標的證券持有者借</w:t>
            </w:r>
            <w:proofErr w:type="gramStart"/>
            <w:r w:rsidRPr="00EB52D9">
              <w:rPr>
                <w:rFonts w:ascii="標楷體" w:eastAsia="標楷體" w:hAnsi="標楷體" w:cs="Times New Roman"/>
                <w:szCs w:val="24"/>
              </w:rPr>
              <w:t>券</w:t>
            </w:r>
            <w:proofErr w:type="gramEnd"/>
            <w:r w:rsidRPr="00EB52D9">
              <w:rPr>
                <w:rFonts w:ascii="標楷體" w:eastAsia="標楷體" w:hAnsi="標楷體" w:cs="Times New Roman"/>
                <w:szCs w:val="24"/>
              </w:rPr>
              <w:t>賣出有價證券、在櫃檯買賣市場融券賣出標的證券或依臺灣證券交易所股份有限公司營業細則第八十二條之二所為之借</w:t>
            </w:r>
            <w:proofErr w:type="gramStart"/>
            <w:r w:rsidRPr="00EB52D9">
              <w:rPr>
                <w:rFonts w:ascii="標楷體" w:eastAsia="標楷體" w:hAnsi="標楷體" w:cs="Times New Roman"/>
                <w:szCs w:val="24"/>
              </w:rPr>
              <w:t>券</w:t>
            </w:r>
            <w:proofErr w:type="gramEnd"/>
            <w:r w:rsidRPr="00EB52D9">
              <w:rPr>
                <w:rFonts w:ascii="標楷體" w:eastAsia="標楷體" w:hAnsi="標楷體" w:cs="Times New Roman"/>
                <w:szCs w:val="24"/>
              </w:rPr>
              <w:t>賣出標的證券等方式擇</w:t>
            </w:r>
            <w:proofErr w:type="gramStart"/>
            <w:r w:rsidRPr="00EB52D9">
              <w:rPr>
                <w:rFonts w:ascii="標楷體" w:eastAsia="標楷體" w:hAnsi="標楷體" w:cs="Times New Roman"/>
                <w:szCs w:val="24"/>
              </w:rPr>
              <w:t>一</w:t>
            </w:r>
            <w:proofErr w:type="gramEnd"/>
            <w:r w:rsidRPr="00EB52D9">
              <w:rPr>
                <w:rFonts w:ascii="標楷體" w:eastAsia="標楷體" w:hAnsi="標楷體" w:cs="Times New Roman"/>
                <w:szCs w:val="24"/>
              </w:rPr>
              <w:t>或合併為之。</w:t>
            </w:r>
          </w:p>
          <w:p w:rsidR="00EB52D9" w:rsidRPr="00EB52D9" w:rsidRDefault="00EB52D9" w:rsidP="00AA11D3">
            <w:pPr>
              <w:spacing w:line="340" w:lineRule="exact"/>
              <w:ind w:firstLineChars="204" w:firstLine="490"/>
              <w:jc w:val="both"/>
              <w:rPr>
                <w:rFonts w:ascii="標楷體" w:eastAsia="標楷體" w:hAnsi="標楷體" w:cs="Times New Roman"/>
                <w:szCs w:val="24"/>
              </w:rPr>
            </w:pPr>
            <w:r w:rsidRPr="00EB52D9">
              <w:rPr>
                <w:rFonts w:ascii="標楷體" w:eastAsia="標楷體" w:hAnsi="標楷體" w:cs="Times New Roman"/>
                <w:szCs w:val="24"/>
              </w:rPr>
              <w:t>證券商採向標的證券持有者借券賣出有價證券方式避險者，雙方應依「證券商管理規則」第三十二條之一第二項規定訂定出借契約後，由出借人透過往來證券商向臺灣集中保管結算所股份有限公司就其出借股數申請全數匯撥至證券商之避險專戶，或先辦理圈存，嗣後證券商再依其避險需求分批申請匯撥至避險專戶。</w:t>
            </w:r>
          </w:p>
          <w:p w:rsidR="00EB52D9" w:rsidRPr="00EB52D9" w:rsidRDefault="00EB52D9" w:rsidP="00AA11D3">
            <w:pPr>
              <w:spacing w:line="340" w:lineRule="exact"/>
              <w:ind w:firstLineChars="204" w:firstLine="490"/>
              <w:jc w:val="both"/>
              <w:rPr>
                <w:rFonts w:ascii="標楷體" w:eastAsia="標楷體" w:hAnsi="標楷體" w:cs="Times New Roman"/>
                <w:szCs w:val="24"/>
              </w:rPr>
            </w:pPr>
            <w:r w:rsidRPr="00EB52D9">
              <w:rPr>
                <w:rFonts w:ascii="標楷體" w:eastAsia="標楷體" w:hAnsi="標楷體" w:cs="Times New Roman"/>
                <w:szCs w:val="24"/>
              </w:rPr>
              <w:t>證券商採融券賣出標的證券方式避險者，應於他證券商或非屬關係企業之證券金融公司開立信用交易帳戶，並將該等帳戶資料函報本</w:t>
            </w:r>
            <w:r>
              <w:rPr>
                <w:rFonts w:ascii="標楷體" w:eastAsia="標楷體" w:hAnsi="標楷體" w:cs="Times New Roman" w:hint="eastAsia"/>
                <w:szCs w:val="24"/>
              </w:rPr>
              <w:t>中心</w:t>
            </w:r>
            <w:r w:rsidRPr="00EB52D9">
              <w:rPr>
                <w:rFonts w:ascii="標楷體" w:eastAsia="標楷體" w:hAnsi="標楷體" w:cs="Times New Roman"/>
                <w:szCs w:val="24"/>
              </w:rPr>
              <w:t>。前揭信用交易帳戶之開立，並應依「證券商辦理有價證券買賣融資融券業務操作辦法」</w:t>
            </w:r>
            <w:r w:rsidRPr="006339DC">
              <w:rPr>
                <w:rFonts w:ascii="標楷體" w:eastAsia="標楷體" w:hAnsi="標楷體" w:cs="Times New Roman" w:hint="eastAsia"/>
                <w:szCs w:val="24"/>
                <w:u w:val="single"/>
              </w:rPr>
              <w:t>及</w:t>
            </w:r>
            <w:r w:rsidRPr="00EB52D9">
              <w:rPr>
                <w:rFonts w:ascii="標楷體" w:eastAsia="標楷體" w:hAnsi="標楷體" w:cs="Times New Roman"/>
                <w:szCs w:val="24"/>
              </w:rPr>
              <w:t>各證券金融公司「融資融券業務操作辦法」之相關規定辦理。</w:t>
            </w:r>
          </w:p>
          <w:p w:rsidR="00EB52D9" w:rsidRDefault="00EB52D9" w:rsidP="00AA11D3">
            <w:pPr>
              <w:spacing w:line="340" w:lineRule="exact"/>
              <w:ind w:firstLineChars="204" w:firstLine="490"/>
              <w:jc w:val="both"/>
              <w:rPr>
                <w:rFonts w:ascii="標楷體" w:eastAsia="標楷體" w:hAnsi="標楷體" w:cs="Times New Roman"/>
                <w:szCs w:val="24"/>
              </w:rPr>
            </w:pPr>
          </w:p>
          <w:p w:rsidR="00EB52D9" w:rsidRDefault="00EB52D9" w:rsidP="00AA11D3">
            <w:pPr>
              <w:spacing w:line="340" w:lineRule="exact"/>
              <w:ind w:firstLineChars="204" w:firstLine="490"/>
              <w:jc w:val="both"/>
              <w:rPr>
                <w:rFonts w:ascii="標楷體" w:eastAsia="標楷體" w:hAnsi="標楷體" w:cs="Times New Roman"/>
                <w:szCs w:val="24"/>
              </w:rPr>
            </w:pPr>
          </w:p>
          <w:p w:rsidR="00EB52D9" w:rsidRDefault="00EB52D9" w:rsidP="00AA11D3">
            <w:pPr>
              <w:spacing w:line="340" w:lineRule="exact"/>
              <w:ind w:firstLineChars="204" w:firstLine="490"/>
              <w:jc w:val="both"/>
              <w:rPr>
                <w:rFonts w:ascii="標楷體" w:eastAsia="標楷體" w:hAnsi="標楷體" w:cs="Times New Roman"/>
                <w:szCs w:val="24"/>
              </w:rPr>
            </w:pPr>
          </w:p>
          <w:p w:rsidR="00EB52D9" w:rsidRPr="00EB52D9" w:rsidRDefault="00EB52D9" w:rsidP="00AA11D3">
            <w:pPr>
              <w:spacing w:line="340" w:lineRule="exact"/>
              <w:ind w:firstLineChars="204" w:firstLine="490"/>
              <w:jc w:val="both"/>
              <w:rPr>
                <w:rFonts w:ascii="標楷體" w:eastAsia="標楷體" w:hAnsi="標楷體" w:cs="Times New Roman"/>
                <w:szCs w:val="24"/>
              </w:rPr>
            </w:pPr>
            <w:r w:rsidRPr="00EB52D9">
              <w:rPr>
                <w:rFonts w:ascii="標楷體" w:eastAsia="標楷體" w:hAnsi="標楷體" w:cs="Times New Roman"/>
                <w:szCs w:val="24"/>
              </w:rPr>
              <w:t>第一項所稱標的證券持有者，不得為證券交易法第二十二條之二第一、三項所規範之對象。</w:t>
            </w:r>
          </w:p>
          <w:p w:rsidR="001A5EA3" w:rsidRPr="00EB52D9" w:rsidRDefault="00EB52D9" w:rsidP="00AA11D3">
            <w:pPr>
              <w:spacing w:line="340" w:lineRule="exact"/>
              <w:ind w:firstLineChars="204" w:firstLine="490"/>
              <w:jc w:val="both"/>
              <w:rPr>
                <w:rFonts w:ascii="標楷體" w:eastAsia="標楷體" w:hAnsi="標楷體" w:cs="Times New Roman"/>
                <w:szCs w:val="24"/>
              </w:rPr>
            </w:pPr>
            <w:r w:rsidRPr="00EB52D9">
              <w:rPr>
                <w:rFonts w:ascii="標楷體" w:eastAsia="標楷體" w:hAnsi="標楷體" w:cs="Times New Roman"/>
                <w:szCs w:val="24"/>
              </w:rPr>
              <w:t>證券商從事議約型認購（售）權證之避險操作，準用本條各項規定。</w:t>
            </w:r>
          </w:p>
        </w:tc>
        <w:tc>
          <w:tcPr>
            <w:tcW w:w="3568" w:type="dxa"/>
          </w:tcPr>
          <w:p w:rsidR="00EB52D9" w:rsidRPr="00EB52D9" w:rsidRDefault="00EB52D9" w:rsidP="00AA11D3">
            <w:pPr>
              <w:spacing w:line="340" w:lineRule="exact"/>
              <w:rPr>
                <w:rFonts w:ascii="標楷體" w:eastAsia="標楷體" w:hAnsi="標楷體"/>
                <w:szCs w:val="24"/>
              </w:rPr>
            </w:pPr>
            <w:r w:rsidRPr="00EB52D9">
              <w:rPr>
                <w:rFonts w:ascii="標楷體" w:eastAsia="標楷體" w:hAnsi="標楷體" w:hint="eastAsia"/>
                <w:szCs w:val="24"/>
              </w:rPr>
              <w:t>第二十二條</w:t>
            </w:r>
          </w:p>
          <w:p w:rsidR="00EB52D9" w:rsidRPr="00EB52D9" w:rsidRDefault="00EB52D9" w:rsidP="00AA11D3">
            <w:pPr>
              <w:spacing w:line="340" w:lineRule="exact"/>
              <w:ind w:firstLineChars="204" w:firstLine="490"/>
              <w:jc w:val="both"/>
              <w:rPr>
                <w:rFonts w:ascii="標楷體" w:eastAsia="標楷體" w:hAnsi="標楷體"/>
                <w:szCs w:val="24"/>
              </w:rPr>
            </w:pPr>
            <w:r w:rsidRPr="00EB52D9">
              <w:rPr>
                <w:rFonts w:ascii="標楷體" w:eastAsia="標楷體" w:hAnsi="標楷體" w:hint="eastAsia"/>
                <w:szCs w:val="24"/>
              </w:rPr>
              <w:t>證券商發行認購（售）權證所採之避險方式，得以向標的證券持有者借券賣出有價證券、在櫃檯買賣市場融券賣出標的證券或依臺灣證券交易所股份有限公司營業細則第八十二條之二所為之借券賣出標的證券等方式擇一或合併為之。</w:t>
            </w:r>
          </w:p>
          <w:p w:rsidR="00EB52D9" w:rsidRPr="00EB52D9" w:rsidRDefault="00EB52D9" w:rsidP="00AA11D3">
            <w:pPr>
              <w:spacing w:line="340" w:lineRule="exact"/>
              <w:ind w:firstLineChars="204" w:firstLine="490"/>
              <w:jc w:val="both"/>
              <w:rPr>
                <w:rFonts w:ascii="標楷體" w:eastAsia="標楷體" w:hAnsi="標楷體"/>
                <w:szCs w:val="24"/>
              </w:rPr>
            </w:pPr>
            <w:r w:rsidRPr="00EB52D9">
              <w:rPr>
                <w:rFonts w:ascii="標楷體" w:eastAsia="標楷體" w:hAnsi="標楷體" w:hint="eastAsia"/>
                <w:szCs w:val="24"/>
              </w:rPr>
              <w:t>證券商採向標的證券持有者借券賣出有價證券方式避險者，雙方應依「證券商管理規則」第三十二條之一第二項規定訂定出借契約後，由出借人透過往來證券商向臺灣集中保管結算所股份有限公司就其出借股數申請全數匯撥至證券商之避險專戶，或先辦理圈存，嗣後證券商再依其避險需求分批申請匯撥至避險專戶。</w:t>
            </w:r>
          </w:p>
          <w:p w:rsidR="00EB52D9" w:rsidRPr="00EB52D9" w:rsidRDefault="00EB52D9" w:rsidP="00AA11D3">
            <w:pPr>
              <w:spacing w:line="340" w:lineRule="exact"/>
              <w:ind w:firstLineChars="204" w:firstLine="490"/>
              <w:jc w:val="both"/>
              <w:rPr>
                <w:rFonts w:ascii="標楷體" w:eastAsia="標楷體" w:hAnsi="標楷體"/>
                <w:szCs w:val="24"/>
              </w:rPr>
            </w:pPr>
            <w:r w:rsidRPr="00EB52D9">
              <w:rPr>
                <w:rFonts w:ascii="標楷體" w:eastAsia="標楷體" w:hAnsi="標楷體" w:hint="eastAsia"/>
                <w:szCs w:val="24"/>
              </w:rPr>
              <w:t>證券商採融券賣出標的證券方式避險者，應於他證券商或非屬關係企業之證券金融公司開立信用交易帳戶，並將該等帳戶資料函報本</w:t>
            </w:r>
            <w:r>
              <w:rPr>
                <w:rFonts w:ascii="標楷體" w:eastAsia="標楷體" w:hAnsi="標楷體" w:hint="eastAsia"/>
                <w:szCs w:val="24"/>
              </w:rPr>
              <w:t>中心</w:t>
            </w:r>
            <w:r w:rsidRPr="00EB52D9">
              <w:rPr>
                <w:rFonts w:ascii="標楷體" w:eastAsia="標楷體" w:hAnsi="標楷體" w:hint="eastAsia"/>
                <w:szCs w:val="24"/>
              </w:rPr>
              <w:t>。前揭信用交易帳戶之開立，並應依「證券商辦理有價證券買賣融資融券業務操作辦法」</w:t>
            </w:r>
            <w:r w:rsidRPr="00EB52D9">
              <w:rPr>
                <w:rFonts w:ascii="標楷體" w:eastAsia="標楷體" w:hAnsi="標楷體" w:hint="eastAsia"/>
                <w:szCs w:val="24"/>
                <w:u w:val="single"/>
              </w:rPr>
              <w:t>、「證券商辦理有價證券買賣融資融券業務信用交易帳戶開立條件」、</w:t>
            </w:r>
            <w:r w:rsidRPr="00EB52D9">
              <w:rPr>
                <w:rFonts w:ascii="標楷體" w:eastAsia="標楷體" w:hAnsi="標楷體" w:hint="eastAsia"/>
                <w:szCs w:val="24"/>
              </w:rPr>
              <w:t>各證券金融公司「融資融券業務操作辦法」</w:t>
            </w:r>
            <w:r w:rsidRPr="00EB52D9">
              <w:rPr>
                <w:rFonts w:ascii="標楷體" w:eastAsia="標楷體" w:hAnsi="標楷體" w:hint="eastAsia"/>
                <w:szCs w:val="24"/>
                <w:u w:val="single"/>
              </w:rPr>
              <w:t>及「信用交易帳戶開立條件」</w:t>
            </w:r>
            <w:r w:rsidRPr="00EB52D9">
              <w:rPr>
                <w:rFonts w:ascii="標楷體" w:eastAsia="標楷體" w:hAnsi="標楷體" w:hint="eastAsia"/>
                <w:szCs w:val="24"/>
              </w:rPr>
              <w:t>之相關規定辦理。</w:t>
            </w:r>
          </w:p>
          <w:p w:rsidR="00EB52D9" w:rsidRPr="00EB52D9" w:rsidRDefault="00EB52D9" w:rsidP="00AA11D3">
            <w:pPr>
              <w:spacing w:line="340" w:lineRule="exact"/>
              <w:ind w:firstLineChars="204" w:firstLine="490"/>
              <w:jc w:val="both"/>
              <w:rPr>
                <w:rFonts w:ascii="標楷體" w:eastAsia="標楷體" w:hAnsi="標楷體"/>
                <w:szCs w:val="24"/>
              </w:rPr>
            </w:pPr>
            <w:r w:rsidRPr="00EB52D9">
              <w:rPr>
                <w:rFonts w:ascii="標楷體" w:eastAsia="標楷體" w:hAnsi="標楷體" w:hint="eastAsia"/>
                <w:szCs w:val="24"/>
              </w:rPr>
              <w:t>第一項所稱標的證券持有者，不得為證券交易法第二十二條之二第一、三項所規範之對象。</w:t>
            </w:r>
          </w:p>
          <w:p w:rsidR="00332336" w:rsidRDefault="00EB52D9" w:rsidP="00AA11D3">
            <w:pPr>
              <w:spacing w:line="340" w:lineRule="exact"/>
              <w:ind w:firstLineChars="204" w:firstLine="490"/>
              <w:jc w:val="both"/>
              <w:rPr>
                <w:rFonts w:ascii="標楷體" w:eastAsia="標楷體" w:hAnsi="標楷體"/>
                <w:szCs w:val="24"/>
              </w:rPr>
            </w:pPr>
            <w:r w:rsidRPr="00EB52D9">
              <w:rPr>
                <w:rFonts w:ascii="標楷體" w:eastAsia="標楷體" w:hAnsi="標楷體" w:hint="eastAsia"/>
                <w:szCs w:val="24"/>
              </w:rPr>
              <w:t>證券商從事議約型認購（售）權證之避險操作，準用本條各項規定。</w:t>
            </w:r>
          </w:p>
          <w:p w:rsidR="00AA11D3" w:rsidRPr="00EB52D9" w:rsidRDefault="00AA11D3" w:rsidP="00AA11D3">
            <w:pPr>
              <w:spacing w:line="340" w:lineRule="exact"/>
              <w:ind w:firstLineChars="204" w:firstLine="490"/>
              <w:jc w:val="both"/>
              <w:rPr>
                <w:rFonts w:ascii="標楷體" w:eastAsia="標楷體" w:hAnsi="標楷體"/>
                <w:szCs w:val="24"/>
              </w:rPr>
            </w:pPr>
          </w:p>
        </w:tc>
        <w:tc>
          <w:tcPr>
            <w:tcW w:w="2646" w:type="dxa"/>
          </w:tcPr>
          <w:p w:rsidR="00231CD4" w:rsidRPr="00661D16" w:rsidRDefault="00D35D5B" w:rsidP="00AA11D3">
            <w:pPr>
              <w:spacing w:line="340" w:lineRule="exact"/>
              <w:ind w:left="502" w:hangingChars="209" w:hanging="502"/>
              <w:jc w:val="both"/>
              <w:rPr>
                <w:rFonts w:ascii="標楷體" w:eastAsia="標楷體" w:hAnsi="標楷體"/>
                <w:szCs w:val="24"/>
              </w:rPr>
            </w:pPr>
            <w:r w:rsidRPr="00661D16">
              <w:rPr>
                <w:rFonts w:ascii="標楷體" w:eastAsia="標楷體" w:hAnsi="標楷體" w:cs="Times New Roman" w:hint="eastAsia"/>
                <w:szCs w:val="24"/>
              </w:rPr>
              <w:t>一、</w:t>
            </w:r>
            <w:r w:rsidR="00927C87" w:rsidRPr="00750CD1">
              <w:rPr>
                <w:rFonts w:ascii="標楷體" w:eastAsia="標楷體" w:hint="eastAsia"/>
              </w:rPr>
              <w:t>配合上市及上櫃二市場信用交易部分規章之整</w:t>
            </w:r>
            <w:r w:rsidR="00927C87">
              <w:rPr>
                <w:rFonts w:ascii="標楷體" w:eastAsia="標楷體" w:hint="eastAsia"/>
              </w:rPr>
              <w:t>合</w:t>
            </w:r>
            <w:r w:rsidR="00CD5501" w:rsidRPr="00907B62">
              <w:rPr>
                <w:rFonts w:ascii="標楷體" w:eastAsia="標楷體" w:hint="eastAsia"/>
              </w:rPr>
              <w:t>，</w:t>
            </w:r>
            <w:r w:rsidR="00CD5501">
              <w:rPr>
                <w:rFonts w:ascii="標楷體" w:eastAsia="標楷體" w:hint="eastAsia"/>
              </w:rPr>
              <w:t>修訂</w:t>
            </w:r>
            <w:r w:rsidR="00CD5501" w:rsidRPr="00907B62">
              <w:rPr>
                <w:rFonts w:ascii="標楷體" w:eastAsia="標楷體" w:hint="eastAsia"/>
              </w:rPr>
              <w:t>「證券商辦理有價證券買賣融資融券業務操作辦法」</w:t>
            </w:r>
            <w:r w:rsidR="00CD5501" w:rsidRPr="005C685D">
              <w:rPr>
                <w:rFonts w:ascii="標楷體" w:eastAsia="標楷體" w:hint="eastAsia"/>
              </w:rPr>
              <w:t>，並</w:t>
            </w:r>
            <w:r w:rsidR="00DE516F">
              <w:rPr>
                <w:rFonts w:ascii="標楷體" w:eastAsia="標楷體" w:hint="eastAsia"/>
              </w:rPr>
              <w:t>於</w:t>
            </w:r>
            <w:r w:rsidR="00CD5501" w:rsidRPr="005C685D">
              <w:rPr>
                <w:rFonts w:ascii="標楷體" w:eastAsia="標楷體" w:hint="eastAsia"/>
              </w:rPr>
              <w:t>105年12月30日</w:t>
            </w:r>
            <w:r w:rsidR="00CD5501" w:rsidRPr="00661D16">
              <w:rPr>
                <w:rFonts w:ascii="標楷體" w:eastAsia="標楷體" w:hAnsi="標楷體" w:cs="Times New Roman" w:hint="eastAsia"/>
                <w:szCs w:val="24"/>
              </w:rPr>
              <w:t>公告實施</w:t>
            </w:r>
            <w:r w:rsidR="00CD5501" w:rsidRPr="00104783">
              <w:rPr>
                <w:rFonts w:ascii="標楷體" w:eastAsia="標楷體" w:hAnsi="標楷體" w:hint="eastAsia"/>
                <w:szCs w:val="24"/>
              </w:rPr>
              <w:t>，</w:t>
            </w:r>
            <w:r w:rsidR="00231CD4" w:rsidRPr="00661D16">
              <w:rPr>
                <w:rFonts w:ascii="標楷體" w:eastAsia="標楷體" w:hAnsi="標楷體" w:cs="Times New Roman" w:hint="eastAsia"/>
                <w:szCs w:val="24"/>
              </w:rPr>
              <w:t>原</w:t>
            </w:r>
            <w:r w:rsidRPr="00661D16">
              <w:rPr>
                <w:rFonts w:ascii="標楷體" w:eastAsia="標楷體" w:hAnsi="標楷體" w:hint="eastAsia"/>
                <w:szCs w:val="24"/>
              </w:rPr>
              <w:t>「證券商辦理有價證券買賣融資融券業務信用交易帳戶開立條件」</w:t>
            </w:r>
            <w:r w:rsidR="00231CD4" w:rsidRPr="00661D16">
              <w:rPr>
                <w:rFonts w:ascii="標楷體" w:eastAsia="標楷體" w:hAnsi="標楷體" w:cs="Times New Roman" w:hint="eastAsia"/>
                <w:szCs w:val="24"/>
              </w:rPr>
              <w:t>已併入</w:t>
            </w:r>
            <w:r w:rsidR="00B044FB">
              <w:rPr>
                <w:rFonts w:ascii="標楷體" w:eastAsia="標楷體" w:hAnsi="標楷體" w:cs="Times New Roman" w:hint="eastAsia"/>
                <w:szCs w:val="24"/>
              </w:rPr>
              <w:t>前揭</w:t>
            </w:r>
            <w:r w:rsidR="00231CD4" w:rsidRPr="00661D16">
              <w:rPr>
                <w:rFonts w:ascii="標楷體" w:eastAsia="標楷體" w:hAnsi="標楷體" w:cs="Times New Roman" w:hint="eastAsia"/>
                <w:szCs w:val="24"/>
              </w:rPr>
              <w:t>操作辦法</w:t>
            </w:r>
            <w:r w:rsidR="00667FBC">
              <w:rPr>
                <w:rFonts w:ascii="標楷體" w:eastAsia="標楷體" w:hAnsi="標楷體" w:cs="Times New Roman" w:hint="eastAsia"/>
                <w:szCs w:val="24"/>
              </w:rPr>
              <w:t>中規範</w:t>
            </w:r>
            <w:r w:rsidR="00231CD4" w:rsidRPr="00661D16">
              <w:rPr>
                <w:rFonts w:ascii="標楷體" w:eastAsia="標楷體" w:hAnsi="標楷體" w:cs="Times New Roman" w:hint="eastAsia"/>
                <w:szCs w:val="24"/>
              </w:rPr>
              <w:t>，</w:t>
            </w:r>
            <w:r w:rsidR="00B044FB" w:rsidRPr="00104783">
              <w:rPr>
                <w:rFonts w:ascii="標楷體" w:eastAsia="標楷體" w:hAnsi="標楷體" w:hint="eastAsia"/>
                <w:szCs w:val="24"/>
              </w:rPr>
              <w:t>爰配合修正</w:t>
            </w:r>
            <w:r w:rsidR="00B044FB">
              <w:rPr>
                <w:rFonts w:ascii="標楷體" w:eastAsia="標楷體" w:hAnsi="標楷體" w:hint="eastAsia"/>
                <w:szCs w:val="24"/>
              </w:rPr>
              <w:t>援</w:t>
            </w:r>
            <w:r w:rsidR="00B044FB" w:rsidRPr="00104783">
              <w:rPr>
                <w:rFonts w:ascii="標楷體" w:eastAsia="標楷體" w:hAnsi="標楷體" w:hint="eastAsia"/>
                <w:szCs w:val="24"/>
              </w:rPr>
              <w:t>引規章。</w:t>
            </w:r>
          </w:p>
          <w:p w:rsidR="00332336" w:rsidRPr="00661D16" w:rsidRDefault="00777785" w:rsidP="00DF42A5">
            <w:pPr>
              <w:spacing w:line="340" w:lineRule="exact"/>
              <w:ind w:left="502" w:hangingChars="209" w:hanging="502"/>
              <w:jc w:val="both"/>
              <w:rPr>
                <w:rFonts w:ascii="標楷體" w:eastAsia="標楷體" w:hAnsi="標楷體"/>
                <w:szCs w:val="24"/>
              </w:rPr>
            </w:pPr>
            <w:r w:rsidRPr="00661D16">
              <w:rPr>
                <w:rFonts w:ascii="標楷體" w:eastAsia="標楷體" w:hAnsi="標楷體" w:hint="eastAsia"/>
                <w:szCs w:val="24"/>
              </w:rPr>
              <w:t>二、</w:t>
            </w:r>
            <w:r w:rsidR="00B044FB" w:rsidRPr="00661D16">
              <w:rPr>
                <w:rFonts w:ascii="標楷體" w:eastAsia="標楷體" w:hAnsi="標楷體" w:hint="eastAsia"/>
                <w:szCs w:val="24"/>
              </w:rPr>
              <w:t>考量各證券金融公司</w:t>
            </w:r>
            <w:r w:rsidR="00667FBC" w:rsidRPr="00661D16">
              <w:rPr>
                <w:rFonts w:ascii="標楷體" w:eastAsia="標楷體" w:hAnsi="標楷體" w:hint="eastAsia"/>
                <w:szCs w:val="24"/>
              </w:rPr>
              <w:t>亦將其「</w:t>
            </w:r>
            <w:r w:rsidR="00667FBC" w:rsidRPr="00661D16">
              <w:rPr>
                <w:rFonts w:ascii="標楷體" w:eastAsia="標楷體" w:hAnsi="標楷體"/>
                <w:szCs w:val="24"/>
              </w:rPr>
              <w:t>信用交易帳戶開立條件</w:t>
            </w:r>
            <w:r w:rsidR="00667FBC" w:rsidRPr="00661D16">
              <w:rPr>
                <w:rFonts w:ascii="標楷體" w:eastAsia="標楷體" w:hAnsi="標楷體" w:hint="eastAsia"/>
                <w:szCs w:val="24"/>
              </w:rPr>
              <w:t>」</w:t>
            </w:r>
            <w:r w:rsidR="00667FBC">
              <w:rPr>
                <w:rFonts w:ascii="標楷體" w:eastAsia="標楷體" w:hAnsi="標楷體" w:hint="eastAsia"/>
                <w:szCs w:val="24"/>
              </w:rPr>
              <w:t>整併納入其</w:t>
            </w:r>
            <w:r w:rsidR="00B044FB" w:rsidRPr="00661D16">
              <w:rPr>
                <w:rFonts w:ascii="標楷體" w:eastAsia="標楷體" w:hAnsi="標楷體"/>
                <w:szCs w:val="24"/>
              </w:rPr>
              <w:t>融資融券業務操作辦法</w:t>
            </w:r>
            <w:r w:rsidR="00667FBC">
              <w:rPr>
                <w:rFonts w:ascii="標楷體" w:eastAsia="標楷體" w:hAnsi="標楷體" w:hint="eastAsia"/>
                <w:szCs w:val="24"/>
              </w:rPr>
              <w:t>中規範</w:t>
            </w:r>
            <w:r w:rsidR="00B044FB" w:rsidRPr="00661D16">
              <w:rPr>
                <w:rFonts w:ascii="標楷體" w:eastAsia="標楷體" w:hAnsi="標楷體" w:hint="eastAsia"/>
                <w:szCs w:val="24"/>
              </w:rPr>
              <w:t>，爰一併配合修正。</w:t>
            </w:r>
          </w:p>
        </w:tc>
      </w:tr>
    </w:tbl>
    <w:p w:rsidR="009F75E7" w:rsidRDefault="009F75E7">
      <w:pPr>
        <w:rPr>
          <w:rFonts w:ascii="標楷體" w:eastAsia="標楷體" w:hAnsi="標楷體"/>
        </w:rPr>
      </w:pPr>
    </w:p>
    <w:sectPr w:rsidR="009F75E7" w:rsidSect="00AA11D3">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0E" w:rsidRDefault="0056220E" w:rsidP="009F75E7">
      <w:r>
        <w:separator/>
      </w:r>
    </w:p>
  </w:endnote>
  <w:endnote w:type="continuationSeparator" w:id="0">
    <w:p w:rsidR="0056220E" w:rsidRDefault="0056220E" w:rsidP="009F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0E" w:rsidRDefault="0056220E" w:rsidP="009F75E7">
      <w:r>
        <w:separator/>
      </w:r>
    </w:p>
  </w:footnote>
  <w:footnote w:type="continuationSeparator" w:id="0">
    <w:p w:rsidR="0056220E" w:rsidRDefault="0056220E" w:rsidP="009F7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5E7"/>
    <w:rsid w:val="000143F4"/>
    <w:rsid w:val="000450B6"/>
    <w:rsid w:val="00067506"/>
    <w:rsid w:val="00081BF0"/>
    <w:rsid w:val="000A3F6E"/>
    <w:rsid w:val="000B025B"/>
    <w:rsid w:val="000E7AC3"/>
    <w:rsid w:val="000F1DE9"/>
    <w:rsid w:val="000F3091"/>
    <w:rsid w:val="00125B8C"/>
    <w:rsid w:val="00133695"/>
    <w:rsid w:val="00143BA6"/>
    <w:rsid w:val="001A5EA3"/>
    <w:rsid w:val="001C748F"/>
    <w:rsid w:val="00202D2F"/>
    <w:rsid w:val="00231CD4"/>
    <w:rsid w:val="002765F6"/>
    <w:rsid w:val="00282C2E"/>
    <w:rsid w:val="003057EC"/>
    <w:rsid w:val="00332336"/>
    <w:rsid w:val="00373095"/>
    <w:rsid w:val="00374519"/>
    <w:rsid w:val="0040772A"/>
    <w:rsid w:val="004962D2"/>
    <w:rsid w:val="004A50CB"/>
    <w:rsid w:val="004C6FE1"/>
    <w:rsid w:val="004D7272"/>
    <w:rsid w:val="004E104B"/>
    <w:rsid w:val="0056220E"/>
    <w:rsid w:val="005E7A5B"/>
    <w:rsid w:val="006243B2"/>
    <w:rsid w:val="006339DC"/>
    <w:rsid w:val="00661D16"/>
    <w:rsid w:val="00667FBC"/>
    <w:rsid w:val="006B17C5"/>
    <w:rsid w:val="006B7B1C"/>
    <w:rsid w:val="006C240A"/>
    <w:rsid w:val="006C5195"/>
    <w:rsid w:val="006F6A52"/>
    <w:rsid w:val="007665C3"/>
    <w:rsid w:val="00777785"/>
    <w:rsid w:val="007B5C14"/>
    <w:rsid w:val="0081676F"/>
    <w:rsid w:val="00822930"/>
    <w:rsid w:val="00861A27"/>
    <w:rsid w:val="00892A12"/>
    <w:rsid w:val="008D4F98"/>
    <w:rsid w:val="008D5768"/>
    <w:rsid w:val="008F25C2"/>
    <w:rsid w:val="00900B59"/>
    <w:rsid w:val="00927C87"/>
    <w:rsid w:val="0093287D"/>
    <w:rsid w:val="009522EA"/>
    <w:rsid w:val="00960A93"/>
    <w:rsid w:val="009619CF"/>
    <w:rsid w:val="00965E9C"/>
    <w:rsid w:val="0097068F"/>
    <w:rsid w:val="00980964"/>
    <w:rsid w:val="009C1526"/>
    <w:rsid w:val="009C6C5F"/>
    <w:rsid w:val="009F75E7"/>
    <w:rsid w:val="00A33BDA"/>
    <w:rsid w:val="00A73211"/>
    <w:rsid w:val="00A74F41"/>
    <w:rsid w:val="00A7719E"/>
    <w:rsid w:val="00A905FB"/>
    <w:rsid w:val="00AA11D3"/>
    <w:rsid w:val="00AC7C5E"/>
    <w:rsid w:val="00AE37C8"/>
    <w:rsid w:val="00AE57AF"/>
    <w:rsid w:val="00B044FB"/>
    <w:rsid w:val="00B505C1"/>
    <w:rsid w:val="00B530CC"/>
    <w:rsid w:val="00B5493E"/>
    <w:rsid w:val="00BD200F"/>
    <w:rsid w:val="00C17458"/>
    <w:rsid w:val="00C36273"/>
    <w:rsid w:val="00C76880"/>
    <w:rsid w:val="00C971EF"/>
    <w:rsid w:val="00CD5501"/>
    <w:rsid w:val="00CE6DBF"/>
    <w:rsid w:val="00CF5868"/>
    <w:rsid w:val="00D35D5B"/>
    <w:rsid w:val="00D44765"/>
    <w:rsid w:val="00D655E6"/>
    <w:rsid w:val="00D82FBD"/>
    <w:rsid w:val="00DE3A6A"/>
    <w:rsid w:val="00DE516F"/>
    <w:rsid w:val="00DF3890"/>
    <w:rsid w:val="00DF42A5"/>
    <w:rsid w:val="00E77F7D"/>
    <w:rsid w:val="00E950BC"/>
    <w:rsid w:val="00EB52D9"/>
    <w:rsid w:val="00ED2641"/>
    <w:rsid w:val="00EE166D"/>
    <w:rsid w:val="00EE2985"/>
    <w:rsid w:val="00F34927"/>
    <w:rsid w:val="00FD5C2D"/>
    <w:rsid w:val="00FE7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5E7"/>
    <w:pPr>
      <w:tabs>
        <w:tab w:val="center" w:pos="4153"/>
        <w:tab w:val="right" w:pos="8306"/>
      </w:tabs>
      <w:snapToGrid w:val="0"/>
    </w:pPr>
    <w:rPr>
      <w:sz w:val="20"/>
      <w:szCs w:val="20"/>
    </w:rPr>
  </w:style>
  <w:style w:type="character" w:customStyle="1" w:styleId="a4">
    <w:name w:val="頁首 字元"/>
    <w:basedOn w:val="a0"/>
    <w:link w:val="a3"/>
    <w:uiPriority w:val="99"/>
    <w:rsid w:val="009F75E7"/>
    <w:rPr>
      <w:sz w:val="20"/>
      <w:szCs w:val="20"/>
    </w:rPr>
  </w:style>
  <w:style w:type="paragraph" w:styleId="a5">
    <w:name w:val="footer"/>
    <w:basedOn w:val="a"/>
    <w:link w:val="a6"/>
    <w:uiPriority w:val="99"/>
    <w:unhideWhenUsed/>
    <w:rsid w:val="009F75E7"/>
    <w:pPr>
      <w:tabs>
        <w:tab w:val="center" w:pos="4153"/>
        <w:tab w:val="right" w:pos="8306"/>
      </w:tabs>
      <w:snapToGrid w:val="0"/>
    </w:pPr>
    <w:rPr>
      <w:sz w:val="20"/>
      <w:szCs w:val="20"/>
    </w:rPr>
  </w:style>
  <w:style w:type="character" w:customStyle="1" w:styleId="a6">
    <w:name w:val="頁尾 字元"/>
    <w:basedOn w:val="a0"/>
    <w:link w:val="a5"/>
    <w:uiPriority w:val="99"/>
    <w:rsid w:val="009F75E7"/>
    <w:rPr>
      <w:sz w:val="20"/>
      <w:szCs w:val="20"/>
    </w:rPr>
  </w:style>
  <w:style w:type="table" w:styleId="a7">
    <w:name w:val="Table Grid"/>
    <w:basedOn w:val="a1"/>
    <w:uiPriority w:val="59"/>
    <w:rsid w:val="009F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F7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F75E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闕鴻華</cp:lastModifiedBy>
  <cp:revision>17</cp:revision>
  <cp:lastPrinted>2017-02-20T09:10:00Z</cp:lastPrinted>
  <dcterms:created xsi:type="dcterms:W3CDTF">2017-02-20T02:29:00Z</dcterms:created>
  <dcterms:modified xsi:type="dcterms:W3CDTF">2017-04-05T03:37:00Z</dcterms:modified>
</cp:coreProperties>
</file>