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1C" w:rsidRPr="0065167D" w:rsidRDefault="00357375" w:rsidP="000F369C">
      <w:pPr>
        <w:spacing w:line="400" w:lineRule="exact"/>
        <w:rPr>
          <w:rFonts w:ascii="標楷體" w:eastAsia="標楷體" w:hAnsi="標楷體"/>
          <w:sz w:val="36"/>
          <w:szCs w:val="36"/>
        </w:rPr>
      </w:pPr>
      <w:r w:rsidRPr="0065167D">
        <w:rPr>
          <w:rFonts w:ascii="標楷體" w:eastAsia="標楷體" w:hAnsi="標楷體" w:hint="eastAsia"/>
          <w:sz w:val="36"/>
          <w:szCs w:val="36"/>
        </w:rPr>
        <w:t>財團法人中華民國證券櫃檯買賣中心</w:t>
      </w:r>
      <w:r w:rsidR="006F7F06" w:rsidRPr="0065167D">
        <w:rPr>
          <w:rFonts w:ascii="標楷體" w:eastAsia="標楷體" w:hAnsi="標楷體" w:hint="eastAsia"/>
          <w:sz w:val="36"/>
          <w:szCs w:val="36"/>
        </w:rPr>
        <w:t>綜合交易帳戶作業要點</w:t>
      </w:r>
      <w:r w:rsidR="005B604D" w:rsidRPr="0065167D">
        <w:rPr>
          <w:rFonts w:ascii="標楷體" w:eastAsia="標楷體" w:hAnsi="標楷體" w:hint="eastAsia"/>
          <w:sz w:val="36"/>
          <w:szCs w:val="36"/>
        </w:rPr>
        <w:t>第参點</w:t>
      </w:r>
      <w:r w:rsidR="00046ACF" w:rsidRPr="0065167D">
        <w:rPr>
          <w:rFonts w:ascii="標楷體" w:eastAsia="標楷體" w:hAnsi="標楷體" w:hint="eastAsia"/>
          <w:sz w:val="36"/>
          <w:szCs w:val="36"/>
        </w:rPr>
        <w:t>修正</w:t>
      </w:r>
      <w:r w:rsidR="0060772D" w:rsidRPr="0065167D">
        <w:rPr>
          <w:rFonts w:ascii="標楷體" w:eastAsia="標楷體" w:hAnsi="標楷體" w:hint="eastAsia"/>
          <w:sz w:val="36"/>
          <w:szCs w:val="36"/>
        </w:rPr>
        <w:t>條文</w:t>
      </w:r>
      <w:r w:rsidR="00BE3B20" w:rsidRPr="0065167D">
        <w:rPr>
          <w:rFonts w:ascii="標楷體" w:eastAsia="標楷體" w:hAnsi="標楷體" w:hint="eastAsia"/>
          <w:sz w:val="36"/>
          <w:szCs w:val="36"/>
        </w:rPr>
        <w:t>對照表</w:t>
      </w:r>
    </w:p>
    <w:tbl>
      <w:tblPr>
        <w:tblStyle w:val="a3"/>
        <w:tblW w:w="0" w:type="auto"/>
        <w:tblLook w:val="04A0" w:firstRow="1" w:lastRow="0" w:firstColumn="1" w:lastColumn="0" w:noHBand="0" w:noVBand="1"/>
      </w:tblPr>
      <w:tblGrid>
        <w:gridCol w:w="3902"/>
        <w:gridCol w:w="3902"/>
        <w:gridCol w:w="2861"/>
      </w:tblGrid>
      <w:tr w:rsidR="00B1182B" w:rsidRPr="0018364B" w:rsidTr="000F369C">
        <w:trPr>
          <w:tblHeader/>
        </w:trPr>
        <w:tc>
          <w:tcPr>
            <w:tcW w:w="3902" w:type="dxa"/>
            <w:tcBorders>
              <w:bottom w:val="single" w:sz="4" w:space="0" w:color="auto"/>
            </w:tcBorders>
          </w:tcPr>
          <w:p w:rsidR="00B1182B" w:rsidRPr="00705C1C" w:rsidRDefault="00B1182B" w:rsidP="008C4EDE">
            <w:pPr>
              <w:jc w:val="center"/>
              <w:rPr>
                <w:rFonts w:ascii="標楷體" w:eastAsia="標楷體" w:hAnsi="標楷體"/>
              </w:rPr>
            </w:pPr>
            <w:r w:rsidRPr="00705C1C">
              <w:rPr>
                <w:rFonts w:ascii="標楷體" w:eastAsia="標楷體" w:hAnsi="標楷體"/>
              </w:rPr>
              <w:t>修正條文</w:t>
            </w:r>
          </w:p>
        </w:tc>
        <w:tc>
          <w:tcPr>
            <w:tcW w:w="3902" w:type="dxa"/>
            <w:tcBorders>
              <w:bottom w:val="single" w:sz="4" w:space="0" w:color="auto"/>
            </w:tcBorders>
          </w:tcPr>
          <w:p w:rsidR="00B1182B" w:rsidRPr="00705C1C" w:rsidRDefault="007F58C5" w:rsidP="008C4EDE">
            <w:pPr>
              <w:snapToGrid w:val="0"/>
              <w:jc w:val="center"/>
              <w:rPr>
                <w:rFonts w:ascii="標楷體" w:eastAsia="標楷體" w:hAnsi="標楷體"/>
                <w:szCs w:val="24"/>
              </w:rPr>
            </w:pPr>
            <w:r w:rsidRPr="00705C1C">
              <w:rPr>
                <w:rFonts w:ascii="標楷體" w:eastAsia="標楷體" w:hAnsi="標楷體" w:hint="eastAsia"/>
                <w:szCs w:val="24"/>
              </w:rPr>
              <w:t>現行條文</w:t>
            </w:r>
          </w:p>
        </w:tc>
        <w:tc>
          <w:tcPr>
            <w:tcW w:w="2861" w:type="dxa"/>
            <w:tcBorders>
              <w:bottom w:val="single" w:sz="4" w:space="0" w:color="auto"/>
            </w:tcBorders>
          </w:tcPr>
          <w:p w:rsidR="00B1182B" w:rsidRPr="00705C1C" w:rsidRDefault="00B1182B" w:rsidP="008C4EDE">
            <w:pPr>
              <w:jc w:val="center"/>
              <w:rPr>
                <w:rFonts w:ascii="標楷體" w:eastAsia="標楷體" w:hAnsi="標楷體"/>
              </w:rPr>
            </w:pPr>
            <w:r w:rsidRPr="00705C1C">
              <w:rPr>
                <w:rFonts w:ascii="標楷體" w:eastAsia="標楷體" w:hAnsi="標楷體"/>
              </w:rPr>
              <w:t>說明</w:t>
            </w:r>
          </w:p>
        </w:tc>
      </w:tr>
      <w:tr w:rsidR="00D875AF" w:rsidRPr="0018364B" w:rsidTr="004A36C2">
        <w:tc>
          <w:tcPr>
            <w:tcW w:w="3902" w:type="dxa"/>
          </w:tcPr>
          <w:p w:rsidR="00DC75F1" w:rsidRPr="00705C1C" w:rsidRDefault="00DC75F1" w:rsidP="000F369C">
            <w:pPr>
              <w:ind w:left="504" w:hangingChars="210" w:hanging="504"/>
              <w:jc w:val="both"/>
              <w:rPr>
                <w:rFonts w:ascii="標楷體" w:eastAsia="標楷體" w:hAnsi="標楷體"/>
                <w:szCs w:val="24"/>
              </w:rPr>
            </w:pPr>
            <w:r w:rsidRPr="00705C1C">
              <w:rPr>
                <w:rFonts w:ascii="標楷體" w:eastAsia="標楷體" w:hAnsi="標楷體" w:hint="eastAsia"/>
                <w:szCs w:val="24"/>
              </w:rPr>
              <w:t>參、上櫃股票綜合交易帳戶申報作業</w:t>
            </w:r>
          </w:p>
          <w:p w:rsidR="00DC75F1" w:rsidRPr="00705C1C" w:rsidRDefault="00DC75F1" w:rsidP="000F369C">
            <w:pPr>
              <w:jc w:val="both"/>
              <w:rPr>
                <w:rFonts w:ascii="標楷體" w:eastAsia="標楷體" w:hAnsi="標楷體"/>
                <w:szCs w:val="24"/>
              </w:rPr>
            </w:pPr>
            <w:r w:rsidRPr="00705C1C">
              <w:rPr>
                <w:rFonts w:ascii="標楷體" w:eastAsia="標楷體" w:hAnsi="標楷體" w:hint="eastAsia"/>
                <w:szCs w:val="24"/>
              </w:rPr>
              <w:t>一、交易作業</w:t>
            </w:r>
            <w:bookmarkStart w:id="0" w:name="_GoBack"/>
            <w:bookmarkEnd w:id="0"/>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（一）證券商以綜合交易帳戶申報買賣之數量及價格規定，比照一般買賣帳戶辦理，另不同委託人之零股得合併後，以綜合交易帳戶申報買賣。</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（二）聲明書所轄之委託人發生異動時，應於證券商申報分配成交明細後五</w:t>
            </w:r>
            <w:proofErr w:type="gramStart"/>
            <w:r w:rsidRPr="00705C1C">
              <w:rPr>
                <w:rFonts w:ascii="標楷體" w:eastAsia="標楷體" w:hAnsi="標楷體" w:hint="eastAsia"/>
                <w:szCs w:val="24"/>
              </w:rPr>
              <w:t>個</w:t>
            </w:r>
            <w:proofErr w:type="gramEnd"/>
            <w:r w:rsidRPr="00705C1C">
              <w:rPr>
                <w:rFonts w:ascii="標楷體" w:eastAsia="標楷體" w:hAnsi="標楷體" w:hint="eastAsia"/>
                <w:szCs w:val="24"/>
              </w:rPr>
              <w:t>營業日內，將聲明書交付證券商，或於證券商申報分配成交明細後三</w:t>
            </w:r>
            <w:proofErr w:type="gramStart"/>
            <w:r w:rsidRPr="00705C1C">
              <w:rPr>
                <w:rFonts w:ascii="標楷體" w:eastAsia="標楷體" w:hAnsi="標楷體" w:hint="eastAsia"/>
                <w:szCs w:val="24"/>
              </w:rPr>
              <w:t>個</w:t>
            </w:r>
            <w:proofErr w:type="gramEnd"/>
            <w:r w:rsidRPr="00705C1C">
              <w:rPr>
                <w:rFonts w:ascii="標楷體" w:eastAsia="標楷體" w:hAnsi="標楷體" w:hint="eastAsia"/>
                <w:szCs w:val="24"/>
              </w:rPr>
              <w:t>營業日內，以證券商與受任人合意之通知方式（如傳真或電子文件等）將異動名單傳送證券商。</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（三）證券商受託以綜合交易帳戶買賣有價證券，應依本中心訂定之「證券商帳表憑證保存年限表」規定，完整保存綜合交易帳戶之買賣委託紀錄、原成交回報及分配後之成交明細等資料。前揭分配後之成交</w:t>
            </w:r>
            <w:proofErr w:type="gramStart"/>
            <w:r w:rsidRPr="00705C1C">
              <w:rPr>
                <w:rFonts w:ascii="標楷體" w:eastAsia="標楷體" w:hAnsi="標楷體" w:hint="eastAsia"/>
                <w:szCs w:val="24"/>
              </w:rPr>
              <w:t>明細應含</w:t>
            </w:r>
            <w:proofErr w:type="gramEnd"/>
            <w:r w:rsidRPr="00705C1C">
              <w:rPr>
                <w:rFonts w:ascii="標楷體" w:eastAsia="標楷體" w:hAnsi="標楷體" w:hint="eastAsia"/>
                <w:szCs w:val="24"/>
              </w:rPr>
              <w:t>證券商代號、綜合交易帳戶帳號、證券代號、買賣別、</w:t>
            </w:r>
            <w:proofErr w:type="gramStart"/>
            <w:r w:rsidRPr="00705C1C">
              <w:rPr>
                <w:rFonts w:ascii="標楷體" w:eastAsia="標楷體" w:hAnsi="標楷體" w:hint="eastAsia"/>
                <w:szCs w:val="24"/>
              </w:rPr>
              <w:t>整股或</w:t>
            </w:r>
            <w:proofErr w:type="gramEnd"/>
            <w:r w:rsidRPr="00705C1C">
              <w:rPr>
                <w:rFonts w:ascii="標楷體" w:eastAsia="標楷體" w:hAnsi="標楷體" w:hint="eastAsia"/>
                <w:szCs w:val="24"/>
              </w:rPr>
              <w:t>零股、新委託書編號、分配後投資人帳號、分配後成交張（股）數、分配後成交總金額、證券交易類別等。</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（四）證券商受託以綜合交易帳戶買賣有價證券時，證券商應先提供各委託人買賣額度予受任人，每日由受任人於委託買賣時自行控管各委託人之買賣額度。申報分配後之</w:t>
            </w:r>
            <w:r w:rsidRPr="00705C1C">
              <w:rPr>
                <w:rFonts w:ascii="標楷體" w:eastAsia="標楷體" w:hAnsi="標楷體" w:hint="eastAsia"/>
                <w:szCs w:val="24"/>
              </w:rPr>
              <w:lastRenderedPageBreak/>
              <w:t>成交明細如發現有委託人超過限額一件以上者，則列計綜合交易帳戶違反買賣額度規定一次，各綜合交易帳戶當月累計超過10次者，本中心得依相關規定處置證券商。</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五）證券商受託以綜合交易帳戶進行鉅額買賣申報賣出有價證券時，由受任人自行控管各委託人之集保帳戶至少具備相當於應付交割之數額。如申報分配後發現有違反前述規定之情事者，僅得由證券商依現行申報錯帳或違約等相關規定辦理。</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（六）證券商受託以綜合交易帳戶買賣之有價證券，有依規定須預收部分或全部之價金或有價證券時，由受任人自行控管並向各委託人收取後交付於證券商。</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（七）證券商依「證券商內部控制制度標準規範」規定抽查委託人委託金額之計算，委託人透過綜合交易帳戶買賣者，應以綜合交易帳戶成交分配之金額替代委託金額，</w:t>
            </w:r>
            <w:proofErr w:type="gramStart"/>
            <w:r w:rsidRPr="00705C1C">
              <w:rPr>
                <w:rFonts w:ascii="標楷體" w:eastAsia="標楷體" w:hAnsi="標楷體" w:hint="eastAsia"/>
                <w:szCs w:val="24"/>
              </w:rPr>
              <w:t>併</w:t>
            </w:r>
            <w:proofErr w:type="gramEnd"/>
            <w:r w:rsidRPr="00705C1C">
              <w:rPr>
                <w:rFonts w:ascii="標楷體" w:eastAsia="標楷體" w:hAnsi="標楷體" w:hint="eastAsia"/>
                <w:szCs w:val="24"/>
              </w:rPr>
              <w:t>加計其非綜合交易帳戶之委託金額。</w:t>
            </w:r>
          </w:p>
          <w:p w:rsidR="00DC75F1" w:rsidRPr="00705C1C" w:rsidRDefault="00DC75F1" w:rsidP="000F369C">
            <w:pPr>
              <w:ind w:left="504" w:hangingChars="210" w:hanging="504"/>
              <w:jc w:val="both"/>
              <w:rPr>
                <w:rFonts w:ascii="標楷體" w:eastAsia="標楷體" w:hAnsi="標楷體"/>
                <w:szCs w:val="24"/>
              </w:rPr>
            </w:pPr>
            <w:r w:rsidRPr="00705C1C">
              <w:rPr>
                <w:rFonts w:ascii="標楷體" w:eastAsia="標楷體" w:hAnsi="標楷體" w:hint="eastAsia"/>
                <w:szCs w:val="24"/>
              </w:rPr>
              <w:t>二、成交分配及分配前更正帳號申報作業</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（一）證券商受託以非綜合交易帳戶買賣成交之有價證券，得於成交日或成交日後第一營業日申報更正帳號予綜合交易帳戶後，併入綜合交易帳戶個別證券之總成交金額及總成交數量進行成交分配申</w:t>
            </w:r>
            <w:r w:rsidRPr="00705C1C">
              <w:rPr>
                <w:rFonts w:ascii="標楷體" w:eastAsia="標楷體" w:hAnsi="標楷體" w:hint="eastAsia"/>
                <w:szCs w:val="24"/>
              </w:rPr>
              <w:lastRenderedPageBreak/>
              <w:t>報作業。另證券商受託以綜合交易帳戶買賣成交之有價證券，亦得於成交日或成交日後第一營業日申報更正帳號予非綜合交易帳戶後再申報成交分配明細。另證券商須依本作業要點參、三增修委託明細。</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（二）證券商應於</w:t>
            </w:r>
            <w:proofErr w:type="gramStart"/>
            <w:r w:rsidRPr="00705C1C">
              <w:rPr>
                <w:rFonts w:ascii="標楷體" w:eastAsia="標楷體" w:hAnsi="標楷體" w:hint="eastAsia"/>
                <w:szCs w:val="24"/>
              </w:rPr>
              <w:t>成交日按個別</w:t>
            </w:r>
            <w:proofErr w:type="gramEnd"/>
            <w:r w:rsidRPr="00705C1C">
              <w:rPr>
                <w:rFonts w:ascii="標楷體" w:eastAsia="標楷體" w:hAnsi="標楷體" w:hint="eastAsia"/>
                <w:szCs w:val="24"/>
              </w:rPr>
              <w:t>證券申報分配明細，其申報各委託人之總成交金額及總成交數量，須與當日綜合交易帳戶更正帳號後個別證券之總成交金額及總成交數量全部相同，並於當日下午三時至六時依規定電腦格式申報分配後之成交</w:t>
            </w:r>
            <w:proofErr w:type="gramStart"/>
            <w:r w:rsidRPr="00705C1C">
              <w:rPr>
                <w:rFonts w:ascii="標楷體" w:eastAsia="標楷體" w:hAnsi="標楷體" w:hint="eastAsia"/>
                <w:szCs w:val="24"/>
              </w:rPr>
              <w:t>明細至本</w:t>
            </w:r>
            <w:proofErr w:type="gramEnd"/>
            <w:r w:rsidRPr="00705C1C">
              <w:rPr>
                <w:rFonts w:ascii="標楷體" w:eastAsia="標楷體" w:hAnsi="標楷體" w:hint="eastAsia"/>
                <w:szCs w:val="24"/>
              </w:rPr>
              <w:t>中心。但證券商未能完成外國委託人綜合交易帳戶（證券買賣帳號為995555－檢查碼）成交分配申報作業者，得於當日下午六時前依規定電腦格式申報留存未完成分配之資料於原綜合交易帳戶下，另須依本作業要點參、四申報成交明細之部分調整分配。證券商於成交日完成分配明細申報後如須修改分配者，應先行撤銷當日更正帳號，該分配資料經回復至原始綜合交易帳戶成交資料後，視需要重新申報更正帳號，再申報分配後之成交明細。</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（三）證券商得依受任人指示將普通交易及盤後定價交易合併分配為零股或千股之整倍數予委託人，分配為千股之整倍數者，每筆分配數量不得</w:t>
            </w:r>
            <w:r w:rsidRPr="00705C1C">
              <w:rPr>
                <w:rFonts w:ascii="標楷體" w:eastAsia="標楷體" w:hAnsi="標楷體" w:hint="eastAsia"/>
                <w:szCs w:val="24"/>
              </w:rPr>
              <w:lastRenderedPageBreak/>
              <w:t>超過</w:t>
            </w:r>
            <w:r w:rsidR="00574BF5" w:rsidRPr="00705C1C">
              <w:rPr>
                <w:rFonts w:ascii="標楷體" w:eastAsia="標楷體" w:hAnsi="標楷體" w:hint="eastAsia"/>
                <w:szCs w:val="24"/>
                <w:u w:val="single"/>
              </w:rPr>
              <w:t>一萬</w:t>
            </w:r>
            <w:r w:rsidRPr="00705C1C">
              <w:rPr>
                <w:rFonts w:ascii="標楷體" w:eastAsia="標楷體" w:hAnsi="標楷體" w:hint="eastAsia"/>
                <w:szCs w:val="24"/>
              </w:rPr>
              <w:t>交易單位，前揭分配為零股者及零股交易，每筆分配數量不得超過</w:t>
            </w:r>
            <w:r w:rsidRPr="00705C1C">
              <w:rPr>
                <w:rFonts w:ascii="標楷體" w:eastAsia="標楷體" w:hAnsi="標楷體" w:hint="eastAsia"/>
                <w:szCs w:val="24"/>
                <w:u w:val="single"/>
              </w:rPr>
              <w:t>九</w:t>
            </w:r>
            <w:r w:rsidR="00574BF5" w:rsidRPr="00705C1C">
              <w:rPr>
                <w:rFonts w:ascii="標楷體" w:eastAsia="標楷體" w:hAnsi="標楷體" w:hint="eastAsia"/>
                <w:szCs w:val="24"/>
                <w:u w:val="single"/>
              </w:rPr>
              <w:t>百</w:t>
            </w:r>
            <w:r w:rsidRPr="00705C1C">
              <w:rPr>
                <w:rFonts w:ascii="標楷體" w:eastAsia="標楷體" w:hAnsi="標楷體" w:hint="eastAsia"/>
                <w:szCs w:val="24"/>
                <w:u w:val="single"/>
              </w:rPr>
              <w:t>九</w:t>
            </w:r>
            <w:r w:rsidR="00574BF5" w:rsidRPr="00705C1C">
              <w:rPr>
                <w:rFonts w:ascii="標楷體" w:eastAsia="標楷體" w:hAnsi="標楷體" w:hint="eastAsia"/>
                <w:szCs w:val="24"/>
                <w:u w:val="single"/>
              </w:rPr>
              <w:t>十</w:t>
            </w:r>
            <w:r w:rsidRPr="00705C1C">
              <w:rPr>
                <w:rFonts w:ascii="標楷體" w:eastAsia="標楷體" w:hAnsi="標楷體" w:hint="eastAsia"/>
                <w:szCs w:val="24"/>
                <w:u w:val="single"/>
              </w:rPr>
              <w:t>九</w:t>
            </w:r>
            <w:r w:rsidRPr="00705C1C">
              <w:rPr>
                <w:rFonts w:ascii="標楷體" w:eastAsia="標楷體" w:hAnsi="標楷體" w:hint="eastAsia"/>
                <w:szCs w:val="24"/>
              </w:rPr>
              <w:t>股，另分配為千股之整倍數者應與分配為零股者分別申報。</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（四）證券商依受任人指示以千股之整倍數分配予各委託人之個別證券總成交金額應申報為十元之整倍數；另依受任人指示以零股分配予各委託人之個別證券之總成交金額得申報為元、</w:t>
            </w:r>
            <w:proofErr w:type="gramStart"/>
            <w:r w:rsidRPr="00705C1C">
              <w:rPr>
                <w:rFonts w:ascii="標楷體" w:eastAsia="標楷體" w:hAnsi="標楷體" w:hint="eastAsia"/>
                <w:szCs w:val="24"/>
              </w:rPr>
              <w:t>角或分</w:t>
            </w:r>
            <w:proofErr w:type="gramEnd"/>
            <w:r w:rsidRPr="00705C1C">
              <w:rPr>
                <w:rFonts w:ascii="標楷體" w:eastAsia="標楷體" w:hAnsi="標楷體" w:hint="eastAsia"/>
                <w:szCs w:val="24"/>
              </w:rPr>
              <w:t>，其分配總成交數量應申報為1股之整倍數。</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（五）證券商受託以綜合交易帳戶進行鉅額買賣後，依受任人指示分配予各委託人之個別證券總成交金額得申報為元、</w:t>
            </w:r>
            <w:proofErr w:type="gramStart"/>
            <w:r w:rsidRPr="00705C1C">
              <w:rPr>
                <w:rFonts w:ascii="標楷體" w:eastAsia="標楷體" w:hAnsi="標楷體" w:hint="eastAsia"/>
                <w:szCs w:val="24"/>
              </w:rPr>
              <w:t>角或分</w:t>
            </w:r>
            <w:proofErr w:type="gramEnd"/>
            <w:r w:rsidRPr="00705C1C">
              <w:rPr>
                <w:rFonts w:ascii="標楷體" w:eastAsia="標楷體" w:hAnsi="標楷體" w:hint="eastAsia"/>
                <w:szCs w:val="24"/>
              </w:rPr>
              <w:t>，其分配總成交數量應申報為 1股之整倍數；前揭分配</w:t>
            </w:r>
            <w:proofErr w:type="gramStart"/>
            <w:r w:rsidRPr="00705C1C">
              <w:rPr>
                <w:rFonts w:ascii="標楷體" w:eastAsia="標楷體" w:hAnsi="標楷體" w:hint="eastAsia"/>
                <w:szCs w:val="24"/>
              </w:rPr>
              <w:t>明細應與</w:t>
            </w:r>
            <w:proofErr w:type="gramEnd"/>
            <w:r w:rsidRPr="00705C1C">
              <w:rPr>
                <w:rFonts w:ascii="標楷體" w:eastAsia="標楷體" w:hAnsi="標楷體" w:hint="eastAsia"/>
                <w:szCs w:val="24"/>
              </w:rPr>
              <w:t>普通交易、盤後定價交易及零股交易分別申報，且不須符合本中心上櫃證券鉅額買賣辦法有關數量、種類及金額相關規定。另鉅額買賣不適用本作業要點參、二、（一）規定。</w:t>
            </w:r>
          </w:p>
          <w:p w:rsidR="00DC75F1"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（六）證券商申報各委託人之總成交金額與委託人實際交割金額之差額，證券商得以「其他營業收入」或「其他營業支出」</w:t>
            </w:r>
            <w:proofErr w:type="gramStart"/>
            <w:r w:rsidRPr="00705C1C">
              <w:rPr>
                <w:rFonts w:ascii="標楷體" w:eastAsia="標楷體" w:hAnsi="標楷體" w:hint="eastAsia"/>
                <w:szCs w:val="24"/>
              </w:rPr>
              <w:t>入帳</w:t>
            </w:r>
            <w:proofErr w:type="gramEnd"/>
            <w:r w:rsidRPr="00705C1C">
              <w:rPr>
                <w:rFonts w:ascii="標楷體" w:eastAsia="標楷體" w:hAnsi="標楷體" w:hint="eastAsia"/>
                <w:szCs w:val="24"/>
              </w:rPr>
              <w:t>。</w:t>
            </w:r>
          </w:p>
          <w:p w:rsidR="000F369C" w:rsidRPr="00705C1C" w:rsidRDefault="00DC75F1"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（七）個別證券依分配後之成交</w:t>
            </w:r>
            <w:proofErr w:type="gramStart"/>
            <w:r w:rsidRPr="00705C1C">
              <w:rPr>
                <w:rFonts w:ascii="標楷體" w:eastAsia="標楷體" w:hAnsi="標楷體" w:hint="eastAsia"/>
                <w:szCs w:val="24"/>
              </w:rPr>
              <w:t>明細所計算</w:t>
            </w:r>
            <w:proofErr w:type="gramEnd"/>
            <w:r w:rsidRPr="00705C1C">
              <w:rPr>
                <w:rFonts w:ascii="標楷體" w:eastAsia="標楷體" w:hAnsi="標楷體" w:hint="eastAsia"/>
                <w:szCs w:val="24"/>
              </w:rPr>
              <w:t>之成交價格，如有逾越該綜合交易帳戶當日成交之最高或最低價格等不符公平合理之情事者，本中心</w:t>
            </w:r>
            <w:r w:rsidRPr="00705C1C">
              <w:rPr>
                <w:rFonts w:ascii="標楷體" w:eastAsia="標楷體" w:hAnsi="標楷體" w:hint="eastAsia"/>
                <w:szCs w:val="24"/>
              </w:rPr>
              <w:lastRenderedPageBreak/>
              <w:t>得公布受任人之名稱等相關資料，並通知其委託人。</w:t>
            </w:r>
          </w:p>
          <w:p w:rsidR="000F369C" w:rsidRPr="00705C1C" w:rsidRDefault="000F369C" w:rsidP="000F369C">
            <w:pPr>
              <w:jc w:val="center"/>
              <w:rPr>
                <w:rFonts w:ascii="標楷體" w:eastAsia="標楷體" w:hAnsi="標楷體"/>
                <w:szCs w:val="24"/>
              </w:rPr>
            </w:pPr>
          </w:p>
          <w:p w:rsidR="0026771F" w:rsidRPr="00705C1C" w:rsidRDefault="00012EB0" w:rsidP="000F369C">
            <w:pPr>
              <w:jc w:val="center"/>
              <w:rPr>
                <w:rFonts w:ascii="標楷體" w:eastAsia="標楷體" w:hAnsi="標楷體"/>
                <w:szCs w:val="24"/>
              </w:rPr>
            </w:pPr>
            <w:r w:rsidRPr="00705C1C">
              <w:rPr>
                <w:rFonts w:ascii="標楷體" w:eastAsia="標楷體" w:hAnsi="標楷體" w:hint="eastAsia"/>
                <w:szCs w:val="24"/>
              </w:rPr>
              <w:t>(</w:t>
            </w:r>
            <w:r w:rsidR="00E33B46" w:rsidRPr="00705C1C">
              <w:rPr>
                <w:rFonts w:ascii="標楷體" w:eastAsia="標楷體" w:hAnsi="標楷體" w:hint="eastAsia"/>
                <w:szCs w:val="24"/>
              </w:rPr>
              <w:t>三</w:t>
            </w:r>
            <w:r w:rsidR="00E33B46" w:rsidRPr="00705C1C">
              <w:rPr>
                <w:rFonts w:ascii="標楷體" w:eastAsia="標楷體" w:hAnsi="標楷體" w:hint="eastAsia"/>
                <w:kern w:val="0"/>
                <w:szCs w:val="24"/>
              </w:rPr>
              <w:t>〜六未修正</w:t>
            </w:r>
            <w:r w:rsidRPr="00705C1C">
              <w:rPr>
                <w:rFonts w:ascii="標楷體" w:eastAsia="標楷體" w:hAnsi="標楷體" w:hint="eastAsia"/>
                <w:szCs w:val="24"/>
              </w:rPr>
              <w:t>略)</w:t>
            </w:r>
          </w:p>
          <w:p w:rsidR="000F369C" w:rsidRPr="00705C1C" w:rsidRDefault="000F369C" w:rsidP="000F369C">
            <w:pPr>
              <w:jc w:val="center"/>
              <w:rPr>
                <w:rFonts w:ascii="標楷體" w:eastAsia="標楷體" w:hAnsi="標楷體"/>
                <w:szCs w:val="24"/>
              </w:rPr>
            </w:pPr>
          </w:p>
          <w:p w:rsidR="00E33B46" w:rsidRPr="00705C1C" w:rsidRDefault="00E33B46" w:rsidP="000F369C">
            <w:pPr>
              <w:jc w:val="both"/>
              <w:rPr>
                <w:rFonts w:ascii="標楷體" w:eastAsia="標楷體" w:hAnsi="標楷體" w:cs="Times New Roman"/>
                <w:szCs w:val="24"/>
              </w:rPr>
            </w:pPr>
            <w:r w:rsidRPr="00705C1C">
              <w:rPr>
                <w:rFonts w:ascii="標楷體" w:eastAsia="標楷體" w:hAnsi="標楷體" w:cs="Times New Roman" w:hint="eastAsia"/>
                <w:szCs w:val="24"/>
              </w:rPr>
              <w:t>七、信用交易及借</w:t>
            </w:r>
            <w:proofErr w:type="gramStart"/>
            <w:r w:rsidRPr="00705C1C">
              <w:rPr>
                <w:rFonts w:ascii="標楷體" w:eastAsia="標楷體" w:hAnsi="標楷體" w:cs="Times New Roman" w:hint="eastAsia"/>
                <w:szCs w:val="24"/>
              </w:rPr>
              <w:t>券</w:t>
            </w:r>
            <w:proofErr w:type="gramEnd"/>
            <w:r w:rsidRPr="00705C1C">
              <w:rPr>
                <w:rFonts w:ascii="標楷體" w:eastAsia="標楷體" w:hAnsi="標楷體" w:cs="Times New Roman" w:hint="eastAsia"/>
                <w:szCs w:val="24"/>
              </w:rPr>
              <w:t>申報作業</w:t>
            </w:r>
          </w:p>
          <w:p w:rsidR="00E33B46" w:rsidRPr="00705C1C" w:rsidRDefault="00E24B05" w:rsidP="000F369C">
            <w:pPr>
              <w:ind w:leftChars="35" w:left="588" w:hangingChars="210" w:hanging="504"/>
              <w:jc w:val="both"/>
              <w:rPr>
                <w:rFonts w:ascii="標楷體" w:eastAsia="標楷體" w:hAnsi="標楷體" w:cs="Times New Roman"/>
                <w:szCs w:val="24"/>
              </w:rPr>
            </w:pPr>
            <w:r w:rsidRPr="00705C1C">
              <w:rPr>
                <w:rFonts w:ascii="標楷體" w:eastAsia="標楷體" w:hAnsi="標楷體" w:hint="eastAsia"/>
                <w:szCs w:val="24"/>
              </w:rPr>
              <w:t>(</w:t>
            </w:r>
            <w:proofErr w:type="gramStart"/>
            <w:r w:rsidRPr="00705C1C">
              <w:rPr>
                <w:rFonts w:ascii="標楷體" w:eastAsia="標楷體" w:hAnsi="標楷體" w:hint="eastAsia"/>
                <w:szCs w:val="24"/>
              </w:rPr>
              <w:t>一</w:t>
            </w:r>
            <w:proofErr w:type="gramEnd"/>
            <w:r w:rsidRPr="00705C1C">
              <w:rPr>
                <w:rFonts w:ascii="標楷體" w:eastAsia="標楷體" w:hAnsi="標楷體" w:hint="eastAsia"/>
                <w:szCs w:val="24"/>
              </w:rPr>
              <w:t>)</w:t>
            </w:r>
            <w:r w:rsidR="00E33B46" w:rsidRPr="00705C1C">
              <w:rPr>
                <w:rFonts w:ascii="標楷體" w:eastAsia="標楷體" w:hAnsi="標楷體" w:cs="Times New Roman" w:hint="eastAsia"/>
                <w:szCs w:val="24"/>
              </w:rPr>
              <w:t>個別證券之各交易類別總成交數量，於分配前及分配後必須相同。</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(二)證券商申報更改交易類別為融券或借</w:t>
            </w:r>
            <w:proofErr w:type="gramStart"/>
            <w:r w:rsidRPr="00705C1C">
              <w:rPr>
                <w:rFonts w:ascii="標楷體" w:eastAsia="標楷體" w:hAnsi="標楷體" w:hint="eastAsia"/>
                <w:szCs w:val="24"/>
              </w:rPr>
              <w:t>券</w:t>
            </w:r>
            <w:proofErr w:type="gramEnd"/>
            <w:r w:rsidRPr="00705C1C">
              <w:rPr>
                <w:rFonts w:ascii="標楷體" w:eastAsia="標楷體" w:hAnsi="標楷體" w:hint="eastAsia"/>
                <w:szCs w:val="24"/>
              </w:rPr>
              <w:t>賣出者，分配前之委託價格及分配後之成交價格，應符合融券賣出或借</w:t>
            </w:r>
            <w:proofErr w:type="gramStart"/>
            <w:r w:rsidRPr="00705C1C">
              <w:rPr>
                <w:rFonts w:ascii="標楷體" w:eastAsia="標楷體" w:hAnsi="標楷體" w:hint="eastAsia"/>
                <w:szCs w:val="24"/>
              </w:rPr>
              <w:t>券</w:t>
            </w:r>
            <w:proofErr w:type="gramEnd"/>
            <w:r w:rsidRPr="00705C1C">
              <w:rPr>
                <w:rFonts w:ascii="標楷體" w:eastAsia="標楷體" w:hAnsi="標楷體" w:hint="eastAsia"/>
                <w:szCs w:val="24"/>
              </w:rPr>
              <w:t>賣出不得低於前一營業日等價成交系統最後一筆成交價之限制。</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(三)凡屬信用交易之各交易類別，成交日後第一營業日不得申報部分調整分配。</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(四)委託人因自行買賣及與經由綜合交易帳戶所分配之有價證券</w:t>
            </w:r>
            <w:proofErr w:type="gramStart"/>
            <w:r w:rsidRPr="00705C1C">
              <w:rPr>
                <w:rFonts w:ascii="標楷體" w:eastAsia="標楷體" w:hAnsi="標楷體" w:hint="eastAsia"/>
                <w:szCs w:val="24"/>
              </w:rPr>
              <w:t>併</w:t>
            </w:r>
            <w:proofErr w:type="gramEnd"/>
            <w:r w:rsidRPr="00705C1C">
              <w:rPr>
                <w:rFonts w:ascii="標楷體" w:eastAsia="標楷體" w:hAnsi="標楷體" w:hint="eastAsia"/>
                <w:szCs w:val="24"/>
              </w:rPr>
              <w:t>計，而發生同日有融資買進與融券賣出同種類同數量之有價證券者，依「</w:t>
            </w:r>
            <w:r w:rsidRPr="00705C1C">
              <w:rPr>
                <w:rFonts w:ascii="標楷體" w:eastAsia="標楷體" w:hAnsi="標楷體" w:hint="eastAsia"/>
                <w:szCs w:val="24"/>
                <w:u w:val="single"/>
              </w:rPr>
              <w:t>證券商辦理有價證券買賣融資融券業務操作辦法</w:t>
            </w:r>
            <w:r w:rsidRPr="00705C1C">
              <w:rPr>
                <w:rFonts w:ascii="標楷體" w:eastAsia="標楷體" w:hAnsi="標楷體" w:hint="eastAsia"/>
                <w:szCs w:val="24"/>
              </w:rPr>
              <w:t>」相關規定辦理。</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五)證券商受託以綜合交易帳戶進行融資融券買賣時，由受任人自行控管各委託人之融資融券買賣額度及得否進行融資融券交易，如申報分配後發現委託人有逾越限額或不得進融資融券交易者，則由證券商依現行本中心「證券商辦理更改交易類別作業處理要點」相關規定辦理。</w:t>
            </w:r>
          </w:p>
        </w:tc>
        <w:tc>
          <w:tcPr>
            <w:tcW w:w="3902" w:type="dxa"/>
          </w:tcPr>
          <w:p w:rsidR="00690C14" w:rsidRPr="00705C1C" w:rsidRDefault="00690C14" w:rsidP="000F369C">
            <w:pPr>
              <w:ind w:left="504" w:hangingChars="210" w:hanging="504"/>
              <w:jc w:val="both"/>
              <w:rPr>
                <w:rFonts w:ascii="標楷體" w:eastAsia="標楷體" w:hAnsi="標楷體"/>
                <w:szCs w:val="24"/>
              </w:rPr>
            </w:pPr>
            <w:r w:rsidRPr="00705C1C">
              <w:rPr>
                <w:rFonts w:ascii="標楷體" w:eastAsia="標楷體" w:hAnsi="標楷體" w:hint="eastAsia"/>
                <w:szCs w:val="24"/>
              </w:rPr>
              <w:lastRenderedPageBreak/>
              <w:t>參、上櫃股票綜合交易帳戶申報作業</w:t>
            </w:r>
          </w:p>
          <w:p w:rsidR="00690C14" w:rsidRPr="00705C1C" w:rsidRDefault="00690C14" w:rsidP="000F369C">
            <w:pPr>
              <w:jc w:val="both"/>
              <w:rPr>
                <w:rFonts w:ascii="標楷體" w:eastAsia="標楷體" w:hAnsi="標楷體"/>
                <w:szCs w:val="24"/>
              </w:rPr>
            </w:pPr>
            <w:r w:rsidRPr="00705C1C">
              <w:rPr>
                <w:rFonts w:ascii="標楷體" w:eastAsia="標楷體" w:hAnsi="標楷體" w:hint="eastAsia"/>
                <w:szCs w:val="24"/>
              </w:rPr>
              <w:t>一、交易作業</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（一）證券商以綜合交易帳戶申報買賣之數量及價格規定，比照一般買賣帳戶辦理，另不同委託人之零股得合併後，以綜合交易帳戶申報買賣。</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（二）聲明書所轄之委託人發生異動時，應於證券商申報分配成交明細後五</w:t>
            </w:r>
            <w:proofErr w:type="gramStart"/>
            <w:r w:rsidRPr="00705C1C">
              <w:rPr>
                <w:rFonts w:ascii="標楷體" w:eastAsia="標楷體" w:hAnsi="標楷體" w:hint="eastAsia"/>
                <w:szCs w:val="24"/>
              </w:rPr>
              <w:t>個</w:t>
            </w:r>
            <w:proofErr w:type="gramEnd"/>
            <w:r w:rsidRPr="00705C1C">
              <w:rPr>
                <w:rFonts w:ascii="標楷體" w:eastAsia="標楷體" w:hAnsi="標楷體" w:hint="eastAsia"/>
                <w:szCs w:val="24"/>
              </w:rPr>
              <w:t>營業日內，將聲明書交付證券商，或於證券商申報分配成交明細後三</w:t>
            </w:r>
            <w:proofErr w:type="gramStart"/>
            <w:r w:rsidRPr="00705C1C">
              <w:rPr>
                <w:rFonts w:ascii="標楷體" w:eastAsia="標楷體" w:hAnsi="標楷體" w:hint="eastAsia"/>
                <w:szCs w:val="24"/>
              </w:rPr>
              <w:t>個</w:t>
            </w:r>
            <w:proofErr w:type="gramEnd"/>
            <w:r w:rsidRPr="00705C1C">
              <w:rPr>
                <w:rFonts w:ascii="標楷體" w:eastAsia="標楷體" w:hAnsi="標楷體" w:hint="eastAsia"/>
                <w:szCs w:val="24"/>
              </w:rPr>
              <w:t>營業日內，以證券商與受任人合意之通知方式（如傳真或電子文件等）將異動名單傳送證券商。</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（三）證券商受託以綜合交易帳戶買賣有價證券，應依本中心訂定之「證券商帳表憑證保存年限表」規定，完整保存綜合交易帳戶之買賣委託紀錄、原成交回報及分配後之成交明細等資料。前揭分配後之成交</w:t>
            </w:r>
            <w:proofErr w:type="gramStart"/>
            <w:r w:rsidRPr="00705C1C">
              <w:rPr>
                <w:rFonts w:ascii="標楷體" w:eastAsia="標楷體" w:hAnsi="標楷體" w:hint="eastAsia"/>
                <w:szCs w:val="24"/>
              </w:rPr>
              <w:t>明細應含</w:t>
            </w:r>
            <w:proofErr w:type="gramEnd"/>
            <w:r w:rsidRPr="00705C1C">
              <w:rPr>
                <w:rFonts w:ascii="標楷體" w:eastAsia="標楷體" w:hAnsi="標楷體" w:hint="eastAsia"/>
                <w:szCs w:val="24"/>
              </w:rPr>
              <w:t>證券商代號、綜合交易帳戶帳號、證券代號、買賣別、</w:t>
            </w:r>
            <w:proofErr w:type="gramStart"/>
            <w:r w:rsidRPr="00705C1C">
              <w:rPr>
                <w:rFonts w:ascii="標楷體" w:eastAsia="標楷體" w:hAnsi="標楷體" w:hint="eastAsia"/>
                <w:szCs w:val="24"/>
              </w:rPr>
              <w:t>整股或</w:t>
            </w:r>
            <w:proofErr w:type="gramEnd"/>
            <w:r w:rsidRPr="00705C1C">
              <w:rPr>
                <w:rFonts w:ascii="標楷體" w:eastAsia="標楷體" w:hAnsi="標楷體" w:hint="eastAsia"/>
                <w:szCs w:val="24"/>
              </w:rPr>
              <w:t>零股、新委託書編號、分配後投資人帳號、分配後成交張（股）數、分配後成交總金額、證券交易類別等。</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（四）證券商受託以綜合交易帳戶買賣有價證券時，證券商應先提供各委託人買賣額度予受任人，每日由受任人於委託買賣時自行控管各委託人之買賣額度。申報分配後之</w:t>
            </w:r>
            <w:r w:rsidRPr="00705C1C">
              <w:rPr>
                <w:rFonts w:ascii="標楷體" w:eastAsia="標楷體" w:hAnsi="標楷體" w:hint="eastAsia"/>
                <w:szCs w:val="24"/>
              </w:rPr>
              <w:lastRenderedPageBreak/>
              <w:t>成交明細如發現有委託人超過限額一件以上者，則列計綜合交易帳戶違反買賣額度規定一次，各綜合交易帳戶當月累計超過10次者，本中心得依相關規定處置證券商。</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五）證券商受託以綜合交易帳戶進行鉅額買賣申報賣出有價證券時，由受任人自行控管各委託人之集保帳戶至少具備相當於應付交割之數額。如申報分配後發現有違反前述規定之情事者，僅得由證券商依現行申報錯帳或違約等相關規定辦理。</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（六）證券商受託以綜合交易帳戶買賣之有價證券，有依規定須預收部分或全部之價金或有價證券時，由受任人自行控管並向各委託人收取後交付於證券商。</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（七）證券商依「證券商內部控制制度標準規範」規定</w:t>
            </w:r>
            <w:r w:rsidRPr="00705C1C">
              <w:rPr>
                <w:rFonts w:ascii="標楷體" w:eastAsia="標楷體" w:hAnsi="標楷體" w:hint="eastAsia"/>
                <w:szCs w:val="24"/>
                <w:u w:val="single"/>
              </w:rPr>
              <w:t>每日</w:t>
            </w:r>
            <w:r w:rsidRPr="00705C1C">
              <w:rPr>
                <w:rFonts w:ascii="標楷體" w:eastAsia="標楷體" w:hAnsi="標楷體" w:hint="eastAsia"/>
                <w:szCs w:val="24"/>
              </w:rPr>
              <w:t>抽查</w:t>
            </w:r>
            <w:r w:rsidRPr="00705C1C">
              <w:rPr>
                <w:rFonts w:ascii="標楷體" w:eastAsia="標楷體" w:hAnsi="標楷體" w:hint="eastAsia"/>
                <w:szCs w:val="24"/>
                <w:u w:val="single"/>
              </w:rPr>
              <w:t>前十名</w:t>
            </w:r>
            <w:r w:rsidRPr="00705C1C">
              <w:rPr>
                <w:rFonts w:ascii="標楷體" w:eastAsia="標楷體" w:hAnsi="標楷體" w:hint="eastAsia"/>
                <w:szCs w:val="24"/>
              </w:rPr>
              <w:t>委託人委託金額之計算，委託人透過綜合交易帳戶買賣者，應以綜合交易帳戶成交分配之金額替代委託金額，</w:t>
            </w:r>
            <w:proofErr w:type="gramStart"/>
            <w:r w:rsidRPr="00705C1C">
              <w:rPr>
                <w:rFonts w:ascii="標楷體" w:eastAsia="標楷體" w:hAnsi="標楷體" w:hint="eastAsia"/>
                <w:szCs w:val="24"/>
              </w:rPr>
              <w:t>併</w:t>
            </w:r>
            <w:proofErr w:type="gramEnd"/>
            <w:r w:rsidRPr="00705C1C">
              <w:rPr>
                <w:rFonts w:ascii="標楷體" w:eastAsia="標楷體" w:hAnsi="標楷體" w:hint="eastAsia"/>
                <w:szCs w:val="24"/>
              </w:rPr>
              <w:t>加計其非綜合交易帳戶之委託金額。</w:t>
            </w:r>
          </w:p>
          <w:p w:rsidR="00690C14" w:rsidRPr="00705C1C" w:rsidRDefault="00690C14" w:rsidP="000F369C">
            <w:pPr>
              <w:ind w:left="504" w:hangingChars="210" w:hanging="504"/>
              <w:jc w:val="both"/>
              <w:rPr>
                <w:rFonts w:ascii="標楷體" w:eastAsia="標楷體" w:hAnsi="標楷體"/>
                <w:szCs w:val="24"/>
              </w:rPr>
            </w:pPr>
            <w:r w:rsidRPr="00705C1C">
              <w:rPr>
                <w:rFonts w:ascii="標楷體" w:eastAsia="標楷體" w:hAnsi="標楷體" w:hint="eastAsia"/>
                <w:szCs w:val="24"/>
              </w:rPr>
              <w:t>二、成交分配及分配前更正帳號申報作業</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（一）證券商受託以非綜合交易帳戶買賣成交之有價證券，得於成交日或成交日後第一營業日申報更正帳號予綜合交易帳戶後，併入綜合交易帳戶個別證券之總成交金額及總成交數量進行成交分配申</w:t>
            </w:r>
            <w:r w:rsidRPr="00705C1C">
              <w:rPr>
                <w:rFonts w:ascii="標楷體" w:eastAsia="標楷體" w:hAnsi="標楷體" w:hint="eastAsia"/>
                <w:szCs w:val="24"/>
              </w:rPr>
              <w:lastRenderedPageBreak/>
              <w:t>報作業。另證券商受託以綜合交易帳戶買賣成交之有價證券，亦得於成交日或成交日後第一營業日申報更正帳號予非綜合交易帳戶後再申報成交分配明細。另證券商須依本作業要點參、三增修委託明細。</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（二）證券商應於</w:t>
            </w:r>
            <w:proofErr w:type="gramStart"/>
            <w:r w:rsidRPr="00705C1C">
              <w:rPr>
                <w:rFonts w:ascii="標楷體" w:eastAsia="標楷體" w:hAnsi="標楷體" w:hint="eastAsia"/>
                <w:szCs w:val="24"/>
              </w:rPr>
              <w:t>成交日按個別</w:t>
            </w:r>
            <w:proofErr w:type="gramEnd"/>
            <w:r w:rsidRPr="00705C1C">
              <w:rPr>
                <w:rFonts w:ascii="標楷體" w:eastAsia="標楷體" w:hAnsi="標楷體" w:hint="eastAsia"/>
                <w:szCs w:val="24"/>
              </w:rPr>
              <w:t>證券申報分配明細，其申報各委託人之總成交金額及總成交數量，須與當日綜合交易帳戶更正帳號後個別證券之總成交金額及總成交數量全部相同，並於當日下午三時至六時依規定電腦格式申報分配後之成交</w:t>
            </w:r>
            <w:proofErr w:type="gramStart"/>
            <w:r w:rsidRPr="00705C1C">
              <w:rPr>
                <w:rFonts w:ascii="標楷體" w:eastAsia="標楷體" w:hAnsi="標楷體" w:hint="eastAsia"/>
                <w:szCs w:val="24"/>
              </w:rPr>
              <w:t>明細至本</w:t>
            </w:r>
            <w:proofErr w:type="gramEnd"/>
            <w:r w:rsidRPr="00705C1C">
              <w:rPr>
                <w:rFonts w:ascii="標楷體" w:eastAsia="標楷體" w:hAnsi="標楷體" w:hint="eastAsia"/>
                <w:szCs w:val="24"/>
              </w:rPr>
              <w:t>中心。但證券商未能完成外國委託人綜合交易帳戶（證券買賣帳號為995555－檢查碼）成交分配申報作業者，得於當日下午六時前依規定電腦格式申報留存未完成分配之資料於原綜合交易帳戶下，另須依本作業要點參、四申報成交明細之部分調整分配。證券商於成交日完成分配明細申報後如須修改分配者，應先行撤銷當日更正帳號，該分配資料經回復至原始綜合交易帳戶成交資料後，視需要重新申報更正帳號，再申報分配後之成交明細。</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（三）證券商得依受任人指示將普通交易及盤後定價交易合併分配為零股或千股之整倍數予委託人，分配為千股之整倍數者，每筆分配數量不得</w:t>
            </w:r>
            <w:r w:rsidRPr="00705C1C">
              <w:rPr>
                <w:rFonts w:ascii="標楷體" w:eastAsia="標楷體" w:hAnsi="標楷體" w:hint="eastAsia"/>
                <w:szCs w:val="24"/>
              </w:rPr>
              <w:lastRenderedPageBreak/>
              <w:t>超過</w:t>
            </w:r>
            <w:r w:rsidRPr="00705C1C">
              <w:rPr>
                <w:rFonts w:ascii="標楷體" w:eastAsia="標楷體" w:hAnsi="標楷體" w:hint="eastAsia"/>
                <w:szCs w:val="24"/>
                <w:u w:val="single"/>
              </w:rPr>
              <w:t>四九九</w:t>
            </w:r>
            <w:r w:rsidRPr="00705C1C">
              <w:rPr>
                <w:rFonts w:ascii="標楷體" w:eastAsia="標楷體" w:hAnsi="標楷體" w:hint="eastAsia"/>
                <w:szCs w:val="24"/>
              </w:rPr>
              <w:t>交易單位，前揭分配為零股者及零股交易，每筆分配數量不得超過</w:t>
            </w:r>
            <w:r w:rsidRPr="00705C1C">
              <w:rPr>
                <w:rFonts w:ascii="標楷體" w:eastAsia="標楷體" w:hAnsi="標楷體" w:hint="eastAsia"/>
                <w:szCs w:val="24"/>
                <w:u w:val="single"/>
              </w:rPr>
              <w:t>九九九</w:t>
            </w:r>
            <w:r w:rsidRPr="00705C1C">
              <w:rPr>
                <w:rFonts w:ascii="標楷體" w:eastAsia="標楷體" w:hAnsi="標楷體" w:hint="eastAsia"/>
                <w:szCs w:val="24"/>
              </w:rPr>
              <w:t>股，另分配為千股之整倍數者應與分配為零股者分別申報。</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（四）證券商依受任人指示以千股之整倍數分配予各委託人之個別證券總成交金額應申報為十元之整倍數；另依受任人指示以零股分配予各委託人之個別證券之總成交金額得申報為元、</w:t>
            </w:r>
            <w:proofErr w:type="gramStart"/>
            <w:r w:rsidRPr="00705C1C">
              <w:rPr>
                <w:rFonts w:ascii="標楷體" w:eastAsia="標楷體" w:hAnsi="標楷體" w:hint="eastAsia"/>
                <w:szCs w:val="24"/>
              </w:rPr>
              <w:t>角或分</w:t>
            </w:r>
            <w:proofErr w:type="gramEnd"/>
            <w:r w:rsidRPr="00705C1C">
              <w:rPr>
                <w:rFonts w:ascii="標楷體" w:eastAsia="標楷體" w:hAnsi="標楷體" w:hint="eastAsia"/>
                <w:szCs w:val="24"/>
              </w:rPr>
              <w:t>，其分配總成交數量應申報為1股之整倍數。</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（五）證券商受託以綜合交易帳戶進行鉅額買賣後，依受任人指示分配予各委託人之個別證券總成交金額得申報為元、</w:t>
            </w:r>
            <w:proofErr w:type="gramStart"/>
            <w:r w:rsidRPr="00705C1C">
              <w:rPr>
                <w:rFonts w:ascii="標楷體" w:eastAsia="標楷體" w:hAnsi="標楷體" w:hint="eastAsia"/>
                <w:szCs w:val="24"/>
              </w:rPr>
              <w:t>角或分</w:t>
            </w:r>
            <w:proofErr w:type="gramEnd"/>
            <w:r w:rsidRPr="00705C1C">
              <w:rPr>
                <w:rFonts w:ascii="標楷體" w:eastAsia="標楷體" w:hAnsi="標楷體" w:hint="eastAsia"/>
                <w:szCs w:val="24"/>
              </w:rPr>
              <w:t>，其分配總成交數量應申報為 1股之整倍數；前揭分配</w:t>
            </w:r>
            <w:proofErr w:type="gramStart"/>
            <w:r w:rsidRPr="00705C1C">
              <w:rPr>
                <w:rFonts w:ascii="標楷體" w:eastAsia="標楷體" w:hAnsi="標楷體" w:hint="eastAsia"/>
                <w:szCs w:val="24"/>
              </w:rPr>
              <w:t>明細應與</w:t>
            </w:r>
            <w:proofErr w:type="gramEnd"/>
            <w:r w:rsidRPr="00705C1C">
              <w:rPr>
                <w:rFonts w:ascii="標楷體" w:eastAsia="標楷體" w:hAnsi="標楷體" w:hint="eastAsia"/>
                <w:szCs w:val="24"/>
              </w:rPr>
              <w:t>普通交易、盤後定價交易及零股交易分別申報，且不須符合本中心上櫃證券鉅額買賣辦法有關數量、種類及金額相關規定。另鉅額買賣不適用本作業要點參、二、（一）規定。</w:t>
            </w:r>
          </w:p>
          <w:p w:rsidR="00690C14"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（六）證券商申報各委託人之總成交金額與委託人實際交割金額之差額，證券商得以「其他營業收入」或「其他營業支出」</w:t>
            </w:r>
            <w:proofErr w:type="gramStart"/>
            <w:r w:rsidRPr="00705C1C">
              <w:rPr>
                <w:rFonts w:ascii="標楷體" w:eastAsia="標楷體" w:hAnsi="標楷體" w:hint="eastAsia"/>
                <w:szCs w:val="24"/>
              </w:rPr>
              <w:t>入帳</w:t>
            </w:r>
            <w:proofErr w:type="gramEnd"/>
            <w:r w:rsidRPr="00705C1C">
              <w:rPr>
                <w:rFonts w:ascii="標楷體" w:eastAsia="標楷體" w:hAnsi="標楷體" w:hint="eastAsia"/>
                <w:szCs w:val="24"/>
              </w:rPr>
              <w:t>。</w:t>
            </w:r>
          </w:p>
          <w:p w:rsidR="00DC75F1" w:rsidRPr="00705C1C" w:rsidRDefault="00690C14" w:rsidP="000F369C">
            <w:pPr>
              <w:ind w:left="713" w:hangingChars="297" w:hanging="713"/>
              <w:jc w:val="both"/>
              <w:rPr>
                <w:rFonts w:ascii="標楷體" w:eastAsia="標楷體" w:hAnsi="標楷體"/>
                <w:szCs w:val="24"/>
              </w:rPr>
            </w:pPr>
            <w:r w:rsidRPr="00705C1C">
              <w:rPr>
                <w:rFonts w:ascii="標楷體" w:eastAsia="標楷體" w:hAnsi="標楷體" w:hint="eastAsia"/>
                <w:szCs w:val="24"/>
              </w:rPr>
              <w:t>（七）個別證券依分配後之成交</w:t>
            </w:r>
            <w:proofErr w:type="gramStart"/>
            <w:r w:rsidRPr="00705C1C">
              <w:rPr>
                <w:rFonts w:ascii="標楷體" w:eastAsia="標楷體" w:hAnsi="標楷體" w:hint="eastAsia"/>
                <w:szCs w:val="24"/>
              </w:rPr>
              <w:t>明細所計算</w:t>
            </w:r>
            <w:proofErr w:type="gramEnd"/>
            <w:r w:rsidRPr="00705C1C">
              <w:rPr>
                <w:rFonts w:ascii="標楷體" w:eastAsia="標楷體" w:hAnsi="標楷體" w:hint="eastAsia"/>
                <w:szCs w:val="24"/>
              </w:rPr>
              <w:t>之成交價格，如有逾越該綜合交易帳戶當日成交之最高或最低價格等不符公平合理之情事者，本中心</w:t>
            </w:r>
            <w:r w:rsidRPr="00705C1C">
              <w:rPr>
                <w:rFonts w:ascii="標楷體" w:eastAsia="標楷體" w:hAnsi="標楷體" w:hint="eastAsia"/>
                <w:szCs w:val="24"/>
              </w:rPr>
              <w:lastRenderedPageBreak/>
              <w:t xml:space="preserve">得公布受任人之名稱等相關資料，並通知其委託人。 </w:t>
            </w:r>
          </w:p>
          <w:p w:rsidR="000F369C" w:rsidRPr="00705C1C" w:rsidRDefault="000F369C" w:rsidP="000F369C">
            <w:pPr>
              <w:jc w:val="center"/>
              <w:rPr>
                <w:rFonts w:ascii="標楷體" w:eastAsia="標楷體" w:hAnsi="標楷體"/>
                <w:szCs w:val="24"/>
              </w:rPr>
            </w:pPr>
          </w:p>
          <w:p w:rsidR="00D875AF" w:rsidRPr="00705C1C" w:rsidRDefault="00E33B46" w:rsidP="000F369C">
            <w:pPr>
              <w:jc w:val="center"/>
              <w:rPr>
                <w:rFonts w:ascii="標楷體" w:eastAsia="標楷體" w:hAnsi="標楷體"/>
                <w:szCs w:val="24"/>
              </w:rPr>
            </w:pPr>
            <w:r w:rsidRPr="00705C1C">
              <w:rPr>
                <w:rFonts w:ascii="標楷體" w:eastAsia="標楷體" w:hAnsi="標楷體" w:hint="eastAsia"/>
                <w:szCs w:val="24"/>
              </w:rPr>
              <w:t>(三</w:t>
            </w:r>
            <w:r w:rsidRPr="00705C1C">
              <w:rPr>
                <w:rFonts w:ascii="標楷體" w:eastAsia="標楷體" w:hAnsi="標楷體" w:hint="eastAsia"/>
                <w:kern w:val="0"/>
                <w:szCs w:val="24"/>
              </w:rPr>
              <w:t>〜六未修正</w:t>
            </w:r>
            <w:r w:rsidRPr="00705C1C">
              <w:rPr>
                <w:rFonts w:ascii="標楷體" w:eastAsia="標楷體" w:hAnsi="標楷體" w:hint="eastAsia"/>
                <w:szCs w:val="24"/>
              </w:rPr>
              <w:t>略</w:t>
            </w:r>
            <w:r w:rsidR="00012EB0" w:rsidRPr="00705C1C">
              <w:rPr>
                <w:rFonts w:ascii="標楷體" w:eastAsia="標楷體" w:hAnsi="標楷體" w:hint="eastAsia"/>
                <w:szCs w:val="24"/>
              </w:rPr>
              <w:t>)</w:t>
            </w:r>
          </w:p>
          <w:p w:rsidR="000F369C" w:rsidRPr="00705C1C" w:rsidRDefault="000F369C" w:rsidP="000F369C">
            <w:pPr>
              <w:jc w:val="center"/>
              <w:rPr>
                <w:rFonts w:ascii="標楷體" w:eastAsia="標楷體" w:hAnsi="標楷體"/>
                <w:szCs w:val="24"/>
              </w:rPr>
            </w:pPr>
          </w:p>
          <w:p w:rsidR="00E33B46" w:rsidRPr="00705C1C" w:rsidRDefault="00E33B46" w:rsidP="000F369C">
            <w:pPr>
              <w:jc w:val="both"/>
              <w:rPr>
                <w:rFonts w:ascii="標楷體" w:eastAsia="標楷體" w:hAnsi="標楷體"/>
                <w:szCs w:val="24"/>
              </w:rPr>
            </w:pPr>
            <w:r w:rsidRPr="00705C1C">
              <w:rPr>
                <w:rFonts w:ascii="標楷體" w:eastAsia="標楷體" w:hAnsi="標楷體" w:hint="eastAsia"/>
                <w:szCs w:val="24"/>
              </w:rPr>
              <w:t>七、信用交易及借</w:t>
            </w:r>
            <w:proofErr w:type="gramStart"/>
            <w:r w:rsidRPr="00705C1C">
              <w:rPr>
                <w:rFonts w:ascii="標楷體" w:eastAsia="標楷體" w:hAnsi="標楷體" w:hint="eastAsia"/>
                <w:szCs w:val="24"/>
              </w:rPr>
              <w:t>券</w:t>
            </w:r>
            <w:proofErr w:type="gramEnd"/>
            <w:r w:rsidRPr="00705C1C">
              <w:rPr>
                <w:rFonts w:ascii="標楷體" w:eastAsia="標楷體" w:hAnsi="標楷體" w:hint="eastAsia"/>
                <w:szCs w:val="24"/>
              </w:rPr>
              <w:t>申報作業</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w:t>
            </w:r>
            <w:proofErr w:type="gramStart"/>
            <w:r w:rsidRPr="00705C1C">
              <w:rPr>
                <w:rFonts w:ascii="標楷體" w:eastAsia="標楷體" w:hAnsi="標楷體" w:hint="eastAsia"/>
                <w:szCs w:val="24"/>
              </w:rPr>
              <w:t>一</w:t>
            </w:r>
            <w:proofErr w:type="gramEnd"/>
            <w:r w:rsidRPr="00705C1C">
              <w:rPr>
                <w:rFonts w:ascii="標楷體" w:eastAsia="標楷體" w:hAnsi="標楷體" w:hint="eastAsia"/>
                <w:szCs w:val="24"/>
              </w:rPr>
              <w:t>)個別證券之各交易類別總成交數量，於分配前及分配後必須相同。</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(二)證券商申報更改交易類別為融券或借</w:t>
            </w:r>
            <w:proofErr w:type="gramStart"/>
            <w:r w:rsidRPr="00705C1C">
              <w:rPr>
                <w:rFonts w:ascii="標楷體" w:eastAsia="標楷體" w:hAnsi="標楷體" w:hint="eastAsia"/>
                <w:szCs w:val="24"/>
              </w:rPr>
              <w:t>券</w:t>
            </w:r>
            <w:proofErr w:type="gramEnd"/>
            <w:r w:rsidRPr="00705C1C">
              <w:rPr>
                <w:rFonts w:ascii="標楷體" w:eastAsia="標楷體" w:hAnsi="標楷體" w:hint="eastAsia"/>
                <w:szCs w:val="24"/>
              </w:rPr>
              <w:t>賣出者，分配前之委託價格及分配後之成交價格，應符合融券賣出或借</w:t>
            </w:r>
            <w:proofErr w:type="gramStart"/>
            <w:r w:rsidRPr="00705C1C">
              <w:rPr>
                <w:rFonts w:ascii="標楷體" w:eastAsia="標楷體" w:hAnsi="標楷體" w:hint="eastAsia"/>
                <w:szCs w:val="24"/>
              </w:rPr>
              <w:t>券</w:t>
            </w:r>
            <w:proofErr w:type="gramEnd"/>
            <w:r w:rsidRPr="00705C1C">
              <w:rPr>
                <w:rFonts w:ascii="標楷體" w:eastAsia="標楷體" w:hAnsi="標楷體" w:hint="eastAsia"/>
                <w:szCs w:val="24"/>
              </w:rPr>
              <w:t>賣出不得低於前一營業日等價成交系統最後一筆成交價之限制。</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(三)凡屬信用交易之各交易類別，成交日後第一營業日不得申報部分調整分配。</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(四)委託人因自行買賣及與經由綜合交易帳戶所分配之有價證券</w:t>
            </w:r>
            <w:proofErr w:type="gramStart"/>
            <w:r w:rsidRPr="00705C1C">
              <w:rPr>
                <w:rFonts w:ascii="標楷體" w:eastAsia="標楷體" w:hAnsi="標楷體" w:hint="eastAsia"/>
                <w:szCs w:val="24"/>
              </w:rPr>
              <w:t>併</w:t>
            </w:r>
            <w:proofErr w:type="gramEnd"/>
            <w:r w:rsidRPr="00705C1C">
              <w:rPr>
                <w:rFonts w:ascii="標楷體" w:eastAsia="標楷體" w:hAnsi="標楷體" w:hint="eastAsia"/>
                <w:szCs w:val="24"/>
              </w:rPr>
              <w:t>計，而發生同日有融資買進與融券賣出同種類同數量之有價證券者，依「</w:t>
            </w:r>
            <w:r w:rsidRPr="00705C1C">
              <w:rPr>
                <w:rFonts w:ascii="標楷體" w:eastAsia="標楷體" w:hAnsi="標楷體" w:hint="eastAsia"/>
                <w:szCs w:val="24"/>
                <w:u w:val="single"/>
              </w:rPr>
              <w:t>上櫃股票信用交易資</w:t>
            </w:r>
            <w:proofErr w:type="gramStart"/>
            <w:r w:rsidRPr="00705C1C">
              <w:rPr>
                <w:rFonts w:ascii="標楷體" w:eastAsia="標楷體" w:hAnsi="標楷體" w:hint="eastAsia"/>
                <w:szCs w:val="24"/>
                <w:u w:val="single"/>
              </w:rPr>
              <w:t>券</w:t>
            </w:r>
            <w:proofErr w:type="gramEnd"/>
            <w:r w:rsidRPr="00705C1C">
              <w:rPr>
                <w:rFonts w:ascii="標楷體" w:eastAsia="標楷體" w:hAnsi="標楷體" w:hint="eastAsia"/>
                <w:szCs w:val="24"/>
                <w:u w:val="single"/>
              </w:rPr>
              <w:t>相抵交割之交易作業要點</w:t>
            </w:r>
            <w:r w:rsidRPr="00705C1C">
              <w:rPr>
                <w:rFonts w:ascii="標楷體" w:eastAsia="標楷體" w:hAnsi="標楷體" w:hint="eastAsia"/>
                <w:szCs w:val="24"/>
              </w:rPr>
              <w:t>」相關規定辦理。</w:t>
            </w:r>
          </w:p>
          <w:p w:rsidR="00E33B46" w:rsidRPr="00705C1C" w:rsidRDefault="00E33B46" w:rsidP="000F369C">
            <w:pPr>
              <w:ind w:leftChars="35" w:left="588" w:hangingChars="210" w:hanging="504"/>
              <w:jc w:val="both"/>
              <w:rPr>
                <w:rFonts w:ascii="標楷體" w:eastAsia="標楷體" w:hAnsi="標楷體"/>
                <w:szCs w:val="24"/>
              </w:rPr>
            </w:pPr>
            <w:r w:rsidRPr="00705C1C">
              <w:rPr>
                <w:rFonts w:ascii="標楷體" w:eastAsia="標楷體" w:hAnsi="標楷體" w:hint="eastAsia"/>
                <w:szCs w:val="24"/>
              </w:rPr>
              <w:t>(五)證券商受託以綜合交易帳戶進行融資融券買賣時，由受任人自行控管各委託人之融資融券買賣額度及得否進行融資融券交易，如申報分配後發現委託人有逾越限額或不得進融資融券交易者，則由證券商依現行本中心「證券商辦理更改交易類別作業處理要點」相關規定辦理。</w:t>
            </w:r>
          </w:p>
        </w:tc>
        <w:tc>
          <w:tcPr>
            <w:tcW w:w="2861" w:type="dxa"/>
          </w:tcPr>
          <w:p w:rsidR="000F74B1" w:rsidRPr="00705C1C" w:rsidRDefault="00B544C3" w:rsidP="0023084D">
            <w:pPr>
              <w:pStyle w:val="ac"/>
              <w:numPr>
                <w:ilvl w:val="0"/>
                <w:numId w:val="48"/>
              </w:numPr>
              <w:ind w:leftChars="0"/>
              <w:jc w:val="both"/>
              <w:rPr>
                <w:rFonts w:ascii="標楷體" w:eastAsia="標楷體" w:hAnsi="標楷體" w:cs="MS Mincho"/>
              </w:rPr>
            </w:pPr>
            <w:r w:rsidRPr="00705C1C">
              <w:rPr>
                <w:rFonts w:ascii="標楷體" w:eastAsia="標楷體" w:hAnsi="標楷體" w:cs="Times New Roman" w:hint="eastAsia"/>
                <w:szCs w:val="24"/>
              </w:rPr>
              <w:lastRenderedPageBreak/>
              <w:t>有關抽查委託人委託金額頻率已由每日改為每週，為配合</w:t>
            </w:r>
            <w:r w:rsidR="000F74B1" w:rsidRPr="00705C1C">
              <w:rPr>
                <w:rFonts w:ascii="標楷體" w:eastAsia="標楷體" w:hAnsi="標楷體" w:cs="Times New Roman" w:hint="eastAsia"/>
                <w:szCs w:val="24"/>
              </w:rPr>
              <w:t>「證券商內部控制制度標準規範」</w:t>
            </w:r>
            <w:r w:rsidRPr="00705C1C">
              <w:rPr>
                <w:rFonts w:ascii="標楷體" w:eastAsia="標楷體" w:hAnsi="標楷體" w:cs="Times New Roman" w:hint="eastAsia"/>
                <w:szCs w:val="24"/>
              </w:rPr>
              <w:t>規定調整及降低未來法規修正頻率，</w:t>
            </w:r>
            <w:proofErr w:type="gramStart"/>
            <w:r w:rsidRPr="00705C1C">
              <w:rPr>
                <w:rFonts w:ascii="標楷體" w:eastAsia="標楷體" w:hAnsi="標楷體" w:cs="Times New Roman" w:hint="eastAsia"/>
                <w:szCs w:val="24"/>
              </w:rPr>
              <w:t>爰</w:t>
            </w:r>
            <w:proofErr w:type="gramEnd"/>
            <w:r w:rsidRPr="00705C1C">
              <w:rPr>
                <w:rFonts w:ascii="標楷體" w:eastAsia="標楷體" w:hAnsi="標楷體" w:cs="Times New Roman" w:hint="eastAsia"/>
                <w:szCs w:val="24"/>
              </w:rPr>
              <w:t>配合</w:t>
            </w:r>
            <w:r w:rsidR="006347D0" w:rsidRPr="00705C1C">
              <w:rPr>
                <w:rFonts w:ascii="標楷體" w:eastAsia="標楷體" w:hAnsi="標楷體" w:cs="Times New Roman" w:hint="eastAsia"/>
                <w:szCs w:val="24"/>
              </w:rPr>
              <w:t>修正参、ㄧ</w:t>
            </w:r>
            <w:r w:rsidR="002209AF" w:rsidRPr="00705C1C">
              <w:rPr>
                <w:rFonts w:ascii="標楷體" w:eastAsia="標楷體" w:hAnsi="標楷體" w:cs="Times New Roman" w:hint="eastAsia"/>
                <w:szCs w:val="24"/>
              </w:rPr>
              <w:t>、</w:t>
            </w:r>
            <w:r w:rsidR="006347D0" w:rsidRPr="00705C1C">
              <w:rPr>
                <w:rFonts w:ascii="標楷體" w:eastAsia="標楷體" w:hAnsi="標楷體" w:cs="Times New Roman" w:hint="eastAsia"/>
                <w:szCs w:val="24"/>
              </w:rPr>
              <w:t>(七)</w:t>
            </w:r>
            <w:r w:rsidRPr="00705C1C">
              <w:rPr>
                <w:rFonts w:ascii="標楷體" w:eastAsia="標楷體" w:hAnsi="標楷體" w:cs="Times New Roman" w:hint="eastAsia"/>
                <w:szCs w:val="24"/>
              </w:rPr>
              <w:t>。</w:t>
            </w:r>
          </w:p>
          <w:p w:rsidR="00DA244A" w:rsidRPr="00705C1C" w:rsidRDefault="00012EB0" w:rsidP="0023084D">
            <w:pPr>
              <w:pStyle w:val="ac"/>
              <w:numPr>
                <w:ilvl w:val="0"/>
                <w:numId w:val="48"/>
              </w:numPr>
              <w:ind w:leftChars="0"/>
              <w:jc w:val="both"/>
              <w:rPr>
                <w:rFonts w:ascii="標楷體" w:eastAsia="標楷體" w:hAnsi="標楷體" w:cs="MS Mincho"/>
              </w:rPr>
            </w:pPr>
            <w:r w:rsidRPr="00705C1C">
              <w:rPr>
                <w:rFonts w:ascii="標楷體" w:eastAsia="標楷體" w:hAnsi="標楷體" w:hint="eastAsia"/>
              </w:rPr>
              <w:t>為簡化投資人透過綜合交易帳戶買賣有價證券</w:t>
            </w:r>
            <w:r w:rsidR="006347D0" w:rsidRPr="00705C1C">
              <w:rPr>
                <w:rFonts w:ascii="標楷體" w:eastAsia="標楷體" w:hAnsi="標楷體" w:hint="eastAsia"/>
              </w:rPr>
              <w:t>後</w:t>
            </w:r>
            <w:r w:rsidRPr="00705C1C">
              <w:rPr>
                <w:rFonts w:ascii="標楷體" w:eastAsia="標楷體" w:hAnsi="標楷體" w:hint="eastAsia"/>
              </w:rPr>
              <w:t>於盤後透過證券商申報成交分配明細作業，茲就</w:t>
            </w:r>
            <w:r w:rsidRPr="00705C1C">
              <w:rPr>
                <w:rFonts w:ascii="標楷體" w:eastAsia="標楷體" w:hAnsi="標楷體" w:cs="Times New Roman" w:hint="eastAsia"/>
                <w:szCs w:val="24"/>
              </w:rPr>
              <w:t>普通交易及盤後定價交易合併分配之每筆分配數量由四九九交易單位放寬為一萬交易單位</w:t>
            </w:r>
            <w:r w:rsidR="006347D0" w:rsidRPr="00705C1C">
              <w:rPr>
                <w:rFonts w:ascii="標楷體" w:eastAsia="標楷體" w:hAnsi="標楷體" w:cs="Times New Roman" w:hint="eastAsia"/>
                <w:szCs w:val="24"/>
              </w:rPr>
              <w:t>，</w:t>
            </w:r>
            <w:proofErr w:type="gramStart"/>
            <w:r w:rsidR="006347D0" w:rsidRPr="00705C1C">
              <w:rPr>
                <w:rFonts w:ascii="標楷體" w:eastAsia="標楷體" w:hAnsi="標楷體" w:cs="Times New Roman" w:hint="eastAsia"/>
                <w:szCs w:val="24"/>
              </w:rPr>
              <w:t>爰</w:t>
            </w:r>
            <w:proofErr w:type="gramEnd"/>
            <w:r w:rsidR="006347D0" w:rsidRPr="00705C1C">
              <w:rPr>
                <w:rFonts w:ascii="標楷體" w:eastAsia="標楷體" w:hAnsi="標楷體" w:cs="Times New Roman" w:hint="eastAsia"/>
                <w:szCs w:val="24"/>
              </w:rPr>
              <w:t>修正参、二</w:t>
            </w:r>
            <w:r w:rsidR="002209AF" w:rsidRPr="00705C1C">
              <w:rPr>
                <w:rFonts w:ascii="標楷體" w:eastAsia="標楷體" w:hAnsi="標楷體" w:cs="Times New Roman" w:hint="eastAsia"/>
                <w:szCs w:val="24"/>
              </w:rPr>
              <w:t>、</w:t>
            </w:r>
            <w:r w:rsidR="006347D0" w:rsidRPr="00705C1C">
              <w:rPr>
                <w:rFonts w:ascii="標楷體" w:eastAsia="標楷體" w:hAnsi="標楷體" w:cs="Times New Roman" w:hint="eastAsia"/>
                <w:szCs w:val="24"/>
              </w:rPr>
              <w:t>(三)</w:t>
            </w:r>
            <w:r w:rsidR="006521D4" w:rsidRPr="00705C1C">
              <w:rPr>
                <w:rFonts w:ascii="標楷體" w:eastAsia="標楷體" w:hAnsi="標楷體" w:cs="MS Mincho" w:hint="eastAsia"/>
              </w:rPr>
              <w:t>。</w:t>
            </w:r>
          </w:p>
          <w:p w:rsidR="00744671" w:rsidRPr="00705C1C" w:rsidRDefault="0023084D" w:rsidP="0023084D">
            <w:pPr>
              <w:pStyle w:val="ac"/>
              <w:numPr>
                <w:ilvl w:val="0"/>
                <w:numId w:val="48"/>
              </w:numPr>
              <w:ind w:leftChars="0"/>
              <w:jc w:val="both"/>
              <w:rPr>
                <w:rFonts w:ascii="標楷體" w:eastAsia="標楷體" w:hAnsi="標楷體" w:cs="MS Mincho"/>
              </w:rPr>
            </w:pPr>
            <w:r w:rsidRPr="00705C1C">
              <w:rPr>
                <w:rFonts w:ascii="標楷體" w:eastAsia="標楷體" w:hint="eastAsia"/>
              </w:rPr>
              <w:t>配合上市及上櫃二市場信用交易部分規章之整合，修訂「證券商辦理有價證券買賣融資融券業務操作辦法」，並於105年12月30日</w:t>
            </w:r>
            <w:r w:rsidRPr="00705C1C">
              <w:rPr>
                <w:rFonts w:ascii="標楷體" w:eastAsia="標楷體" w:hAnsi="標楷體" w:cs="Times New Roman" w:hint="eastAsia"/>
                <w:szCs w:val="24"/>
              </w:rPr>
              <w:t>公告實施</w:t>
            </w:r>
            <w:r w:rsidRPr="00705C1C">
              <w:rPr>
                <w:rFonts w:ascii="標楷體" w:eastAsia="標楷體" w:hAnsi="標楷體" w:hint="eastAsia"/>
                <w:szCs w:val="24"/>
              </w:rPr>
              <w:t>，</w:t>
            </w:r>
            <w:r w:rsidRPr="00705C1C">
              <w:rPr>
                <w:rFonts w:ascii="標楷體" w:eastAsia="標楷體" w:hAnsi="標楷體" w:cs="Times New Roman" w:hint="eastAsia"/>
                <w:szCs w:val="24"/>
              </w:rPr>
              <w:t>原「信用交易資</w:t>
            </w:r>
            <w:proofErr w:type="gramStart"/>
            <w:r w:rsidRPr="00705C1C">
              <w:rPr>
                <w:rFonts w:ascii="標楷體" w:eastAsia="標楷體" w:hAnsi="標楷體" w:cs="Times New Roman" w:hint="eastAsia"/>
                <w:szCs w:val="24"/>
              </w:rPr>
              <w:t>券</w:t>
            </w:r>
            <w:proofErr w:type="gramEnd"/>
            <w:r w:rsidRPr="00705C1C">
              <w:rPr>
                <w:rFonts w:ascii="標楷體" w:eastAsia="標楷體" w:hAnsi="標楷體" w:cs="Times New Roman" w:hint="eastAsia"/>
                <w:szCs w:val="24"/>
              </w:rPr>
              <w:t>相抵交割之交易作業要點」已併入前揭操作辦法中規範，</w:t>
            </w:r>
            <w:proofErr w:type="gramStart"/>
            <w:r w:rsidRPr="00705C1C">
              <w:rPr>
                <w:rFonts w:ascii="標楷體" w:eastAsia="標楷體" w:hAnsi="標楷體" w:cs="Times New Roman" w:hint="eastAsia"/>
                <w:szCs w:val="24"/>
              </w:rPr>
              <w:t>爰</w:t>
            </w:r>
            <w:proofErr w:type="gramEnd"/>
            <w:r w:rsidR="00705C1C">
              <w:rPr>
                <w:rFonts w:ascii="標楷體" w:eastAsia="標楷體" w:hAnsi="標楷體" w:cs="Times New Roman" w:hint="eastAsia"/>
                <w:szCs w:val="24"/>
              </w:rPr>
              <w:t>七</w:t>
            </w:r>
            <w:r w:rsidR="00705C1C">
              <w:rPr>
                <w:rFonts w:ascii="新細明體" w:eastAsia="新細明體" w:hAnsi="新細明體" w:cs="Times New Roman" w:hint="eastAsia"/>
                <w:szCs w:val="24"/>
              </w:rPr>
              <w:t>、</w:t>
            </w:r>
            <w:r w:rsidR="00705C1C">
              <w:rPr>
                <w:rFonts w:ascii="標楷體" w:eastAsia="標楷體" w:hAnsi="標楷體" w:cs="Times New Roman" w:hint="eastAsia"/>
                <w:szCs w:val="24"/>
              </w:rPr>
              <w:t>(四)</w:t>
            </w:r>
            <w:r w:rsidRPr="00705C1C">
              <w:rPr>
                <w:rFonts w:ascii="標楷體" w:eastAsia="標楷體" w:hAnsi="標楷體" w:cs="Times New Roman" w:hint="eastAsia"/>
                <w:szCs w:val="24"/>
              </w:rPr>
              <w:t>配合修正援引</w:t>
            </w:r>
            <w:r w:rsidRPr="00705C1C">
              <w:rPr>
                <w:rFonts w:ascii="標楷體" w:eastAsia="標楷體" w:hAnsi="標楷體" w:hint="eastAsia"/>
                <w:szCs w:val="24"/>
              </w:rPr>
              <w:t>規章。</w:t>
            </w:r>
          </w:p>
          <w:p w:rsidR="00433480" w:rsidRPr="00705C1C" w:rsidRDefault="006347D0" w:rsidP="0023084D">
            <w:pPr>
              <w:pStyle w:val="ac"/>
              <w:numPr>
                <w:ilvl w:val="0"/>
                <w:numId w:val="48"/>
              </w:numPr>
              <w:ind w:leftChars="0"/>
              <w:jc w:val="both"/>
              <w:rPr>
                <w:rFonts w:ascii="標楷體" w:eastAsia="標楷體" w:hAnsi="標楷體" w:cs="SimSun"/>
              </w:rPr>
            </w:pPr>
            <w:r w:rsidRPr="00705C1C">
              <w:rPr>
                <w:rFonts w:ascii="標楷體" w:eastAsia="標楷體" w:hAnsi="標楷體" w:hint="eastAsia"/>
              </w:rPr>
              <w:t>其餘修正</w:t>
            </w:r>
            <w:r w:rsidR="00433480" w:rsidRPr="00705C1C">
              <w:rPr>
                <w:rFonts w:ascii="標楷體" w:eastAsia="標楷體" w:hAnsi="標楷體" w:hint="eastAsia"/>
              </w:rPr>
              <w:t>文字。</w:t>
            </w:r>
          </w:p>
        </w:tc>
      </w:tr>
    </w:tbl>
    <w:p w:rsidR="00746138" w:rsidRPr="00561EDE" w:rsidRDefault="00746138" w:rsidP="006A10DA">
      <w:pPr>
        <w:rPr>
          <w:rFonts w:ascii="標楷體" w:eastAsia="標楷體" w:hAnsi="標楷體"/>
        </w:rPr>
      </w:pPr>
    </w:p>
    <w:sectPr w:rsidR="00746138" w:rsidRPr="00561EDE" w:rsidSect="008F616F">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E9" w:rsidRDefault="00F633E9" w:rsidP="00CF0559">
      <w:r>
        <w:separator/>
      </w:r>
    </w:p>
  </w:endnote>
  <w:endnote w:type="continuationSeparator" w:id="0">
    <w:p w:rsidR="00F633E9" w:rsidRDefault="00F633E9" w:rsidP="00CF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20368"/>
      <w:docPartObj>
        <w:docPartGallery w:val="Page Numbers (Bottom of Page)"/>
        <w:docPartUnique/>
      </w:docPartObj>
    </w:sdtPr>
    <w:sdtEndPr/>
    <w:sdtContent>
      <w:p w:rsidR="009E534B" w:rsidRDefault="003F5812" w:rsidP="00705C1C">
        <w:pPr>
          <w:pStyle w:val="aa"/>
          <w:jc w:val="center"/>
        </w:pPr>
        <w:r>
          <w:fldChar w:fldCharType="begin"/>
        </w:r>
        <w:r w:rsidR="00E142F0">
          <w:instrText xml:space="preserve"> PAGE   \* MERGEFORMAT </w:instrText>
        </w:r>
        <w:r>
          <w:fldChar w:fldCharType="separate"/>
        </w:r>
        <w:r w:rsidR="0065167D" w:rsidRPr="0065167D">
          <w:rPr>
            <w:noProof/>
            <w:lang w:val="zh-TW"/>
          </w:rPr>
          <w:t>1</w:t>
        </w:r>
        <w:r>
          <w:rPr>
            <w:noProof/>
            <w:lang w:val="zh-TW"/>
          </w:rPr>
          <w:fldChar w:fldCharType="end"/>
        </w:r>
      </w:p>
    </w:sdtContent>
  </w:sdt>
  <w:p w:rsidR="009E534B" w:rsidRDefault="009E53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E9" w:rsidRDefault="00F633E9" w:rsidP="00CF0559">
      <w:r>
        <w:separator/>
      </w:r>
    </w:p>
  </w:footnote>
  <w:footnote w:type="continuationSeparator" w:id="0">
    <w:p w:rsidR="00F633E9" w:rsidRDefault="00F633E9" w:rsidP="00CF0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96B"/>
    <w:multiLevelType w:val="hybridMultilevel"/>
    <w:tmpl w:val="0DCA3BC6"/>
    <w:lvl w:ilvl="0" w:tplc="462EE162">
      <w:start w:val="1"/>
      <w:numFmt w:val="taiwaneseCountingThousand"/>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
    <w:nsid w:val="06B3262C"/>
    <w:multiLevelType w:val="hybridMultilevel"/>
    <w:tmpl w:val="8B92DC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0E4DF1"/>
    <w:multiLevelType w:val="hybridMultilevel"/>
    <w:tmpl w:val="17965644"/>
    <w:lvl w:ilvl="0" w:tplc="FC805FFA">
      <w:start w:val="1"/>
      <w:numFmt w:val="taiwaneseCountingThousand"/>
      <w:lvlText w:val="%1、"/>
      <w:lvlJc w:val="left"/>
      <w:pPr>
        <w:ind w:left="408" w:hanging="408"/>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2F369B"/>
    <w:multiLevelType w:val="hybridMultilevel"/>
    <w:tmpl w:val="055ABF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060BD5"/>
    <w:multiLevelType w:val="hybridMultilevel"/>
    <w:tmpl w:val="ABE85E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D5772B"/>
    <w:multiLevelType w:val="hybridMultilevel"/>
    <w:tmpl w:val="FABEEF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F05A9B"/>
    <w:multiLevelType w:val="hybridMultilevel"/>
    <w:tmpl w:val="BECE89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A1272A6"/>
    <w:multiLevelType w:val="hybridMultilevel"/>
    <w:tmpl w:val="2DA0CA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AE06078"/>
    <w:multiLevelType w:val="hybridMultilevel"/>
    <w:tmpl w:val="0AE69392"/>
    <w:lvl w:ilvl="0" w:tplc="C91CDE5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C281F2E"/>
    <w:multiLevelType w:val="hybridMultilevel"/>
    <w:tmpl w:val="F19C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C997C52"/>
    <w:multiLevelType w:val="hybridMultilevel"/>
    <w:tmpl w:val="4E9AF5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620882"/>
    <w:multiLevelType w:val="hybridMultilevel"/>
    <w:tmpl w:val="4DBA72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0F254C9"/>
    <w:multiLevelType w:val="hybridMultilevel"/>
    <w:tmpl w:val="F01E6A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3723F70"/>
    <w:multiLevelType w:val="hybridMultilevel"/>
    <w:tmpl w:val="1F44DDE2"/>
    <w:lvl w:ilvl="0" w:tplc="BBF05596">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3D75910"/>
    <w:multiLevelType w:val="hybridMultilevel"/>
    <w:tmpl w:val="4238C7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4ED097E"/>
    <w:multiLevelType w:val="hybridMultilevel"/>
    <w:tmpl w:val="AD507788"/>
    <w:lvl w:ilvl="0" w:tplc="A2A2BD60">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6">
    <w:nsid w:val="162C5DE3"/>
    <w:multiLevelType w:val="hybridMultilevel"/>
    <w:tmpl w:val="FB045F7E"/>
    <w:lvl w:ilvl="0" w:tplc="C0F27B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96979D9"/>
    <w:multiLevelType w:val="hybridMultilevel"/>
    <w:tmpl w:val="D13A24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B2518D"/>
    <w:multiLevelType w:val="hybridMultilevel"/>
    <w:tmpl w:val="90DCBE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6347B7"/>
    <w:multiLevelType w:val="hybridMultilevel"/>
    <w:tmpl w:val="547A1D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16E40A7"/>
    <w:multiLevelType w:val="hybridMultilevel"/>
    <w:tmpl w:val="20BC25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6967B38"/>
    <w:multiLevelType w:val="hybridMultilevel"/>
    <w:tmpl w:val="43FA60CC"/>
    <w:lvl w:ilvl="0" w:tplc="D5721328">
      <w:start w:val="1"/>
      <w:numFmt w:val="taiwaneseCountingThousand"/>
      <w:lvlText w:val="%1、"/>
      <w:lvlJc w:val="left"/>
      <w:pPr>
        <w:ind w:left="408" w:hanging="408"/>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D85011"/>
    <w:multiLevelType w:val="hybridMultilevel"/>
    <w:tmpl w:val="435C9A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8EE78D8"/>
    <w:multiLevelType w:val="hybridMultilevel"/>
    <w:tmpl w:val="B324E122"/>
    <w:lvl w:ilvl="0" w:tplc="78B8D0E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92A79BE"/>
    <w:multiLevelType w:val="hybridMultilevel"/>
    <w:tmpl w:val="1E54F0EE"/>
    <w:lvl w:ilvl="0" w:tplc="20466B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DB6544F"/>
    <w:multiLevelType w:val="hybridMultilevel"/>
    <w:tmpl w:val="E1D408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4736B98"/>
    <w:multiLevelType w:val="hybridMultilevel"/>
    <w:tmpl w:val="550290C4"/>
    <w:lvl w:ilvl="0" w:tplc="FA24C468">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92337E7"/>
    <w:multiLevelType w:val="hybridMultilevel"/>
    <w:tmpl w:val="17B4B8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A4235C5"/>
    <w:multiLevelType w:val="hybridMultilevel"/>
    <w:tmpl w:val="E27688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F780FA0"/>
    <w:multiLevelType w:val="hybridMultilevel"/>
    <w:tmpl w:val="03226DE6"/>
    <w:lvl w:ilvl="0" w:tplc="D694766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429109FA"/>
    <w:multiLevelType w:val="hybridMultilevel"/>
    <w:tmpl w:val="636CA9A4"/>
    <w:lvl w:ilvl="0" w:tplc="E8C448EE">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8164AB3"/>
    <w:multiLevelType w:val="hybridMultilevel"/>
    <w:tmpl w:val="DEC25256"/>
    <w:lvl w:ilvl="0" w:tplc="3BE890A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84240C1"/>
    <w:multiLevelType w:val="hybridMultilevel"/>
    <w:tmpl w:val="35C2D2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94C386F"/>
    <w:multiLevelType w:val="hybridMultilevel"/>
    <w:tmpl w:val="458A2C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A8B04A4"/>
    <w:multiLevelType w:val="hybridMultilevel"/>
    <w:tmpl w:val="5D82B796"/>
    <w:lvl w:ilvl="0" w:tplc="A5B47F6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D8527BD"/>
    <w:multiLevelType w:val="hybridMultilevel"/>
    <w:tmpl w:val="55E6C600"/>
    <w:lvl w:ilvl="0" w:tplc="60E8042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314797"/>
    <w:multiLevelType w:val="hybridMultilevel"/>
    <w:tmpl w:val="157474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0F64076"/>
    <w:multiLevelType w:val="hybridMultilevel"/>
    <w:tmpl w:val="F05814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8E21080"/>
    <w:multiLevelType w:val="hybridMultilevel"/>
    <w:tmpl w:val="8CFAC8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C99135A"/>
    <w:multiLevelType w:val="hybridMultilevel"/>
    <w:tmpl w:val="6EFA10D0"/>
    <w:lvl w:ilvl="0" w:tplc="E15401E8">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2B173BB"/>
    <w:multiLevelType w:val="hybridMultilevel"/>
    <w:tmpl w:val="739201FC"/>
    <w:lvl w:ilvl="0" w:tplc="690A2432">
      <w:start w:val="1"/>
      <w:numFmt w:val="taiwaneseCountingThousand"/>
      <w:lvlText w:val="%1、"/>
      <w:lvlJc w:val="left"/>
      <w:pPr>
        <w:ind w:left="1241" w:hanging="360"/>
      </w:pPr>
      <w:rPr>
        <w:rFonts w:hint="default"/>
        <w:lang w:val="en-US"/>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41">
    <w:nsid w:val="68E42F6E"/>
    <w:multiLevelType w:val="hybridMultilevel"/>
    <w:tmpl w:val="A64E8604"/>
    <w:lvl w:ilvl="0" w:tplc="91A01E46">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BA14C55"/>
    <w:multiLevelType w:val="hybridMultilevel"/>
    <w:tmpl w:val="9A960E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D620AE7"/>
    <w:multiLevelType w:val="hybridMultilevel"/>
    <w:tmpl w:val="520AD9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DB93231"/>
    <w:multiLevelType w:val="hybridMultilevel"/>
    <w:tmpl w:val="9030E9AC"/>
    <w:lvl w:ilvl="0" w:tplc="A5B47F6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1C14054"/>
    <w:multiLevelType w:val="hybridMultilevel"/>
    <w:tmpl w:val="C4D23C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38C084C"/>
    <w:multiLevelType w:val="hybridMultilevel"/>
    <w:tmpl w:val="444210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91740EB"/>
    <w:multiLevelType w:val="hybridMultilevel"/>
    <w:tmpl w:val="A00C58F8"/>
    <w:lvl w:ilvl="0" w:tplc="F1CCD5A4">
      <w:start w:val="1"/>
      <w:numFmt w:val="taiwaneseCountingThousand"/>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num w:numId="1">
    <w:abstractNumId w:val="0"/>
  </w:num>
  <w:num w:numId="2">
    <w:abstractNumId w:val="47"/>
  </w:num>
  <w:num w:numId="3">
    <w:abstractNumId w:val="40"/>
  </w:num>
  <w:num w:numId="4">
    <w:abstractNumId w:val="3"/>
  </w:num>
  <w:num w:numId="5">
    <w:abstractNumId w:val="7"/>
  </w:num>
  <w:num w:numId="6">
    <w:abstractNumId w:val="1"/>
  </w:num>
  <w:num w:numId="7">
    <w:abstractNumId w:val="23"/>
  </w:num>
  <w:num w:numId="8">
    <w:abstractNumId w:val="19"/>
  </w:num>
  <w:num w:numId="9">
    <w:abstractNumId w:val="17"/>
  </w:num>
  <w:num w:numId="10">
    <w:abstractNumId w:val="33"/>
  </w:num>
  <w:num w:numId="11">
    <w:abstractNumId w:val="6"/>
  </w:num>
  <w:num w:numId="12">
    <w:abstractNumId w:val="42"/>
  </w:num>
  <w:num w:numId="13">
    <w:abstractNumId w:val="12"/>
  </w:num>
  <w:num w:numId="14">
    <w:abstractNumId w:val="28"/>
  </w:num>
  <w:num w:numId="15">
    <w:abstractNumId w:val="25"/>
  </w:num>
  <w:num w:numId="16">
    <w:abstractNumId w:val="46"/>
  </w:num>
  <w:num w:numId="17">
    <w:abstractNumId w:val="4"/>
  </w:num>
  <w:num w:numId="18">
    <w:abstractNumId w:val="11"/>
  </w:num>
  <w:num w:numId="19">
    <w:abstractNumId w:val="35"/>
  </w:num>
  <w:num w:numId="20">
    <w:abstractNumId w:val="5"/>
  </w:num>
  <w:num w:numId="21">
    <w:abstractNumId w:val="24"/>
  </w:num>
  <w:num w:numId="22">
    <w:abstractNumId w:val="15"/>
  </w:num>
  <w:num w:numId="23">
    <w:abstractNumId w:val="2"/>
  </w:num>
  <w:num w:numId="24">
    <w:abstractNumId w:val="18"/>
  </w:num>
  <w:num w:numId="25">
    <w:abstractNumId w:val="20"/>
  </w:num>
  <w:num w:numId="26">
    <w:abstractNumId w:val="21"/>
  </w:num>
  <w:num w:numId="27">
    <w:abstractNumId w:val="38"/>
  </w:num>
  <w:num w:numId="28">
    <w:abstractNumId w:val="37"/>
  </w:num>
  <w:num w:numId="29">
    <w:abstractNumId w:val="14"/>
  </w:num>
  <w:num w:numId="30">
    <w:abstractNumId w:val="32"/>
  </w:num>
  <w:num w:numId="31">
    <w:abstractNumId w:val="39"/>
  </w:num>
  <w:num w:numId="32">
    <w:abstractNumId w:val="31"/>
  </w:num>
  <w:num w:numId="33">
    <w:abstractNumId w:val="10"/>
  </w:num>
  <w:num w:numId="34">
    <w:abstractNumId w:val="9"/>
  </w:num>
  <w:num w:numId="35">
    <w:abstractNumId w:val="36"/>
  </w:num>
  <w:num w:numId="36">
    <w:abstractNumId w:val="22"/>
  </w:num>
  <w:num w:numId="37">
    <w:abstractNumId w:val="8"/>
  </w:num>
  <w:num w:numId="38">
    <w:abstractNumId w:val="27"/>
  </w:num>
  <w:num w:numId="39">
    <w:abstractNumId w:val="16"/>
  </w:num>
  <w:num w:numId="40">
    <w:abstractNumId w:val="45"/>
  </w:num>
  <w:num w:numId="41">
    <w:abstractNumId w:val="44"/>
  </w:num>
  <w:num w:numId="42">
    <w:abstractNumId w:val="34"/>
  </w:num>
  <w:num w:numId="43">
    <w:abstractNumId w:val="29"/>
  </w:num>
  <w:num w:numId="44">
    <w:abstractNumId w:val="41"/>
  </w:num>
  <w:num w:numId="45">
    <w:abstractNumId w:val="43"/>
  </w:num>
  <w:num w:numId="46">
    <w:abstractNumId w:val="13"/>
  </w:num>
  <w:num w:numId="47">
    <w:abstractNumId w:val="2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138"/>
    <w:rsid w:val="00002A2E"/>
    <w:rsid w:val="000069E9"/>
    <w:rsid w:val="00006AAA"/>
    <w:rsid w:val="00012EB0"/>
    <w:rsid w:val="00016132"/>
    <w:rsid w:val="00016E8C"/>
    <w:rsid w:val="00017667"/>
    <w:rsid w:val="000238DF"/>
    <w:rsid w:val="000247E0"/>
    <w:rsid w:val="00024FA3"/>
    <w:rsid w:val="000257DD"/>
    <w:rsid w:val="00025875"/>
    <w:rsid w:val="00035220"/>
    <w:rsid w:val="00036335"/>
    <w:rsid w:val="00041304"/>
    <w:rsid w:val="0004156E"/>
    <w:rsid w:val="000455A0"/>
    <w:rsid w:val="0004593D"/>
    <w:rsid w:val="00046ACF"/>
    <w:rsid w:val="00050D4D"/>
    <w:rsid w:val="00057AC7"/>
    <w:rsid w:val="000603A3"/>
    <w:rsid w:val="00060601"/>
    <w:rsid w:val="000624B9"/>
    <w:rsid w:val="00063157"/>
    <w:rsid w:val="00064F75"/>
    <w:rsid w:val="00066ABE"/>
    <w:rsid w:val="0007005B"/>
    <w:rsid w:val="000755AF"/>
    <w:rsid w:val="00086BBD"/>
    <w:rsid w:val="00091D8F"/>
    <w:rsid w:val="0009277E"/>
    <w:rsid w:val="000941E9"/>
    <w:rsid w:val="00095A41"/>
    <w:rsid w:val="000963F3"/>
    <w:rsid w:val="000A0CA7"/>
    <w:rsid w:val="000A2CB5"/>
    <w:rsid w:val="000A5948"/>
    <w:rsid w:val="000A7EBF"/>
    <w:rsid w:val="000B1DAF"/>
    <w:rsid w:val="000B2319"/>
    <w:rsid w:val="000B2BDD"/>
    <w:rsid w:val="000B3A3C"/>
    <w:rsid w:val="000B40C2"/>
    <w:rsid w:val="000B6B6F"/>
    <w:rsid w:val="000C38A2"/>
    <w:rsid w:val="000D4405"/>
    <w:rsid w:val="000D5A96"/>
    <w:rsid w:val="000E00A7"/>
    <w:rsid w:val="000E14BB"/>
    <w:rsid w:val="000E1FB6"/>
    <w:rsid w:val="000E398B"/>
    <w:rsid w:val="000E446D"/>
    <w:rsid w:val="000F1F1C"/>
    <w:rsid w:val="000F2D79"/>
    <w:rsid w:val="000F369C"/>
    <w:rsid w:val="000F74B1"/>
    <w:rsid w:val="000F7BB6"/>
    <w:rsid w:val="001036F6"/>
    <w:rsid w:val="00103B10"/>
    <w:rsid w:val="00104A0E"/>
    <w:rsid w:val="00104D6A"/>
    <w:rsid w:val="00106A48"/>
    <w:rsid w:val="00107B57"/>
    <w:rsid w:val="001126D3"/>
    <w:rsid w:val="001131E8"/>
    <w:rsid w:val="001143A0"/>
    <w:rsid w:val="001149A9"/>
    <w:rsid w:val="00124C6C"/>
    <w:rsid w:val="00130226"/>
    <w:rsid w:val="00135B0D"/>
    <w:rsid w:val="00135B8F"/>
    <w:rsid w:val="00135BEC"/>
    <w:rsid w:val="001366C6"/>
    <w:rsid w:val="00136ADB"/>
    <w:rsid w:val="00137E7C"/>
    <w:rsid w:val="00141B48"/>
    <w:rsid w:val="00152021"/>
    <w:rsid w:val="0015221C"/>
    <w:rsid w:val="00157627"/>
    <w:rsid w:val="0016138D"/>
    <w:rsid w:val="00166049"/>
    <w:rsid w:val="00171629"/>
    <w:rsid w:val="00173D83"/>
    <w:rsid w:val="00174D40"/>
    <w:rsid w:val="00176C92"/>
    <w:rsid w:val="00180273"/>
    <w:rsid w:val="0018040B"/>
    <w:rsid w:val="0018364B"/>
    <w:rsid w:val="00187166"/>
    <w:rsid w:val="001A117D"/>
    <w:rsid w:val="001A2CA3"/>
    <w:rsid w:val="001A3547"/>
    <w:rsid w:val="001A3C4F"/>
    <w:rsid w:val="001A4763"/>
    <w:rsid w:val="001A66BB"/>
    <w:rsid w:val="001A7D4D"/>
    <w:rsid w:val="001A7EAE"/>
    <w:rsid w:val="001B1471"/>
    <w:rsid w:val="001C0027"/>
    <w:rsid w:val="001C0F4B"/>
    <w:rsid w:val="001C36D6"/>
    <w:rsid w:val="001C6CBE"/>
    <w:rsid w:val="001D0B41"/>
    <w:rsid w:val="001D1899"/>
    <w:rsid w:val="001D26E8"/>
    <w:rsid w:val="001D34C3"/>
    <w:rsid w:val="001D7361"/>
    <w:rsid w:val="001E0D2E"/>
    <w:rsid w:val="001E4D7B"/>
    <w:rsid w:val="001E657B"/>
    <w:rsid w:val="001E7D01"/>
    <w:rsid w:val="001F2A3E"/>
    <w:rsid w:val="001F2D6E"/>
    <w:rsid w:val="001F7723"/>
    <w:rsid w:val="002018D8"/>
    <w:rsid w:val="002124BC"/>
    <w:rsid w:val="00214EF4"/>
    <w:rsid w:val="00215ACB"/>
    <w:rsid w:val="002209AF"/>
    <w:rsid w:val="002227AD"/>
    <w:rsid w:val="00224A4F"/>
    <w:rsid w:val="002253BE"/>
    <w:rsid w:val="00225BDA"/>
    <w:rsid w:val="00230258"/>
    <w:rsid w:val="0023084D"/>
    <w:rsid w:val="00230C8B"/>
    <w:rsid w:val="00236BF4"/>
    <w:rsid w:val="00240BAB"/>
    <w:rsid w:val="002433BD"/>
    <w:rsid w:val="002460C7"/>
    <w:rsid w:val="00253B68"/>
    <w:rsid w:val="00254934"/>
    <w:rsid w:val="002563AE"/>
    <w:rsid w:val="00256426"/>
    <w:rsid w:val="0025793C"/>
    <w:rsid w:val="00261987"/>
    <w:rsid w:val="00262821"/>
    <w:rsid w:val="00263FCF"/>
    <w:rsid w:val="00265D46"/>
    <w:rsid w:val="00266A5C"/>
    <w:rsid w:val="002671EE"/>
    <w:rsid w:val="0026771F"/>
    <w:rsid w:val="0027041C"/>
    <w:rsid w:val="002707F9"/>
    <w:rsid w:val="00271D52"/>
    <w:rsid w:val="002727A7"/>
    <w:rsid w:val="00276032"/>
    <w:rsid w:val="00284198"/>
    <w:rsid w:val="00286962"/>
    <w:rsid w:val="002879D8"/>
    <w:rsid w:val="00290888"/>
    <w:rsid w:val="00292759"/>
    <w:rsid w:val="0029542E"/>
    <w:rsid w:val="00296F9D"/>
    <w:rsid w:val="002A361D"/>
    <w:rsid w:val="002A5366"/>
    <w:rsid w:val="002A567A"/>
    <w:rsid w:val="002B068C"/>
    <w:rsid w:val="002B0C3C"/>
    <w:rsid w:val="002B4D83"/>
    <w:rsid w:val="002B5259"/>
    <w:rsid w:val="002B5E02"/>
    <w:rsid w:val="002B7E05"/>
    <w:rsid w:val="002C218E"/>
    <w:rsid w:val="002C5754"/>
    <w:rsid w:val="002C6DB4"/>
    <w:rsid w:val="002C742F"/>
    <w:rsid w:val="002D1748"/>
    <w:rsid w:val="002D2069"/>
    <w:rsid w:val="002D497F"/>
    <w:rsid w:val="002E16E6"/>
    <w:rsid w:val="002E27E4"/>
    <w:rsid w:val="002F04AB"/>
    <w:rsid w:val="002F0894"/>
    <w:rsid w:val="002F1CB8"/>
    <w:rsid w:val="002F4CAE"/>
    <w:rsid w:val="00300571"/>
    <w:rsid w:val="00301792"/>
    <w:rsid w:val="00301AE4"/>
    <w:rsid w:val="00302CD8"/>
    <w:rsid w:val="00305A4E"/>
    <w:rsid w:val="00305DD9"/>
    <w:rsid w:val="0031016D"/>
    <w:rsid w:val="00314D8A"/>
    <w:rsid w:val="003213D3"/>
    <w:rsid w:val="00322A35"/>
    <w:rsid w:val="00322EBC"/>
    <w:rsid w:val="00323B5F"/>
    <w:rsid w:val="00324C1E"/>
    <w:rsid w:val="00335634"/>
    <w:rsid w:val="00343173"/>
    <w:rsid w:val="00345A42"/>
    <w:rsid w:val="00346047"/>
    <w:rsid w:val="00347671"/>
    <w:rsid w:val="00347EA2"/>
    <w:rsid w:val="003522C3"/>
    <w:rsid w:val="00353FB0"/>
    <w:rsid w:val="0035450C"/>
    <w:rsid w:val="00354DA7"/>
    <w:rsid w:val="00354E71"/>
    <w:rsid w:val="00355B49"/>
    <w:rsid w:val="00357375"/>
    <w:rsid w:val="00357648"/>
    <w:rsid w:val="00362F5C"/>
    <w:rsid w:val="0036350C"/>
    <w:rsid w:val="003655EC"/>
    <w:rsid w:val="00366735"/>
    <w:rsid w:val="003714CF"/>
    <w:rsid w:val="003719C5"/>
    <w:rsid w:val="00373483"/>
    <w:rsid w:val="003752C6"/>
    <w:rsid w:val="00380D05"/>
    <w:rsid w:val="00387723"/>
    <w:rsid w:val="00390568"/>
    <w:rsid w:val="00395B4C"/>
    <w:rsid w:val="00397AAB"/>
    <w:rsid w:val="003A213A"/>
    <w:rsid w:val="003B052A"/>
    <w:rsid w:val="003B0D10"/>
    <w:rsid w:val="003B1DC7"/>
    <w:rsid w:val="003B4CEB"/>
    <w:rsid w:val="003B5EA4"/>
    <w:rsid w:val="003B65BE"/>
    <w:rsid w:val="003C15F5"/>
    <w:rsid w:val="003C1F0A"/>
    <w:rsid w:val="003C3A77"/>
    <w:rsid w:val="003D086E"/>
    <w:rsid w:val="003D23CF"/>
    <w:rsid w:val="003D28E3"/>
    <w:rsid w:val="003D3E99"/>
    <w:rsid w:val="003D4A2B"/>
    <w:rsid w:val="003D5247"/>
    <w:rsid w:val="003D71BD"/>
    <w:rsid w:val="003E33A1"/>
    <w:rsid w:val="003E4B32"/>
    <w:rsid w:val="003E64F2"/>
    <w:rsid w:val="003F0AD8"/>
    <w:rsid w:val="003F4D6B"/>
    <w:rsid w:val="003F56E8"/>
    <w:rsid w:val="003F5812"/>
    <w:rsid w:val="003F5849"/>
    <w:rsid w:val="003F62D5"/>
    <w:rsid w:val="0040425A"/>
    <w:rsid w:val="00404C16"/>
    <w:rsid w:val="00410A2D"/>
    <w:rsid w:val="004159DD"/>
    <w:rsid w:val="004165AD"/>
    <w:rsid w:val="0042250D"/>
    <w:rsid w:val="00430D43"/>
    <w:rsid w:val="00433480"/>
    <w:rsid w:val="004341E7"/>
    <w:rsid w:val="00435CD1"/>
    <w:rsid w:val="00436620"/>
    <w:rsid w:val="00437810"/>
    <w:rsid w:val="00441216"/>
    <w:rsid w:val="00444445"/>
    <w:rsid w:val="00445E89"/>
    <w:rsid w:val="00446AF2"/>
    <w:rsid w:val="00447645"/>
    <w:rsid w:val="00451A15"/>
    <w:rsid w:val="004542F4"/>
    <w:rsid w:val="00455696"/>
    <w:rsid w:val="004566D4"/>
    <w:rsid w:val="004743E4"/>
    <w:rsid w:val="00476397"/>
    <w:rsid w:val="00480111"/>
    <w:rsid w:val="0048054C"/>
    <w:rsid w:val="00481ACF"/>
    <w:rsid w:val="004855BA"/>
    <w:rsid w:val="00486F1B"/>
    <w:rsid w:val="0048739B"/>
    <w:rsid w:val="00491A09"/>
    <w:rsid w:val="00492421"/>
    <w:rsid w:val="004944E1"/>
    <w:rsid w:val="00495FA9"/>
    <w:rsid w:val="0049715C"/>
    <w:rsid w:val="004A36C2"/>
    <w:rsid w:val="004A6E31"/>
    <w:rsid w:val="004A768A"/>
    <w:rsid w:val="004B2559"/>
    <w:rsid w:val="004B7E6B"/>
    <w:rsid w:val="004C028F"/>
    <w:rsid w:val="004C1D84"/>
    <w:rsid w:val="004C2E4A"/>
    <w:rsid w:val="004C4B05"/>
    <w:rsid w:val="004D0062"/>
    <w:rsid w:val="004D3342"/>
    <w:rsid w:val="004D4634"/>
    <w:rsid w:val="004D47A7"/>
    <w:rsid w:val="004D7F33"/>
    <w:rsid w:val="004E0D24"/>
    <w:rsid w:val="004E1B92"/>
    <w:rsid w:val="004E2109"/>
    <w:rsid w:val="004E285A"/>
    <w:rsid w:val="00502331"/>
    <w:rsid w:val="00507B48"/>
    <w:rsid w:val="00510567"/>
    <w:rsid w:val="00511564"/>
    <w:rsid w:val="005127DA"/>
    <w:rsid w:val="00522AA4"/>
    <w:rsid w:val="0052399B"/>
    <w:rsid w:val="0052535E"/>
    <w:rsid w:val="0053076F"/>
    <w:rsid w:val="005313ED"/>
    <w:rsid w:val="00531E6C"/>
    <w:rsid w:val="005372BE"/>
    <w:rsid w:val="00542B7F"/>
    <w:rsid w:val="005435FB"/>
    <w:rsid w:val="005475A7"/>
    <w:rsid w:val="00551A8E"/>
    <w:rsid w:val="00553CAB"/>
    <w:rsid w:val="00557A7B"/>
    <w:rsid w:val="00557D51"/>
    <w:rsid w:val="00560114"/>
    <w:rsid w:val="00561EDE"/>
    <w:rsid w:val="0056291C"/>
    <w:rsid w:val="00563554"/>
    <w:rsid w:val="00566189"/>
    <w:rsid w:val="00567FB9"/>
    <w:rsid w:val="00570057"/>
    <w:rsid w:val="00571072"/>
    <w:rsid w:val="00574283"/>
    <w:rsid w:val="00574BF5"/>
    <w:rsid w:val="005778E2"/>
    <w:rsid w:val="00581084"/>
    <w:rsid w:val="00587785"/>
    <w:rsid w:val="00587A75"/>
    <w:rsid w:val="00592FDC"/>
    <w:rsid w:val="005933AD"/>
    <w:rsid w:val="00594C58"/>
    <w:rsid w:val="005953E1"/>
    <w:rsid w:val="00596813"/>
    <w:rsid w:val="005A0F65"/>
    <w:rsid w:val="005A21E0"/>
    <w:rsid w:val="005A2DC1"/>
    <w:rsid w:val="005A70AD"/>
    <w:rsid w:val="005A74F6"/>
    <w:rsid w:val="005A7852"/>
    <w:rsid w:val="005A7E15"/>
    <w:rsid w:val="005B0C4D"/>
    <w:rsid w:val="005B1B57"/>
    <w:rsid w:val="005B2862"/>
    <w:rsid w:val="005B604D"/>
    <w:rsid w:val="005C03AB"/>
    <w:rsid w:val="005C30A9"/>
    <w:rsid w:val="005C39B0"/>
    <w:rsid w:val="005C46F3"/>
    <w:rsid w:val="005C7AA5"/>
    <w:rsid w:val="005D017D"/>
    <w:rsid w:val="005D043C"/>
    <w:rsid w:val="005D1540"/>
    <w:rsid w:val="005D4543"/>
    <w:rsid w:val="005E07A9"/>
    <w:rsid w:val="005E192A"/>
    <w:rsid w:val="005E310A"/>
    <w:rsid w:val="005E5091"/>
    <w:rsid w:val="005E79F8"/>
    <w:rsid w:val="005F061A"/>
    <w:rsid w:val="005F3EB1"/>
    <w:rsid w:val="005F5DE6"/>
    <w:rsid w:val="005F6DAA"/>
    <w:rsid w:val="005F6E53"/>
    <w:rsid w:val="005F6F37"/>
    <w:rsid w:val="005F75F3"/>
    <w:rsid w:val="006026A8"/>
    <w:rsid w:val="0060399C"/>
    <w:rsid w:val="006039F5"/>
    <w:rsid w:val="00606D72"/>
    <w:rsid w:val="00606DBE"/>
    <w:rsid w:val="0060772D"/>
    <w:rsid w:val="00612D01"/>
    <w:rsid w:val="0061590A"/>
    <w:rsid w:val="006164EA"/>
    <w:rsid w:val="006168CF"/>
    <w:rsid w:val="006217D2"/>
    <w:rsid w:val="00624908"/>
    <w:rsid w:val="00627E9C"/>
    <w:rsid w:val="006314F3"/>
    <w:rsid w:val="00632255"/>
    <w:rsid w:val="006347D0"/>
    <w:rsid w:val="00634DF2"/>
    <w:rsid w:val="00640699"/>
    <w:rsid w:val="00642F04"/>
    <w:rsid w:val="00643F1D"/>
    <w:rsid w:val="006468A9"/>
    <w:rsid w:val="0064751D"/>
    <w:rsid w:val="0065167D"/>
    <w:rsid w:val="00651A9F"/>
    <w:rsid w:val="00651DE9"/>
    <w:rsid w:val="006521D4"/>
    <w:rsid w:val="00653439"/>
    <w:rsid w:val="00654E9E"/>
    <w:rsid w:val="0065525F"/>
    <w:rsid w:val="00665302"/>
    <w:rsid w:val="00665D2C"/>
    <w:rsid w:val="00671989"/>
    <w:rsid w:val="006755ED"/>
    <w:rsid w:val="00675A14"/>
    <w:rsid w:val="00675DA1"/>
    <w:rsid w:val="006774C9"/>
    <w:rsid w:val="006777D0"/>
    <w:rsid w:val="0067793F"/>
    <w:rsid w:val="00680DD2"/>
    <w:rsid w:val="00681185"/>
    <w:rsid w:val="00682CDC"/>
    <w:rsid w:val="00683CB7"/>
    <w:rsid w:val="00683F79"/>
    <w:rsid w:val="00686604"/>
    <w:rsid w:val="00686913"/>
    <w:rsid w:val="00690C14"/>
    <w:rsid w:val="006A10DA"/>
    <w:rsid w:val="006A1C34"/>
    <w:rsid w:val="006A219B"/>
    <w:rsid w:val="006A3C34"/>
    <w:rsid w:val="006A53AB"/>
    <w:rsid w:val="006A6C14"/>
    <w:rsid w:val="006B13EA"/>
    <w:rsid w:val="006B37CB"/>
    <w:rsid w:val="006B3919"/>
    <w:rsid w:val="006B41AF"/>
    <w:rsid w:val="006B4A68"/>
    <w:rsid w:val="006B5383"/>
    <w:rsid w:val="006B5D93"/>
    <w:rsid w:val="006B7E9C"/>
    <w:rsid w:val="006C28AF"/>
    <w:rsid w:val="006C304C"/>
    <w:rsid w:val="006C4D93"/>
    <w:rsid w:val="006C575C"/>
    <w:rsid w:val="006D073B"/>
    <w:rsid w:val="006D18D5"/>
    <w:rsid w:val="006D226B"/>
    <w:rsid w:val="006D4B5F"/>
    <w:rsid w:val="006E30BC"/>
    <w:rsid w:val="006E6535"/>
    <w:rsid w:val="006E6C4E"/>
    <w:rsid w:val="006E753F"/>
    <w:rsid w:val="006F1505"/>
    <w:rsid w:val="006F3217"/>
    <w:rsid w:val="006F59B2"/>
    <w:rsid w:val="006F66F7"/>
    <w:rsid w:val="006F7F06"/>
    <w:rsid w:val="0070056A"/>
    <w:rsid w:val="00701D9E"/>
    <w:rsid w:val="007044EE"/>
    <w:rsid w:val="00704DDD"/>
    <w:rsid w:val="00705C1C"/>
    <w:rsid w:val="00710C57"/>
    <w:rsid w:val="00713A87"/>
    <w:rsid w:val="007149C3"/>
    <w:rsid w:val="00720210"/>
    <w:rsid w:val="00722769"/>
    <w:rsid w:val="00727908"/>
    <w:rsid w:val="00727A3D"/>
    <w:rsid w:val="00730A66"/>
    <w:rsid w:val="00730E81"/>
    <w:rsid w:val="0073450D"/>
    <w:rsid w:val="00735FEF"/>
    <w:rsid w:val="00737E69"/>
    <w:rsid w:val="0074152B"/>
    <w:rsid w:val="007420EA"/>
    <w:rsid w:val="007433FB"/>
    <w:rsid w:val="00743D1D"/>
    <w:rsid w:val="00744671"/>
    <w:rsid w:val="00746138"/>
    <w:rsid w:val="00747AB1"/>
    <w:rsid w:val="007507BF"/>
    <w:rsid w:val="00751D40"/>
    <w:rsid w:val="0075212A"/>
    <w:rsid w:val="00752604"/>
    <w:rsid w:val="00752AB7"/>
    <w:rsid w:val="00754168"/>
    <w:rsid w:val="00757FD0"/>
    <w:rsid w:val="007626F0"/>
    <w:rsid w:val="00762BEB"/>
    <w:rsid w:val="0076384F"/>
    <w:rsid w:val="00766DDD"/>
    <w:rsid w:val="0077213E"/>
    <w:rsid w:val="007764B0"/>
    <w:rsid w:val="00782DC2"/>
    <w:rsid w:val="00784C02"/>
    <w:rsid w:val="00784C55"/>
    <w:rsid w:val="00785831"/>
    <w:rsid w:val="00786A35"/>
    <w:rsid w:val="00793E29"/>
    <w:rsid w:val="007950A5"/>
    <w:rsid w:val="0079680F"/>
    <w:rsid w:val="00796B26"/>
    <w:rsid w:val="007A2970"/>
    <w:rsid w:val="007A5826"/>
    <w:rsid w:val="007B2B9A"/>
    <w:rsid w:val="007B4BF2"/>
    <w:rsid w:val="007C27C2"/>
    <w:rsid w:val="007C432B"/>
    <w:rsid w:val="007C43BA"/>
    <w:rsid w:val="007C466D"/>
    <w:rsid w:val="007C4CC1"/>
    <w:rsid w:val="007C7408"/>
    <w:rsid w:val="007D1889"/>
    <w:rsid w:val="007D2E5C"/>
    <w:rsid w:val="007D3A20"/>
    <w:rsid w:val="007E0E6C"/>
    <w:rsid w:val="007E2430"/>
    <w:rsid w:val="007F38B6"/>
    <w:rsid w:val="007F38D6"/>
    <w:rsid w:val="007F4C51"/>
    <w:rsid w:val="007F58C5"/>
    <w:rsid w:val="0080161C"/>
    <w:rsid w:val="00803DD0"/>
    <w:rsid w:val="008053B6"/>
    <w:rsid w:val="00810064"/>
    <w:rsid w:val="00811C04"/>
    <w:rsid w:val="00821467"/>
    <w:rsid w:val="0082582C"/>
    <w:rsid w:val="008330C5"/>
    <w:rsid w:val="00833DDF"/>
    <w:rsid w:val="008350D3"/>
    <w:rsid w:val="008352B7"/>
    <w:rsid w:val="008362CF"/>
    <w:rsid w:val="0084011B"/>
    <w:rsid w:val="00844428"/>
    <w:rsid w:val="00844F38"/>
    <w:rsid w:val="0084583D"/>
    <w:rsid w:val="00845C28"/>
    <w:rsid w:val="0085234A"/>
    <w:rsid w:val="00855E60"/>
    <w:rsid w:val="0086044C"/>
    <w:rsid w:val="008607C2"/>
    <w:rsid w:val="008641F5"/>
    <w:rsid w:val="00864D20"/>
    <w:rsid w:val="00870D2F"/>
    <w:rsid w:val="00870E29"/>
    <w:rsid w:val="008719E6"/>
    <w:rsid w:val="00872CA3"/>
    <w:rsid w:val="008757C4"/>
    <w:rsid w:val="00875A32"/>
    <w:rsid w:val="008817AE"/>
    <w:rsid w:val="00883324"/>
    <w:rsid w:val="00884C82"/>
    <w:rsid w:val="00885175"/>
    <w:rsid w:val="00885721"/>
    <w:rsid w:val="00887A9A"/>
    <w:rsid w:val="00892506"/>
    <w:rsid w:val="008939EB"/>
    <w:rsid w:val="00893CE1"/>
    <w:rsid w:val="00893D24"/>
    <w:rsid w:val="0089511C"/>
    <w:rsid w:val="008956D8"/>
    <w:rsid w:val="0089638B"/>
    <w:rsid w:val="0089750C"/>
    <w:rsid w:val="008A0F0F"/>
    <w:rsid w:val="008A16F0"/>
    <w:rsid w:val="008A3685"/>
    <w:rsid w:val="008A7799"/>
    <w:rsid w:val="008A7C9B"/>
    <w:rsid w:val="008A7FDE"/>
    <w:rsid w:val="008B1130"/>
    <w:rsid w:val="008B17BF"/>
    <w:rsid w:val="008B2CC5"/>
    <w:rsid w:val="008B2E03"/>
    <w:rsid w:val="008B42A7"/>
    <w:rsid w:val="008B497E"/>
    <w:rsid w:val="008B6FB1"/>
    <w:rsid w:val="008B7237"/>
    <w:rsid w:val="008C1A87"/>
    <w:rsid w:val="008C3190"/>
    <w:rsid w:val="008C4EDE"/>
    <w:rsid w:val="008C59F5"/>
    <w:rsid w:val="008C61B4"/>
    <w:rsid w:val="008D0046"/>
    <w:rsid w:val="008D0590"/>
    <w:rsid w:val="008D09C9"/>
    <w:rsid w:val="008D162E"/>
    <w:rsid w:val="008D367A"/>
    <w:rsid w:val="008D425A"/>
    <w:rsid w:val="008D55DB"/>
    <w:rsid w:val="008D6A3D"/>
    <w:rsid w:val="008D6C80"/>
    <w:rsid w:val="008D7C94"/>
    <w:rsid w:val="008E0D1C"/>
    <w:rsid w:val="008E168F"/>
    <w:rsid w:val="008E1886"/>
    <w:rsid w:val="008E237C"/>
    <w:rsid w:val="008E5EDB"/>
    <w:rsid w:val="008E7682"/>
    <w:rsid w:val="008F0677"/>
    <w:rsid w:val="008F385E"/>
    <w:rsid w:val="008F616F"/>
    <w:rsid w:val="008F7A0E"/>
    <w:rsid w:val="00923F70"/>
    <w:rsid w:val="0092533A"/>
    <w:rsid w:val="0092710A"/>
    <w:rsid w:val="00933804"/>
    <w:rsid w:val="009350A7"/>
    <w:rsid w:val="009367CE"/>
    <w:rsid w:val="00937ADD"/>
    <w:rsid w:val="00940636"/>
    <w:rsid w:val="00941175"/>
    <w:rsid w:val="00942515"/>
    <w:rsid w:val="0094539A"/>
    <w:rsid w:val="00946A78"/>
    <w:rsid w:val="0095037D"/>
    <w:rsid w:val="009521D9"/>
    <w:rsid w:val="00955263"/>
    <w:rsid w:val="009552A8"/>
    <w:rsid w:val="0095634E"/>
    <w:rsid w:val="009579B8"/>
    <w:rsid w:val="00961C7D"/>
    <w:rsid w:val="009631EB"/>
    <w:rsid w:val="00963D64"/>
    <w:rsid w:val="00970095"/>
    <w:rsid w:val="009717C7"/>
    <w:rsid w:val="00973BD0"/>
    <w:rsid w:val="00975097"/>
    <w:rsid w:val="00975539"/>
    <w:rsid w:val="00980DB0"/>
    <w:rsid w:val="009831C6"/>
    <w:rsid w:val="00983239"/>
    <w:rsid w:val="00984A9F"/>
    <w:rsid w:val="00984EBA"/>
    <w:rsid w:val="00985C92"/>
    <w:rsid w:val="00987378"/>
    <w:rsid w:val="0099263C"/>
    <w:rsid w:val="00995913"/>
    <w:rsid w:val="00995EA8"/>
    <w:rsid w:val="009960CC"/>
    <w:rsid w:val="009A0A9F"/>
    <w:rsid w:val="009A34EA"/>
    <w:rsid w:val="009A406F"/>
    <w:rsid w:val="009A6697"/>
    <w:rsid w:val="009A73F0"/>
    <w:rsid w:val="009B2BE3"/>
    <w:rsid w:val="009B3D53"/>
    <w:rsid w:val="009B42BB"/>
    <w:rsid w:val="009B4861"/>
    <w:rsid w:val="009B5A43"/>
    <w:rsid w:val="009B68C4"/>
    <w:rsid w:val="009B7DFF"/>
    <w:rsid w:val="009C0BBF"/>
    <w:rsid w:val="009C257D"/>
    <w:rsid w:val="009C41B3"/>
    <w:rsid w:val="009C5858"/>
    <w:rsid w:val="009D0D77"/>
    <w:rsid w:val="009D52AA"/>
    <w:rsid w:val="009D5BE1"/>
    <w:rsid w:val="009D68B2"/>
    <w:rsid w:val="009E12A4"/>
    <w:rsid w:val="009E534B"/>
    <w:rsid w:val="009E71F2"/>
    <w:rsid w:val="009F09E6"/>
    <w:rsid w:val="009F0B26"/>
    <w:rsid w:val="009F0C0A"/>
    <w:rsid w:val="009F1357"/>
    <w:rsid w:val="009F4199"/>
    <w:rsid w:val="009F5B70"/>
    <w:rsid w:val="009F647E"/>
    <w:rsid w:val="00A03BB8"/>
    <w:rsid w:val="00A05469"/>
    <w:rsid w:val="00A1281A"/>
    <w:rsid w:val="00A12B3D"/>
    <w:rsid w:val="00A14F54"/>
    <w:rsid w:val="00A2120E"/>
    <w:rsid w:val="00A21D2E"/>
    <w:rsid w:val="00A2313A"/>
    <w:rsid w:val="00A238B6"/>
    <w:rsid w:val="00A23F7D"/>
    <w:rsid w:val="00A248BC"/>
    <w:rsid w:val="00A24D9E"/>
    <w:rsid w:val="00A255F2"/>
    <w:rsid w:val="00A27151"/>
    <w:rsid w:val="00A34665"/>
    <w:rsid w:val="00A37BEB"/>
    <w:rsid w:val="00A42080"/>
    <w:rsid w:val="00A45192"/>
    <w:rsid w:val="00A47A5C"/>
    <w:rsid w:val="00A5080D"/>
    <w:rsid w:val="00A54C73"/>
    <w:rsid w:val="00A5643B"/>
    <w:rsid w:val="00A63313"/>
    <w:rsid w:val="00A6393A"/>
    <w:rsid w:val="00A66CE1"/>
    <w:rsid w:val="00A7495E"/>
    <w:rsid w:val="00A8014E"/>
    <w:rsid w:val="00A852C0"/>
    <w:rsid w:val="00A87316"/>
    <w:rsid w:val="00A913CA"/>
    <w:rsid w:val="00A933CE"/>
    <w:rsid w:val="00A9674E"/>
    <w:rsid w:val="00AA1EE9"/>
    <w:rsid w:val="00AA2E9F"/>
    <w:rsid w:val="00AA3CED"/>
    <w:rsid w:val="00AA501F"/>
    <w:rsid w:val="00AA6AA8"/>
    <w:rsid w:val="00AA6D1F"/>
    <w:rsid w:val="00AB3169"/>
    <w:rsid w:val="00AB404F"/>
    <w:rsid w:val="00AB4DA9"/>
    <w:rsid w:val="00AB6931"/>
    <w:rsid w:val="00AC0BAB"/>
    <w:rsid w:val="00AC1144"/>
    <w:rsid w:val="00AC1C8D"/>
    <w:rsid w:val="00AC4BB2"/>
    <w:rsid w:val="00AC5521"/>
    <w:rsid w:val="00AC58A0"/>
    <w:rsid w:val="00AC5A36"/>
    <w:rsid w:val="00AC5E02"/>
    <w:rsid w:val="00AE4374"/>
    <w:rsid w:val="00AE635A"/>
    <w:rsid w:val="00AE7D17"/>
    <w:rsid w:val="00AF191E"/>
    <w:rsid w:val="00AF6EF1"/>
    <w:rsid w:val="00B00915"/>
    <w:rsid w:val="00B01968"/>
    <w:rsid w:val="00B055CA"/>
    <w:rsid w:val="00B1182B"/>
    <w:rsid w:val="00B12162"/>
    <w:rsid w:val="00B13D12"/>
    <w:rsid w:val="00B17BE5"/>
    <w:rsid w:val="00B2027B"/>
    <w:rsid w:val="00B22691"/>
    <w:rsid w:val="00B232B4"/>
    <w:rsid w:val="00B23830"/>
    <w:rsid w:val="00B25052"/>
    <w:rsid w:val="00B25225"/>
    <w:rsid w:val="00B27BD9"/>
    <w:rsid w:val="00B31DA0"/>
    <w:rsid w:val="00B3485B"/>
    <w:rsid w:val="00B401B9"/>
    <w:rsid w:val="00B424B3"/>
    <w:rsid w:val="00B42676"/>
    <w:rsid w:val="00B4267F"/>
    <w:rsid w:val="00B438FA"/>
    <w:rsid w:val="00B44107"/>
    <w:rsid w:val="00B44D7A"/>
    <w:rsid w:val="00B508A6"/>
    <w:rsid w:val="00B50A26"/>
    <w:rsid w:val="00B544C3"/>
    <w:rsid w:val="00B56A2A"/>
    <w:rsid w:val="00B57320"/>
    <w:rsid w:val="00B57A47"/>
    <w:rsid w:val="00B601B1"/>
    <w:rsid w:val="00B608D8"/>
    <w:rsid w:val="00B61FAB"/>
    <w:rsid w:val="00B62852"/>
    <w:rsid w:val="00B63374"/>
    <w:rsid w:val="00B6378D"/>
    <w:rsid w:val="00B650FE"/>
    <w:rsid w:val="00B65BC1"/>
    <w:rsid w:val="00B67673"/>
    <w:rsid w:val="00B737D0"/>
    <w:rsid w:val="00B76477"/>
    <w:rsid w:val="00B816EA"/>
    <w:rsid w:val="00B81C83"/>
    <w:rsid w:val="00B81CB6"/>
    <w:rsid w:val="00B83184"/>
    <w:rsid w:val="00B836EB"/>
    <w:rsid w:val="00B843BC"/>
    <w:rsid w:val="00B85A63"/>
    <w:rsid w:val="00B85E99"/>
    <w:rsid w:val="00B870B2"/>
    <w:rsid w:val="00B87807"/>
    <w:rsid w:val="00B91CC0"/>
    <w:rsid w:val="00B936C3"/>
    <w:rsid w:val="00B9514D"/>
    <w:rsid w:val="00B9615C"/>
    <w:rsid w:val="00BA02C7"/>
    <w:rsid w:val="00BA0C50"/>
    <w:rsid w:val="00BA3444"/>
    <w:rsid w:val="00BA3A23"/>
    <w:rsid w:val="00BA52DD"/>
    <w:rsid w:val="00BB0DDE"/>
    <w:rsid w:val="00BB14B9"/>
    <w:rsid w:val="00BB38C7"/>
    <w:rsid w:val="00BB5FE1"/>
    <w:rsid w:val="00BB76E0"/>
    <w:rsid w:val="00BB78D0"/>
    <w:rsid w:val="00BC024C"/>
    <w:rsid w:val="00BC3791"/>
    <w:rsid w:val="00BC3F87"/>
    <w:rsid w:val="00BC6D2C"/>
    <w:rsid w:val="00BD006F"/>
    <w:rsid w:val="00BD2216"/>
    <w:rsid w:val="00BD2598"/>
    <w:rsid w:val="00BD5642"/>
    <w:rsid w:val="00BD5F96"/>
    <w:rsid w:val="00BD725F"/>
    <w:rsid w:val="00BE1E34"/>
    <w:rsid w:val="00BE2B43"/>
    <w:rsid w:val="00BE2EEE"/>
    <w:rsid w:val="00BE3B20"/>
    <w:rsid w:val="00BE41B0"/>
    <w:rsid w:val="00BF1CF0"/>
    <w:rsid w:val="00BF291F"/>
    <w:rsid w:val="00C04BB8"/>
    <w:rsid w:val="00C054E4"/>
    <w:rsid w:val="00C073AD"/>
    <w:rsid w:val="00C1144D"/>
    <w:rsid w:val="00C11AD2"/>
    <w:rsid w:val="00C15109"/>
    <w:rsid w:val="00C1542D"/>
    <w:rsid w:val="00C172ED"/>
    <w:rsid w:val="00C221AD"/>
    <w:rsid w:val="00C2421A"/>
    <w:rsid w:val="00C27B1D"/>
    <w:rsid w:val="00C31658"/>
    <w:rsid w:val="00C3167A"/>
    <w:rsid w:val="00C35A3D"/>
    <w:rsid w:val="00C375AB"/>
    <w:rsid w:val="00C40C68"/>
    <w:rsid w:val="00C41A12"/>
    <w:rsid w:val="00C41E7B"/>
    <w:rsid w:val="00C4253F"/>
    <w:rsid w:val="00C4387E"/>
    <w:rsid w:val="00C43B02"/>
    <w:rsid w:val="00C43B0B"/>
    <w:rsid w:val="00C43D75"/>
    <w:rsid w:val="00C46313"/>
    <w:rsid w:val="00C52336"/>
    <w:rsid w:val="00C54697"/>
    <w:rsid w:val="00C550E7"/>
    <w:rsid w:val="00C63538"/>
    <w:rsid w:val="00C66596"/>
    <w:rsid w:val="00C742A1"/>
    <w:rsid w:val="00C77251"/>
    <w:rsid w:val="00C81811"/>
    <w:rsid w:val="00C81D3D"/>
    <w:rsid w:val="00C83EA4"/>
    <w:rsid w:val="00C85159"/>
    <w:rsid w:val="00C859FA"/>
    <w:rsid w:val="00C8660D"/>
    <w:rsid w:val="00C87C10"/>
    <w:rsid w:val="00C93081"/>
    <w:rsid w:val="00C93E28"/>
    <w:rsid w:val="00C9574E"/>
    <w:rsid w:val="00C97330"/>
    <w:rsid w:val="00C97EA5"/>
    <w:rsid w:val="00CA1A3C"/>
    <w:rsid w:val="00CA1A51"/>
    <w:rsid w:val="00CA3654"/>
    <w:rsid w:val="00CB1E0F"/>
    <w:rsid w:val="00CC155B"/>
    <w:rsid w:val="00CC3B26"/>
    <w:rsid w:val="00CC5D07"/>
    <w:rsid w:val="00CC6B2E"/>
    <w:rsid w:val="00CC6FEF"/>
    <w:rsid w:val="00CD1771"/>
    <w:rsid w:val="00CD52F3"/>
    <w:rsid w:val="00CD7E3E"/>
    <w:rsid w:val="00CD7F75"/>
    <w:rsid w:val="00CE002B"/>
    <w:rsid w:val="00CE09AC"/>
    <w:rsid w:val="00CE3610"/>
    <w:rsid w:val="00CE7037"/>
    <w:rsid w:val="00CF0559"/>
    <w:rsid w:val="00CF16EF"/>
    <w:rsid w:val="00CF1E74"/>
    <w:rsid w:val="00CF42A8"/>
    <w:rsid w:val="00CF64C9"/>
    <w:rsid w:val="00D0678C"/>
    <w:rsid w:val="00D07C9F"/>
    <w:rsid w:val="00D1281A"/>
    <w:rsid w:val="00D175B0"/>
    <w:rsid w:val="00D20658"/>
    <w:rsid w:val="00D2130D"/>
    <w:rsid w:val="00D25C7C"/>
    <w:rsid w:val="00D33982"/>
    <w:rsid w:val="00D3429A"/>
    <w:rsid w:val="00D34E61"/>
    <w:rsid w:val="00D35969"/>
    <w:rsid w:val="00D35D4F"/>
    <w:rsid w:val="00D42148"/>
    <w:rsid w:val="00D43E76"/>
    <w:rsid w:val="00D46699"/>
    <w:rsid w:val="00D5190C"/>
    <w:rsid w:val="00D52303"/>
    <w:rsid w:val="00D56FDE"/>
    <w:rsid w:val="00D60527"/>
    <w:rsid w:val="00D60886"/>
    <w:rsid w:val="00D6188E"/>
    <w:rsid w:val="00D633F6"/>
    <w:rsid w:val="00D65DAB"/>
    <w:rsid w:val="00D67711"/>
    <w:rsid w:val="00D7075B"/>
    <w:rsid w:val="00D75D90"/>
    <w:rsid w:val="00D77C1C"/>
    <w:rsid w:val="00D8076F"/>
    <w:rsid w:val="00D80B50"/>
    <w:rsid w:val="00D81133"/>
    <w:rsid w:val="00D821A3"/>
    <w:rsid w:val="00D85091"/>
    <w:rsid w:val="00D875AF"/>
    <w:rsid w:val="00D93F10"/>
    <w:rsid w:val="00D96427"/>
    <w:rsid w:val="00DA0CE0"/>
    <w:rsid w:val="00DA244A"/>
    <w:rsid w:val="00DB1099"/>
    <w:rsid w:val="00DB276D"/>
    <w:rsid w:val="00DB39B4"/>
    <w:rsid w:val="00DB3E49"/>
    <w:rsid w:val="00DC1E1B"/>
    <w:rsid w:val="00DC5E3E"/>
    <w:rsid w:val="00DC752A"/>
    <w:rsid w:val="00DC75F1"/>
    <w:rsid w:val="00DD22D8"/>
    <w:rsid w:val="00DD35FC"/>
    <w:rsid w:val="00DD62B8"/>
    <w:rsid w:val="00DE03B8"/>
    <w:rsid w:val="00DF008B"/>
    <w:rsid w:val="00DF2619"/>
    <w:rsid w:val="00DF601F"/>
    <w:rsid w:val="00DF750C"/>
    <w:rsid w:val="00E01D7E"/>
    <w:rsid w:val="00E0290F"/>
    <w:rsid w:val="00E05BA7"/>
    <w:rsid w:val="00E06835"/>
    <w:rsid w:val="00E07E2B"/>
    <w:rsid w:val="00E11518"/>
    <w:rsid w:val="00E130E2"/>
    <w:rsid w:val="00E13F1A"/>
    <w:rsid w:val="00E142F0"/>
    <w:rsid w:val="00E167DF"/>
    <w:rsid w:val="00E16C95"/>
    <w:rsid w:val="00E17B62"/>
    <w:rsid w:val="00E17F98"/>
    <w:rsid w:val="00E22301"/>
    <w:rsid w:val="00E2240D"/>
    <w:rsid w:val="00E24B05"/>
    <w:rsid w:val="00E26F63"/>
    <w:rsid w:val="00E279CC"/>
    <w:rsid w:val="00E30487"/>
    <w:rsid w:val="00E30DC0"/>
    <w:rsid w:val="00E30EEE"/>
    <w:rsid w:val="00E322F3"/>
    <w:rsid w:val="00E332F6"/>
    <w:rsid w:val="00E33B46"/>
    <w:rsid w:val="00E33DD0"/>
    <w:rsid w:val="00E40879"/>
    <w:rsid w:val="00E445C0"/>
    <w:rsid w:val="00E44A69"/>
    <w:rsid w:val="00E45981"/>
    <w:rsid w:val="00E52443"/>
    <w:rsid w:val="00E55378"/>
    <w:rsid w:val="00E55690"/>
    <w:rsid w:val="00E63444"/>
    <w:rsid w:val="00E639AA"/>
    <w:rsid w:val="00E64B59"/>
    <w:rsid w:val="00E67CFB"/>
    <w:rsid w:val="00E67F6F"/>
    <w:rsid w:val="00E72561"/>
    <w:rsid w:val="00E737D5"/>
    <w:rsid w:val="00E81AB7"/>
    <w:rsid w:val="00E838CB"/>
    <w:rsid w:val="00E864DA"/>
    <w:rsid w:val="00E8673F"/>
    <w:rsid w:val="00E86D1D"/>
    <w:rsid w:val="00E87ACB"/>
    <w:rsid w:val="00E92EBA"/>
    <w:rsid w:val="00E945AD"/>
    <w:rsid w:val="00E955B1"/>
    <w:rsid w:val="00E959D9"/>
    <w:rsid w:val="00EA2EAA"/>
    <w:rsid w:val="00EA48D1"/>
    <w:rsid w:val="00EA49E7"/>
    <w:rsid w:val="00EA5DE6"/>
    <w:rsid w:val="00EB4B3C"/>
    <w:rsid w:val="00EB5FB5"/>
    <w:rsid w:val="00EC2DDB"/>
    <w:rsid w:val="00EC52D0"/>
    <w:rsid w:val="00EC6A49"/>
    <w:rsid w:val="00ED0725"/>
    <w:rsid w:val="00ED2D09"/>
    <w:rsid w:val="00ED352A"/>
    <w:rsid w:val="00ED6D3F"/>
    <w:rsid w:val="00ED7922"/>
    <w:rsid w:val="00EE4007"/>
    <w:rsid w:val="00EE60D2"/>
    <w:rsid w:val="00EF0DC6"/>
    <w:rsid w:val="00EF409F"/>
    <w:rsid w:val="00F00458"/>
    <w:rsid w:val="00F048E6"/>
    <w:rsid w:val="00F11BA7"/>
    <w:rsid w:val="00F12098"/>
    <w:rsid w:val="00F127E9"/>
    <w:rsid w:val="00F1288E"/>
    <w:rsid w:val="00F1691C"/>
    <w:rsid w:val="00F2156B"/>
    <w:rsid w:val="00F22EDE"/>
    <w:rsid w:val="00F3170B"/>
    <w:rsid w:val="00F319BB"/>
    <w:rsid w:val="00F33E69"/>
    <w:rsid w:val="00F349F4"/>
    <w:rsid w:val="00F37CFE"/>
    <w:rsid w:val="00F4437B"/>
    <w:rsid w:val="00F45C2C"/>
    <w:rsid w:val="00F51187"/>
    <w:rsid w:val="00F521E2"/>
    <w:rsid w:val="00F52F60"/>
    <w:rsid w:val="00F5626C"/>
    <w:rsid w:val="00F574C9"/>
    <w:rsid w:val="00F61CA6"/>
    <w:rsid w:val="00F62A84"/>
    <w:rsid w:val="00F62F71"/>
    <w:rsid w:val="00F633E9"/>
    <w:rsid w:val="00F64DFA"/>
    <w:rsid w:val="00F678BD"/>
    <w:rsid w:val="00F70F00"/>
    <w:rsid w:val="00F7316B"/>
    <w:rsid w:val="00F822C4"/>
    <w:rsid w:val="00F8444D"/>
    <w:rsid w:val="00F85718"/>
    <w:rsid w:val="00F862B1"/>
    <w:rsid w:val="00F865C8"/>
    <w:rsid w:val="00F87A35"/>
    <w:rsid w:val="00F93958"/>
    <w:rsid w:val="00F9756C"/>
    <w:rsid w:val="00FA17B4"/>
    <w:rsid w:val="00FA57BD"/>
    <w:rsid w:val="00FB0571"/>
    <w:rsid w:val="00FB05A4"/>
    <w:rsid w:val="00FB06EA"/>
    <w:rsid w:val="00FB1D0D"/>
    <w:rsid w:val="00FB1FEF"/>
    <w:rsid w:val="00FB2D31"/>
    <w:rsid w:val="00FB4C8C"/>
    <w:rsid w:val="00FB513D"/>
    <w:rsid w:val="00FB77D3"/>
    <w:rsid w:val="00FC325C"/>
    <w:rsid w:val="00FC3EC8"/>
    <w:rsid w:val="00FC47F0"/>
    <w:rsid w:val="00FD0595"/>
    <w:rsid w:val="00FD1ACA"/>
    <w:rsid w:val="00FD3F62"/>
    <w:rsid w:val="00FD4563"/>
    <w:rsid w:val="00FE143B"/>
    <w:rsid w:val="00FF3790"/>
    <w:rsid w:val="00FF4D87"/>
    <w:rsid w:val="00FF52DA"/>
    <w:rsid w:val="00FF583D"/>
    <w:rsid w:val="00FF6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746138"/>
    <w:pPr>
      <w:widowControl/>
      <w:jc w:val="both"/>
    </w:pPr>
    <w:rPr>
      <w:rFonts w:ascii="標楷體" w:eastAsia="標楷體" w:hAnsi="標楷體" w:cs="Times New Roman"/>
      <w:kern w:val="0"/>
      <w:szCs w:val="24"/>
    </w:rPr>
  </w:style>
  <w:style w:type="character" w:customStyle="1" w:styleId="a5">
    <w:name w:val="本文 字元"/>
    <w:basedOn w:val="a0"/>
    <w:link w:val="a4"/>
    <w:semiHidden/>
    <w:rsid w:val="00746138"/>
    <w:rPr>
      <w:rFonts w:ascii="標楷體" w:eastAsia="標楷體" w:hAnsi="標楷體" w:cs="Times New Roman"/>
      <w:kern w:val="0"/>
      <w:szCs w:val="24"/>
    </w:rPr>
  </w:style>
  <w:style w:type="paragraph" w:styleId="a6">
    <w:name w:val="Body Text Indent"/>
    <w:basedOn w:val="a"/>
    <w:link w:val="a7"/>
    <w:semiHidden/>
    <w:rsid w:val="00746138"/>
    <w:pPr>
      <w:widowControl/>
      <w:ind w:firstLine="540"/>
      <w:jc w:val="both"/>
    </w:pPr>
    <w:rPr>
      <w:rFonts w:ascii="標楷體" w:eastAsia="標楷體" w:hAnsi="標楷體" w:cs="Times New Roman"/>
      <w:kern w:val="0"/>
      <w:szCs w:val="24"/>
    </w:rPr>
  </w:style>
  <w:style w:type="character" w:customStyle="1" w:styleId="a7">
    <w:name w:val="本文縮排 字元"/>
    <w:basedOn w:val="a0"/>
    <w:link w:val="a6"/>
    <w:semiHidden/>
    <w:rsid w:val="00746138"/>
    <w:rPr>
      <w:rFonts w:ascii="標楷體" w:eastAsia="標楷體" w:hAnsi="標楷體" w:cs="Times New Roman"/>
      <w:kern w:val="0"/>
      <w:szCs w:val="24"/>
    </w:rPr>
  </w:style>
  <w:style w:type="paragraph" w:styleId="a8">
    <w:name w:val="header"/>
    <w:basedOn w:val="a"/>
    <w:link w:val="a9"/>
    <w:unhideWhenUsed/>
    <w:rsid w:val="00CF0559"/>
    <w:pPr>
      <w:tabs>
        <w:tab w:val="center" w:pos="4153"/>
        <w:tab w:val="right" w:pos="8306"/>
      </w:tabs>
      <w:snapToGrid w:val="0"/>
    </w:pPr>
    <w:rPr>
      <w:sz w:val="20"/>
      <w:szCs w:val="20"/>
    </w:rPr>
  </w:style>
  <w:style w:type="character" w:customStyle="1" w:styleId="a9">
    <w:name w:val="頁首 字元"/>
    <w:basedOn w:val="a0"/>
    <w:link w:val="a8"/>
    <w:rsid w:val="00CF0559"/>
    <w:rPr>
      <w:sz w:val="20"/>
      <w:szCs w:val="20"/>
    </w:rPr>
  </w:style>
  <w:style w:type="paragraph" w:styleId="aa">
    <w:name w:val="footer"/>
    <w:basedOn w:val="a"/>
    <w:link w:val="ab"/>
    <w:unhideWhenUsed/>
    <w:rsid w:val="00CF0559"/>
    <w:pPr>
      <w:tabs>
        <w:tab w:val="center" w:pos="4153"/>
        <w:tab w:val="right" w:pos="8306"/>
      </w:tabs>
      <w:snapToGrid w:val="0"/>
    </w:pPr>
    <w:rPr>
      <w:sz w:val="20"/>
      <w:szCs w:val="20"/>
    </w:rPr>
  </w:style>
  <w:style w:type="character" w:customStyle="1" w:styleId="ab">
    <w:name w:val="頁尾 字元"/>
    <w:basedOn w:val="a0"/>
    <w:link w:val="aa"/>
    <w:rsid w:val="00CF0559"/>
    <w:rPr>
      <w:sz w:val="20"/>
      <w:szCs w:val="20"/>
    </w:rPr>
  </w:style>
  <w:style w:type="paragraph" w:styleId="ac">
    <w:name w:val="List Paragraph"/>
    <w:basedOn w:val="a"/>
    <w:uiPriority w:val="34"/>
    <w:qFormat/>
    <w:rsid w:val="006B3919"/>
    <w:pPr>
      <w:ind w:leftChars="200" w:left="480"/>
    </w:pPr>
  </w:style>
  <w:style w:type="paragraph" w:styleId="HTML">
    <w:name w:val="HTML Preformatted"/>
    <w:basedOn w:val="a"/>
    <w:link w:val="HTML0"/>
    <w:uiPriority w:val="99"/>
    <w:unhideWhenUsed/>
    <w:rsid w:val="00E33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color w:val="333333"/>
      <w:kern w:val="0"/>
      <w:szCs w:val="24"/>
    </w:rPr>
  </w:style>
  <w:style w:type="character" w:customStyle="1" w:styleId="HTML0">
    <w:name w:val="HTML 預設格式 字元"/>
    <w:basedOn w:val="a0"/>
    <w:link w:val="HTML"/>
    <w:uiPriority w:val="99"/>
    <w:rsid w:val="00E332F6"/>
    <w:rPr>
      <w:rFonts w:ascii="細明體" w:eastAsia="細明體" w:hAnsi="細明體" w:cs="Times New Roman"/>
      <w:color w:val="333333"/>
      <w:kern w:val="0"/>
      <w:szCs w:val="24"/>
    </w:rPr>
  </w:style>
  <w:style w:type="paragraph" w:customStyle="1" w:styleId="1Rank5title">
    <w:name w:val="（1）標題(Rank 5 title)"/>
    <w:basedOn w:val="a"/>
    <w:uiPriority w:val="99"/>
    <w:rsid w:val="007F38B6"/>
    <w:pPr>
      <w:spacing w:beforeLines="50" w:afterLines="50" w:line="480" w:lineRule="exact"/>
      <w:ind w:leftChars="413" w:left="1579" w:hangingChars="210" w:hanging="588"/>
    </w:pPr>
    <w:rPr>
      <w:rFonts w:ascii="Times New Roman" w:eastAsia="新細明體" w:hAnsi="Times New Roman" w:cs="Times New Roman"/>
      <w:sz w:val="28"/>
      <w:szCs w:val="24"/>
    </w:rPr>
  </w:style>
  <w:style w:type="paragraph" w:styleId="ad">
    <w:name w:val="Balloon Text"/>
    <w:basedOn w:val="a"/>
    <w:link w:val="ae"/>
    <w:uiPriority w:val="99"/>
    <w:semiHidden/>
    <w:unhideWhenUsed/>
    <w:rsid w:val="00305A4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05A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760423">
      <w:bodyDiv w:val="1"/>
      <w:marLeft w:val="0"/>
      <w:marRight w:val="0"/>
      <w:marTop w:val="0"/>
      <w:marBottom w:val="0"/>
      <w:divBdr>
        <w:top w:val="none" w:sz="0" w:space="0" w:color="auto"/>
        <w:left w:val="none" w:sz="0" w:space="0" w:color="auto"/>
        <w:bottom w:val="none" w:sz="0" w:space="0" w:color="auto"/>
        <w:right w:val="none" w:sz="0" w:space="0" w:color="auto"/>
      </w:divBdr>
    </w:div>
    <w:div w:id="2078278385">
      <w:bodyDiv w:val="1"/>
      <w:marLeft w:val="0"/>
      <w:marRight w:val="0"/>
      <w:marTop w:val="0"/>
      <w:marBottom w:val="0"/>
      <w:divBdr>
        <w:top w:val="none" w:sz="0" w:space="0" w:color="auto"/>
        <w:left w:val="none" w:sz="0" w:space="0" w:color="auto"/>
        <w:bottom w:val="none" w:sz="0" w:space="0" w:color="auto"/>
        <w:right w:val="none" w:sz="0" w:space="0" w:color="auto"/>
      </w:divBdr>
    </w:div>
    <w:div w:id="2115897019">
      <w:bodyDiv w:val="1"/>
      <w:marLeft w:val="0"/>
      <w:marRight w:val="0"/>
      <w:marTop w:val="0"/>
      <w:marBottom w:val="0"/>
      <w:divBdr>
        <w:top w:val="none" w:sz="0" w:space="0" w:color="auto"/>
        <w:left w:val="none" w:sz="0" w:space="0" w:color="auto"/>
        <w:bottom w:val="none" w:sz="0" w:space="0" w:color="auto"/>
        <w:right w:val="none" w:sz="0" w:space="0" w:color="auto"/>
      </w:divBdr>
      <w:divsChild>
        <w:div w:id="1049232878">
          <w:marLeft w:val="0"/>
          <w:marRight w:val="0"/>
          <w:marTop w:val="0"/>
          <w:marBottom w:val="0"/>
          <w:divBdr>
            <w:top w:val="none" w:sz="0" w:space="0" w:color="auto"/>
            <w:left w:val="none" w:sz="0" w:space="0" w:color="auto"/>
            <w:bottom w:val="none" w:sz="0" w:space="0" w:color="auto"/>
            <w:right w:val="none" w:sz="0" w:space="0" w:color="auto"/>
          </w:divBdr>
          <w:divsChild>
            <w:div w:id="20830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C2669-30A7-4564-82DF-330E1DEA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714</Words>
  <Characters>4074</Characters>
  <Application>Microsoft Office Word</Application>
  <DocSecurity>0</DocSecurity>
  <Lines>33</Lines>
  <Paragraphs>9</Paragraphs>
  <ScaleCrop>false</ScaleCrop>
  <Company>Toshiba</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0803</dc:creator>
  <cp:lastModifiedBy>闕鴻華</cp:lastModifiedBy>
  <cp:revision>8</cp:revision>
  <cp:lastPrinted>2017-03-07T08:29:00Z</cp:lastPrinted>
  <dcterms:created xsi:type="dcterms:W3CDTF">2017-03-07T08:27:00Z</dcterms:created>
  <dcterms:modified xsi:type="dcterms:W3CDTF">2017-04-05T03:38:00Z</dcterms:modified>
</cp:coreProperties>
</file>