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34" w:rsidRPr="00F24A73" w:rsidRDefault="00E02F28" w:rsidP="00E02F28">
      <w:pPr>
        <w:pStyle w:val="a3"/>
        <w:spacing w:line="600" w:lineRule="exact"/>
        <w:ind w:leftChars="0" w:left="0"/>
        <w:jc w:val="center"/>
        <w:rPr>
          <w:rFonts w:ascii="標楷體" w:eastAsia="標楷體" w:hAnsi="標楷體"/>
          <w:b/>
          <w:sz w:val="32"/>
          <w:szCs w:val="32"/>
        </w:rPr>
      </w:pPr>
      <w:r w:rsidRPr="00F24A73">
        <w:rPr>
          <w:rFonts w:ascii="標楷體" w:eastAsia="標楷體" w:hAnsi="標楷體" w:hint="eastAsia"/>
          <w:b/>
          <w:sz w:val="32"/>
          <w:szCs w:val="32"/>
        </w:rPr>
        <w:t>財團法人中華民國證券櫃檯買賣中心</w:t>
      </w:r>
    </w:p>
    <w:p w:rsidR="00E02F28" w:rsidRPr="00F24A73" w:rsidRDefault="00183334" w:rsidP="00E02F28">
      <w:pPr>
        <w:pStyle w:val="a3"/>
        <w:spacing w:line="600" w:lineRule="exact"/>
        <w:ind w:leftChars="0" w:left="0"/>
        <w:jc w:val="center"/>
        <w:rPr>
          <w:rFonts w:ascii="標楷體" w:eastAsia="標楷體" w:hAnsi="標楷體"/>
          <w:b/>
          <w:sz w:val="32"/>
          <w:szCs w:val="32"/>
        </w:rPr>
      </w:pPr>
      <w:r w:rsidRPr="00F24A73">
        <w:rPr>
          <w:rFonts w:ascii="標楷體" w:eastAsia="標楷體" w:hAnsi="標楷體" w:hint="eastAsia"/>
          <w:b/>
          <w:sz w:val="32"/>
          <w:szCs w:val="32"/>
        </w:rPr>
        <w:t>綠色債券作業要點</w:t>
      </w:r>
      <w:r w:rsidR="00E02F28" w:rsidRPr="00F24A73">
        <w:rPr>
          <w:rFonts w:ascii="標楷體" w:eastAsia="標楷體" w:hAnsi="標楷體" w:hint="eastAsia"/>
          <w:b/>
          <w:sz w:val="32"/>
          <w:szCs w:val="32"/>
        </w:rPr>
        <w:t>總說明</w:t>
      </w:r>
    </w:p>
    <w:p w:rsidR="00E02F28" w:rsidRPr="00F24A73" w:rsidRDefault="009E7565" w:rsidP="002316BD">
      <w:pPr>
        <w:spacing w:line="480" w:lineRule="exact"/>
        <w:ind w:firstLineChars="195" w:firstLine="468"/>
        <w:jc w:val="both"/>
        <w:rPr>
          <w:rFonts w:ascii="Times New Roman" w:eastAsia="標楷體" w:hAnsi="Times New Roman"/>
          <w:szCs w:val="24"/>
        </w:rPr>
      </w:pPr>
      <w:r w:rsidRPr="00F24A73">
        <w:rPr>
          <w:rFonts w:ascii="標楷體" w:eastAsia="標楷體" w:hAnsi="標楷體" w:hint="eastAsia"/>
          <w:szCs w:val="24"/>
        </w:rPr>
        <w:t>為</w:t>
      </w:r>
      <w:proofErr w:type="gramStart"/>
      <w:r w:rsidRPr="00F24A73">
        <w:rPr>
          <w:rFonts w:ascii="Times New Roman" w:eastAsia="標楷體" w:hAnsi="Times New Roman" w:hint="eastAsia"/>
          <w:szCs w:val="24"/>
        </w:rPr>
        <w:t>協助綠能科技</w:t>
      </w:r>
      <w:proofErr w:type="gramEnd"/>
      <w:r w:rsidRPr="00F24A73">
        <w:rPr>
          <w:rFonts w:ascii="Times New Roman" w:eastAsia="標楷體" w:hAnsi="Times New Roman" w:hint="eastAsia"/>
          <w:szCs w:val="24"/>
        </w:rPr>
        <w:t>產業籌集資金、促進環境永續發展，</w:t>
      </w:r>
      <w:proofErr w:type="gramStart"/>
      <w:r w:rsidRPr="00F24A73">
        <w:rPr>
          <w:rFonts w:ascii="Times New Roman" w:eastAsia="標楷體" w:hAnsi="Times New Roman" w:hint="eastAsia"/>
          <w:szCs w:val="24"/>
        </w:rPr>
        <w:t>爰</w:t>
      </w:r>
      <w:proofErr w:type="gramEnd"/>
      <w:r w:rsidRPr="00F24A73">
        <w:rPr>
          <w:rFonts w:ascii="Times New Roman" w:eastAsia="標楷體" w:hAnsi="Times New Roman" w:hint="eastAsia"/>
          <w:szCs w:val="24"/>
        </w:rPr>
        <w:t>建立我國綠色債券櫃檯買賣制度</w:t>
      </w:r>
      <w:r w:rsidR="009A7854" w:rsidRPr="00F24A73">
        <w:rPr>
          <w:rFonts w:ascii="Times New Roman" w:eastAsia="標楷體" w:hAnsi="Times New Roman" w:hint="eastAsia"/>
          <w:szCs w:val="24"/>
        </w:rPr>
        <w:t>，以利市場參與者遵循</w:t>
      </w:r>
      <w:r w:rsidR="00A64528" w:rsidRPr="00F24A73">
        <w:rPr>
          <w:rFonts w:ascii="Times New Roman" w:eastAsia="標楷體" w:hAnsi="Times New Roman" w:hint="eastAsia"/>
          <w:szCs w:val="24"/>
        </w:rPr>
        <w:t>。</w:t>
      </w:r>
      <w:r w:rsidR="00FA20B1" w:rsidRPr="00F24A73">
        <w:rPr>
          <w:rFonts w:ascii="Times New Roman" w:eastAsia="標楷體" w:hAnsi="Times New Roman" w:hint="eastAsia"/>
          <w:szCs w:val="24"/>
        </w:rPr>
        <w:t>經</w:t>
      </w:r>
      <w:r w:rsidR="008D5EB9" w:rsidRPr="00F24A73">
        <w:rPr>
          <w:rFonts w:ascii="Times New Roman" w:eastAsia="標楷體" w:hAnsi="Times New Roman"/>
          <w:szCs w:val="24"/>
        </w:rPr>
        <w:t>衡酌當前金融市場</w:t>
      </w:r>
      <w:r w:rsidR="00765ECE" w:rsidRPr="00F24A73">
        <w:rPr>
          <w:rFonts w:ascii="Times New Roman" w:eastAsia="標楷體" w:hAnsi="Times New Roman" w:hint="eastAsia"/>
          <w:szCs w:val="24"/>
        </w:rPr>
        <w:t>對綠色債券</w:t>
      </w:r>
      <w:r w:rsidR="008D5EB9" w:rsidRPr="00F24A73">
        <w:rPr>
          <w:rFonts w:ascii="Times New Roman" w:eastAsia="標楷體" w:hAnsi="Times New Roman"/>
          <w:szCs w:val="24"/>
        </w:rPr>
        <w:t>之實際需要及各界所提之各項建議</w:t>
      </w:r>
      <w:r w:rsidR="00765ECE" w:rsidRPr="00F24A73">
        <w:rPr>
          <w:rFonts w:ascii="Times New Roman" w:eastAsia="標楷體" w:hAnsi="Times New Roman" w:hint="eastAsia"/>
          <w:szCs w:val="24"/>
        </w:rPr>
        <w:t>，</w:t>
      </w:r>
      <w:r w:rsidR="00570FAA">
        <w:rPr>
          <w:rFonts w:ascii="Times New Roman" w:eastAsia="標楷體" w:hAnsi="Times New Roman" w:hint="eastAsia"/>
          <w:szCs w:val="24"/>
        </w:rPr>
        <w:t>訂定</w:t>
      </w:r>
      <w:r w:rsidR="00E02F28" w:rsidRPr="00F24A73">
        <w:rPr>
          <w:rFonts w:ascii="Times New Roman" w:eastAsia="標楷體" w:hAnsi="Times New Roman"/>
          <w:szCs w:val="24"/>
        </w:rPr>
        <w:t>「</w:t>
      </w:r>
      <w:r w:rsidR="00E02F28" w:rsidRPr="00F24A73">
        <w:rPr>
          <w:rFonts w:ascii="Times New Roman" w:eastAsia="標楷體" w:hAnsi="Times New Roman" w:hint="eastAsia"/>
          <w:szCs w:val="24"/>
        </w:rPr>
        <w:t>綠色債券作業要點</w:t>
      </w:r>
      <w:r w:rsidR="00E02F28" w:rsidRPr="00F24A73">
        <w:rPr>
          <w:rFonts w:ascii="Times New Roman" w:eastAsia="標楷體" w:hAnsi="Times New Roman"/>
          <w:szCs w:val="24"/>
        </w:rPr>
        <w:t>」（以下簡稱</w:t>
      </w:r>
      <w:r w:rsidR="00E02F28" w:rsidRPr="00F24A73">
        <w:rPr>
          <w:rFonts w:ascii="Times New Roman" w:eastAsia="標楷體" w:hAnsi="Times New Roman" w:hint="eastAsia"/>
          <w:szCs w:val="24"/>
        </w:rPr>
        <w:t>本作業要點</w:t>
      </w:r>
      <w:r w:rsidR="00E02F28" w:rsidRPr="00F24A73">
        <w:rPr>
          <w:rFonts w:ascii="Times New Roman" w:eastAsia="標楷體" w:hAnsi="Times New Roman"/>
          <w:szCs w:val="24"/>
        </w:rPr>
        <w:t>）</w:t>
      </w:r>
      <w:r w:rsidR="00E02F28" w:rsidRPr="00F24A73">
        <w:rPr>
          <w:rFonts w:ascii="Times New Roman" w:eastAsia="標楷體" w:hAnsi="Times New Roman" w:hint="eastAsia"/>
          <w:szCs w:val="24"/>
        </w:rPr>
        <w:t>以茲遵循</w:t>
      </w:r>
      <w:r w:rsidR="00E02F28" w:rsidRPr="00F24A73">
        <w:rPr>
          <w:rFonts w:ascii="Times New Roman" w:eastAsia="標楷體" w:hAnsi="Times New Roman"/>
          <w:szCs w:val="24"/>
        </w:rPr>
        <w:t>。</w:t>
      </w:r>
    </w:p>
    <w:p w:rsidR="00E02F28" w:rsidRPr="00F24A73" w:rsidRDefault="00E02F28" w:rsidP="00D45AA4">
      <w:pPr>
        <w:spacing w:line="460" w:lineRule="exact"/>
        <w:ind w:firstLineChars="204" w:firstLine="490"/>
        <w:jc w:val="both"/>
        <w:rPr>
          <w:rFonts w:ascii="標楷體" w:eastAsia="標楷體" w:hAnsi="標楷體"/>
          <w:szCs w:val="24"/>
        </w:rPr>
      </w:pPr>
      <w:r w:rsidRPr="00F24A73">
        <w:rPr>
          <w:rFonts w:ascii="標楷體" w:eastAsia="標楷體" w:hAnsi="標楷體" w:hint="eastAsia"/>
          <w:szCs w:val="24"/>
        </w:rPr>
        <w:t>本</w:t>
      </w:r>
      <w:r w:rsidR="008A36E7" w:rsidRPr="00F24A73">
        <w:rPr>
          <w:rFonts w:ascii="標楷體" w:eastAsia="標楷體" w:hAnsi="標楷體" w:hint="eastAsia"/>
          <w:szCs w:val="24"/>
        </w:rPr>
        <w:t>作業要點</w:t>
      </w:r>
      <w:r w:rsidRPr="00F24A73">
        <w:rPr>
          <w:rFonts w:ascii="標楷體" w:eastAsia="標楷體" w:hAnsi="標楷體" w:hint="eastAsia"/>
          <w:szCs w:val="24"/>
        </w:rPr>
        <w:t>條文共十</w:t>
      </w:r>
      <w:r w:rsidR="00AF68F7" w:rsidRPr="00F24A73">
        <w:rPr>
          <w:rFonts w:ascii="標楷體" w:eastAsia="標楷體" w:hAnsi="標楷體" w:hint="eastAsia"/>
          <w:szCs w:val="24"/>
        </w:rPr>
        <w:t>三</w:t>
      </w:r>
      <w:r w:rsidRPr="00F24A73">
        <w:rPr>
          <w:rFonts w:ascii="標楷體" w:eastAsia="標楷體" w:hAnsi="標楷體" w:hint="eastAsia"/>
          <w:szCs w:val="24"/>
        </w:rPr>
        <w:t>條，條文</w:t>
      </w:r>
      <w:r w:rsidRPr="00F24A73">
        <w:rPr>
          <w:rFonts w:ascii="標楷體" w:eastAsia="標楷體" w:hAnsi="標楷體"/>
          <w:szCs w:val="24"/>
        </w:rPr>
        <w:t>要點</w:t>
      </w:r>
      <w:proofErr w:type="gramStart"/>
      <w:r w:rsidRPr="00F24A73">
        <w:rPr>
          <w:rFonts w:ascii="標楷體" w:eastAsia="標楷體" w:hAnsi="標楷體"/>
          <w:szCs w:val="24"/>
        </w:rPr>
        <w:t>臚列如</w:t>
      </w:r>
      <w:proofErr w:type="gramEnd"/>
      <w:r w:rsidRPr="00F24A73">
        <w:rPr>
          <w:rFonts w:ascii="標楷體" w:eastAsia="標楷體" w:hAnsi="標楷體"/>
          <w:szCs w:val="24"/>
        </w:rPr>
        <w:t>下：</w:t>
      </w:r>
    </w:p>
    <w:p w:rsidR="00E02F28" w:rsidRPr="00F24A73" w:rsidRDefault="002C678E" w:rsidP="002316BD">
      <w:pPr>
        <w:pStyle w:val="a3"/>
        <w:numPr>
          <w:ilvl w:val="0"/>
          <w:numId w:val="12"/>
        </w:numPr>
        <w:spacing w:line="480" w:lineRule="exact"/>
        <w:ind w:leftChars="0" w:left="567" w:hanging="567"/>
        <w:jc w:val="both"/>
        <w:rPr>
          <w:rFonts w:ascii="標楷體" w:eastAsia="標楷體" w:hAnsi="標楷體"/>
          <w:szCs w:val="24"/>
        </w:rPr>
      </w:pPr>
      <w:r w:rsidRPr="00F24A73">
        <w:rPr>
          <w:rFonts w:ascii="標楷體" w:eastAsia="標楷體" w:hAnsi="標楷體" w:hint="eastAsia"/>
          <w:szCs w:val="24"/>
          <w:lang w:val="zh-TW"/>
        </w:rPr>
        <w:t>揭</w:t>
      </w:r>
      <w:proofErr w:type="gramStart"/>
      <w:r w:rsidRPr="00F24A73">
        <w:rPr>
          <w:rFonts w:ascii="標楷體" w:eastAsia="標楷體" w:hAnsi="標楷體" w:hint="eastAsia"/>
          <w:szCs w:val="24"/>
          <w:lang w:val="zh-TW"/>
        </w:rPr>
        <w:t>櫫</w:t>
      </w:r>
      <w:proofErr w:type="gramEnd"/>
      <w:r w:rsidRPr="00F24A73">
        <w:rPr>
          <w:rFonts w:ascii="標楷體" w:eastAsia="標楷體" w:hAnsi="標楷體" w:hint="eastAsia"/>
          <w:szCs w:val="24"/>
          <w:lang w:val="zh-TW"/>
        </w:rPr>
        <w:t>本</w:t>
      </w:r>
      <w:r w:rsidR="008A36E7" w:rsidRPr="00F24A73">
        <w:rPr>
          <w:rFonts w:ascii="標楷體" w:eastAsia="標楷體" w:hAnsi="標楷體" w:hint="eastAsia"/>
          <w:szCs w:val="24"/>
          <w:lang w:val="zh-TW"/>
        </w:rPr>
        <w:t>作業</w:t>
      </w:r>
      <w:r w:rsidRPr="00F24A73">
        <w:rPr>
          <w:rFonts w:ascii="標楷體" w:eastAsia="標楷體" w:hAnsi="標楷體" w:hint="eastAsia"/>
          <w:szCs w:val="24"/>
          <w:lang w:val="zh-TW"/>
        </w:rPr>
        <w:t>要點訂定之</w:t>
      </w:r>
      <w:r w:rsidR="00D444F9" w:rsidRPr="00F24A73">
        <w:rPr>
          <w:rFonts w:ascii="標楷體" w:eastAsia="標楷體" w:hAnsi="標楷體" w:hint="eastAsia"/>
          <w:szCs w:val="24"/>
          <w:lang w:val="zh-TW"/>
        </w:rPr>
        <w:t>意</w:t>
      </w:r>
      <w:r w:rsidRPr="00F24A73">
        <w:rPr>
          <w:rFonts w:ascii="標楷體" w:eastAsia="標楷體" w:hAnsi="標楷體" w:hint="eastAsia"/>
          <w:szCs w:val="24"/>
          <w:lang w:val="zh-TW"/>
        </w:rPr>
        <w:t>旨</w:t>
      </w:r>
      <w:r w:rsidRPr="00F24A73">
        <w:rPr>
          <w:rFonts w:ascii="標楷體" w:eastAsia="標楷體" w:hAnsi="標楷體"/>
          <w:szCs w:val="24"/>
          <w:lang w:val="zh-TW"/>
        </w:rPr>
        <w:t>。</w:t>
      </w:r>
      <w:r w:rsidR="00E02F28" w:rsidRPr="00F24A73">
        <w:rPr>
          <w:rFonts w:ascii="標楷體" w:eastAsia="標楷體" w:hAnsi="標楷體"/>
          <w:szCs w:val="24"/>
        </w:rPr>
        <w:t>（第一</w:t>
      </w:r>
      <w:r w:rsidR="00607323" w:rsidRPr="00F24A73">
        <w:rPr>
          <w:rFonts w:ascii="標楷體" w:eastAsia="標楷體" w:hAnsi="標楷體" w:hint="eastAsia"/>
          <w:szCs w:val="24"/>
        </w:rPr>
        <w:t>條</w:t>
      </w:r>
      <w:r w:rsidR="00E02F28" w:rsidRPr="00F24A73">
        <w:rPr>
          <w:rFonts w:ascii="標楷體" w:eastAsia="標楷體" w:hAnsi="標楷體"/>
          <w:szCs w:val="24"/>
        </w:rPr>
        <w:t>）</w:t>
      </w:r>
    </w:p>
    <w:p w:rsidR="00D95B01" w:rsidRPr="00F24A73" w:rsidRDefault="00D45AA4" w:rsidP="002316BD">
      <w:pPr>
        <w:pStyle w:val="a3"/>
        <w:numPr>
          <w:ilvl w:val="0"/>
          <w:numId w:val="12"/>
        </w:numPr>
        <w:spacing w:line="460" w:lineRule="exact"/>
        <w:ind w:leftChars="0" w:left="567" w:hanging="567"/>
        <w:jc w:val="both"/>
        <w:rPr>
          <w:rFonts w:ascii="標楷體" w:eastAsia="標楷體" w:hAnsi="標楷體"/>
          <w:szCs w:val="24"/>
        </w:rPr>
      </w:pPr>
      <w:r w:rsidRPr="00F24A73">
        <w:rPr>
          <w:rFonts w:ascii="標楷體" w:eastAsia="標楷體" w:hAnsi="標楷體" w:hint="eastAsia"/>
          <w:szCs w:val="24"/>
          <w:lang w:val="zh-TW"/>
        </w:rPr>
        <w:t>定義</w:t>
      </w:r>
      <w:r w:rsidR="00D95B01" w:rsidRPr="00F24A73">
        <w:rPr>
          <w:rFonts w:ascii="標楷體" w:eastAsia="標楷體" w:hAnsi="標楷體" w:hint="eastAsia"/>
          <w:szCs w:val="24"/>
          <w:lang w:val="zh-TW"/>
        </w:rPr>
        <w:t>綠色債券。</w:t>
      </w:r>
      <w:r w:rsidR="00D95B01" w:rsidRPr="00F24A73">
        <w:rPr>
          <w:rFonts w:ascii="標楷體" w:eastAsia="標楷體" w:hAnsi="標楷體" w:hint="eastAsia"/>
          <w:szCs w:val="24"/>
        </w:rPr>
        <w:t>（第二</w:t>
      </w:r>
      <w:r w:rsidR="00607323" w:rsidRPr="00F24A73">
        <w:rPr>
          <w:rFonts w:ascii="標楷體" w:eastAsia="標楷體" w:hAnsi="標楷體" w:hint="eastAsia"/>
          <w:szCs w:val="24"/>
        </w:rPr>
        <w:t>條</w:t>
      </w:r>
      <w:r w:rsidR="00D95B01" w:rsidRPr="00F24A73">
        <w:rPr>
          <w:rFonts w:ascii="標楷體" w:eastAsia="標楷體" w:hAnsi="標楷體" w:hint="eastAsia"/>
          <w:szCs w:val="24"/>
        </w:rPr>
        <w:t>）</w:t>
      </w:r>
    </w:p>
    <w:p w:rsidR="00154E20" w:rsidRPr="00F24A73" w:rsidRDefault="00D45AA4" w:rsidP="00D45AA4">
      <w:pPr>
        <w:pStyle w:val="a3"/>
        <w:numPr>
          <w:ilvl w:val="0"/>
          <w:numId w:val="12"/>
        </w:numPr>
        <w:spacing w:line="460" w:lineRule="exact"/>
        <w:ind w:leftChars="0" w:left="567" w:hanging="567"/>
        <w:jc w:val="both"/>
        <w:rPr>
          <w:rFonts w:ascii="標楷體" w:eastAsia="標楷體" w:hAnsi="標楷體"/>
          <w:szCs w:val="24"/>
        </w:rPr>
      </w:pPr>
      <w:r w:rsidRPr="00F24A73">
        <w:rPr>
          <w:rFonts w:ascii="標楷體" w:eastAsia="標楷體" w:hAnsi="標楷體" w:hint="eastAsia"/>
          <w:szCs w:val="24"/>
        </w:rPr>
        <w:t>界定</w:t>
      </w:r>
      <w:r w:rsidR="00154E20" w:rsidRPr="00F24A73">
        <w:rPr>
          <w:rFonts w:ascii="標楷體" w:eastAsia="標楷體" w:hAnsi="標楷體" w:hint="eastAsia"/>
          <w:szCs w:val="24"/>
          <w:lang w:val="zh-TW"/>
        </w:rPr>
        <w:t>得申請</w:t>
      </w:r>
      <w:r w:rsidR="00323C3D" w:rsidRPr="00F24A73">
        <w:rPr>
          <w:rFonts w:ascii="標楷體" w:eastAsia="標楷體" w:hAnsi="標楷體" w:hint="eastAsia"/>
          <w:szCs w:val="24"/>
        </w:rPr>
        <w:t>綠色債券</w:t>
      </w:r>
      <w:r w:rsidR="00367BE0" w:rsidRPr="00F24A73">
        <w:rPr>
          <w:rFonts w:ascii="標楷體" w:eastAsia="標楷體" w:hAnsi="標楷體" w:hint="eastAsia"/>
          <w:szCs w:val="24"/>
        </w:rPr>
        <w:t>資格認可</w:t>
      </w:r>
      <w:r w:rsidR="00154E20" w:rsidRPr="00F24A73">
        <w:rPr>
          <w:rFonts w:ascii="標楷體" w:eastAsia="標楷體" w:hAnsi="標楷體" w:hint="eastAsia"/>
          <w:szCs w:val="24"/>
          <w:lang w:val="zh-TW"/>
        </w:rPr>
        <w:t>之有價證券</w:t>
      </w:r>
      <w:r w:rsidRPr="00F24A73">
        <w:rPr>
          <w:rFonts w:ascii="標楷體" w:eastAsia="標楷體" w:hAnsi="標楷體" w:hint="eastAsia"/>
          <w:szCs w:val="24"/>
          <w:lang w:val="zh-TW"/>
        </w:rPr>
        <w:t>種類</w:t>
      </w:r>
      <w:r w:rsidR="00154E20" w:rsidRPr="00F24A73">
        <w:rPr>
          <w:rFonts w:ascii="標楷體" w:eastAsia="標楷體" w:hAnsi="標楷體" w:hint="eastAsia"/>
          <w:szCs w:val="24"/>
          <w:lang w:val="zh-TW"/>
        </w:rPr>
        <w:t>。</w:t>
      </w:r>
      <w:r w:rsidR="00154E20" w:rsidRPr="00F24A73">
        <w:rPr>
          <w:rFonts w:ascii="標楷體" w:eastAsia="標楷體" w:hAnsi="標楷體"/>
          <w:szCs w:val="24"/>
        </w:rPr>
        <w:t>（第</w:t>
      </w:r>
      <w:r w:rsidR="00154E20" w:rsidRPr="00F24A73">
        <w:rPr>
          <w:rFonts w:ascii="標楷體" w:eastAsia="標楷體" w:hAnsi="標楷體" w:hint="eastAsia"/>
          <w:szCs w:val="24"/>
        </w:rPr>
        <w:t>三條</w:t>
      </w:r>
      <w:r w:rsidR="00154E20" w:rsidRPr="00F24A73">
        <w:rPr>
          <w:rFonts w:ascii="標楷體" w:eastAsia="標楷體" w:hAnsi="標楷體"/>
          <w:szCs w:val="24"/>
        </w:rPr>
        <w:t>）</w:t>
      </w:r>
    </w:p>
    <w:p w:rsidR="00D95B01" w:rsidRPr="00F24A73" w:rsidRDefault="00D45AA4" w:rsidP="002316BD">
      <w:pPr>
        <w:pStyle w:val="a3"/>
        <w:numPr>
          <w:ilvl w:val="0"/>
          <w:numId w:val="12"/>
        </w:numPr>
        <w:spacing w:line="460" w:lineRule="exact"/>
        <w:ind w:leftChars="0" w:left="567" w:hanging="567"/>
        <w:jc w:val="both"/>
        <w:rPr>
          <w:rFonts w:ascii="標楷體" w:eastAsia="標楷體" w:hAnsi="標楷體"/>
          <w:szCs w:val="24"/>
        </w:rPr>
      </w:pPr>
      <w:r w:rsidRPr="00F24A73">
        <w:rPr>
          <w:rFonts w:ascii="標楷體" w:eastAsia="標楷體" w:hAnsi="標楷體" w:hint="eastAsia"/>
          <w:szCs w:val="24"/>
          <w:lang w:val="zh-TW"/>
        </w:rPr>
        <w:t>規範</w:t>
      </w:r>
      <w:r w:rsidR="00DF744B" w:rsidRPr="00F24A73">
        <w:rPr>
          <w:rFonts w:ascii="標楷體" w:eastAsia="標楷體" w:hAnsi="標楷體" w:hint="eastAsia"/>
          <w:szCs w:val="24"/>
          <w:lang w:val="zh-TW"/>
        </w:rPr>
        <w:t>申請各類有價證券之綠色債券</w:t>
      </w:r>
      <w:r w:rsidR="00DF744B" w:rsidRPr="00F24A73">
        <w:rPr>
          <w:rFonts w:ascii="標楷體" w:eastAsia="標楷體" w:hAnsi="標楷體" w:hint="eastAsia"/>
          <w:szCs w:val="24"/>
        </w:rPr>
        <w:t>資格認可</w:t>
      </w:r>
      <w:r w:rsidR="00DF744B" w:rsidRPr="00F24A73">
        <w:rPr>
          <w:rFonts w:ascii="標楷體" w:eastAsia="標楷體" w:hAnsi="標楷體" w:hint="eastAsia"/>
          <w:szCs w:val="24"/>
          <w:lang w:val="zh-TW"/>
        </w:rPr>
        <w:t>之資金用途</w:t>
      </w:r>
      <w:r w:rsidR="00D95B01" w:rsidRPr="00F24A73">
        <w:rPr>
          <w:rFonts w:ascii="標楷體" w:eastAsia="標楷體" w:hAnsi="標楷體" w:hint="eastAsia"/>
          <w:szCs w:val="24"/>
          <w:lang w:val="zh-TW"/>
        </w:rPr>
        <w:t>。</w:t>
      </w:r>
      <w:r w:rsidR="00D95B01" w:rsidRPr="00F24A73">
        <w:rPr>
          <w:rFonts w:ascii="標楷體" w:eastAsia="標楷體" w:hAnsi="標楷體"/>
          <w:szCs w:val="24"/>
        </w:rPr>
        <w:t>（第</w:t>
      </w:r>
      <w:r w:rsidR="00154E20" w:rsidRPr="00F24A73">
        <w:rPr>
          <w:rFonts w:ascii="標楷體" w:eastAsia="標楷體" w:hAnsi="標楷體" w:hint="eastAsia"/>
          <w:szCs w:val="24"/>
        </w:rPr>
        <w:t>四</w:t>
      </w:r>
      <w:r w:rsidR="00607323" w:rsidRPr="00F24A73">
        <w:rPr>
          <w:rFonts w:ascii="標楷體" w:eastAsia="標楷體" w:hAnsi="標楷體" w:hint="eastAsia"/>
          <w:szCs w:val="24"/>
        </w:rPr>
        <w:t>條</w:t>
      </w:r>
      <w:r w:rsidR="00D95B01" w:rsidRPr="00F24A73">
        <w:rPr>
          <w:rFonts w:ascii="標楷體" w:eastAsia="標楷體" w:hAnsi="標楷體"/>
          <w:szCs w:val="24"/>
        </w:rPr>
        <w:t>）</w:t>
      </w:r>
    </w:p>
    <w:p w:rsidR="00E61C0D" w:rsidRPr="00F24A73" w:rsidRDefault="00D95B01" w:rsidP="002316BD">
      <w:pPr>
        <w:pStyle w:val="a3"/>
        <w:numPr>
          <w:ilvl w:val="0"/>
          <w:numId w:val="12"/>
        </w:numPr>
        <w:spacing w:line="460" w:lineRule="exact"/>
        <w:ind w:leftChars="0" w:left="567" w:hanging="567"/>
        <w:jc w:val="both"/>
        <w:rPr>
          <w:rFonts w:ascii="標楷體" w:eastAsia="標楷體" w:hAnsi="標楷體"/>
          <w:szCs w:val="24"/>
        </w:rPr>
      </w:pPr>
      <w:r w:rsidRPr="00F24A73">
        <w:rPr>
          <w:rFonts w:ascii="標楷體" w:eastAsia="標楷體" w:hAnsi="標楷體" w:hint="eastAsia"/>
          <w:szCs w:val="24"/>
          <w:lang w:val="zh-TW"/>
        </w:rPr>
        <w:t>明定綠色投資計畫之範圍及認定方式。</w:t>
      </w:r>
      <w:r w:rsidRPr="00F24A73">
        <w:rPr>
          <w:rFonts w:ascii="標楷體" w:eastAsia="標楷體" w:hAnsi="標楷體" w:hint="eastAsia"/>
          <w:szCs w:val="24"/>
        </w:rPr>
        <w:t>（第</w:t>
      </w:r>
      <w:r w:rsidR="00154E20" w:rsidRPr="00F24A73">
        <w:rPr>
          <w:rFonts w:ascii="標楷體" w:eastAsia="標楷體" w:hAnsi="標楷體" w:hint="eastAsia"/>
          <w:szCs w:val="24"/>
        </w:rPr>
        <w:t>五</w:t>
      </w:r>
      <w:r w:rsidR="00607323" w:rsidRPr="00F24A73">
        <w:rPr>
          <w:rFonts w:ascii="標楷體" w:eastAsia="標楷體" w:hAnsi="標楷體" w:hint="eastAsia"/>
          <w:szCs w:val="24"/>
        </w:rPr>
        <w:t>條</w:t>
      </w:r>
      <w:r w:rsidRPr="00F24A73">
        <w:rPr>
          <w:rFonts w:ascii="標楷體" w:eastAsia="標楷體" w:hAnsi="標楷體" w:hint="eastAsia"/>
          <w:szCs w:val="24"/>
        </w:rPr>
        <w:t>）</w:t>
      </w:r>
    </w:p>
    <w:p w:rsidR="00E61C0D" w:rsidRPr="00F24A73" w:rsidRDefault="00483F05" w:rsidP="002316BD">
      <w:pPr>
        <w:pStyle w:val="a3"/>
        <w:numPr>
          <w:ilvl w:val="0"/>
          <w:numId w:val="12"/>
        </w:numPr>
        <w:spacing w:line="460" w:lineRule="exact"/>
        <w:ind w:leftChars="0" w:left="567" w:hanging="567"/>
        <w:jc w:val="both"/>
        <w:rPr>
          <w:rFonts w:ascii="標楷體" w:eastAsia="標楷體" w:hAnsi="標楷體"/>
          <w:szCs w:val="24"/>
        </w:rPr>
      </w:pPr>
      <w:r w:rsidRPr="00F24A73">
        <w:rPr>
          <w:rFonts w:ascii="標楷體" w:eastAsia="標楷體" w:hAnsi="標楷體" w:hint="eastAsia"/>
          <w:szCs w:val="24"/>
          <w:lang w:val="zh-TW"/>
        </w:rPr>
        <w:t>明</w:t>
      </w:r>
      <w:r w:rsidR="00E61C0D" w:rsidRPr="00F24A73">
        <w:rPr>
          <w:rFonts w:ascii="標楷體" w:eastAsia="標楷體" w:hAnsi="標楷體" w:hint="eastAsia"/>
          <w:szCs w:val="24"/>
          <w:lang w:val="zh-TW"/>
        </w:rPr>
        <w:t>定本作業要點所稱認證機構</w:t>
      </w:r>
      <w:r w:rsidR="00750DAC" w:rsidRPr="00F24A73">
        <w:rPr>
          <w:rFonts w:ascii="標楷體" w:eastAsia="標楷體" w:hAnsi="標楷體" w:hint="eastAsia"/>
          <w:szCs w:val="24"/>
          <w:lang w:val="zh-TW"/>
        </w:rPr>
        <w:t>之</w:t>
      </w:r>
      <w:r w:rsidR="00C93063" w:rsidRPr="00F24A73">
        <w:rPr>
          <w:rFonts w:ascii="標楷體" w:eastAsia="標楷體" w:hAnsi="標楷體" w:hint="eastAsia"/>
          <w:szCs w:val="24"/>
          <w:lang w:val="zh-TW"/>
        </w:rPr>
        <w:t>資格條件，及</w:t>
      </w:r>
      <w:r w:rsidR="006347AC" w:rsidRPr="00F24A73">
        <w:rPr>
          <w:rFonts w:ascii="標楷體" w:eastAsia="標楷體" w:hAnsi="標楷體" w:hint="eastAsia"/>
          <w:szCs w:val="24"/>
          <w:lang w:val="zh-TW"/>
        </w:rPr>
        <w:t>對</w:t>
      </w:r>
      <w:r w:rsidR="00C93063" w:rsidRPr="00F24A73">
        <w:rPr>
          <w:rFonts w:ascii="標楷體" w:eastAsia="標楷體" w:hAnsi="標楷體" w:hint="eastAsia"/>
          <w:szCs w:val="24"/>
          <w:lang w:val="zh-TW"/>
        </w:rPr>
        <w:t>認證機構有虛偽或隱匿之</w:t>
      </w:r>
      <w:r w:rsidR="00C87CAD" w:rsidRPr="00F24A73">
        <w:rPr>
          <w:rFonts w:ascii="標楷體" w:eastAsia="標楷體" w:hAnsi="標楷體" w:hint="eastAsia"/>
          <w:szCs w:val="24"/>
          <w:lang w:val="zh-TW"/>
        </w:rPr>
        <w:t>情事者之</w:t>
      </w:r>
      <w:r w:rsidR="00C93063" w:rsidRPr="00F24A73">
        <w:rPr>
          <w:rFonts w:ascii="標楷體" w:eastAsia="標楷體" w:hAnsi="標楷體" w:hint="eastAsia"/>
          <w:szCs w:val="24"/>
          <w:lang w:val="zh-TW"/>
        </w:rPr>
        <w:t>處置</w:t>
      </w:r>
      <w:r w:rsidR="00E61C0D" w:rsidRPr="00F24A73">
        <w:rPr>
          <w:rFonts w:ascii="標楷體" w:eastAsia="標楷體" w:hAnsi="標楷體" w:hint="eastAsia"/>
          <w:szCs w:val="24"/>
          <w:lang w:val="zh-TW"/>
        </w:rPr>
        <w:t>。</w:t>
      </w:r>
      <w:r w:rsidR="00E61C0D" w:rsidRPr="00F24A73">
        <w:rPr>
          <w:rFonts w:ascii="標楷體" w:eastAsia="標楷體" w:hAnsi="標楷體" w:hint="eastAsia"/>
          <w:szCs w:val="24"/>
        </w:rPr>
        <w:t>（第</w:t>
      </w:r>
      <w:r w:rsidR="00154E20" w:rsidRPr="00F24A73">
        <w:rPr>
          <w:rFonts w:ascii="標楷體" w:eastAsia="標楷體" w:hAnsi="標楷體" w:hint="eastAsia"/>
          <w:szCs w:val="24"/>
        </w:rPr>
        <w:t>六</w:t>
      </w:r>
      <w:r w:rsidR="00E61C0D" w:rsidRPr="00F24A73">
        <w:rPr>
          <w:rFonts w:ascii="標楷體" w:eastAsia="標楷體" w:hAnsi="標楷體" w:hint="eastAsia"/>
          <w:szCs w:val="24"/>
        </w:rPr>
        <w:t>條）</w:t>
      </w:r>
    </w:p>
    <w:p w:rsidR="00964F0A" w:rsidRPr="00F24A73" w:rsidRDefault="00D95B01" w:rsidP="002316BD">
      <w:pPr>
        <w:pStyle w:val="a3"/>
        <w:numPr>
          <w:ilvl w:val="0"/>
          <w:numId w:val="12"/>
        </w:numPr>
        <w:spacing w:line="460" w:lineRule="exact"/>
        <w:ind w:leftChars="0" w:left="567" w:hanging="567"/>
        <w:jc w:val="both"/>
        <w:rPr>
          <w:rFonts w:ascii="標楷體" w:eastAsia="標楷體" w:hAnsi="標楷體"/>
          <w:szCs w:val="24"/>
        </w:rPr>
      </w:pPr>
      <w:r w:rsidRPr="00F24A73">
        <w:rPr>
          <w:rFonts w:ascii="標楷體" w:eastAsia="標楷體" w:hAnsi="標楷體" w:hint="eastAsia"/>
          <w:szCs w:val="24"/>
          <w:lang w:val="zh-TW"/>
        </w:rPr>
        <w:t>明定發行人</w:t>
      </w:r>
      <w:r w:rsidRPr="00F24A73">
        <w:rPr>
          <w:rFonts w:ascii="標楷體" w:eastAsia="標楷體" w:hAnsi="標楷體" w:hint="eastAsia"/>
          <w:szCs w:val="24"/>
        </w:rPr>
        <w:t>申請</w:t>
      </w:r>
      <w:r w:rsidR="00323C3D" w:rsidRPr="00F24A73">
        <w:rPr>
          <w:rFonts w:ascii="標楷體" w:eastAsia="標楷體" w:hAnsi="標楷體" w:hint="eastAsia"/>
          <w:szCs w:val="24"/>
        </w:rPr>
        <w:t>綠色債券資格</w:t>
      </w:r>
      <w:r w:rsidR="00367BE0" w:rsidRPr="00F24A73">
        <w:rPr>
          <w:rFonts w:ascii="標楷體" w:eastAsia="標楷體" w:hAnsi="標楷體" w:hint="eastAsia"/>
          <w:szCs w:val="24"/>
        </w:rPr>
        <w:t>認可</w:t>
      </w:r>
      <w:r w:rsidR="00C87CAD" w:rsidRPr="00F24A73">
        <w:rPr>
          <w:rFonts w:ascii="標楷體" w:eastAsia="標楷體" w:hAnsi="標楷體" w:hint="eastAsia"/>
          <w:szCs w:val="24"/>
        </w:rPr>
        <w:t>之申請書件與作業程序</w:t>
      </w:r>
      <w:r w:rsidR="00A356B6" w:rsidRPr="00F24A73">
        <w:rPr>
          <w:rFonts w:ascii="標楷體" w:eastAsia="標楷體" w:hAnsi="標楷體" w:hint="eastAsia"/>
          <w:szCs w:val="24"/>
        </w:rPr>
        <w:t>。</w:t>
      </w:r>
      <w:r w:rsidRPr="00F24A73">
        <w:rPr>
          <w:rFonts w:ascii="標楷體" w:eastAsia="標楷體" w:hAnsi="標楷體" w:hint="eastAsia"/>
          <w:szCs w:val="24"/>
        </w:rPr>
        <w:t>（第</w:t>
      </w:r>
      <w:r w:rsidR="00154E20" w:rsidRPr="00F24A73">
        <w:rPr>
          <w:rFonts w:ascii="標楷體" w:eastAsia="標楷體" w:hAnsi="標楷體" w:hint="eastAsia"/>
          <w:szCs w:val="24"/>
        </w:rPr>
        <w:t>七</w:t>
      </w:r>
      <w:r w:rsidR="00607323" w:rsidRPr="00F24A73">
        <w:rPr>
          <w:rFonts w:ascii="標楷體" w:eastAsia="標楷體" w:hAnsi="標楷體" w:hint="eastAsia"/>
          <w:szCs w:val="24"/>
        </w:rPr>
        <w:t>條</w:t>
      </w:r>
      <w:r w:rsidRPr="00F24A73">
        <w:rPr>
          <w:rFonts w:ascii="標楷體" w:eastAsia="標楷體" w:hAnsi="標楷體" w:hint="eastAsia"/>
          <w:szCs w:val="24"/>
        </w:rPr>
        <w:t>）</w:t>
      </w:r>
    </w:p>
    <w:p w:rsidR="004116F7" w:rsidRPr="00F24A73" w:rsidRDefault="00A356B6" w:rsidP="002316BD">
      <w:pPr>
        <w:pStyle w:val="a3"/>
        <w:numPr>
          <w:ilvl w:val="0"/>
          <w:numId w:val="12"/>
        </w:numPr>
        <w:spacing w:line="460" w:lineRule="exact"/>
        <w:ind w:leftChars="0" w:left="567" w:hanging="567"/>
        <w:jc w:val="both"/>
        <w:rPr>
          <w:rFonts w:ascii="標楷體" w:eastAsia="標楷體" w:hAnsi="標楷體"/>
          <w:szCs w:val="24"/>
        </w:rPr>
      </w:pPr>
      <w:r w:rsidRPr="00F24A73">
        <w:rPr>
          <w:rFonts w:ascii="標楷體" w:eastAsia="標楷體" w:hAnsi="標楷體" w:hint="eastAsia"/>
          <w:szCs w:val="24"/>
        </w:rPr>
        <w:t>明定</w:t>
      </w:r>
      <w:r w:rsidR="00964F0A" w:rsidRPr="00F24A73">
        <w:rPr>
          <w:rFonts w:ascii="標楷體" w:eastAsia="標楷體" w:hAnsi="標楷體" w:hint="eastAsia"/>
          <w:lang w:val="zh-TW"/>
        </w:rPr>
        <w:t>本中心</w:t>
      </w:r>
      <w:r w:rsidR="00E1541F" w:rsidRPr="00F24A73">
        <w:rPr>
          <w:rFonts w:ascii="標楷體" w:eastAsia="標楷體" w:hAnsi="標楷體" w:hint="eastAsia"/>
          <w:lang w:val="zh-TW"/>
        </w:rPr>
        <w:t>就綠色債券</w:t>
      </w:r>
      <w:r w:rsidR="00E1541F" w:rsidRPr="00F24A73">
        <w:rPr>
          <w:rFonts w:ascii="標楷體" w:eastAsia="標楷體" w:hAnsi="標楷體" w:hint="eastAsia"/>
          <w:szCs w:val="24"/>
        </w:rPr>
        <w:t>資格認可</w:t>
      </w:r>
      <w:r w:rsidR="00E1541F" w:rsidRPr="00F24A73">
        <w:rPr>
          <w:rFonts w:ascii="標楷體" w:eastAsia="標楷體" w:hAnsi="標楷體" w:hint="eastAsia"/>
          <w:lang w:val="zh-TW"/>
        </w:rPr>
        <w:t>申請案之審查要點</w:t>
      </w:r>
      <w:r w:rsidR="00E1541F" w:rsidRPr="00F24A73">
        <w:rPr>
          <w:rFonts w:ascii="新細明體" w:hAnsi="新細明體" w:hint="eastAsia"/>
          <w:lang w:val="zh-TW"/>
        </w:rPr>
        <w:t>、</w:t>
      </w:r>
      <w:r w:rsidR="00E1541F" w:rsidRPr="00F24A73">
        <w:rPr>
          <w:rFonts w:ascii="標楷體" w:eastAsia="標楷體" w:hAnsi="標楷體" w:hint="eastAsia"/>
          <w:lang w:val="zh-TW"/>
        </w:rPr>
        <w:t>程序及期限，以及</w:t>
      </w:r>
      <w:r w:rsidR="00E1541F" w:rsidRPr="00F24A73">
        <w:rPr>
          <w:rFonts w:ascii="標楷體" w:eastAsia="標楷體" w:hAnsi="標楷體" w:hint="eastAsia"/>
          <w:szCs w:val="24"/>
          <w:lang w:val="zh-TW"/>
        </w:rPr>
        <w:t>綠色債券</w:t>
      </w:r>
      <w:r w:rsidR="00E1541F" w:rsidRPr="00F24A73">
        <w:rPr>
          <w:rFonts w:ascii="標楷體" w:eastAsia="標楷體" w:hAnsi="標楷體" w:hint="eastAsia"/>
          <w:szCs w:val="24"/>
        </w:rPr>
        <w:t>資格認可</w:t>
      </w:r>
      <w:r w:rsidR="00E1541F" w:rsidRPr="00F24A73">
        <w:rPr>
          <w:rFonts w:ascii="標楷體" w:eastAsia="標楷體" w:hAnsi="標楷體" w:hint="eastAsia"/>
          <w:szCs w:val="24"/>
          <w:lang w:val="zh-TW"/>
        </w:rPr>
        <w:t>文件</w:t>
      </w:r>
      <w:r w:rsidR="00E1541F" w:rsidRPr="00F24A73">
        <w:rPr>
          <w:rFonts w:ascii="標楷體" w:eastAsia="標楷體" w:hAnsi="標楷體" w:hint="eastAsia"/>
          <w:szCs w:val="24"/>
        </w:rPr>
        <w:t>之時間效力</w:t>
      </w:r>
      <w:r w:rsidR="00E02F28" w:rsidRPr="00F24A73">
        <w:rPr>
          <w:rFonts w:ascii="標楷體" w:eastAsia="標楷體" w:hAnsi="標楷體" w:hint="eastAsia"/>
          <w:szCs w:val="24"/>
        </w:rPr>
        <w:t>（第</w:t>
      </w:r>
      <w:r w:rsidR="00154E20" w:rsidRPr="00F24A73">
        <w:rPr>
          <w:rFonts w:ascii="標楷體" w:eastAsia="標楷體" w:hAnsi="標楷體" w:hint="eastAsia"/>
          <w:szCs w:val="24"/>
        </w:rPr>
        <w:t>八</w:t>
      </w:r>
      <w:r w:rsidR="00607323" w:rsidRPr="00F24A73">
        <w:rPr>
          <w:rFonts w:ascii="標楷體" w:eastAsia="標楷體" w:hAnsi="標楷體" w:hint="eastAsia"/>
          <w:szCs w:val="24"/>
        </w:rPr>
        <w:t>條</w:t>
      </w:r>
      <w:r w:rsidR="00E02F28" w:rsidRPr="00F24A73">
        <w:rPr>
          <w:rFonts w:ascii="標楷體" w:eastAsia="標楷體" w:hAnsi="標楷體" w:hint="eastAsia"/>
          <w:szCs w:val="24"/>
        </w:rPr>
        <w:t>）</w:t>
      </w:r>
    </w:p>
    <w:p w:rsidR="00D95B01" w:rsidRPr="00F24A73" w:rsidRDefault="004116F7" w:rsidP="002316BD">
      <w:pPr>
        <w:pStyle w:val="a3"/>
        <w:numPr>
          <w:ilvl w:val="0"/>
          <w:numId w:val="12"/>
        </w:numPr>
        <w:spacing w:line="460" w:lineRule="exact"/>
        <w:ind w:leftChars="0" w:left="567" w:hanging="567"/>
        <w:jc w:val="both"/>
        <w:rPr>
          <w:rFonts w:ascii="標楷體" w:eastAsia="標楷體" w:hAnsi="標楷體"/>
          <w:szCs w:val="24"/>
        </w:rPr>
      </w:pPr>
      <w:r w:rsidRPr="00F24A73">
        <w:rPr>
          <w:rFonts w:ascii="標楷體" w:eastAsia="標楷體" w:hAnsi="標楷體" w:hint="eastAsia"/>
          <w:lang w:val="zh-TW"/>
        </w:rPr>
        <w:t>明定發行人應訂定綠色債券資金運用計畫，且應經認證機構</w:t>
      </w:r>
      <w:r w:rsidR="006347AC" w:rsidRPr="00F24A73">
        <w:rPr>
          <w:rFonts w:ascii="標楷體" w:eastAsia="標楷體" w:hAnsi="標楷體" w:hint="eastAsia"/>
          <w:lang w:val="zh-TW"/>
        </w:rPr>
        <w:t>出具</w:t>
      </w:r>
      <w:r w:rsidRPr="00F24A73">
        <w:rPr>
          <w:rFonts w:ascii="標楷體" w:eastAsia="標楷體" w:hAnsi="標楷體" w:hint="eastAsia"/>
          <w:lang w:val="zh-TW"/>
        </w:rPr>
        <w:t>對其綠色投資計畫具有可行性</w:t>
      </w:r>
      <w:r w:rsidRPr="00F24A73">
        <w:rPr>
          <w:rFonts w:ascii="新細明體" w:hAnsi="新細明體" w:hint="eastAsia"/>
          <w:lang w:val="zh-TW"/>
        </w:rPr>
        <w:t>、</w:t>
      </w:r>
      <w:r w:rsidRPr="00F24A73">
        <w:rPr>
          <w:rFonts w:ascii="標楷體" w:eastAsia="標楷體" w:hAnsi="標楷體" w:hint="eastAsia"/>
          <w:lang w:val="zh-TW"/>
        </w:rPr>
        <w:t>合理性及有效性出具評估意見</w:t>
      </w:r>
      <w:r w:rsidR="00DE2204" w:rsidRPr="00F24A73">
        <w:rPr>
          <w:rFonts w:ascii="標楷體" w:eastAsia="標楷體" w:hAnsi="標楷體" w:hint="eastAsia"/>
          <w:lang w:val="zh-TW"/>
        </w:rPr>
        <w:t>或認證報告</w:t>
      </w:r>
      <w:r w:rsidRPr="00F24A73">
        <w:rPr>
          <w:rFonts w:ascii="標楷體" w:eastAsia="標楷體" w:hAnsi="標楷體" w:hint="eastAsia"/>
          <w:lang w:val="zh-TW"/>
        </w:rPr>
        <w:t>。</w:t>
      </w:r>
      <w:r w:rsidR="007D798B" w:rsidRPr="00F24A73">
        <w:rPr>
          <w:rFonts w:ascii="標楷體" w:eastAsia="標楷體" w:hAnsi="標楷體" w:hint="eastAsia"/>
          <w:szCs w:val="24"/>
        </w:rPr>
        <w:t>但發行人為</w:t>
      </w:r>
      <w:r w:rsidR="004066D2" w:rsidRPr="00F24A73">
        <w:rPr>
          <w:rFonts w:ascii="標楷體" w:eastAsia="標楷體" w:hAnsi="標楷體" w:hint="eastAsia"/>
          <w:szCs w:val="24"/>
        </w:rPr>
        <w:t>具能源供應專業之</w:t>
      </w:r>
      <w:r w:rsidR="007D798B" w:rsidRPr="00F24A73">
        <w:rPr>
          <w:rFonts w:ascii="標楷體" w:eastAsia="標楷體" w:hAnsi="標楷體" w:hint="eastAsia"/>
          <w:szCs w:val="24"/>
        </w:rPr>
        <w:t>國營事業者，得自行出具評估意見。</w:t>
      </w:r>
      <w:r w:rsidR="00D95B01" w:rsidRPr="00F24A73">
        <w:rPr>
          <w:rFonts w:ascii="標楷體" w:eastAsia="標楷體" w:hAnsi="標楷體" w:hint="eastAsia"/>
          <w:szCs w:val="24"/>
        </w:rPr>
        <w:t>（第</w:t>
      </w:r>
      <w:r w:rsidR="00154E20" w:rsidRPr="00F24A73">
        <w:rPr>
          <w:rFonts w:ascii="標楷體" w:eastAsia="標楷體" w:hAnsi="標楷體" w:hint="eastAsia"/>
          <w:szCs w:val="24"/>
        </w:rPr>
        <w:t>九</w:t>
      </w:r>
      <w:r w:rsidR="00607323" w:rsidRPr="00F24A73">
        <w:rPr>
          <w:rFonts w:ascii="標楷體" w:eastAsia="標楷體" w:hAnsi="標楷體" w:hint="eastAsia"/>
          <w:szCs w:val="24"/>
        </w:rPr>
        <w:t>條</w:t>
      </w:r>
      <w:r w:rsidR="00D95B01" w:rsidRPr="00F24A73">
        <w:rPr>
          <w:rFonts w:ascii="標楷體" w:eastAsia="標楷體" w:hAnsi="標楷體" w:hint="eastAsia"/>
          <w:szCs w:val="24"/>
        </w:rPr>
        <w:t>）</w:t>
      </w:r>
    </w:p>
    <w:p w:rsidR="004116F7" w:rsidRPr="00F24A73" w:rsidRDefault="00D95B01" w:rsidP="002316BD">
      <w:pPr>
        <w:pStyle w:val="a3"/>
        <w:numPr>
          <w:ilvl w:val="0"/>
          <w:numId w:val="12"/>
        </w:numPr>
        <w:spacing w:line="460" w:lineRule="exact"/>
        <w:ind w:leftChars="0" w:left="567" w:hanging="567"/>
        <w:jc w:val="both"/>
        <w:rPr>
          <w:rFonts w:ascii="標楷體" w:eastAsia="標楷體" w:hAnsi="標楷體"/>
          <w:szCs w:val="24"/>
        </w:rPr>
      </w:pPr>
      <w:r w:rsidRPr="00F24A73">
        <w:rPr>
          <w:rFonts w:ascii="標楷體" w:eastAsia="標楷體" w:hAnsi="標楷體" w:hint="eastAsia"/>
          <w:szCs w:val="24"/>
          <w:lang w:val="zh-TW"/>
        </w:rPr>
        <w:t>明定發行人之綠色債券公開</w:t>
      </w:r>
      <w:r w:rsidR="0089393C" w:rsidRPr="00F24A73">
        <w:rPr>
          <w:rFonts w:ascii="標楷體" w:eastAsia="標楷體" w:hAnsi="標楷體" w:hint="eastAsia"/>
          <w:szCs w:val="24"/>
          <w:lang w:val="zh-TW"/>
        </w:rPr>
        <w:t>說</w:t>
      </w:r>
      <w:r w:rsidRPr="00F24A73">
        <w:rPr>
          <w:rFonts w:ascii="標楷體" w:eastAsia="標楷體" w:hAnsi="標楷體" w:hint="eastAsia"/>
          <w:szCs w:val="24"/>
          <w:lang w:val="zh-TW"/>
        </w:rPr>
        <w:t>明書應揭露</w:t>
      </w:r>
      <w:r w:rsidR="004066D2" w:rsidRPr="00F24A73">
        <w:rPr>
          <w:rFonts w:ascii="標楷體" w:eastAsia="標楷體" w:hAnsi="標楷體" w:hint="eastAsia"/>
          <w:szCs w:val="24"/>
          <w:lang w:val="zh-TW"/>
        </w:rPr>
        <w:t>綠色投資計畫相關</w:t>
      </w:r>
      <w:r w:rsidRPr="00F24A73">
        <w:rPr>
          <w:rFonts w:ascii="標楷體" w:eastAsia="標楷體" w:hAnsi="標楷體" w:hint="eastAsia"/>
          <w:szCs w:val="24"/>
          <w:lang w:val="zh-TW"/>
        </w:rPr>
        <w:t>內容。</w:t>
      </w:r>
      <w:r w:rsidRPr="00F24A73">
        <w:rPr>
          <w:rFonts w:ascii="標楷體" w:eastAsia="標楷體" w:hAnsi="標楷體" w:hint="eastAsia"/>
          <w:szCs w:val="24"/>
        </w:rPr>
        <w:t>（第</w:t>
      </w:r>
      <w:r w:rsidR="00154E20" w:rsidRPr="00F24A73">
        <w:rPr>
          <w:rFonts w:ascii="標楷體" w:eastAsia="標楷體" w:hAnsi="標楷體" w:hint="eastAsia"/>
          <w:szCs w:val="24"/>
        </w:rPr>
        <w:t>十</w:t>
      </w:r>
      <w:r w:rsidR="00607323" w:rsidRPr="00F24A73">
        <w:rPr>
          <w:rFonts w:ascii="標楷體" w:eastAsia="標楷體" w:hAnsi="標楷體" w:hint="eastAsia"/>
          <w:szCs w:val="24"/>
        </w:rPr>
        <w:t>條</w:t>
      </w:r>
      <w:r w:rsidRPr="00F24A73">
        <w:rPr>
          <w:rFonts w:ascii="標楷體" w:eastAsia="標楷體" w:hAnsi="標楷體" w:hint="eastAsia"/>
          <w:szCs w:val="24"/>
        </w:rPr>
        <w:t>）</w:t>
      </w:r>
    </w:p>
    <w:p w:rsidR="004116F7" w:rsidRPr="00F24A73" w:rsidRDefault="00483F05" w:rsidP="00C44E95">
      <w:pPr>
        <w:pStyle w:val="a3"/>
        <w:numPr>
          <w:ilvl w:val="0"/>
          <w:numId w:val="12"/>
        </w:numPr>
        <w:spacing w:line="460" w:lineRule="exact"/>
        <w:ind w:leftChars="0" w:left="737" w:hanging="737"/>
        <w:jc w:val="both"/>
        <w:rPr>
          <w:rFonts w:ascii="標楷體" w:eastAsia="標楷體" w:hAnsi="標楷體"/>
          <w:szCs w:val="24"/>
        </w:rPr>
      </w:pPr>
      <w:r w:rsidRPr="00F24A73">
        <w:rPr>
          <w:rFonts w:ascii="標楷體" w:eastAsia="標楷體" w:hAnsi="標楷體" w:hint="eastAsia"/>
          <w:szCs w:val="24"/>
          <w:lang w:val="zh-TW"/>
        </w:rPr>
        <w:t>明</w:t>
      </w:r>
      <w:r w:rsidR="004116F7" w:rsidRPr="00F24A73">
        <w:rPr>
          <w:rFonts w:ascii="標楷體" w:eastAsia="標楷體" w:hAnsi="標楷體" w:hint="eastAsia"/>
          <w:szCs w:val="24"/>
          <w:lang w:val="zh-TW"/>
        </w:rPr>
        <w:t>定發行人</w:t>
      </w:r>
      <w:r w:rsidR="004116F7" w:rsidRPr="00F24A73">
        <w:rPr>
          <w:rFonts w:ascii="標楷體" w:eastAsia="標楷體" w:hAnsi="標楷體" w:hint="eastAsia"/>
          <w:szCs w:val="24"/>
        </w:rPr>
        <w:t>應於綠色債券存續期間或所募資金運用</w:t>
      </w:r>
      <w:proofErr w:type="gramStart"/>
      <w:r w:rsidR="004116F7" w:rsidRPr="00F24A73">
        <w:rPr>
          <w:rFonts w:ascii="標楷體" w:eastAsia="標楷體" w:hAnsi="標楷體" w:hint="eastAsia"/>
          <w:szCs w:val="24"/>
        </w:rPr>
        <w:t>期間，</w:t>
      </w:r>
      <w:proofErr w:type="gramEnd"/>
      <w:r w:rsidR="004066D2" w:rsidRPr="00F24A73">
        <w:rPr>
          <w:rFonts w:ascii="標楷體" w:eastAsia="標楷體" w:hAnsi="標楷體" w:hint="eastAsia"/>
          <w:szCs w:val="24"/>
        </w:rPr>
        <w:t>每年度資金運用情形應經認證機構出具評估意見或認證報告，且應定期辦理</w:t>
      </w:r>
      <w:r w:rsidR="004116F7" w:rsidRPr="00F24A73">
        <w:rPr>
          <w:rFonts w:ascii="標楷體" w:eastAsia="標楷體" w:hAnsi="標楷體" w:hint="eastAsia"/>
          <w:szCs w:val="24"/>
        </w:rPr>
        <w:t>資訊申報作業。（第</w:t>
      </w:r>
      <w:r w:rsidR="00E61C0D" w:rsidRPr="00F24A73">
        <w:rPr>
          <w:rFonts w:ascii="標楷體" w:eastAsia="標楷體" w:hAnsi="標楷體" w:hint="eastAsia"/>
          <w:szCs w:val="24"/>
        </w:rPr>
        <w:t>十</w:t>
      </w:r>
      <w:r w:rsidR="00154E20" w:rsidRPr="00F24A73">
        <w:rPr>
          <w:rFonts w:ascii="標楷體" w:eastAsia="標楷體" w:hAnsi="標楷體" w:hint="eastAsia"/>
          <w:szCs w:val="24"/>
        </w:rPr>
        <w:t>一</w:t>
      </w:r>
      <w:r w:rsidR="00607323" w:rsidRPr="00F24A73">
        <w:rPr>
          <w:rFonts w:ascii="標楷體" w:eastAsia="標楷體" w:hAnsi="標楷體" w:hint="eastAsia"/>
          <w:szCs w:val="24"/>
        </w:rPr>
        <w:t>條</w:t>
      </w:r>
      <w:r w:rsidR="004116F7" w:rsidRPr="00F24A73">
        <w:rPr>
          <w:rFonts w:ascii="標楷體" w:eastAsia="標楷體" w:hAnsi="標楷體" w:hint="eastAsia"/>
          <w:szCs w:val="24"/>
        </w:rPr>
        <w:t>）</w:t>
      </w:r>
    </w:p>
    <w:p w:rsidR="00E02F28" w:rsidRPr="00F24A73" w:rsidRDefault="00E1541F" w:rsidP="00C44E95">
      <w:pPr>
        <w:pStyle w:val="a3"/>
        <w:numPr>
          <w:ilvl w:val="0"/>
          <w:numId w:val="12"/>
        </w:numPr>
        <w:spacing w:line="460" w:lineRule="exact"/>
        <w:ind w:leftChars="0" w:left="737" w:hanging="737"/>
        <w:jc w:val="both"/>
        <w:rPr>
          <w:rFonts w:ascii="標楷體" w:eastAsia="標楷體" w:hAnsi="標楷體"/>
          <w:szCs w:val="24"/>
        </w:rPr>
      </w:pPr>
      <w:r w:rsidRPr="00F24A73">
        <w:rPr>
          <w:rFonts w:ascii="標楷體" w:eastAsia="標楷體" w:hAnsi="標楷體" w:hint="eastAsia"/>
          <w:szCs w:val="24"/>
        </w:rPr>
        <w:t>明定發行人所申請之書件或資訊申報有虛偽、隱匿之情事者、及</w:t>
      </w:r>
      <w:r w:rsidRPr="00F24A73">
        <w:rPr>
          <w:rFonts w:ascii="標楷體" w:eastAsia="標楷體" w:hAnsi="標楷體" w:hint="eastAsia"/>
          <w:szCs w:val="24"/>
          <w:lang w:val="zh-TW"/>
        </w:rPr>
        <w:t>發行人</w:t>
      </w:r>
      <w:r w:rsidRPr="00F24A73">
        <w:rPr>
          <w:rFonts w:ascii="標楷體" w:eastAsia="標楷體" w:hAnsi="標楷體" w:hint="eastAsia"/>
          <w:szCs w:val="24"/>
        </w:rPr>
        <w:t>未依規定辦理資訊申報或未將資金運用於所訂綠色投資計畫者，</w:t>
      </w:r>
      <w:r w:rsidRPr="00F24A73">
        <w:rPr>
          <w:rFonts w:ascii="標楷體" w:eastAsia="標楷體" w:hAnsi="標楷體" w:hint="eastAsia"/>
          <w:szCs w:val="24"/>
          <w:lang w:val="zh-TW"/>
        </w:rPr>
        <w:t>本中心得撤銷或廢止其綠色債券資格</w:t>
      </w:r>
      <w:r w:rsidRPr="00F24A73">
        <w:rPr>
          <w:rFonts w:ascii="新細明體" w:hAnsi="新細明體" w:hint="eastAsia"/>
          <w:szCs w:val="24"/>
          <w:lang w:val="zh-TW"/>
        </w:rPr>
        <w:t>；</w:t>
      </w:r>
      <w:r w:rsidR="00BE286E">
        <w:rPr>
          <w:rFonts w:ascii="標楷體" w:eastAsia="標楷體" w:hAnsi="標楷體" w:hint="eastAsia"/>
          <w:szCs w:val="24"/>
          <w:lang w:val="zh-TW"/>
        </w:rPr>
        <w:t>發行人因資金運用計畫變更以致不符合綠色投資計畫者，發行人應</w:t>
      </w:r>
      <w:bookmarkStart w:id="0" w:name="_GoBack"/>
      <w:bookmarkEnd w:id="0"/>
      <w:r w:rsidRPr="00F24A73">
        <w:rPr>
          <w:rFonts w:ascii="標楷體" w:eastAsia="標楷體" w:hAnsi="標楷體" w:hint="eastAsia"/>
          <w:szCs w:val="24"/>
          <w:lang w:val="zh-TW"/>
        </w:rPr>
        <w:t>向本中心申請廢止其綠色債券資格。</w:t>
      </w:r>
      <w:r w:rsidRPr="00F24A73">
        <w:rPr>
          <w:rFonts w:ascii="標楷體" w:eastAsia="標楷體" w:hAnsi="標楷體" w:hint="eastAsia"/>
          <w:szCs w:val="24"/>
        </w:rPr>
        <w:t>（第十二條）</w:t>
      </w:r>
    </w:p>
    <w:p w:rsidR="00D45AA4" w:rsidRPr="00F24A73" w:rsidRDefault="00D95B01" w:rsidP="00C44E95">
      <w:pPr>
        <w:pStyle w:val="a3"/>
        <w:numPr>
          <w:ilvl w:val="0"/>
          <w:numId w:val="12"/>
        </w:numPr>
        <w:spacing w:line="460" w:lineRule="exact"/>
        <w:ind w:leftChars="0" w:left="737" w:hanging="737"/>
        <w:jc w:val="both"/>
        <w:rPr>
          <w:rFonts w:ascii="標楷體" w:eastAsia="標楷體" w:hAnsi="標楷體"/>
          <w:szCs w:val="24"/>
        </w:rPr>
      </w:pPr>
      <w:r w:rsidRPr="00F24A73">
        <w:rPr>
          <w:rFonts w:ascii="標楷體" w:eastAsia="標楷體" w:hAnsi="標楷體"/>
          <w:szCs w:val="24"/>
          <w:lang w:val="zh-TW"/>
        </w:rPr>
        <w:t>本</w:t>
      </w:r>
      <w:r w:rsidRPr="00F24A73">
        <w:rPr>
          <w:rFonts w:ascii="標楷體" w:eastAsia="標楷體" w:hAnsi="標楷體" w:hint="eastAsia"/>
          <w:szCs w:val="24"/>
          <w:lang w:val="zh-TW"/>
        </w:rPr>
        <w:t>作業要點之訂定及修正程序</w:t>
      </w:r>
      <w:r w:rsidRPr="00F24A73">
        <w:rPr>
          <w:rFonts w:ascii="標楷體" w:eastAsia="標楷體" w:hAnsi="標楷體"/>
          <w:szCs w:val="24"/>
          <w:lang w:val="zh-TW"/>
        </w:rPr>
        <w:t>。</w:t>
      </w:r>
      <w:r w:rsidR="00E02F28" w:rsidRPr="00F24A73">
        <w:rPr>
          <w:rFonts w:ascii="標楷體" w:eastAsia="標楷體" w:hAnsi="標楷體" w:hint="eastAsia"/>
          <w:szCs w:val="24"/>
        </w:rPr>
        <w:t>（第</w:t>
      </w:r>
      <w:r w:rsidR="000E4249" w:rsidRPr="00F24A73">
        <w:rPr>
          <w:rFonts w:ascii="標楷體" w:eastAsia="標楷體" w:hAnsi="標楷體" w:hint="eastAsia"/>
          <w:szCs w:val="24"/>
        </w:rPr>
        <w:t>十</w:t>
      </w:r>
      <w:r w:rsidR="00154E20" w:rsidRPr="00F24A73">
        <w:rPr>
          <w:rFonts w:ascii="標楷體" w:eastAsia="標楷體" w:hAnsi="標楷體" w:hint="eastAsia"/>
          <w:szCs w:val="24"/>
        </w:rPr>
        <w:t>三</w:t>
      </w:r>
      <w:r w:rsidR="00607323" w:rsidRPr="00F24A73">
        <w:rPr>
          <w:rFonts w:ascii="標楷體" w:eastAsia="標楷體" w:hAnsi="標楷體" w:hint="eastAsia"/>
          <w:szCs w:val="24"/>
        </w:rPr>
        <w:t>條</w:t>
      </w:r>
      <w:r w:rsidR="00234410" w:rsidRPr="00F24A73">
        <w:rPr>
          <w:rFonts w:ascii="標楷體" w:eastAsia="標楷體" w:hAnsi="標楷體"/>
          <w:szCs w:val="24"/>
        </w:rPr>
        <w:t>）</w:t>
      </w:r>
    </w:p>
    <w:p w:rsidR="005A71CB" w:rsidRPr="00F24A73" w:rsidRDefault="00D45AA4" w:rsidP="00D45AA4">
      <w:pPr>
        <w:widowControl/>
        <w:rPr>
          <w:rFonts w:ascii="標楷體" w:eastAsia="標楷體" w:hAnsi="標楷體"/>
          <w:szCs w:val="24"/>
        </w:rPr>
      </w:pPr>
      <w:r w:rsidRPr="00F24A73">
        <w:rPr>
          <w:rFonts w:ascii="標楷體" w:eastAsia="標楷體" w:hAnsi="標楷體"/>
          <w:szCs w:val="24"/>
        </w:rPr>
        <w:br w:type="page"/>
      </w:r>
    </w:p>
    <w:p w:rsidR="00B00147" w:rsidRPr="00F24A73" w:rsidRDefault="00B00147" w:rsidP="006B1BF6">
      <w:pPr>
        <w:spacing w:afterLines="50" w:after="180" w:line="340" w:lineRule="exact"/>
        <w:jc w:val="center"/>
        <w:rPr>
          <w:rFonts w:ascii="標楷體" w:eastAsia="標楷體" w:hAnsi="標楷體"/>
          <w:b/>
          <w:sz w:val="32"/>
          <w:szCs w:val="32"/>
        </w:rPr>
      </w:pPr>
      <w:r w:rsidRPr="00F24A73">
        <w:rPr>
          <w:rFonts w:ascii="標楷體" w:eastAsia="標楷體" w:hAnsi="標楷體" w:hint="eastAsia"/>
          <w:b/>
          <w:sz w:val="32"/>
          <w:szCs w:val="32"/>
        </w:rPr>
        <w:lastRenderedPageBreak/>
        <w:t>財團法人中華民國證券櫃檯買賣中心</w:t>
      </w:r>
    </w:p>
    <w:p w:rsidR="00B00147" w:rsidRDefault="00415A8B" w:rsidP="006B1BF6">
      <w:pPr>
        <w:spacing w:afterLines="50" w:after="180" w:line="340" w:lineRule="exact"/>
        <w:jc w:val="center"/>
        <w:rPr>
          <w:rFonts w:ascii="標楷體" w:eastAsia="標楷體" w:hAnsi="標楷體"/>
          <w:b/>
          <w:sz w:val="32"/>
          <w:szCs w:val="32"/>
        </w:rPr>
      </w:pPr>
      <w:r w:rsidRPr="00F24A73">
        <w:rPr>
          <w:rFonts w:ascii="標楷體" w:eastAsia="標楷體" w:hAnsi="標楷體" w:hint="eastAsia"/>
          <w:b/>
          <w:sz w:val="32"/>
          <w:szCs w:val="32"/>
        </w:rPr>
        <w:t>綠色債券</w:t>
      </w:r>
      <w:r w:rsidR="00CA15BC" w:rsidRPr="00F24A73">
        <w:rPr>
          <w:rFonts w:ascii="標楷體" w:eastAsia="標楷體" w:hAnsi="標楷體" w:hint="eastAsia"/>
          <w:b/>
          <w:sz w:val="32"/>
          <w:szCs w:val="32"/>
        </w:rPr>
        <w:t>作業要點</w:t>
      </w:r>
    </w:p>
    <w:p w:rsidR="00CB2F2A" w:rsidRPr="002247EE" w:rsidRDefault="00CB2F2A" w:rsidP="002C6282">
      <w:pPr>
        <w:spacing w:afterLines="50" w:after="180" w:line="340" w:lineRule="exact"/>
        <w:ind w:right="200"/>
        <w:jc w:val="right"/>
        <w:rPr>
          <w:rFonts w:ascii="標楷體" w:eastAsia="標楷體" w:hAnsi="標楷體"/>
          <w:b/>
          <w:sz w:val="20"/>
          <w:szCs w:val="20"/>
        </w:rPr>
      </w:pPr>
      <w:r w:rsidRPr="002247EE">
        <w:rPr>
          <w:rFonts w:ascii="標楷體" w:eastAsia="標楷體" w:hAnsi="標楷體" w:hint="eastAsia"/>
          <w:b/>
          <w:sz w:val="20"/>
          <w:szCs w:val="20"/>
        </w:rPr>
        <w:t>金融監督管理委員會106年4月18日</w:t>
      </w:r>
      <w:proofErr w:type="gramStart"/>
      <w:r w:rsidRPr="002247EE">
        <w:rPr>
          <w:rFonts w:ascii="標楷體" w:eastAsia="標楷體" w:hAnsi="標楷體" w:hint="eastAsia"/>
          <w:b/>
          <w:sz w:val="20"/>
          <w:szCs w:val="20"/>
        </w:rPr>
        <w:t>金管證發</w:t>
      </w:r>
      <w:proofErr w:type="gramEnd"/>
      <w:r w:rsidRPr="002247EE">
        <w:rPr>
          <w:rFonts w:ascii="標楷體" w:eastAsia="標楷體" w:hAnsi="標楷體" w:hint="eastAsia"/>
          <w:b/>
          <w:sz w:val="20"/>
          <w:szCs w:val="20"/>
        </w:rPr>
        <w:t>字第1060004842</w:t>
      </w:r>
      <w:r w:rsidR="006B1BF6" w:rsidRPr="002247EE">
        <w:rPr>
          <w:rFonts w:ascii="標楷體" w:eastAsia="標楷體" w:hAnsi="標楷體" w:hint="eastAsia"/>
          <w:b/>
          <w:sz w:val="20"/>
          <w:szCs w:val="20"/>
        </w:rPr>
        <w:t>號准予備查</w:t>
      </w:r>
    </w:p>
    <w:tbl>
      <w:tblPr>
        <w:tblW w:w="9178" w:type="dxa"/>
        <w:tblInd w:w="28" w:type="dxa"/>
        <w:tblLayout w:type="fixed"/>
        <w:tblCellMar>
          <w:left w:w="28" w:type="dxa"/>
          <w:right w:w="28" w:type="dxa"/>
        </w:tblCellMar>
        <w:tblLook w:val="0000" w:firstRow="0" w:lastRow="0" w:firstColumn="0" w:lastColumn="0" w:noHBand="0" w:noVBand="0"/>
      </w:tblPr>
      <w:tblGrid>
        <w:gridCol w:w="4500"/>
        <w:gridCol w:w="4678"/>
      </w:tblGrid>
      <w:tr w:rsidR="00F24A73" w:rsidRPr="00F24A73" w:rsidTr="006B1BF6">
        <w:trPr>
          <w:tblHeader/>
        </w:trPr>
        <w:tc>
          <w:tcPr>
            <w:tcW w:w="4500" w:type="dxa"/>
            <w:tcBorders>
              <w:top w:val="single" w:sz="6" w:space="0" w:color="auto"/>
              <w:left w:val="single" w:sz="6" w:space="0" w:color="auto"/>
              <w:bottom w:val="single" w:sz="6" w:space="0" w:color="auto"/>
              <w:right w:val="single" w:sz="4" w:space="0" w:color="auto"/>
            </w:tcBorders>
          </w:tcPr>
          <w:p w:rsidR="00B00147" w:rsidRPr="00F24A73" w:rsidRDefault="00B00147" w:rsidP="00C73D2F">
            <w:pPr>
              <w:autoSpaceDE w:val="0"/>
              <w:autoSpaceDN w:val="0"/>
              <w:adjustRightInd w:val="0"/>
              <w:jc w:val="center"/>
              <w:rPr>
                <w:rFonts w:ascii="標楷體" w:eastAsia="標楷體" w:hAnsi="標楷體"/>
                <w:szCs w:val="24"/>
              </w:rPr>
            </w:pPr>
            <w:r w:rsidRPr="00F24A73">
              <w:rPr>
                <w:rFonts w:ascii="標楷體" w:eastAsia="標楷體" w:hAnsi="標楷體"/>
                <w:szCs w:val="24"/>
                <w:lang w:val="zh-TW"/>
              </w:rPr>
              <w:t xml:space="preserve">條     </w:t>
            </w:r>
            <w:r w:rsidR="005B410D">
              <w:rPr>
                <w:rFonts w:ascii="標楷體" w:eastAsia="標楷體" w:hAnsi="標楷體"/>
                <w:szCs w:val="24"/>
                <w:lang w:val="zh-TW"/>
              </w:rPr>
              <w:t xml:space="preserve">        </w:t>
            </w:r>
            <w:r w:rsidRPr="00F24A73">
              <w:rPr>
                <w:rFonts w:ascii="標楷體" w:eastAsia="標楷體" w:hAnsi="標楷體"/>
                <w:szCs w:val="24"/>
                <w:lang w:val="zh-TW"/>
              </w:rPr>
              <w:t>文</w:t>
            </w:r>
          </w:p>
        </w:tc>
        <w:tc>
          <w:tcPr>
            <w:tcW w:w="4678" w:type="dxa"/>
            <w:tcBorders>
              <w:top w:val="single" w:sz="6" w:space="0" w:color="auto"/>
              <w:left w:val="single" w:sz="6" w:space="0" w:color="auto"/>
              <w:bottom w:val="single" w:sz="6" w:space="0" w:color="auto"/>
              <w:right w:val="single" w:sz="4" w:space="0" w:color="auto"/>
            </w:tcBorders>
          </w:tcPr>
          <w:p w:rsidR="00B00147" w:rsidRPr="00F24A73" w:rsidRDefault="00B00147" w:rsidP="00C73D2F">
            <w:pPr>
              <w:autoSpaceDE w:val="0"/>
              <w:autoSpaceDN w:val="0"/>
              <w:adjustRightInd w:val="0"/>
              <w:jc w:val="center"/>
              <w:rPr>
                <w:rFonts w:ascii="標楷體" w:eastAsia="標楷體" w:hAnsi="標楷體"/>
                <w:szCs w:val="24"/>
              </w:rPr>
            </w:pPr>
            <w:r w:rsidRPr="00F24A73">
              <w:rPr>
                <w:rFonts w:ascii="標楷體" w:eastAsia="標楷體" w:hAnsi="標楷體"/>
                <w:szCs w:val="24"/>
              </w:rPr>
              <w:t>說               明</w:t>
            </w: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B00147" w:rsidRPr="00F24A73" w:rsidRDefault="00F875D4" w:rsidP="008710AA">
            <w:pPr>
              <w:jc w:val="both"/>
              <w:rPr>
                <w:rFonts w:ascii="標楷體" w:eastAsia="標楷體" w:hAnsi="標楷體"/>
                <w:szCs w:val="24"/>
              </w:rPr>
            </w:pPr>
            <w:r w:rsidRPr="00F24A73">
              <w:rPr>
                <w:rFonts w:ascii="標楷體" w:eastAsia="標楷體" w:hAnsi="標楷體" w:hint="eastAsia"/>
                <w:szCs w:val="24"/>
              </w:rPr>
              <w:t>第一條</w:t>
            </w:r>
          </w:p>
          <w:p w:rsidR="000F1E77" w:rsidRPr="00F24A73" w:rsidRDefault="009C7A61" w:rsidP="005F33DD">
            <w:pPr>
              <w:ind w:firstLineChars="200" w:firstLine="480"/>
              <w:jc w:val="both"/>
              <w:rPr>
                <w:rFonts w:ascii="標楷體" w:eastAsia="標楷體" w:hAnsi="標楷體"/>
                <w:szCs w:val="24"/>
              </w:rPr>
            </w:pPr>
            <w:r w:rsidRPr="00F24A73">
              <w:rPr>
                <w:rFonts w:ascii="標楷體" w:eastAsia="標楷體" w:hAnsi="標楷體" w:hint="eastAsia"/>
                <w:szCs w:val="24"/>
              </w:rPr>
              <w:t>為</w:t>
            </w:r>
            <w:proofErr w:type="gramStart"/>
            <w:r w:rsidR="00CE59B9" w:rsidRPr="00F24A73">
              <w:rPr>
                <w:rFonts w:ascii="標楷體" w:eastAsia="標楷體" w:hAnsi="標楷體" w:hint="eastAsia"/>
                <w:szCs w:val="24"/>
              </w:rPr>
              <w:t>協助</w:t>
            </w:r>
            <w:r w:rsidR="00A81F63" w:rsidRPr="00F24A73">
              <w:rPr>
                <w:rFonts w:ascii="標楷體" w:eastAsia="標楷體" w:hAnsi="標楷體" w:hint="eastAsia"/>
                <w:szCs w:val="24"/>
              </w:rPr>
              <w:t>綠能科技</w:t>
            </w:r>
            <w:proofErr w:type="gramEnd"/>
            <w:r w:rsidR="00A81F63" w:rsidRPr="00F24A73">
              <w:rPr>
                <w:rFonts w:ascii="標楷體" w:eastAsia="標楷體" w:hAnsi="標楷體" w:hint="eastAsia"/>
                <w:szCs w:val="24"/>
              </w:rPr>
              <w:t>產業籌集資金、</w:t>
            </w:r>
            <w:r w:rsidRPr="00F24A73">
              <w:rPr>
                <w:rFonts w:ascii="標楷體" w:eastAsia="標楷體" w:hAnsi="標楷體" w:hint="eastAsia"/>
                <w:szCs w:val="24"/>
              </w:rPr>
              <w:t>促進</w:t>
            </w:r>
            <w:r w:rsidR="00AF68F7" w:rsidRPr="00F24A73">
              <w:rPr>
                <w:rFonts w:ascii="標楷體" w:eastAsia="標楷體" w:hAnsi="標楷體" w:hint="eastAsia"/>
                <w:szCs w:val="24"/>
              </w:rPr>
              <w:t>環境永續發展</w:t>
            </w:r>
            <w:r w:rsidR="00D343C2" w:rsidRPr="00F24A73">
              <w:rPr>
                <w:rFonts w:ascii="標楷體" w:eastAsia="標楷體" w:hAnsi="標楷體" w:hint="eastAsia"/>
                <w:szCs w:val="24"/>
              </w:rPr>
              <w:t>，</w:t>
            </w:r>
            <w:r w:rsidRPr="00F24A73">
              <w:rPr>
                <w:rFonts w:ascii="標楷體" w:eastAsia="標楷體" w:hAnsi="標楷體" w:hint="eastAsia"/>
                <w:szCs w:val="24"/>
              </w:rPr>
              <w:t>並</w:t>
            </w:r>
            <w:r w:rsidR="00D343C2" w:rsidRPr="00F24A73">
              <w:rPr>
                <w:rFonts w:ascii="標楷體" w:eastAsia="標楷體" w:hAnsi="標楷體" w:hint="eastAsia"/>
                <w:szCs w:val="24"/>
              </w:rPr>
              <w:t>建立</w:t>
            </w:r>
            <w:r w:rsidRPr="00F24A73">
              <w:rPr>
                <w:rFonts w:ascii="標楷體" w:eastAsia="標楷體" w:hAnsi="標楷體" w:hint="eastAsia"/>
                <w:szCs w:val="24"/>
              </w:rPr>
              <w:t>我國綠色債券櫃檯買賣制度，特</w:t>
            </w:r>
            <w:r w:rsidR="00A81F63" w:rsidRPr="00F24A73">
              <w:rPr>
                <w:rFonts w:ascii="標楷體" w:eastAsia="標楷體" w:hAnsi="標楷體" w:hint="eastAsia"/>
                <w:szCs w:val="24"/>
              </w:rPr>
              <w:t>訂</w:t>
            </w:r>
            <w:r w:rsidRPr="00F24A73">
              <w:rPr>
                <w:rFonts w:ascii="標楷體" w:eastAsia="標楷體" w:hAnsi="標楷體" w:hint="eastAsia"/>
                <w:szCs w:val="24"/>
              </w:rPr>
              <w:t>定本作業要點。</w:t>
            </w:r>
          </w:p>
        </w:tc>
        <w:tc>
          <w:tcPr>
            <w:tcW w:w="4678" w:type="dxa"/>
            <w:tcBorders>
              <w:top w:val="single" w:sz="4" w:space="0" w:color="auto"/>
              <w:left w:val="single" w:sz="6" w:space="0" w:color="auto"/>
              <w:bottom w:val="single" w:sz="6" w:space="0" w:color="auto"/>
              <w:right w:val="single" w:sz="4" w:space="0" w:color="auto"/>
            </w:tcBorders>
          </w:tcPr>
          <w:p w:rsidR="00B00147" w:rsidRPr="00F24A73" w:rsidRDefault="005D5614" w:rsidP="00D444F9">
            <w:pPr>
              <w:autoSpaceDE w:val="0"/>
              <w:autoSpaceDN w:val="0"/>
              <w:adjustRightInd w:val="0"/>
              <w:jc w:val="both"/>
              <w:rPr>
                <w:rFonts w:ascii="標楷體" w:eastAsia="標楷體" w:hAnsi="標楷體"/>
                <w:szCs w:val="24"/>
                <w:lang w:val="zh-TW"/>
              </w:rPr>
            </w:pPr>
            <w:r w:rsidRPr="00F24A73">
              <w:rPr>
                <w:rFonts w:ascii="標楷體" w:eastAsia="標楷體" w:hAnsi="標楷體" w:hint="eastAsia"/>
                <w:szCs w:val="24"/>
                <w:lang w:val="zh-TW"/>
              </w:rPr>
              <w:t>揭</w:t>
            </w:r>
            <w:proofErr w:type="gramStart"/>
            <w:r w:rsidRPr="00F24A73">
              <w:rPr>
                <w:rFonts w:ascii="標楷體" w:eastAsia="標楷體" w:hAnsi="標楷體" w:hint="eastAsia"/>
                <w:szCs w:val="24"/>
                <w:lang w:val="zh-TW"/>
              </w:rPr>
              <w:t>櫫</w:t>
            </w:r>
            <w:proofErr w:type="gramEnd"/>
            <w:r w:rsidRPr="00F24A73">
              <w:rPr>
                <w:rFonts w:ascii="標楷體" w:eastAsia="標楷體" w:hAnsi="標楷體" w:hint="eastAsia"/>
                <w:szCs w:val="24"/>
                <w:lang w:val="zh-TW"/>
              </w:rPr>
              <w:t>本</w:t>
            </w:r>
            <w:r w:rsidR="008A36E7" w:rsidRPr="00F24A73">
              <w:rPr>
                <w:rFonts w:ascii="標楷體" w:eastAsia="標楷體" w:hAnsi="標楷體" w:hint="eastAsia"/>
                <w:szCs w:val="24"/>
                <w:lang w:val="zh-TW"/>
              </w:rPr>
              <w:t>作業</w:t>
            </w:r>
            <w:r w:rsidRPr="00F24A73">
              <w:rPr>
                <w:rFonts w:ascii="標楷體" w:eastAsia="標楷體" w:hAnsi="標楷體" w:hint="eastAsia"/>
                <w:szCs w:val="24"/>
                <w:lang w:val="zh-TW"/>
              </w:rPr>
              <w:t>要點訂定之</w:t>
            </w:r>
            <w:r w:rsidR="00D444F9" w:rsidRPr="00F24A73">
              <w:rPr>
                <w:rFonts w:ascii="標楷體" w:eastAsia="標楷體" w:hAnsi="標楷體" w:hint="eastAsia"/>
                <w:szCs w:val="24"/>
                <w:lang w:val="zh-TW"/>
              </w:rPr>
              <w:t>意</w:t>
            </w:r>
            <w:r w:rsidRPr="00F24A73">
              <w:rPr>
                <w:rFonts w:ascii="標楷體" w:eastAsia="標楷體" w:hAnsi="標楷體" w:hint="eastAsia"/>
                <w:szCs w:val="24"/>
                <w:lang w:val="zh-TW"/>
              </w:rPr>
              <w:t>旨</w:t>
            </w:r>
            <w:r w:rsidR="00B00147" w:rsidRPr="00F24A73">
              <w:rPr>
                <w:rFonts w:ascii="標楷體" w:eastAsia="標楷體" w:hAnsi="標楷體"/>
                <w:szCs w:val="24"/>
                <w:lang w:val="zh-TW"/>
              </w:rPr>
              <w:t>。</w:t>
            </w: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584513" w:rsidRPr="00F24A73" w:rsidRDefault="00584513" w:rsidP="00584513">
            <w:pPr>
              <w:jc w:val="both"/>
              <w:rPr>
                <w:rFonts w:ascii="標楷體" w:eastAsia="標楷體" w:hAnsi="標楷體"/>
                <w:szCs w:val="24"/>
              </w:rPr>
            </w:pPr>
            <w:r w:rsidRPr="00F24A73">
              <w:rPr>
                <w:rFonts w:ascii="標楷體" w:eastAsia="標楷體" w:hAnsi="標楷體" w:hint="eastAsia"/>
                <w:szCs w:val="24"/>
              </w:rPr>
              <w:t>第二條</w:t>
            </w:r>
          </w:p>
          <w:p w:rsidR="00584513" w:rsidRPr="00F24A73" w:rsidRDefault="00584513" w:rsidP="00C44E95">
            <w:pPr>
              <w:jc w:val="both"/>
              <w:rPr>
                <w:rFonts w:ascii="標楷體" w:eastAsia="標楷體" w:hAnsi="標楷體"/>
                <w:szCs w:val="24"/>
              </w:rPr>
            </w:pPr>
            <w:r w:rsidRPr="00F24A73">
              <w:rPr>
                <w:rFonts w:ascii="標楷體" w:eastAsia="標楷體" w:hAnsi="標楷體" w:hint="eastAsia"/>
                <w:szCs w:val="24"/>
              </w:rPr>
              <w:t xml:space="preserve">    本作業要點所稱綠色債券係指</w:t>
            </w:r>
            <w:r w:rsidR="002E749F" w:rsidRPr="00F24A73">
              <w:rPr>
                <w:rFonts w:ascii="標楷體" w:eastAsia="標楷體" w:hAnsi="標楷體" w:hint="eastAsia"/>
                <w:szCs w:val="24"/>
              </w:rPr>
              <w:t>經</w:t>
            </w:r>
            <w:r w:rsidR="00612DF7" w:rsidRPr="00F24A73">
              <w:rPr>
                <w:rFonts w:ascii="標楷體" w:eastAsia="標楷體" w:hAnsi="標楷體" w:hint="eastAsia"/>
                <w:szCs w:val="24"/>
              </w:rPr>
              <w:t>本中心</w:t>
            </w:r>
            <w:r w:rsidR="002E749F" w:rsidRPr="00F24A73">
              <w:rPr>
                <w:rFonts w:ascii="標楷體" w:eastAsia="標楷體" w:hAnsi="標楷體" w:hint="eastAsia"/>
                <w:szCs w:val="24"/>
              </w:rPr>
              <w:t>認可</w:t>
            </w:r>
            <w:r w:rsidR="00323C3D" w:rsidRPr="00F24A73">
              <w:rPr>
                <w:rFonts w:ascii="標楷體" w:eastAsia="標楷體" w:hAnsi="標楷體" w:hint="eastAsia"/>
                <w:szCs w:val="24"/>
              </w:rPr>
              <w:t>綠色債券資格</w:t>
            </w:r>
            <w:r w:rsidRPr="00F24A73">
              <w:rPr>
                <w:rFonts w:ascii="標楷體" w:eastAsia="標楷體" w:hAnsi="標楷體" w:hint="eastAsia"/>
                <w:szCs w:val="24"/>
              </w:rPr>
              <w:t>之有價證券。</w:t>
            </w:r>
          </w:p>
        </w:tc>
        <w:tc>
          <w:tcPr>
            <w:tcW w:w="4678" w:type="dxa"/>
            <w:tcBorders>
              <w:top w:val="single" w:sz="4" w:space="0" w:color="auto"/>
              <w:left w:val="single" w:sz="6" w:space="0" w:color="auto"/>
              <w:bottom w:val="single" w:sz="6" w:space="0" w:color="auto"/>
              <w:right w:val="single" w:sz="4" w:space="0" w:color="auto"/>
            </w:tcBorders>
          </w:tcPr>
          <w:p w:rsidR="00584513" w:rsidRPr="00F24A73" w:rsidRDefault="007F4C40" w:rsidP="00C15B12">
            <w:pPr>
              <w:autoSpaceDE w:val="0"/>
              <w:autoSpaceDN w:val="0"/>
              <w:adjustRightInd w:val="0"/>
              <w:jc w:val="both"/>
              <w:rPr>
                <w:rFonts w:ascii="標楷體" w:eastAsia="標楷體" w:hAnsi="標楷體"/>
                <w:szCs w:val="24"/>
                <w:lang w:val="zh-TW"/>
              </w:rPr>
            </w:pPr>
            <w:r w:rsidRPr="00F24A73">
              <w:rPr>
                <w:rFonts w:ascii="標楷體" w:eastAsia="標楷體" w:hAnsi="標楷體" w:hint="eastAsia"/>
                <w:szCs w:val="24"/>
                <w:lang w:val="zh-TW"/>
              </w:rPr>
              <w:t>明定</w:t>
            </w:r>
            <w:r w:rsidR="00AC7C05" w:rsidRPr="00F24A73">
              <w:rPr>
                <w:rFonts w:ascii="標楷體" w:eastAsia="標楷體" w:hAnsi="標楷體" w:hint="eastAsia"/>
                <w:szCs w:val="24"/>
                <w:lang w:val="zh-TW"/>
              </w:rPr>
              <w:t>綠色債券之定義。</w:t>
            </w: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154E20" w:rsidRPr="00F24A73" w:rsidRDefault="00154E20" w:rsidP="00CE5119">
            <w:pPr>
              <w:jc w:val="both"/>
              <w:rPr>
                <w:rFonts w:ascii="標楷體" w:eastAsia="標楷體" w:hAnsi="標楷體"/>
                <w:szCs w:val="24"/>
              </w:rPr>
            </w:pPr>
            <w:r w:rsidRPr="00F24A73">
              <w:rPr>
                <w:rFonts w:ascii="標楷體" w:eastAsia="標楷體" w:hAnsi="標楷體" w:hint="eastAsia"/>
                <w:szCs w:val="24"/>
              </w:rPr>
              <w:t>第三條</w:t>
            </w:r>
            <w:r w:rsidR="00923D57" w:rsidRPr="00F24A73">
              <w:rPr>
                <w:rFonts w:ascii="標楷體" w:eastAsia="標楷體" w:hAnsi="標楷體" w:hint="eastAsia"/>
                <w:szCs w:val="24"/>
              </w:rPr>
              <w:t xml:space="preserve">   </w:t>
            </w:r>
          </w:p>
          <w:p w:rsidR="00CE5119" w:rsidRPr="00F24A73" w:rsidRDefault="00154E20" w:rsidP="00CE5119">
            <w:pPr>
              <w:jc w:val="both"/>
              <w:rPr>
                <w:rFonts w:ascii="標楷體" w:eastAsia="標楷體" w:hAnsi="標楷體"/>
                <w:szCs w:val="24"/>
              </w:rPr>
            </w:pPr>
            <w:r w:rsidRPr="00F24A73">
              <w:rPr>
                <w:rFonts w:ascii="標楷體" w:eastAsia="標楷體" w:hAnsi="標楷體" w:hint="eastAsia"/>
                <w:szCs w:val="24"/>
              </w:rPr>
              <w:t xml:space="preserve">    </w:t>
            </w:r>
            <w:r w:rsidR="00CE5119" w:rsidRPr="00F24A73">
              <w:rPr>
                <w:rFonts w:ascii="標楷體" w:eastAsia="標楷體" w:hAnsi="標楷體" w:hint="eastAsia"/>
                <w:szCs w:val="24"/>
              </w:rPr>
              <w:t>發行人發行</w:t>
            </w:r>
            <w:r w:rsidR="00206B5D" w:rsidRPr="00F24A73">
              <w:rPr>
                <w:rFonts w:ascii="標楷體" w:eastAsia="標楷體" w:hAnsi="標楷體" w:hint="eastAsia"/>
                <w:szCs w:val="24"/>
              </w:rPr>
              <w:t>下列</w:t>
            </w:r>
            <w:r w:rsidR="00CE5119" w:rsidRPr="00F24A73">
              <w:rPr>
                <w:rFonts w:ascii="標楷體" w:eastAsia="標楷體" w:hAnsi="標楷體" w:hint="eastAsia"/>
                <w:szCs w:val="24"/>
              </w:rPr>
              <w:t>之有價證券，</w:t>
            </w:r>
            <w:r w:rsidR="00350339" w:rsidRPr="00F24A73">
              <w:rPr>
                <w:rFonts w:ascii="標楷體" w:eastAsia="標楷體" w:hAnsi="標楷體" w:hint="eastAsia"/>
                <w:szCs w:val="24"/>
              </w:rPr>
              <w:t>符合第四條規定者</w:t>
            </w:r>
            <w:r w:rsidR="007A5104" w:rsidRPr="00F24A73">
              <w:rPr>
                <w:rFonts w:ascii="標楷體" w:eastAsia="標楷體" w:hAnsi="標楷體" w:hint="eastAsia"/>
                <w:szCs w:val="24"/>
              </w:rPr>
              <w:t>，</w:t>
            </w:r>
            <w:r w:rsidR="00923D57" w:rsidRPr="00F24A73">
              <w:rPr>
                <w:rFonts w:ascii="標楷體" w:eastAsia="標楷體" w:hAnsi="標楷體" w:hint="eastAsia"/>
                <w:szCs w:val="24"/>
              </w:rPr>
              <w:t>得向本中心申請</w:t>
            </w:r>
            <w:r w:rsidR="00323C3D" w:rsidRPr="00F24A73">
              <w:rPr>
                <w:rFonts w:ascii="標楷體" w:eastAsia="標楷體" w:hAnsi="標楷體" w:hint="eastAsia"/>
                <w:szCs w:val="24"/>
              </w:rPr>
              <w:t>綠色債券資格</w:t>
            </w:r>
            <w:r w:rsidR="00612DF7" w:rsidRPr="00F24A73">
              <w:rPr>
                <w:rFonts w:ascii="標楷體" w:eastAsia="標楷體" w:hAnsi="標楷體" w:hint="eastAsia"/>
                <w:szCs w:val="24"/>
              </w:rPr>
              <w:t>認可</w:t>
            </w:r>
            <w:r w:rsidR="00CE5119" w:rsidRPr="00F24A73">
              <w:rPr>
                <w:rFonts w:ascii="標楷體" w:eastAsia="標楷體" w:hAnsi="標楷體" w:hint="eastAsia"/>
                <w:szCs w:val="24"/>
              </w:rPr>
              <w:t>：</w:t>
            </w:r>
          </w:p>
          <w:p w:rsidR="00CE183A" w:rsidRPr="00F24A73" w:rsidRDefault="0041304C" w:rsidP="00D45AA4">
            <w:pPr>
              <w:pStyle w:val="a3"/>
              <w:numPr>
                <w:ilvl w:val="0"/>
                <w:numId w:val="13"/>
              </w:numPr>
              <w:ind w:leftChars="0" w:left="518" w:hanging="490"/>
              <w:jc w:val="both"/>
              <w:rPr>
                <w:rFonts w:ascii="標楷體" w:eastAsia="標楷體" w:hAnsi="標楷體"/>
                <w:szCs w:val="24"/>
              </w:rPr>
            </w:pPr>
            <w:r w:rsidRPr="00F24A73">
              <w:rPr>
                <w:rFonts w:ascii="標楷體" w:eastAsia="標楷體" w:hAnsi="標楷體" w:hint="eastAsia"/>
                <w:szCs w:val="24"/>
              </w:rPr>
              <w:t>依本中心證券商營業處所買賣有價證券審查準則第六條、第七條</w:t>
            </w:r>
            <w:r w:rsidR="00F366EF" w:rsidRPr="00F24A73">
              <w:rPr>
                <w:rFonts w:ascii="標楷體" w:eastAsia="標楷體" w:hAnsi="標楷體" w:hint="eastAsia"/>
                <w:szCs w:val="24"/>
              </w:rPr>
              <w:t>或</w:t>
            </w:r>
            <w:r w:rsidRPr="00F24A73">
              <w:rPr>
                <w:rFonts w:ascii="標楷體" w:eastAsia="標楷體" w:hAnsi="標楷體" w:hint="eastAsia"/>
                <w:szCs w:val="24"/>
              </w:rPr>
              <w:t>第十五條</w:t>
            </w:r>
            <w:r w:rsidR="00AF68F7" w:rsidRPr="00F24A73">
              <w:rPr>
                <w:rFonts w:ascii="標楷體" w:eastAsia="標楷體" w:hAnsi="標楷體" w:hint="eastAsia"/>
                <w:szCs w:val="24"/>
              </w:rPr>
              <w:t>規定</w:t>
            </w:r>
            <w:r w:rsidR="001233F6" w:rsidRPr="00F24A73">
              <w:rPr>
                <w:rFonts w:ascii="標楷體" w:eastAsia="標楷體" w:hAnsi="標楷體" w:hint="eastAsia"/>
                <w:szCs w:val="24"/>
              </w:rPr>
              <w:t>，</w:t>
            </w:r>
            <w:r w:rsidRPr="00F24A73">
              <w:rPr>
                <w:rFonts w:ascii="標楷體" w:eastAsia="標楷體" w:hAnsi="標楷體" w:hint="eastAsia"/>
                <w:szCs w:val="24"/>
              </w:rPr>
              <w:t>申請櫃檯買賣之普通公司債或金融債券</w:t>
            </w:r>
            <w:r w:rsidR="00CE183A" w:rsidRPr="00F24A73">
              <w:rPr>
                <w:rFonts w:ascii="標楷體" w:eastAsia="標楷體" w:hAnsi="標楷體" w:hint="eastAsia"/>
                <w:szCs w:val="24"/>
              </w:rPr>
              <w:t>。</w:t>
            </w:r>
          </w:p>
          <w:p w:rsidR="0041304C" w:rsidRPr="00F24A73" w:rsidRDefault="0041304C" w:rsidP="00D45AA4">
            <w:pPr>
              <w:pStyle w:val="a3"/>
              <w:numPr>
                <w:ilvl w:val="0"/>
                <w:numId w:val="13"/>
              </w:numPr>
              <w:ind w:leftChars="0" w:left="518" w:hanging="490"/>
              <w:jc w:val="both"/>
              <w:rPr>
                <w:rFonts w:ascii="標楷體" w:eastAsia="標楷體" w:hAnsi="標楷體"/>
                <w:szCs w:val="24"/>
              </w:rPr>
            </w:pPr>
            <w:r w:rsidRPr="00F24A73">
              <w:rPr>
                <w:rFonts w:ascii="標楷體" w:eastAsia="標楷體" w:hAnsi="標楷體" w:hint="eastAsia"/>
                <w:szCs w:val="24"/>
              </w:rPr>
              <w:t>依本中心外國有價證券櫃檯買賣</w:t>
            </w:r>
            <w:r w:rsidR="00F366EF" w:rsidRPr="00F24A73">
              <w:rPr>
                <w:rFonts w:ascii="標楷體" w:eastAsia="標楷體" w:hAnsi="標楷體" w:hint="eastAsia"/>
                <w:szCs w:val="24"/>
              </w:rPr>
              <w:t>審查準則</w:t>
            </w:r>
            <w:r w:rsidRPr="00F24A73">
              <w:rPr>
                <w:rFonts w:ascii="標楷體" w:eastAsia="標楷體" w:hAnsi="標楷體" w:hint="eastAsia"/>
                <w:szCs w:val="24"/>
              </w:rPr>
              <w:t>第三十六條</w:t>
            </w:r>
            <w:r w:rsidR="00AF68F7" w:rsidRPr="00F24A73">
              <w:rPr>
                <w:rFonts w:ascii="標楷體" w:eastAsia="標楷體" w:hAnsi="標楷體" w:hint="eastAsia"/>
                <w:szCs w:val="24"/>
              </w:rPr>
              <w:t>規定</w:t>
            </w:r>
            <w:r w:rsidR="001233F6" w:rsidRPr="00F24A73">
              <w:rPr>
                <w:rFonts w:ascii="標楷體" w:eastAsia="標楷體" w:hAnsi="標楷體" w:hint="eastAsia"/>
                <w:szCs w:val="24"/>
              </w:rPr>
              <w:t>，</w:t>
            </w:r>
            <w:r w:rsidRPr="00F24A73">
              <w:rPr>
                <w:rFonts w:ascii="標楷體" w:eastAsia="標楷體" w:hAnsi="標楷體" w:hint="eastAsia"/>
                <w:szCs w:val="24"/>
              </w:rPr>
              <w:t>申請櫃檯買賣之</w:t>
            </w:r>
            <w:r w:rsidR="00206B5D" w:rsidRPr="00F24A73">
              <w:rPr>
                <w:rFonts w:ascii="標楷體" w:eastAsia="標楷體" w:hAnsi="標楷體" w:hint="eastAsia"/>
                <w:szCs w:val="24"/>
              </w:rPr>
              <w:t>新臺幣計價</w:t>
            </w:r>
            <w:r w:rsidRPr="00F24A73">
              <w:rPr>
                <w:rFonts w:ascii="標楷體" w:eastAsia="標楷體" w:hAnsi="標楷體" w:hint="eastAsia"/>
                <w:szCs w:val="24"/>
              </w:rPr>
              <w:t>外國普通債券。</w:t>
            </w:r>
          </w:p>
          <w:p w:rsidR="00D343C2" w:rsidRPr="00F24A73" w:rsidRDefault="0041304C" w:rsidP="00D45AA4">
            <w:pPr>
              <w:pStyle w:val="a3"/>
              <w:numPr>
                <w:ilvl w:val="0"/>
                <w:numId w:val="13"/>
              </w:numPr>
              <w:ind w:leftChars="0" w:left="518" w:hanging="490"/>
              <w:jc w:val="both"/>
              <w:rPr>
                <w:rFonts w:ascii="標楷體" w:eastAsia="標楷體" w:hAnsi="標楷體"/>
                <w:szCs w:val="24"/>
              </w:rPr>
            </w:pPr>
            <w:r w:rsidRPr="00F24A73">
              <w:rPr>
                <w:rFonts w:ascii="標楷體" w:eastAsia="標楷體" w:hAnsi="標楷體" w:hint="eastAsia"/>
                <w:szCs w:val="24"/>
              </w:rPr>
              <w:t>依本中心外幣計價國際債券管理規則第三條</w:t>
            </w:r>
            <w:r w:rsidR="00F366EF" w:rsidRPr="00F24A73">
              <w:rPr>
                <w:rFonts w:ascii="標楷體" w:eastAsia="標楷體" w:hAnsi="標楷體" w:hint="eastAsia"/>
                <w:szCs w:val="24"/>
              </w:rPr>
              <w:t>規定</w:t>
            </w:r>
            <w:r w:rsidR="001233F6" w:rsidRPr="00F24A73">
              <w:rPr>
                <w:rFonts w:ascii="標楷體" w:eastAsia="標楷體" w:hAnsi="標楷體" w:hint="eastAsia"/>
                <w:szCs w:val="24"/>
              </w:rPr>
              <w:t>，</w:t>
            </w:r>
            <w:r w:rsidR="00F366EF" w:rsidRPr="00F24A73">
              <w:rPr>
                <w:rFonts w:ascii="標楷體" w:eastAsia="標楷體" w:hAnsi="標楷體" w:hint="eastAsia"/>
                <w:szCs w:val="24"/>
              </w:rPr>
              <w:t>申請櫃檯買賣之有價證券</w:t>
            </w:r>
            <w:r w:rsidR="00154E20" w:rsidRPr="00F24A73">
              <w:rPr>
                <w:rFonts w:ascii="標楷體" w:eastAsia="標楷體" w:hAnsi="標楷體" w:hint="eastAsia"/>
                <w:szCs w:val="24"/>
              </w:rPr>
              <w:t>。但</w:t>
            </w:r>
            <w:r w:rsidR="00F366EF" w:rsidRPr="00F24A73">
              <w:rPr>
                <w:rFonts w:ascii="標楷體" w:eastAsia="標楷體" w:hAnsi="標楷體" w:hint="eastAsia"/>
                <w:szCs w:val="24"/>
              </w:rPr>
              <w:t>具股權性質之有價證券除外。</w:t>
            </w:r>
            <w:r w:rsidR="00CE5119" w:rsidRPr="00F24A73">
              <w:rPr>
                <w:rFonts w:ascii="標楷體" w:eastAsia="標楷體" w:hAnsi="標楷體" w:hint="eastAsia"/>
                <w:szCs w:val="24"/>
              </w:rPr>
              <w:t xml:space="preserve">   </w:t>
            </w:r>
          </w:p>
        </w:tc>
        <w:tc>
          <w:tcPr>
            <w:tcW w:w="4678" w:type="dxa"/>
            <w:tcBorders>
              <w:top w:val="single" w:sz="4" w:space="0" w:color="auto"/>
              <w:left w:val="single" w:sz="6" w:space="0" w:color="auto"/>
              <w:bottom w:val="single" w:sz="6" w:space="0" w:color="auto"/>
              <w:right w:val="single" w:sz="4" w:space="0" w:color="auto"/>
            </w:tcBorders>
          </w:tcPr>
          <w:p w:rsidR="00D343C2" w:rsidRPr="00F24A73" w:rsidRDefault="00F366EF" w:rsidP="00ED3959">
            <w:pPr>
              <w:autoSpaceDE w:val="0"/>
              <w:autoSpaceDN w:val="0"/>
              <w:adjustRightInd w:val="0"/>
              <w:jc w:val="both"/>
              <w:rPr>
                <w:rFonts w:ascii="標楷體" w:eastAsia="標楷體" w:hAnsi="標楷體"/>
                <w:szCs w:val="24"/>
                <w:lang w:val="zh-TW"/>
              </w:rPr>
            </w:pPr>
            <w:r w:rsidRPr="00F24A73">
              <w:rPr>
                <w:rFonts w:ascii="標楷體" w:eastAsia="標楷體" w:hAnsi="標楷體" w:hint="eastAsia"/>
                <w:szCs w:val="24"/>
                <w:lang w:val="zh-TW"/>
              </w:rPr>
              <w:t>明定得申請</w:t>
            </w:r>
            <w:r w:rsidR="00323C3D" w:rsidRPr="00F24A73">
              <w:rPr>
                <w:rFonts w:ascii="標楷體" w:eastAsia="標楷體" w:hAnsi="標楷體" w:hint="eastAsia"/>
                <w:szCs w:val="24"/>
              </w:rPr>
              <w:t>綠色債券</w:t>
            </w:r>
            <w:r w:rsidR="007107E3" w:rsidRPr="00F24A73">
              <w:rPr>
                <w:rFonts w:ascii="標楷體" w:eastAsia="標楷體" w:hAnsi="標楷體" w:hint="eastAsia"/>
                <w:szCs w:val="24"/>
              </w:rPr>
              <w:t>資格</w:t>
            </w:r>
            <w:r w:rsidR="00367BE0" w:rsidRPr="00F24A73">
              <w:rPr>
                <w:rFonts w:ascii="標楷體" w:eastAsia="標楷體" w:hAnsi="標楷體" w:hint="eastAsia"/>
                <w:szCs w:val="24"/>
              </w:rPr>
              <w:t>認可</w:t>
            </w:r>
            <w:r w:rsidRPr="00F24A73">
              <w:rPr>
                <w:rFonts w:ascii="標楷體" w:eastAsia="標楷體" w:hAnsi="標楷體" w:hint="eastAsia"/>
                <w:szCs w:val="24"/>
                <w:lang w:val="zh-TW"/>
              </w:rPr>
              <w:t>之</w:t>
            </w:r>
            <w:r w:rsidR="00206B5D" w:rsidRPr="00F24A73">
              <w:rPr>
                <w:rFonts w:ascii="標楷體" w:eastAsia="標楷體" w:hAnsi="標楷體" w:hint="eastAsia"/>
                <w:szCs w:val="24"/>
                <w:lang w:val="zh-TW"/>
              </w:rPr>
              <w:t>有價證券為</w:t>
            </w:r>
            <w:r w:rsidR="00F417E6" w:rsidRPr="00F24A73">
              <w:rPr>
                <w:rFonts w:ascii="標楷體" w:eastAsia="標楷體" w:hAnsi="標楷體" w:hint="eastAsia"/>
                <w:szCs w:val="24"/>
                <w:lang w:val="zh-TW"/>
              </w:rPr>
              <w:t>其</w:t>
            </w:r>
            <w:r w:rsidR="007A5104" w:rsidRPr="00F24A73">
              <w:rPr>
                <w:rFonts w:ascii="標楷體" w:eastAsia="標楷體" w:hAnsi="標楷體" w:hint="eastAsia"/>
                <w:szCs w:val="24"/>
                <w:lang w:val="zh-TW"/>
              </w:rPr>
              <w:t>所募資金</w:t>
            </w:r>
            <w:r w:rsidR="00350339" w:rsidRPr="00F24A73">
              <w:rPr>
                <w:rFonts w:ascii="標楷體" w:eastAsia="標楷體" w:hAnsi="標楷體" w:hint="eastAsia"/>
                <w:szCs w:val="24"/>
                <w:lang w:val="zh-TW"/>
              </w:rPr>
              <w:t>用途範圍符合第四條規定</w:t>
            </w:r>
            <w:r w:rsidR="007A5104" w:rsidRPr="00F24A73">
              <w:rPr>
                <w:rFonts w:ascii="標楷體" w:eastAsia="標楷體" w:hAnsi="標楷體" w:hint="eastAsia"/>
                <w:szCs w:val="24"/>
                <w:lang w:val="zh-TW"/>
              </w:rPr>
              <w:t>，且</w:t>
            </w:r>
            <w:r w:rsidR="00206B5D" w:rsidRPr="00F24A73">
              <w:rPr>
                <w:rFonts w:ascii="標楷體" w:eastAsia="標楷體" w:hAnsi="標楷體" w:hint="eastAsia"/>
                <w:szCs w:val="24"/>
                <w:lang w:val="zh-TW"/>
              </w:rPr>
              <w:t>不含股權性質之有價證券，包含本國發行人所發行之</w:t>
            </w:r>
            <w:r w:rsidR="00897DC3" w:rsidRPr="00F24A73">
              <w:rPr>
                <w:rFonts w:ascii="標楷體" w:eastAsia="標楷體" w:hAnsi="標楷體" w:hint="eastAsia"/>
                <w:szCs w:val="24"/>
                <w:lang w:val="zh-TW"/>
              </w:rPr>
              <w:t>新臺幣</w:t>
            </w:r>
            <w:r w:rsidR="00A52785" w:rsidRPr="00F24A73">
              <w:rPr>
                <w:rFonts w:ascii="標楷體" w:eastAsia="標楷體" w:hAnsi="標楷體" w:hint="eastAsia"/>
                <w:szCs w:val="24"/>
                <w:lang w:val="zh-TW"/>
              </w:rPr>
              <w:t>或外幣計價之</w:t>
            </w:r>
            <w:r w:rsidR="00206B5D" w:rsidRPr="00F24A73">
              <w:rPr>
                <w:rFonts w:ascii="標楷體" w:eastAsia="標楷體" w:hAnsi="標楷體" w:hint="eastAsia"/>
                <w:szCs w:val="24"/>
                <w:lang w:val="zh-TW"/>
              </w:rPr>
              <w:t>普通公司債</w:t>
            </w:r>
            <w:r w:rsidR="00BB0BC0" w:rsidRPr="00F24A73">
              <w:rPr>
                <w:rFonts w:ascii="標楷體" w:eastAsia="標楷體" w:hAnsi="標楷體" w:hint="eastAsia"/>
                <w:szCs w:val="24"/>
                <w:lang w:val="zh-TW"/>
              </w:rPr>
              <w:t>及</w:t>
            </w:r>
            <w:r w:rsidR="00206B5D" w:rsidRPr="00F24A73">
              <w:rPr>
                <w:rFonts w:ascii="標楷體" w:eastAsia="標楷體" w:hAnsi="標楷體" w:hint="eastAsia"/>
                <w:szCs w:val="24"/>
                <w:lang w:val="zh-TW"/>
              </w:rPr>
              <w:t>金融債券</w:t>
            </w:r>
            <w:r w:rsidR="00897DC3" w:rsidRPr="00F24A73">
              <w:rPr>
                <w:rFonts w:ascii="標楷體" w:eastAsia="標楷體" w:hAnsi="標楷體" w:hint="eastAsia"/>
                <w:szCs w:val="24"/>
                <w:lang w:val="zh-TW"/>
              </w:rPr>
              <w:t>、</w:t>
            </w:r>
            <w:r w:rsidR="00206B5D" w:rsidRPr="00F24A73">
              <w:rPr>
                <w:rFonts w:ascii="標楷體" w:eastAsia="標楷體" w:hAnsi="標楷體" w:hint="eastAsia"/>
                <w:szCs w:val="24"/>
                <w:lang w:val="zh-TW"/>
              </w:rPr>
              <w:t>外國發行人所發行之新臺幣</w:t>
            </w:r>
            <w:r w:rsidR="00A52785" w:rsidRPr="00F24A73">
              <w:rPr>
                <w:rFonts w:ascii="標楷體" w:eastAsia="標楷體" w:hAnsi="標楷體" w:hint="eastAsia"/>
                <w:szCs w:val="24"/>
                <w:lang w:val="zh-TW"/>
              </w:rPr>
              <w:t>或外幣計價之</w:t>
            </w:r>
            <w:r w:rsidR="00206B5D" w:rsidRPr="00F24A73">
              <w:rPr>
                <w:rFonts w:ascii="標楷體" w:eastAsia="標楷體" w:hAnsi="標楷體" w:hint="eastAsia"/>
                <w:szCs w:val="24"/>
                <w:lang w:val="zh-TW"/>
              </w:rPr>
              <w:t>普通</w:t>
            </w:r>
            <w:r w:rsidR="00A52785" w:rsidRPr="00F24A73">
              <w:rPr>
                <w:rFonts w:ascii="標楷體" w:eastAsia="標楷體" w:hAnsi="標楷體" w:hint="eastAsia"/>
                <w:szCs w:val="24"/>
                <w:lang w:val="zh-TW"/>
              </w:rPr>
              <w:t>公司債</w:t>
            </w:r>
            <w:r w:rsidR="00206B5D" w:rsidRPr="00F24A73">
              <w:rPr>
                <w:rFonts w:ascii="標楷體" w:eastAsia="標楷體" w:hAnsi="標楷體" w:hint="eastAsia"/>
                <w:szCs w:val="24"/>
                <w:lang w:val="zh-TW"/>
              </w:rPr>
              <w:t>。</w:t>
            </w: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F875D4" w:rsidRPr="00F24A73" w:rsidRDefault="00F875D4" w:rsidP="00F875D4">
            <w:pPr>
              <w:jc w:val="both"/>
              <w:rPr>
                <w:rFonts w:ascii="標楷體" w:eastAsia="標楷體" w:hAnsi="標楷體"/>
                <w:szCs w:val="24"/>
              </w:rPr>
            </w:pPr>
            <w:r w:rsidRPr="00F24A73">
              <w:rPr>
                <w:rFonts w:ascii="標楷體" w:eastAsia="標楷體" w:hAnsi="標楷體" w:hint="eastAsia"/>
                <w:szCs w:val="24"/>
              </w:rPr>
              <w:t>第</w:t>
            </w:r>
            <w:r w:rsidR="00154E20" w:rsidRPr="00F24A73">
              <w:rPr>
                <w:rFonts w:ascii="標楷體" w:eastAsia="標楷體" w:hAnsi="標楷體" w:hint="eastAsia"/>
                <w:szCs w:val="24"/>
              </w:rPr>
              <w:t>四</w:t>
            </w:r>
            <w:r w:rsidRPr="00F24A73">
              <w:rPr>
                <w:rFonts w:ascii="標楷體" w:eastAsia="標楷體" w:hAnsi="標楷體" w:hint="eastAsia"/>
                <w:szCs w:val="24"/>
              </w:rPr>
              <w:t>條</w:t>
            </w:r>
          </w:p>
          <w:p w:rsidR="00F875D4" w:rsidRPr="00F24A73" w:rsidRDefault="00F875D4" w:rsidP="00F875D4">
            <w:pPr>
              <w:ind w:firstLineChars="200" w:firstLine="480"/>
              <w:jc w:val="both"/>
              <w:rPr>
                <w:rFonts w:ascii="標楷體" w:eastAsia="標楷體" w:hAnsi="標楷體"/>
                <w:szCs w:val="24"/>
              </w:rPr>
            </w:pPr>
            <w:r w:rsidRPr="00F24A73">
              <w:rPr>
                <w:rFonts w:ascii="標楷體" w:eastAsia="標楷體" w:hAnsi="標楷體" w:hint="eastAsia"/>
                <w:szCs w:val="24"/>
              </w:rPr>
              <w:t>發行人申請</w:t>
            </w:r>
            <w:r w:rsidR="00323C3D" w:rsidRPr="00F24A73">
              <w:rPr>
                <w:rFonts w:ascii="標楷體" w:eastAsia="標楷體" w:hAnsi="標楷體" w:hint="eastAsia"/>
                <w:szCs w:val="24"/>
              </w:rPr>
              <w:t>綠色債券資格</w:t>
            </w:r>
            <w:r w:rsidR="00367BE0" w:rsidRPr="00F24A73">
              <w:rPr>
                <w:rFonts w:ascii="標楷體" w:eastAsia="標楷體" w:hAnsi="標楷體" w:hint="eastAsia"/>
                <w:szCs w:val="24"/>
              </w:rPr>
              <w:t>認可</w:t>
            </w:r>
            <w:r w:rsidRPr="00F24A73">
              <w:rPr>
                <w:rFonts w:ascii="標楷體" w:eastAsia="標楷體" w:hAnsi="標楷體" w:hint="eastAsia"/>
                <w:szCs w:val="24"/>
              </w:rPr>
              <w:t>，應依其有價證券種類分別符合下列資金</w:t>
            </w:r>
            <w:r w:rsidR="00C17E6A" w:rsidRPr="00F24A73">
              <w:rPr>
                <w:rFonts w:ascii="標楷體" w:eastAsia="標楷體" w:hAnsi="標楷體" w:hint="eastAsia"/>
                <w:szCs w:val="24"/>
              </w:rPr>
              <w:t>用途</w:t>
            </w:r>
            <w:r w:rsidRPr="00F24A73">
              <w:rPr>
                <w:rFonts w:ascii="標楷體" w:eastAsia="標楷體" w:hAnsi="標楷體" w:hint="eastAsia"/>
                <w:szCs w:val="24"/>
              </w:rPr>
              <w:t>：</w:t>
            </w:r>
          </w:p>
          <w:p w:rsidR="00F875D4" w:rsidRPr="00F24A73" w:rsidRDefault="00F875D4" w:rsidP="00D45AA4">
            <w:pPr>
              <w:pStyle w:val="a3"/>
              <w:numPr>
                <w:ilvl w:val="0"/>
                <w:numId w:val="35"/>
              </w:numPr>
              <w:ind w:leftChars="0" w:left="518" w:hanging="490"/>
              <w:jc w:val="both"/>
              <w:rPr>
                <w:rFonts w:ascii="標楷體" w:eastAsia="標楷體" w:hAnsi="標楷體"/>
                <w:szCs w:val="24"/>
                <w:shd w:val="pct15" w:color="auto" w:fill="FFFFFF"/>
              </w:rPr>
            </w:pPr>
            <w:r w:rsidRPr="00F24A73">
              <w:rPr>
                <w:rFonts w:ascii="標楷體" w:eastAsia="標楷體" w:hAnsi="標楷體" w:hint="eastAsia"/>
                <w:szCs w:val="24"/>
              </w:rPr>
              <w:t>普通公司債：</w:t>
            </w:r>
            <w:r w:rsidR="002E5AB1" w:rsidRPr="00F24A73">
              <w:rPr>
                <w:rFonts w:ascii="標楷體" w:eastAsia="標楷體" w:hAnsi="標楷體" w:hint="eastAsia"/>
                <w:szCs w:val="24"/>
              </w:rPr>
              <w:t>發行人</w:t>
            </w:r>
            <w:r w:rsidRPr="00F24A73">
              <w:rPr>
                <w:rFonts w:ascii="標楷體" w:eastAsia="標楷體" w:hAnsi="標楷體" w:hint="eastAsia"/>
                <w:szCs w:val="24"/>
              </w:rPr>
              <w:t>所募集之資金全</w:t>
            </w:r>
            <w:r w:rsidR="00D630F0" w:rsidRPr="00F24A73">
              <w:rPr>
                <w:rFonts w:ascii="標楷體" w:eastAsia="標楷體" w:hAnsi="標楷體" w:hint="eastAsia"/>
                <w:szCs w:val="24"/>
              </w:rPr>
              <w:t>部</w:t>
            </w:r>
            <w:r w:rsidRPr="00F24A73">
              <w:rPr>
                <w:rFonts w:ascii="標楷體" w:eastAsia="標楷體" w:hAnsi="標楷體" w:hint="eastAsia"/>
                <w:szCs w:val="24"/>
              </w:rPr>
              <w:t>用於綠色投資計畫</w:t>
            </w:r>
            <w:r w:rsidR="003663A4" w:rsidRPr="00F24A73">
              <w:rPr>
                <w:rFonts w:ascii="標楷體" w:eastAsia="標楷體" w:hAnsi="標楷體" w:hint="eastAsia"/>
                <w:szCs w:val="24"/>
              </w:rPr>
              <w:t>支出</w:t>
            </w:r>
            <w:r w:rsidR="006C32FB" w:rsidRPr="00F24A73">
              <w:rPr>
                <w:rFonts w:ascii="標楷體" w:eastAsia="標楷體" w:hAnsi="標楷體" w:hint="eastAsia"/>
                <w:szCs w:val="24"/>
              </w:rPr>
              <w:t>或</w:t>
            </w:r>
            <w:r w:rsidR="003663A4" w:rsidRPr="00F24A73">
              <w:rPr>
                <w:rFonts w:ascii="標楷體" w:eastAsia="標楷體" w:hAnsi="標楷體" w:hint="eastAsia"/>
                <w:szCs w:val="24"/>
              </w:rPr>
              <w:t>償還</w:t>
            </w:r>
            <w:r w:rsidR="006C32FB" w:rsidRPr="00F24A73">
              <w:rPr>
                <w:rFonts w:ascii="標楷體" w:eastAsia="標楷體" w:hAnsi="標楷體" w:hint="eastAsia"/>
                <w:szCs w:val="24"/>
              </w:rPr>
              <w:t>綠色投資計畫之</w:t>
            </w:r>
            <w:r w:rsidR="003663A4" w:rsidRPr="00F24A73">
              <w:rPr>
                <w:rFonts w:ascii="標楷體" w:eastAsia="標楷體" w:hAnsi="標楷體" w:hint="eastAsia"/>
                <w:szCs w:val="24"/>
              </w:rPr>
              <w:t>債務</w:t>
            </w:r>
            <w:r w:rsidR="002E5AB1" w:rsidRPr="00F24A73">
              <w:rPr>
                <w:rFonts w:ascii="新細明體" w:hAnsi="新細明體" w:hint="eastAsia"/>
                <w:szCs w:val="24"/>
              </w:rPr>
              <w:t>；</w:t>
            </w:r>
            <w:r w:rsidR="002E5AB1" w:rsidRPr="00F24A73">
              <w:rPr>
                <w:rFonts w:ascii="標楷體" w:eastAsia="標楷體" w:hAnsi="標楷體" w:hint="eastAsia"/>
                <w:szCs w:val="24"/>
              </w:rPr>
              <w:t>外國金融機構所募</w:t>
            </w:r>
            <w:r w:rsidR="00160B52" w:rsidRPr="00F24A73">
              <w:rPr>
                <w:rFonts w:ascii="標楷體" w:eastAsia="標楷體" w:hAnsi="標楷體" w:hint="eastAsia"/>
                <w:szCs w:val="24"/>
              </w:rPr>
              <w:t>集</w:t>
            </w:r>
            <w:r w:rsidR="00D452A5" w:rsidRPr="00F24A73">
              <w:rPr>
                <w:rFonts w:ascii="標楷體" w:eastAsia="標楷體" w:hAnsi="標楷體" w:hint="eastAsia"/>
                <w:szCs w:val="24"/>
              </w:rPr>
              <w:t>之</w:t>
            </w:r>
            <w:r w:rsidR="002E5AB1" w:rsidRPr="00F24A73">
              <w:rPr>
                <w:rFonts w:ascii="標楷體" w:eastAsia="標楷體" w:hAnsi="標楷體" w:hint="eastAsia"/>
                <w:szCs w:val="24"/>
              </w:rPr>
              <w:t>資金全部用於綠色投資計畫之放款。</w:t>
            </w:r>
          </w:p>
          <w:p w:rsidR="00DF7402" w:rsidRPr="00F24A73" w:rsidRDefault="00F875D4" w:rsidP="00D45AA4">
            <w:pPr>
              <w:pStyle w:val="a3"/>
              <w:numPr>
                <w:ilvl w:val="0"/>
                <w:numId w:val="35"/>
              </w:numPr>
              <w:ind w:leftChars="0" w:left="518" w:hanging="490"/>
              <w:jc w:val="both"/>
              <w:rPr>
                <w:rFonts w:ascii="標楷體" w:eastAsia="標楷體" w:hAnsi="標楷體"/>
                <w:szCs w:val="24"/>
              </w:rPr>
            </w:pPr>
            <w:r w:rsidRPr="00F24A73">
              <w:rPr>
                <w:rFonts w:ascii="標楷體" w:eastAsia="標楷體" w:hAnsi="標楷體" w:hint="eastAsia"/>
                <w:szCs w:val="24"/>
              </w:rPr>
              <w:t>金融債券：</w:t>
            </w:r>
            <w:r w:rsidR="002E5AB1" w:rsidRPr="00F24A73">
              <w:rPr>
                <w:rFonts w:ascii="標楷體" w:eastAsia="標楷體" w:hAnsi="標楷體" w:hint="eastAsia"/>
                <w:szCs w:val="24"/>
              </w:rPr>
              <w:t>發行人</w:t>
            </w:r>
            <w:r w:rsidRPr="00F24A73">
              <w:rPr>
                <w:rFonts w:ascii="標楷體" w:eastAsia="標楷體" w:hAnsi="標楷體" w:hint="eastAsia"/>
                <w:szCs w:val="24"/>
              </w:rPr>
              <w:t>所募集之資金</w:t>
            </w:r>
            <w:r w:rsidR="00D630F0" w:rsidRPr="00F24A73">
              <w:rPr>
                <w:rFonts w:ascii="標楷體" w:eastAsia="標楷體" w:hAnsi="標楷體" w:hint="eastAsia"/>
                <w:szCs w:val="24"/>
              </w:rPr>
              <w:t>全部</w:t>
            </w:r>
            <w:r w:rsidR="0089393C" w:rsidRPr="00F24A73">
              <w:rPr>
                <w:rFonts w:ascii="標楷體" w:eastAsia="標楷體" w:hAnsi="標楷體" w:hint="eastAsia"/>
                <w:szCs w:val="24"/>
              </w:rPr>
              <w:t>用</w:t>
            </w:r>
            <w:r w:rsidRPr="00F24A73">
              <w:rPr>
                <w:rFonts w:ascii="標楷體" w:eastAsia="標楷體" w:hAnsi="標楷體" w:hint="eastAsia"/>
                <w:szCs w:val="24"/>
              </w:rPr>
              <w:t>於綠色投資計畫之放款。</w:t>
            </w:r>
          </w:p>
        </w:tc>
        <w:tc>
          <w:tcPr>
            <w:tcW w:w="4678" w:type="dxa"/>
            <w:tcBorders>
              <w:top w:val="single" w:sz="4" w:space="0" w:color="auto"/>
              <w:left w:val="single" w:sz="6" w:space="0" w:color="auto"/>
              <w:bottom w:val="single" w:sz="6" w:space="0" w:color="auto"/>
              <w:right w:val="single" w:sz="4" w:space="0" w:color="auto"/>
            </w:tcBorders>
          </w:tcPr>
          <w:p w:rsidR="00767C46" w:rsidRPr="00F24A73" w:rsidRDefault="009E7565" w:rsidP="00A3151E">
            <w:pPr>
              <w:pStyle w:val="HTML"/>
              <w:tabs>
                <w:tab w:val="clear" w:pos="916"/>
                <w:tab w:val="left" w:pos="709"/>
              </w:tabs>
              <w:jc w:val="both"/>
              <w:rPr>
                <w:rFonts w:ascii="標楷體" w:eastAsia="標楷體" w:hAnsi="標楷體" w:cs="Times New Roman"/>
                <w:color w:val="auto"/>
                <w:kern w:val="2"/>
                <w:lang w:val="zh-TW"/>
              </w:rPr>
            </w:pPr>
            <w:r w:rsidRPr="00F24A73">
              <w:rPr>
                <w:rFonts w:ascii="標楷體" w:eastAsia="標楷體" w:hAnsi="標楷體" w:cs="Times New Roman" w:hint="eastAsia"/>
                <w:color w:val="auto"/>
                <w:kern w:val="2"/>
                <w:lang w:val="zh-TW"/>
              </w:rPr>
              <w:t>參考國際金融市場慣例，訂定綠色債券資金用途應全部用於綠色投資計畫支出、償還綠色投資計畫之債務或綠色投資計畫之放款。</w:t>
            </w:r>
          </w:p>
          <w:p w:rsidR="00A52785" w:rsidRPr="00F24A73" w:rsidRDefault="00A52785" w:rsidP="00A3151E">
            <w:pPr>
              <w:pStyle w:val="HTML"/>
              <w:tabs>
                <w:tab w:val="clear" w:pos="916"/>
                <w:tab w:val="left" w:pos="709"/>
              </w:tabs>
              <w:ind w:left="504"/>
              <w:jc w:val="both"/>
              <w:rPr>
                <w:rFonts w:ascii="標楷體" w:eastAsia="標楷體" w:hAnsi="標楷體" w:cs="Times New Roman"/>
                <w:color w:val="auto"/>
                <w:kern w:val="2"/>
                <w:lang w:val="zh-TW"/>
              </w:rPr>
            </w:pP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2F0AA4" w:rsidRPr="00F24A73" w:rsidRDefault="00F875D4" w:rsidP="00C15B12">
            <w:pPr>
              <w:jc w:val="both"/>
              <w:rPr>
                <w:rFonts w:ascii="標楷體" w:eastAsia="標楷體" w:hAnsi="標楷體"/>
                <w:szCs w:val="24"/>
              </w:rPr>
            </w:pPr>
            <w:r w:rsidRPr="00F24A73">
              <w:rPr>
                <w:rFonts w:ascii="標楷體" w:eastAsia="標楷體" w:hAnsi="標楷體" w:hint="eastAsia"/>
                <w:szCs w:val="24"/>
              </w:rPr>
              <w:t>第</w:t>
            </w:r>
            <w:r w:rsidR="00154E20" w:rsidRPr="00F24A73">
              <w:rPr>
                <w:rFonts w:ascii="標楷體" w:eastAsia="標楷體" w:hAnsi="標楷體" w:hint="eastAsia"/>
                <w:szCs w:val="24"/>
              </w:rPr>
              <w:t>五</w:t>
            </w:r>
            <w:r w:rsidRPr="00F24A73">
              <w:rPr>
                <w:rFonts w:ascii="標楷體" w:eastAsia="標楷體" w:hAnsi="標楷體" w:hint="eastAsia"/>
                <w:szCs w:val="24"/>
              </w:rPr>
              <w:t>條</w:t>
            </w:r>
            <w:r w:rsidR="002F0AA4" w:rsidRPr="00F24A73">
              <w:rPr>
                <w:rFonts w:ascii="標楷體" w:eastAsia="標楷體" w:hAnsi="標楷體" w:hint="eastAsia"/>
                <w:szCs w:val="24"/>
              </w:rPr>
              <w:t xml:space="preserve">  </w:t>
            </w:r>
          </w:p>
          <w:p w:rsidR="002F0AA4" w:rsidRPr="00F24A73" w:rsidRDefault="004A4C4D" w:rsidP="00132C30">
            <w:pPr>
              <w:ind w:firstLineChars="165" w:firstLine="396"/>
              <w:jc w:val="both"/>
              <w:rPr>
                <w:rFonts w:ascii="標楷體" w:eastAsia="標楷體" w:hAnsi="標楷體"/>
                <w:szCs w:val="24"/>
              </w:rPr>
            </w:pPr>
            <w:r w:rsidRPr="00F24A73">
              <w:rPr>
                <w:rFonts w:ascii="標楷體" w:eastAsia="標楷體" w:hAnsi="標楷體" w:hint="eastAsia"/>
                <w:szCs w:val="24"/>
              </w:rPr>
              <w:t xml:space="preserve"> </w:t>
            </w:r>
            <w:r w:rsidR="004D3D46" w:rsidRPr="00F24A73">
              <w:rPr>
                <w:rFonts w:ascii="標楷體" w:eastAsia="標楷體" w:hAnsi="標楷體" w:hint="eastAsia"/>
                <w:szCs w:val="24"/>
              </w:rPr>
              <w:t>前條所稱</w:t>
            </w:r>
            <w:r w:rsidR="002F0AA4" w:rsidRPr="00F24A73">
              <w:rPr>
                <w:rFonts w:ascii="標楷體" w:eastAsia="標楷體" w:hAnsi="標楷體" w:hint="eastAsia"/>
                <w:szCs w:val="24"/>
              </w:rPr>
              <w:t>綠色投資計畫係指投資於下</w:t>
            </w:r>
            <w:r w:rsidR="002F0AA4" w:rsidRPr="00F24A73">
              <w:rPr>
                <w:rFonts w:ascii="標楷體" w:eastAsia="標楷體" w:hAnsi="標楷體" w:hint="eastAsia"/>
                <w:szCs w:val="24"/>
              </w:rPr>
              <w:lastRenderedPageBreak/>
              <w:t>列事項，並具實質改善環境</w:t>
            </w:r>
            <w:r w:rsidR="004D3D46" w:rsidRPr="00F24A73">
              <w:rPr>
                <w:rFonts w:ascii="標楷體" w:eastAsia="標楷體" w:hAnsi="標楷體" w:hint="eastAsia"/>
                <w:szCs w:val="24"/>
              </w:rPr>
              <w:t>之</w:t>
            </w:r>
            <w:r w:rsidR="002F0AA4" w:rsidRPr="00F24A73">
              <w:rPr>
                <w:rFonts w:ascii="標楷體" w:eastAsia="標楷體" w:hAnsi="標楷體" w:hint="eastAsia"/>
                <w:szCs w:val="24"/>
              </w:rPr>
              <w:t>效益者:</w:t>
            </w:r>
          </w:p>
          <w:p w:rsidR="002F0AA4" w:rsidRPr="00F24A73" w:rsidRDefault="002F0AA4" w:rsidP="00D45AA4">
            <w:pPr>
              <w:pStyle w:val="a3"/>
              <w:numPr>
                <w:ilvl w:val="0"/>
                <w:numId w:val="11"/>
              </w:numPr>
              <w:ind w:leftChars="0" w:left="539" w:hanging="525"/>
              <w:jc w:val="both"/>
              <w:rPr>
                <w:rFonts w:ascii="標楷體" w:eastAsia="標楷體" w:hAnsi="標楷體"/>
                <w:szCs w:val="24"/>
              </w:rPr>
            </w:pPr>
            <w:r w:rsidRPr="00F24A73">
              <w:rPr>
                <w:rFonts w:ascii="標楷體" w:eastAsia="標楷體" w:hAnsi="標楷體" w:hint="eastAsia"/>
                <w:szCs w:val="24"/>
              </w:rPr>
              <w:t>再生能源及能源科技發展。</w:t>
            </w:r>
          </w:p>
          <w:p w:rsidR="002F0AA4" w:rsidRPr="00F24A73" w:rsidRDefault="002F0AA4" w:rsidP="00D45AA4">
            <w:pPr>
              <w:pStyle w:val="a3"/>
              <w:numPr>
                <w:ilvl w:val="0"/>
                <w:numId w:val="11"/>
              </w:numPr>
              <w:ind w:leftChars="0" w:left="539" w:hanging="525"/>
              <w:jc w:val="both"/>
              <w:rPr>
                <w:rFonts w:ascii="標楷體" w:eastAsia="標楷體" w:hAnsi="標楷體"/>
                <w:szCs w:val="24"/>
              </w:rPr>
            </w:pPr>
            <w:r w:rsidRPr="00F24A73">
              <w:rPr>
                <w:rFonts w:ascii="標楷體" w:eastAsia="標楷體" w:hAnsi="標楷體" w:hint="eastAsia"/>
                <w:szCs w:val="24"/>
              </w:rPr>
              <w:t>能源使用效率提</w:t>
            </w:r>
            <w:r w:rsidR="00C47DA6" w:rsidRPr="00F24A73">
              <w:rPr>
                <w:rFonts w:ascii="標楷體" w:eastAsia="標楷體" w:hAnsi="標楷體" w:hint="eastAsia"/>
                <w:szCs w:val="24"/>
              </w:rPr>
              <w:t>昇</w:t>
            </w:r>
            <w:r w:rsidRPr="00F24A73">
              <w:rPr>
                <w:rFonts w:ascii="標楷體" w:eastAsia="標楷體" w:hAnsi="標楷體" w:hint="eastAsia"/>
                <w:szCs w:val="24"/>
              </w:rPr>
              <w:t>及能源</w:t>
            </w:r>
            <w:r w:rsidR="00D630F0" w:rsidRPr="00F24A73">
              <w:rPr>
                <w:rFonts w:ascii="標楷體" w:eastAsia="標楷體" w:hAnsi="標楷體" w:hint="eastAsia"/>
                <w:szCs w:val="24"/>
              </w:rPr>
              <w:t>節約</w:t>
            </w:r>
            <w:r w:rsidRPr="00F24A73">
              <w:rPr>
                <w:rFonts w:ascii="標楷體" w:eastAsia="標楷體" w:hAnsi="標楷體" w:hint="eastAsia"/>
                <w:szCs w:val="24"/>
              </w:rPr>
              <w:t>。</w:t>
            </w:r>
          </w:p>
          <w:p w:rsidR="002F0AA4" w:rsidRPr="00F24A73" w:rsidRDefault="002F0AA4" w:rsidP="00D45AA4">
            <w:pPr>
              <w:pStyle w:val="a3"/>
              <w:numPr>
                <w:ilvl w:val="0"/>
                <w:numId w:val="11"/>
              </w:numPr>
              <w:ind w:leftChars="0" w:left="539" w:hanging="525"/>
              <w:jc w:val="both"/>
              <w:rPr>
                <w:rFonts w:ascii="標楷體" w:eastAsia="標楷體" w:hAnsi="標楷體"/>
                <w:szCs w:val="24"/>
              </w:rPr>
            </w:pPr>
            <w:r w:rsidRPr="00F24A73">
              <w:rPr>
                <w:rFonts w:ascii="標楷體" w:eastAsia="標楷體" w:hAnsi="標楷體" w:hint="eastAsia"/>
                <w:szCs w:val="24"/>
              </w:rPr>
              <w:t>溫室氣體減量。</w:t>
            </w:r>
          </w:p>
          <w:p w:rsidR="002F0AA4" w:rsidRPr="00F24A73" w:rsidRDefault="002F0AA4" w:rsidP="00D45AA4">
            <w:pPr>
              <w:pStyle w:val="a3"/>
              <w:numPr>
                <w:ilvl w:val="0"/>
                <w:numId w:val="11"/>
              </w:numPr>
              <w:ind w:leftChars="0" w:left="539" w:hanging="525"/>
              <w:jc w:val="both"/>
              <w:rPr>
                <w:rFonts w:ascii="標楷體" w:eastAsia="標楷體" w:hAnsi="標楷體"/>
                <w:szCs w:val="24"/>
              </w:rPr>
            </w:pPr>
            <w:r w:rsidRPr="00F24A73">
              <w:rPr>
                <w:rFonts w:ascii="標楷體" w:eastAsia="標楷體" w:hAnsi="標楷體" w:hint="eastAsia"/>
                <w:szCs w:val="24"/>
              </w:rPr>
              <w:t>廢棄物回收處理或再利用。</w:t>
            </w:r>
          </w:p>
          <w:p w:rsidR="002F0AA4" w:rsidRPr="00F24A73" w:rsidRDefault="002F0AA4" w:rsidP="00D45AA4">
            <w:pPr>
              <w:pStyle w:val="a3"/>
              <w:numPr>
                <w:ilvl w:val="0"/>
                <w:numId w:val="11"/>
              </w:numPr>
              <w:ind w:leftChars="0" w:left="539" w:hanging="525"/>
              <w:jc w:val="both"/>
              <w:rPr>
                <w:rFonts w:ascii="標楷體" w:eastAsia="標楷體" w:hAnsi="標楷體"/>
                <w:szCs w:val="24"/>
              </w:rPr>
            </w:pPr>
            <w:r w:rsidRPr="00F24A73">
              <w:rPr>
                <w:rFonts w:ascii="標楷體" w:eastAsia="標楷體" w:hAnsi="標楷體" w:hint="eastAsia"/>
                <w:szCs w:val="24"/>
              </w:rPr>
              <w:t>農林資源保育。</w:t>
            </w:r>
          </w:p>
          <w:p w:rsidR="002F0AA4" w:rsidRPr="00F24A73" w:rsidRDefault="002F0AA4" w:rsidP="00D45AA4">
            <w:pPr>
              <w:pStyle w:val="a3"/>
              <w:numPr>
                <w:ilvl w:val="0"/>
                <w:numId w:val="11"/>
              </w:numPr>
              <w:ind w:leftChars="0" w:left="539" w:hanging="525"/>
              <w:jc w:val="both"/>
              <w:rPr>
                <w:rFonts w:ascii="標楷體" w:eastAsia="標楷體" w:hAnsi="標楷體"/>
                <w:szCs w:val="24"/>
              </w:rPr>
            </w:pPr>
            <w:r w:rsidRPr="00F24A73">
              <w:rPr>
                <w:rFonts w:ascii="標楷體" w:eastAsia="標楷體" w:hAnsi="標楷體" w:hint="eastAsia"/>
                <w:szCs w:val="24"/>
              </w:rPr>
              <w:t>生物多樣性保育。</w:t>
            </w:r>
          </w:p>
          <w:p w:rsidR="002F0AA4" w:rsidRPr="00F24A73" w:rsidRDefault="002F0AA4" w:rsidP="00D45AA4">
            <w:pPr>
              <w:pStyle w:val="a3"/>
              <w:numPr>
                <w:ilvl w:val="0"/>
                <w:numId w:val="11"/>
              </w:numPr>
              <w:ind w:leftChars="0" w:left="539" w:hanging="525"/>
              <w:jc w:val="both"/>
              <w:rPr>
                <w:rFonts w:ascii="標楷體" w:eastAsia="標楷體" w:hAnsi="標楷體"/>
                <w:szCs w:val="24"/>
              </w:rPr>
            </w:pPr>
            <w:r w:rsidRPr="00F24A73">
              <w:rPr>
                <w:rFonts w:ascii="標楷體" w:eastAsia="標楷體" w:hAnsi="標楷體" w:hint="eastAsia"/>
                <w:szCs w:val="24"/>
              </w:rPr>
              <w:t>污染防治與控制。</w:t>
            </w:r>
          </w:p>
          <w:p w:rsidR="002F0AA4" w:rsidRPr="00F24A73" w:rsidRDefault="002F0AA4" w:rsidP="00D45AA4">
            <w:pPr>
              <w:pStyle w:val="a3"/>
              <w:numPr>
                <w:ilvl w:val="0"/>
                <w:numId w:val="11"/>
              </w:numPr>
              <w:ind w:leftChars="0" w:left="539" w:hanging="525"/>
              <w:jc w:val="both"/>
              <w:rPr>
                <w:rFonts w:ascii="標楷體" w:eastAsia="標楷體" w:hAnsi="標楷體"/>
                <w:szCs w:val="24"/>
              </w:rPr>
            </w:pPr>
            <w:r w:rsidRPr="00F24A73">
              <w:rPr>
                <w:rFonts w:ascii="標楷體" w:eastAsia="標楷體" w:hAnsi="標楷體" w:hint="eastAsia"/>
                <w:szCs w:val="24"/>
              </w:rPr>
              <w:t>水資源節約、潔淨或回收循環再利用。</w:t>
            </w:r>
          </w:p>
          <w:p w:rsidR="006347AC" w:rsidRPr="00F24A73" w:rsidRDefault="009E7565" w:rsidP="00D45AA4">
            <w:pPr>
              <w:pStyle w:val="a3"/>
              <w:numPr>
                <w:ilvl w:val="0"/>
                <w:numId w:val="11"/>
              </w:numPr>
              <w:ind w:leftChars="0" w:left="539" w:hanging="525"/>
              <w:jc w:val="both"/>
              <w:rPr>
                <w:rFonts w:ascii="標楷體" w:eastAsia="標楷體" w:hAnsi="標楷體"/>
                <w:szCs w:val="24"/>
              </w:rPr>
            </w:pPr>
            <w:r w:rsidRPr="00F24A73">
              <w:rPr>
                <w:rFonts w:ascii="標楷體" w:eastAsia="標楷體" w:hAnsi="標楷體" w:hint="eastAsia"/>
                <w:szCs w:val="24"/>
              </w:rPr>
              <w:t>其他氣候變遷調適</w:t>
            </w:r>
            <w:r w:rsidR="00975B9F" w:rsidRPr="00F24A73">
              <w:rPr>
                <w:rFonts w:ascii="標楷體" w:eastAsia="標楷體" w:hAnsi="標楷體" w:hint="eastAsia"/>
                <w:szCs w:val="24"/>
              </w:rPr>
              <w:t>或經本中心認可者。</w:t>
            </w:r>
          </w:p>
          <w:p w:rsidR="00017958" w:rsidRPr="00F24A73" w:rsidRDefault="002F0AA4" w:rsidP="00552C34">
            <w:pPr>
              <w:jc w:val="both"/>
              <w:rPr>
                <w:rFonts w:ascii="標楷體" w:eastAsia="標楷體" w:hAnsi="標楷體"/>
                <w:szCs w:val="24"/>
              </w:rPr>
            </w:pPr>
            <w:r w:rsidRPr="00F24A73">
              <w:rPr>
                <w:rFonts w:ascii="標楷體" w:eastAsia="標楷體" w:hAnsi="標楷體" w:hint="eastAsia"/>
                <w:szCs w:val="24"/>
              </w:rPr>
              <w:t xml:space="preserve">    前項綠色投資計畫須經政府機關出具符合綠色投資計畫之</w:t>
            </w:r>
            <w:r w:rsidR="004D3D46" w:rsidRPr="00F24A73">
              <w:rPr>
                <w:rFonts w:ascii="標楷體" w:eastAsia="標楷體" w:hAnsi="標楷體" w:hint="eastAsia"/>
                <w:szCs w:val="24"/>
              </w:rPr>
              <w:t>證明</w:t>
            </w:r>
            <w:r w:rsidRPr="00F24A73">
              <w:rPr>
                <w:rFonts w:ascii="標楷體" w:eastAsia="標楷體" w:hAnsi="標楷體" w:hint="eastAsia"/>
                <w:szCs w:val="24"/>
              </w:rPr>
              <w:t>文件</w:t>
            </w:r>
            <w:r w:rsidR="00F875D4" w:rsidRPr="00F24A73">
              <w:rPr>
                <w:rFonts w:ascii="標楷體" w:eastAsia="標楷體" w:hAnsi="標楷體" w:hint="eastAsia"/>
                <w:szCs w:val="24"/>
              </w:rPr>
              <w:t>，</w:t>
            </w:r>
            <w:r w:rsidRPr="00F24A73">
              <w:rPr>
                <w:rFonts w:ascii="標楷體" w:eastAsia="標楷體" w:hAnsi="標楷體" w:hint="eastAsia"/>
                <w:szCs w:val="24"/>
              </w:rPr>
              <w:t>或由</w:t>
            </w:r>
            <w:r w:rsidR="004D3D46" w:rsidRPr="00F24A73">
              <w:rPr>
                <w:rFonts w:ascii="標楷體" w:eastAsia="標楷體" w:hAnsi="標楷體" w:hint="eastAsia"/>
                <w:szCs w:val="24"/>
              </w:rPr>
              <w:t>國內外</w:t>
            </w:r>
            <w:r w:rsidRPr="00F24A73">
              <w:rPr>
                <w:rFonts w:ascii="標楷體" w:eastAsia="標楷體" w:hAnsi="標楷體" w:hint="eastAsia"/>
                <w:szCs w:val="24"/>
              </w:rPr>
              <w:t>認證機構</w:t>
            </w:r>
            <w:r w:rsidR="004D3D46" w:rsidRPr="00F24A73">
              <w:rPr>
                <w:rFonts w:ascii="標楷體" w:eastAsia="標楷體" w:hAnsi="標楷體" w:hint="eastAsia"/>
                <w:szCs w:val="24"/>
              </w:rPr>
              <w:t>出具</w:t>
            </w:r>
            <w:r w:rsidRPr="00F24A73">
              <w:rPr>
                <w:rFonts w:ascii="標楷體" w:eastAsia="標楷體" w:hAnsi="標楷體" w:hint="eastAsia"/>
                <w:szCs w:val="24"/>
              </w:rPr>
              <w:t>符合綠色投資計畫之評估意見或認證報告</w:t>
            </w:r>
            <w:r w:rsidR="00BA251E" w:rsidRPr="00F24A73">
              <w:rPr>
                <w:rFonts w:ascii="標楷體" w:eastAsia="標楷體" w:hAnsi="標楷體" w:hint="eastAsia"/>
                <w:szCs w:val="24"/>
              </w:rPr>
              <w:t>。</w:t>
            </w:r>
            <w:r w:rsidR="00E87C58" w:rsidRPr="00F24A73">
              <w:rPr>
                <w:rFonts w:ascii="標楷體" w:eastAsia="標楷體" w:hAnsi="標楷體" w:hint="eastAsia"/>
                <w:szCs w:val="24"/>
              </w:rPr>
              <w:t>但發行人為本國銀行</w:t>
            </w:r>
            <w:r w:rsidR="003663A4" w:rsidRPr="00F24A73">
              <w:rPr>
                <w:rFonts w:ascii="標楷體" w:eastAsia="標楷體" w:hAnsi="標楷體" w:hint="eastAsia"/>
                <w:szCs w:val="24"/>
              </w:rPr>
              <w:t>或</w:t>
            </w:r>
            <w:r w:rsidR="00FD6765" w:rsidRPr="00F24A73">
              <w:rPr>
                <w:rFonts w:ascii="標楷體" w:eastAsia="標楷體" w:hAnsi="標楷體" w:hint="eastAsia"/>
                <w:szCs w:val="24"/>
              </w:rPr>
              <w:t>具能源供應專業之</w:t>
            </w:r>
            <w:r w:rsidR="003663A4" w:rsidRPr="00F24A73">
              <w:rPr>
                <w:rFonts w:ascii="標楷體" w:eastAsia="標楷體" w:hAnsi="標楷體" w:hint="eastAsia"/>
                <w:szCs w:val="24"/>
              </w:rPr>
              <w:t>國營事業</w:t>
            </w:r>
            <w:r w:rsidR="00E87C58" w:rsidRPr="00F24A73">
              <w:rPr>
                <w:rFonts w:ascii="標楷體" w:eastAsia="標楷體" w:hAnsi="標楷體" w:hint="eastAsia"/>
                <w:szCs w:val="24"/>
              </w:rPr>
              <w:t>者，</w:t>
            </w:r>
            <w:r w:rsidR="00BA251E" w:rsidRPr="00F24A73">
              <w:rPr>
                <w:rFonts w:ascii="標楷體" w:eastAsia="標楷體" w:hAnsi="標楷體" w:hint="eastAsia"/>
                <w:szCs w:val="24"/>
              </w:rPr>
              <w:t>得自行</w:t>
            </w:r>
            <w:r w:rsidR="00975B9F" w:rsidRPr="00F24A73">
              <w:rPr>
                <w:rFonts w:ascii="標楷體" w:eastAsia="標楷體" w:hAnsi="標楷體" w:hint="eastAsia"/>
                <w:szCs w:val="24"/>
              </w:rPr>
              <w:t xml:space="preserve">依國際金融市場慣例之綠色債券原則 </w:t>
            </w:r>
            <w:r w:rsidR="00BA251E" w:rsidRPr="00F24A73">
              <w:rPr>
                <w:rFonts w:ascii="標楷體" w:eastAsia="標楷體" w:hAnsi="標楷體" w:hint="eastAsia"/>
                <w:szCs w:val="24"/>
              </w:rPr>
              <w:t>出具符合綠色投資計畫之評估意見</w:t>
            </w:r>
            <w:r w:rsidR="00F72197" w:rsidRPr="00F24A73">
              <w:rPr>
                <w:rFonts w:ascii="標楷體" w:eastAsia="標楷體" w:hAnsi="標楷體" w:hint="eastAsia"/>
                <w:szCs w:val="24"/>
              </w:rPr>
              <w:t>。</w:t>
            </w:r>
          </w:p>
          <w:p w:rsidR="00552C34" w:rsidRPr="00F24A73" w:rsidRDefault="00552C34" w:rsidP="00552C34">
            <w:pPr>
              <w:jc w:val="both"/>
              <w:rPr>
                <w:rFonts w:ascii="標楷體" w:eastAsia="標楷體" w:hAnsi="標楷體"/>
                <w:szCs w:val="24"/>
              </w:rPr>
            </w:pPr>
            <w:r w:rsidRPr="00F24A73">
              <w:rPr>
                <w:rFonts w:ascii="標楷體" w:eastAsia="標楷體" w:hAnsi="標楷體" w:hint="eastAsia"/>
                <w:szCs w:val="24"/>
              </w:rPr>
              <w:t xml:space="preserve">    本作業要點</w:t>
            </w:r>
            <w:proofErr w:type="gramStart"/>
            <w:r w:rsidRPr="00F24A73">
              <w:rPr>
                <w:rFonts w:ascii="標楷體" w:eastAsia="標楷體" w:hAnsi="標楷體" w:hint="eastAsia"/>
                <w:szCs w:val="24"/>
              </w:rPr>
              <w:t>所稱具能源</w:t>
            </w:r>
            <w:proofErr w:type="gramEnd"/>
            <w:r w:rsidRPr="00F24A73">
              <w:rPr>
                <w:rFonts w:ascii="標楷體" w:eastAsia="標楷體" w:hAnsi="標楷體" w:hint="eastAsia"/>
                <w:szCs w:val="24"/>
              </w:rPr>
              <w:t>供應專業者，係指能源管理法第四條規定之能源供應事業。</w:t>
            </w:r>
          </w:p>
        </w:tc>
        <w:tc>
          <w:tcPr>
            <w:tcW w:w="4678" w:type="dxa"/>
            <w:tcBorders>
              <w:top w:val="single" w:sz="4" w:space="0" w:color="auto"/>
              <w:left w:val="single" w:sz="6" w:space="0" w:color="auto"/>
              <w:bottom w:val="single" w:sz="6" w:space="0" w:color="auto"/>
              <w:right w:val="single" w:sz="4" w:space="0" w:color="auto"/>
            </w:tcBorders>
          </w:tcPr>
          <w:p w:rsidR="00BC1318" w:rsidRPr="00F24A73" w:rsidRDefault="00BC1318" w:rsidP="004E2953">
            <w:pPr>
              <w:pStyle w:val="HTML"/>
              <w:numPr>
                <w:ilvl w:val="0"/>
                <w:numId w:val="41"/>
              </w:numPr>
              <w:tabs>
                <w:tab w:val="clear" w:pos="916"/>
                <w:tab w:val="left" w:pos="709"/>
              </w:tabs>
              <w:jc w:val="both"/>
              <w:rPr>
                <w:rFonts w:ascii="標楷體" w:eastAsia="標楷體" w:hAnsi="標楷體" w:cs="Times New Roman"/>
                <w:color w:val="auto"/>
                <w:kern w:val="2"/>
                <w:lang w:val="zh-TW"/>
              </w:rPr>
            </w:pPr>
            <w:r w:rsidRPr="00F24A73">
              <w:rPr>
                <w:rFonts w:ascii="標楷體" w:eastAsia="標楷體" w:hAnsi="標楷體" w:cs="Times New Roman" w:hint="eastAsia"/>
                <w:color w:val="auto"/>
                <w:kern w:val="2"/>
                <w:lang w:val="zh-TW"/>
              </w:rPr>
              <w:lastRenderedPageBreak/>
              <w:t>明定綠色投資計畫之範圍及認定方式。</w:t>
            </w:r>
          </w:p>
          <w:p w:rsidR="002F0AA4" w:rsidRPr="00F24A73" w:rsidRDefault="00D630F0" w:rsidP="004E2953">
            <w:pPr>
              <w:pStyle w:val="HTML"/>
              <w:numPr>
                <w:ilvl w:val="0"/>
                <w:numId w:val="41"/>
              </w:numPr>
              <w:tabs>
                <w:tab w:val="clear" w:pos="916"/>
                <w:tab w:val="left" w:pos="709"/>
              </w:tabs>
              <w:jc w:val="both"/>
              <w:rPr>
                <w:rFonts w:ascii="標楷體" w:eastAsia="標楷體" w:hAnsi="標楷體"/>
                <w:color w:val="auto"/>
                <w:lang w:val="zh-TW"/>
              </w:rPr>
            </w:pPr>
            <w:r w:rsidRPr="00F24A73">
              <w:rPr>
                <w:rFonts w:ascii="標楷體" w:eastAsia="標楷體" w:hAnsi="標楷體" w:cs="Times New Roman" w:hint="eastAsia"/>
                <w:color w:val="auto"/>
                <w:kern w:val="2"/>
                <w:lang w:val="zh-TW"/>
              </w:rPr>
              <w:lastRenderedPageBreak/>
              <w:t>參考</w:t>
            </w:r>
            <w:r w:rsidR="00BC1318" w:rsidRPr="00F24A73">
              <w:rPr>
                <w:rFonts w:ascii="標楷體" w:eastAsia="標楷體" w:hAnsi="標楷體" w:cs="Times New Roman" w:hint="eastAsia"/>
                <w:color w:val="auto"/>
                <w:kern w:val="2"/>
                <w:lang w:val="zh-TW"/>
              </w:rPr>
              <w:t>「溫室氣體減量及管理法」第八條第二項第一款至第</w:t>
            </w:r>
            <w:r w:rsidR="005B35BB" w:rsidRPr="00F24A73">
              <w:rPr>
                <w:rFonts w:ascii="標楷體" w:eastAsia="標楷體" w:hAnsi="標楷體" w:cs="Times New Roman" w:hint="eastAsia"/>
                <w:color w:val="auto"/>
                <w:kern w:val="2"/>
                <w:lang w:val="zh-TW"/>
              </w:rPr>
              <w:t>九</w:t>
            </w:r>
            <w:r w:rsidR="00BC1318" w:rsidRPr="00F24A73">
              <w:rPr>
                <w:rFonts w:ascii="標楷體" w:eastAsia="標楷體" w:hAnsi="標楷體" w:cs="Times New Roman" w:hint="eastAsia"/>
                <w:color w:val="auto"/>
                <w:kern w:val="2"/>
                <w:lang w:val="zh-TW"/>
              </w:rPr>
              <w:t>款有關溫室氣體減量或氣候變遷調適之相關項目</w:t>
            </w:r>
            <w:r w:rsidR="00280388" w:rsidRPr="00F24A73">
              <w:rPr>
                <w:rFonts w:ascii="標楷體" w:eastAsia="標楷體" w:hAnsi="標楷體" w:cs="Times New Roman" w:hint="eastAsia"/>
                <w:color w:val="auto"/>
                <w:kern w:val="2"/>
                <w:lang w:val="zh-TW"/>
              </w:rPr>
              <w:t>，</w:t>
            </w:r>
            <w:r w:rsidR="00BC1318" w:rsidRPr="00F24A73">
              <w:rPr>
                <w:rFonts w:ascii="標楷體" w:eastAsia="標楷體" w:hAnsi="標楷體" w:cs="Times New Roman" w:hint="eastAsia"/>
                <w:color w:val="auto"/>
                <w:kern w:val="2"/>
                <w:lang w:val="zh-TW"/>
              </w:rPr>
              <w:t>訂定本</w:t>
            </w:r>
            <w:r w:rsidR="00280388" w:rsidRPr="00F24A73">
              <w:rPr>
                <w:rFonts w:ascii="標楷體" w:eastAsia="標楷體" w:hAnsi="標楷體" w:cs="Times New Roman" w:hint="eastAsia"/>
                <w:color w:val="auto"/>
                <w:kern w:val="2"/>
                <w:lang w:val="zh-TW"/>
              </w:rPr>
              <w:t>條</w:t>
            </w:r>
            <w:r w:rsidR="00BC1318" w:rsidRPr="00F24A73">
              <w:rPr>
                <w:rFonts w:ascii="標楷體" w:eastAsia="標楷體" w:hAnsi="標楷體" w:cs="Times New Roman" w:hint="eastAsia"/>
                <w:color w:val="auto"/>
                <w:kern w:val="2"/>
                <w:lang w:val="zh-TW"/>
              </w:rPr>
              <w:t>第一款至</w:t>
            </w:r>
            <w:r w:rsidR="0060219D" w:rsidRPr="00F24A73">
              <w:rPr>
                <w:rFonts w:ascii="標楷體" w:eastAsia="標楷體" w:hAnsi="標楷體" w:cs="Times New Roman" w:hint="eastAsia"/>
                <w:color w:val="auto"/>
                <w:kern w:val="2"/>
                <w:lang w:val="zh-TW"/>
              </w:rPr>
              <w:t>六</w:t>
            </w:r>
            <w:r w:rsidR="00BC1318" w:rsidRPr="00F24A73">
              <w:rPr>
                <w:rFonts w:ascii="標楷體" w:eastAsia="標楷體" w:hAnsi="標楷體" w:cs="Times New Roman" w:hint="eastAsia"/>
                <w:color w:val="auto"/>
                <w:kern w:val="2"/>
                <w:lang w:val="zh-TW"/>
              </w:rPr>
              <w:t>款之綠色投資計畫</w:t>
            </w:r>
            <w:r w:rsidR="00F53065" w:rsidRPr="00F24A73">
              <w:rPr>
                <w:rFonts w:ascii="標楷體" w:eastAsia="標楷體" w:hAnsi="標楷體" w:cs="Times New Roman" w:hint="eastAsia"/>
                <w:color w:val="auto"/>
                <w:kern w:val="2"/>
                <w:lang w:val="zh-TW"/>
              </w:rPr>
              <w:t>範圍</w:t>
            </w:r>
            <w:r w:rsidR="00BC1318" w:rsidRPr="00F24A73">
              <w:rPr>
                <w:rFonts w:ascii="標楷體" w:eastAsia="標楷體" w:hAnsi="標楷體" w:cs="Times New Roman" w:hint="eastAsia"/>
                <w:color w:val="auto"/>
                <w:kern w:val="2"/>
                <w:lang w:val="zh-TW"/>
              </w:rPr>
              <w:t>，</w:t>
            </w:r>
            <w:r w:rsidR="00C47DA6" w:rsidRPr="00F24A73">
              <w:rPr>
                <w:rFonts w:ascii="標楷體" w:eastAsia="標楷體" w:hAnsi="標楷體" w:cs="Times New Roman" w:hint="eastAsia"/>
                <w:color w:val="auto"/>
                <w:kern w:val="2"/>
                <w:lang w:val="zh-TW"/>
              </w:rPr>
              <w:t>另</w:t>
            </w:r>
            <w:r w:rsidR="00BC1318" w:rsidRPr="00F24A73">
              <w:rPr>
                <w:rFonts w:ascii="標楷體" w:eastAsia="標楷體" w:hAnsi="標楷體" w:cs="Times New Roman" w:hint="eastAsia"/>
                <w:color w:val="auto"/>
                <w:kern w:val="2"/>
                <w:lang w:val="zh-TW"/>
              </w:rPr>
              <w:t>參考</w:t>
            </w:r>
            <w:r w:rsidR="006237FA" w:rsidRPr="00F24A73">
              <w:rPr>
                <w:rFonts w:ascii="標楷體" w:eastAsia="標楷體" w:hAnsi="標楷體" w:cs="Times New Roman"/>
                <w:color w:val="auto"/>
                <w:kern w:val="2"/>
                <w:lang w:val="zh-TW"/>
              </w:rPr>
              <w:t>國際資本市場協會（ICMA）</w:t>
            </w:r>
            <w:r w:rsidR="006347AC" w:rsidRPr="00F24A73">
              <w:rPr>
                <w:rFonts w:ascii="標楷體" w:eastAsia="標楷體" w:hAnsi="標楷體" w:cs="Times New Roman" w:hint="eastAsia"/>
                <w:color w:val="auto"/>
                <w:kern w:val="2"/>
                <w:lang w:val="zh-TW"/>
              </w:rPr>
              <w:t>及氣候</w:t>
            </w:r>
            <w:r w:rsidR="00975B9F" w:rsidRPr="00F24A73">
              <w:rPr>
                <w:rFonts w:ascii="標楷體" w:eastAsia="標楷體" w:hAnsi="標楷體" w:cs="Times New Roman" w:hint="eastAsia"/>
                <w:color w:val="auto"/>
                <w:kern w:val="2"/>
                <w:lang w:val="zh-TW"/>
              </w:rPr>
              <w:t>債券</w:t>
            </w:r>
            <w:r w:rsidR="006347AC" w:rsidRPr="00F24A73">
              <w:rPr>
                <w:rFonts w:ascii="標楷體" w:eastAsia="標楷體" w:hAnsi="標楷體" w:cs="Times New Roman" w:hint="eastAsia"/>
                <w:color w:val="auto"/>
                <w:kern w:val="2"/>
                <w:lang w:val="zh-TW"/>
              </w:rPr>
              <w:t>倡議組織(CBI)</w:t>
            </w:r>
            <w:r w:rsidR="006237FA" w:rsidRPr="00F24A73">
              <w:rPr>
                <w:rFonts w:ascii="標楷體" w:eastAsia="標楷體" w:hAnsi="標楷體" w:cs="Times New Roman" w:hint="eastAsia"/>
                <w:color w:val="auto"/>
                <w:kern w:val="2"/>
                <w:lang w:val="zh-TW"/>
              </w:rPr>
              <w:t>所定</w:t>
            </w:r>
            <w:r w:rsidR="00BC1318" w:rsidRPr="00F24A73">
              <w:rPr>
                <w:rFonts w:ascii="標楷體" w:eastAsia="標楷體" w:hAnsi="標楷體" w:cs="Times New Roman" w:hint="eastAsia"/>
                <w:color w:val="auto"/>
                <w:kern w:val="2"/>
                <w:lang w:val="zh-TW"/>
              </w:rPr>
              <w:t>綠色項目</w:t>
            </w:r>
            <w:r w:rsidR="00F53065" w:rsidRPr="00F24A73">
              <w:rPr>
                <w:rFonts w:ascii="標楷體" w:eastAsia="標楷體" w:hAnsi="標楷體" w:cs="Times New Roman" w:hint="eastAsia"/>
                <w:color w:val="auto"/>
                <w:kern w:val="2"/>
                <w:lang w:val="zh-TW"/>
              </w:rPr>
              <w:t>之</w:t>
            </w:r>
            <w:r w:rsidR="00BC1318" w:rsidRPr="00F24A73">
              <w:rPr>
                <w:rFonts w:ascii="標楷體" w:eastAsia="標楷體" w:hAnsi="標楷體" w:cs="Times New Roman" w:hint="eastAsia"/>
                <w:color w:val="auto"/>
                <w:kern w:val="2"/>
                <w:lang w:val="zh-TW"/>
              </w:rPr>
              <w:t>範圍，訂定第</w:t>
            </w:r>
            <w:r w:rsidR="00C47DA6" w:rsidRPr="00F24A73">
              <w:rPr>
                <w:rFonts w:ascii="標楷體" w:eastAsia="標楷體" w:hAnsi="標楷體" w:cs="Times New Roman" w:hint="eastAsia"/>
                <w:color w:val="auto"/>
                <w:kern w:val="2"/>
                <w:lang w:val="zh-TW"/>
              </w:rPr>
              <w:t>七</w:t>
            </w:r>
            <w:r w:rsidR="00BC1318" w:rsidRPr="00F24A73">
              <w:rPr>
                <w:rFonts w:ascii="標楷體" w:eastAsia="標楷體" w:hAnsi="標楷體" w:cs="Times New Roman" w:hint="eastAsia"/>
                <w:color w:val="auto"/>
                <w:kern w:val="2"/>
                <w:lang w:val="zh-TW"/>
              </w:rPr>
              <w:t>款至第九款</w:t>
            </w:r>
            <w:r w:rsidR="00F53065" w:rsidRPr="00F24A73">
              <w:rPr>
                <w:rFonts w:ascii="標楷體" w:eastAsia="標楷體" w:hAnsi="標楷體" w:cs="Times New Roman" w:hint="eastAsia"/>
                <w:color w:val="auto"/>
                <w:kern w:val="2"/>
                <w:lang w:val="zh-TW"/>
              </w:rPr>
              <w:t>及</w:t>
            </w:r>
            <w:r w:rsidR="008A36E7" w:rsidRPr="00F24A73">
              <w:rPr>
                <w:rFonts w:ascii="標楷體" w:eastAsia="標楷體" w:hAnsi="標楷體" w:cs="Times New Roman" w:hint="eastAsia"/>
                <w:color w:val="auto"/>
                <w:kern w:val="2"/>
                <w:lang w:val="zh-TW"/>
              </w:rPr>
              <w:t>其他</w:t>
            </w:r>
            <w:r w:rsidR="00F53065" w:rsidRPr="00F24A73">
              <w:rPr>
                <w:rFonts w:ascii="標楷體" w:eastAsia="標楷體" w:hAnsi="標楷體" w:cs="Times New Roman" w:hint="eastAsia"/>
                <w:color w:val="auto"/>
                <w:kern w:val="2"/>
                <w:lang w:val="zh-TW"/>
              </w:rPr>
              <w:t>經本中心認可之綠色投資計畫範圍</w:t>
            </w:r>
            <w:r w:rsidR="00F578D5" w:rsidRPr="00F24A73">
              <w:rPr>
                <w:rFonts w:ascii="標楷體" w:eastAsia="標楷體" w:hAnsi="標楷體" w:cs="Times New Roman" w:hint="eastAsia"/>
                <w:color w:val="auto"/>
                <w:kern w:val="2"/>
                <w:lang w:val="zh-TW"/>
              </w:rPr>
              <w:t>，</w:t>
            </w:r>
            <w:r w:rsidR="00F53065" w:rsidRPr="00F24A73">
              <w:rPr>
                <w:rFonts w:ascii="標楷體" w:eastAsia="標楷體" w:hAnsi="標楷體" w:cs="Times New Roman" w:hint="eastAsia"/>
                <w:color w:val="auto"/>
                <w:kern w:val="2"/>
                <w:lang w:val="zh-TW"/>
              </w:rPr>
              <w:t>以資周延</w:t>
            </w:r>
            <w:r w:rsidR="002F0AA4" w:rsidRPr="00F24A73">
              <w:rPr>
                <w:rFonts w:ascii="標楷體" w:eastAsia="標楷體" w:hAnsi="標楷體" w:cs="Times New Roman" w:hint="eastAsia"/>
                <w:color w:val="auto"/>
                <w:kern w:val="2"/>
                <w:lang w:val="zh-TW"/>
              </w:rPr>
              <w:t>。</w:t>
            </w:r>
          </w:p>
          <w:p w:rsidR="00BC1318" w:rsidRPr="00F24A73" w:rsidRDefault="00BC1318" w:rsidP="004E2953">
            <w:pPr>
              <w:pStyle w:val="HTML"/>
              <w:numPr>
                <w:ilvl w:val="0"/>
                <w:numId w:val="41"/>
              </w:numPr>
              <w:tabs>
                <w:tab w:val="clear" w:pos="916"/>
                <w:tab w:val="left" w:pos="709"/>
              </w:tabs>
              <w:jc w:val="both"/>
              <w:rPr>
                <w:rFonts w:ascii="標楷體" w:eastAsia="標楷體" w:hAnsi="標楷體"/>
                <w:color w:val="auto"/>
                <w:lang w:val="zh-TW"/>
              </w:rPr>
            </w:pPr>
            <w:r w:rsidRPr="00F24A73">
              <w:rPr>
                <w:rFonts w:ascii="標楷體" w:eastAsia="標楷體" w:hAnsi="標楷體" w:cs="Times New Roman" w:hint="eastAsia"/>
                <w:color w:val="auto"/>
                <w:kern w:val="2"/>
                <w:lang w:val="zh-TW"/>
              </w:rPr>
              <w:t>為</w:t>
            </w:r>
            <w:r w:rsidR="00F578D5" w:rsidRPr="00F24A73">
              <w:rPr>
                <w:rFonts w:ascii="標楷體" w:eastAsia="標楷體" w:hAnsi="標楷體" w:cs="Times New Roman" w:hint="eastAsia"/>
                <w:color w:val="auto"/>
                <w:kern w:val="2"/>
                <w:lang w:val="zh-TW"/>
              </w:rPr>
              <w:t>客觀評估</w:t>
            </w:r>
            <w:r w:rsidR="00BA251E" w:rsidRPr="00F24A73">
              <w:rPr>
                <w:rFonts w:ascii="標楷體" w:eastAsia="標楷體" w:hAnsi="標楷體" w:cs="Times New Roman" w:hint="eastAsia"/>
                <w:color w:val="auto"/>
                <w:kern w:val="2"/>
                <w:lang w:val="zh-TW"/>
              </w:rPr>
              <w:t>發行人所</w:t>
            </w:r>
            <w:r w:rsidR="00F578D5" w:rsidRPr="00F24A73">
              <w:rPr>
                <w:rFonts w:ascii="標楷體" w:eastAsia="標楷體" w:hAnsi="標楷體" w:cs="Times New Roman" w:hint="eastAsia"/>
                <w:color w:val="auto"/>
                <w:kern w:val="2"/>
                <w:lang w:val="zh-TW"/>
              </w:rPr>
              <w:t>提</w:t>
            </w:r>
            <w:r w:rsidR="00BA251E" w:rsidRPr="00F24A73">
              <w:rPr>
                <w:rFonts w:ascii="標楷體" w:eastAsia="標楷體" w:hAnsi="標楷體" w:cs="Times New Roman" w:hint="eastAsia"/>
                <w:color w:val="auto"/>
                <w:kern w:val="2"/>
                <w:lang w:val="zh-TW"/>
              </w:rPr>
              <w:t>之綠色投資計畫</w:t>
            </w:r>
            <w:r w:rsidR="00F578D5" w:rsidRPr="00F24A73">
              <w:rPr>
                <w:rFonts w:ascii="標楷體" w:eastAsia="標楷體" w:hAnsi="標楷體" w:cs="Times New Roman" w:hint="eastAsia"/>
                <w:color w:val="auto"/>
                <w:kern w:val="2"/>
                <w:lang w:val="zh-TW"/>
              </w:rPr>
              <w:t>具實質改善環境</w:t>
            </w:r>
            <w:r w:rsidR="00C31F20" w:rsidRPr="00F24A73">
              <w:rPr>
                <w:rFonts w:ascii="標楷體" w:eastAsia="標楷體" w:hAnsi="標楷體" w:cs="Times New Roman" w:hint="eastAsia"/>
                <w:color w:val="auto"/>
                <w:kern w:val="2"/>
                <w:lang w:val="zh-TW"/>
              </w:rPr>
              <w:t>之</w:t>
            </w:r>
            <w:r w:rsidR="00F578D5" w:rsidRPr="00F24A73">
              <w:rPr>
                <w:rFonts w:ascii="標楷體" w:eastAsia="標楷體" w:hAnsi="標楷體" w:cs="Times New Roman" w:hint="eastAsia"/>
                <w:color w:val="auto"/>
                <w:kern w:val="2"/>
                <w:lang w:val="zh-TW"/>
              </w:rPr>
              <w:t>效益</w:t>
            </w:r>
            <w:r w:rsidR="00C31F20" w:rsidRPr="00F24A73">
              <w:rPr>
                <w:rFonts w:ascii="標楷體" w:eastAsia="標楷體" w:hAnsi="標楷體" w:cs="Times New Roman" w:hint="eastAsia"/>
                <w:color w:val="auto"/>
                <w:kern w:val="2"/>
                <w:lang w:val="zh-TW"/>
              </w:rPr>
              <w:t>，</w:t>
            </w:r>
            <w:proofErr w:type="gramStart"/>
            <w:r w:rsidR="00BA251E" w:rsidRPr="00F24A73">
              <w:rPr>
                <w:rFonts w:ascii="標楷體" w:eastAsia="標楷體" w:hAnsi="標楷體" w:cs="Times New Roman" w:hint="eastAsia"/>
                <w:color w:val="auto"/>
                <w:kern w:val="2"/>
                <w:lang w:val="zh-TW"/>
              </w:rPr>
              <w:t>爰</w:t>
            </w:r>
            <w:proofErr w:type="gramEnd"/>
            <w:r w:rsidR="00BA251E" w:rsidRPr="00F24A73">
              <w:rPr>
                <w:rFonts w:ascii="標楷體" w:eastAsia="標楷體" w:hAnsi="標楷體" w:cs="Times New Roman" w:hint="eastAsia"/>
                <w:color w:val="auto"/>
                <w:kern w:val="2"/>
                <w:lang w:val="zh-TW"/>
              </w:rPr>
              <w:t>訂定第二項</w:t>
            </w:r>
            <w:r w:rsidR="00C31F20" w:rsidRPr="00F24A73">
              <w:rPr>
                <w:rFonts w:ascii="標楷體" w:eastAsia="標楷體" w:hAnsi="標楷體" w:cs="Times New Roman" w:hint="eastAsia"/>
                <w:color w:val="auto"/>
                <w:kern w:val="2"/>
                <w:lang w:val="zh-TW"/>
              </w:rPr>
              <w:t>規定，</w:t>
            </w:r>
            <w:r w:rsidR="00BA251E" w:rsidRPr="00F24A73">
              <w:rPr>
                <w:rFonts w:ascii="標楷體" w:eastAsia="標楷體" w:hAnsi="標楷體" w:cs="Times New Roman" w:hint="eastAsia"/>
                <w:color w:val="auto"/>
                <w:kern w:val="2"/>
                <w:lang w:val="zh-TW"/>
              </w:rPr>
              <w:t>規範綠色投資計畫應經</w:t>
            </w:r>
            <w:r w:rsidR="00C31F20" w:rsidRPr="00F24A73">
              <w:rPr>
                <w:rFonts w:ascii="標楷體" w:eastAsia="標楷體" w:hAnsi="標楷體" w:cs="Times New Roman" w:hint="eastAsia"/>
                <w:color w:val="auto"/>
                <w:kern w:val="2"/>
                <w:lang w:val="zh-TW"/>
              </w:rPr>
              <w:t>政府機關</w:t>
            </w:r>
            <w:r w:rsidR="006347AC" w:rsidRPr="00F24A73">
              <w:rPr>
                <w:rFonts w:ascii="標楷體" w:eastAsia="標楷體" w:hAnsi="標楷體" w:cs="Times New Roman" w:hint="eastAsia"/>
                <w:color w:val="auto"/>
                <w:kern w:val="2"/>
                <w:lang w:val="zh-TW"/>
              </w:rPr>
              <w:t>出具證明文件</w:t>
            </w:r>
            <w:r w:rsidR="00C31F20" w:rsidRPr="00F24A73">
              <w:rPr>
                <w:rFonts w:ascii="標楷體" w:eastAsia="標楷體" w:hAnsi="標楷體" w:cs="Times New Roman" w:hint="eastAsia"/>
                <w:color w:val="auto"/>
                <w:kern w:val="2"/>
                <w:lang w:val="zh-TW"/>
              </w:rPr>
              <w:t>或</w:t>
            </w:r>
            <w:r w:rsidR="006347AC" w:rsidRPr="00F24A73">
              <w:rPr>
                <w:rFonts w:ascii="標楷體" w:eastAsia="標楷體" w:hAnsi="標楷體" w:cs="Times New Roman" w:hint="eastAsia"/>
                <w:color w:val="auto"/>
                <w:kern w:val="2"/>
                <w:lang w:val="zh-TW"/>
              </w:rPr>
              <w:t>由</w:t>
            </w:r>
            <w:r w:rsidR="00C31F20" w:rsidRPr="00F24A73">
              <w:rPr>
                <w:rFonts w:ascii="標楷體" w:eastAsia="標楷體" w:hAnsi="標楷體" w:cs="Times New Roman" w:hint="eastAsia"/>
                <w:color w:val="auto"/>
                <w:kern w:val="2"/>
                <w:lang w:val="zh-TW"/>
              </w:rPr>
              <w:t>國內外認證機構</w:t>
            </w:r>
            <w:r w:rsidR="00BA251E" w:rsidRPr="00F24A73">
              <w:rPr>
                <w:rFonts w:ascii="標楷體" w:eastAsia="標楷體" w:hAnsi="標楷體" w:cs="Times New Roman" w:hint="eastAsia"/>
                <w:color w:val="auto"/>
                <w:kern w:val="2"/>
                <w:lang w:val="zh-TW"/>
              </w:rPr>
              <w:t>出具評估意見</w:t>
            </w:r>
            <w:r w:rsidR="00953F83" w:rsidRPr="00F24A73">
              <w:rPr>
                <w:rFonts w:ascii="標楷體" w:eastAsia="標楷體" w:hAnsi="標楷體" w:cs="Times New Roman" w:hint="eastAsia"/>
                <w:color w:val="auto"/>
                <w:kern w:val="2"/>
                <w:lang w:val="zh-TW"/>
              </w:rPr>
              <w:t>或認證報告</w:t>
            </w:r>
            <w:r w:rsidR="00BA251E" w:rsidRPr="00F24A73">
              <w:rPr>
                <w:rFonts w:ascii="標楷體" w:eastAsia="標楷體" w:hAnsi="標楷體" w:cs="Times New Roman" w:hint="eastAsia"/>
                <w:color w:val="auto"/>
                <w:kern w:val="2"/>
                <w:lang w:val="zh-TW"/>
              </w:rPr>
              <w:t>。</w:t>
            </w:r>
          </w:p>
          <w:p w:rsidR="00D76087" w:rsidRPr="00F24A73" w:rsidRDefault="00BA251E" w:rsidP="004E2953">
            <w:pPr>
              <w:pStyle w:val="HTML"/>
              <w:numPr>
                <w:ilvl w:val="0"/>
                <w:numId w:val="41"/>
              </w:numPr>
              <w:tabs>
                <w:tab w:val="clear" w:pos="916"/>
                <w:tab w:val="left" w:pos="709"/>
              </w:tabs>
              <w:jc w:val="both"/>
              <w:rPr>
                <w:rFonts w:ascii="標楷體" w:eastAsia="標楷體" w:hAnsi="標楷體" w:cs="Times New Roman"/>
                <w:color w:val="auto"/>
                <w:kern w:val="2"/>
                <w:lang w:val="zh-TW"/>
              </w:rPr>
            </w:pPr>
            <w:r w:rsidRPr="00F24A73">
              <w:rPr>
                <w:rFonts w:ascii="標楷體" w:eastAsia="標楷體" w:hAnsi="標楷體" w:cs="Times New Roman" w:hint="eastAsia"/>
                <w:color w:val="auto"/>
                <w:kern w:val="2"/>
                <w:lang w:val="zh-TW"/>
              </w:rPr>
              <w:t>考量</w:t>
            </w:r>
            <w:r w:rsidR="00280388" w:rsidRPr="00F24A73">
              <w:rPr>
                <w:rFonts w:ascii="標楷體" w:eastAsia="標楷體" w:hAnsi="標楷體" w:cs="Times New Roman" w:hint="eastAsia"/>
                <w:color w:val="auto"/>
                <w:kern w:val="2"/>
                <w:lang w:val="zh-TW"/>
              </w:rPr>
              <w:t>本國銀行</w:t>
            </w:r>
            <w:r w:rsidR="005B35BB" w:rsidRPr="00F24A73">
              <w:rPr>
                <w:rFonts w:ascii="標楷體" w:eastAsia="標楷體" w:hAnsi="標楷體" w:cs="Times New Roman" w:hint="eastAsia"/>
                <w:color w:val="auto"/>
                <w:kern w:val="2"/>
                <w:lang w:val="zh-TW"/>
              </w:rPr>
              <w:t>所發</w:t>
            </w:r>
            <w:r w:rsidR="001233F6" w:rsidRPr="00F24A73">
              <w:rPr>
                <w:rFonts w:ascii="標楷體" w:eastAsia="標楷體" w:hAnsi="標楷體" w:cs="Times New Roman" w:hint="eastAsia"/>
                <w:color w:val="auto"/>
                <w:kern w:val="2"/>
                <w:lang w:val="zh-TW"/>
              </w:rPr>
              <w:t>行之</w:t>
            </w:r>
            <w:r w:rsidR="005B35BB" w:rsidRPr="00F24A73">
              <w:rPr>
                <w:rFonts w:ascii="標楷體" w:eastAsia="標楷體" w:hAnsi="標楷體" w:cs="Times New Roman" w:hint="eastAsia"/>
                <w:color w:val="auto"/>
                <w:kern w:val="2"/>
                <w:lang w:val="zh-TW"/>
              </w:rPr>
              <w:t>綠色債券(金融債券)</w:t>
            </w:r>
            <w:r w:rsidR="001233F6" w:rsidRPr="00F24A73">
              <w:rPr>
                <w:rFonts w:ascii="標楷體" w:eastAsia="標楷體" w:hAnsi="標楷體" w:cs="Times New Roman" w:hint="eastAsia"/>
                <w:color w:val="auto"/>
                <w:kern w:val="2"/>
                <w:lang w:val="zh-TW"/>
              </w:rPr>
              <w:t>，資金用途</w:t>
            </w:r>
            <w:r w:rsidR="005B35BB" w:rsidRPr="00F24A73">
              <w:rPr>
                <w:rFonts w:ascii="標楷體" w:eastAsia="標楷體" w:hAnsi="標楷體" w:cs="Times New Roman" w:hint="eastAsia"/>
                <w:color w:val="auto"/>
                <w:kern w:val="2"/>
                <w:lang w:val="zh-TW"/>
              </w:rPr>
              <w:t>係用於綠色投資計畫之放款，並未直接參與或申請綠色投資計畫，</w:t>
            </w:r>
            <w:proofErr w:type="gramStart"/>
            <w:r w:rsidR="00C31F20" w:rsidRPr="00F24A73">
              <w:rPr>
                <w:rFonts w:ascii="標楷體" w:eastAsia="標楷體" w:hAnsi="標楷體" w:cs="Times New Roman" w:hint="eastAsia"/>
                <w:color w:val="auto"/>
                <w:kern w:val="2"/>
                <w:lang w:val="zh-TW"/>
              </w:rPr>
              <w:t>爰</w:t>
            </w:r>
            <w:proofErr w:type="gramEnd"/>
            <w:r w:rsidR="00C31F20" w:rsidRPr="00F24A73">
              <w:rPr>
                <w:rFonts w:ascii="標楷體" w:eastAsia="標楷體" w:hAnsi="標楷體" w:cs="Times New Roman" w:hint="eastAsia"/>
                <w:color w:val="auto"/>
                <w:kern w:val="2"/>
                <w:lang w:val="zh-TW"/>
              </w:rPr>
              <w:t>訂定</w:t>
            </w:r>
            <w:r w:rsidR="00F417E6" w:rsidRPr="00F24A73">
              <w:rPr>
                <w:rFonts w:ascii="標楷體" w:eastAsia="標楷體" w:hAnsi="標楷體" w:cs="Times New Roman" w:hint="eastAsia"/>
                <w:color w:val="auto"/>
                <w:kern w:val="2"/>
                <w:lang w:val="zh-TW"/>
              </w:rPr>
              <w:t>其</w:t>
            </w:r>
            <w:r w:rsidR="00975B9F" w:rsidRPr="00F24A73">
              <w:rPr>
                <w:rFonts w:ascii="標楷體" w:eastAsia="標楷體" w:hAnsi="標楷體" w:cs="Times New Roman" w:hint="eastAsia"/>
                <w:color w:val="auto"/>
                <w:kern w:val="2"/>
                <w:lang w:val="zh-TW"/>
              </w:rPr>
              <w:t>得</w:t>
            </w:r>
            <w:r w:rsidR="00C31F20" w:rsidRPr="00F24A73">
              <w:rPr>
                <w:rFonts w:ascii="標楷體" w:eastAsia="標楷體" w:hAnsi="標楷體" w:cs="Times New Roman" w:hint="eastAsia"/>
                <w:color w:val="auto"/>
                <w:kern w:val="2"/>
                <w:lang w:val="zh-TW"/>
              </w:rPr>
              <w:t>依循國際金融市場慣例之綠色債券原則</w:t>
            </w:r>
            <w:r w:rsidR="00975B9F" w:rsidRPr="00F24A73">
              <w:rPr>
                <w:rFonts w:ascii="標楷體" w:eastAsia="標楷體" w:hAnsi="標楷體" w:hint="eastAsia"/>
                <w:color w:val="auto"/>
                <w:lang w:val="zh-TW"/>
              </w:rPr>
              <w:t>(如</w:t>
            </w:r>
            <w:r w:rsidR="00975B9F" w:rsidRPr="00F24A73">
              <w:rPr>
                <w:rFonts w:ascii="標楷體" w:eastAsia="標楷體" w:hAnsi="標楷體"/>
                <w:color w:val="auto"/>
                <w:lang w:val="zh-TW"/>
              </w:rPr>
              <w:t>國際資本市場協會（ICMA）</w:t>
            </w:r>
            <w:r w:rsidR="00975B9F" w:rsidRPr="00F24A73">
              <w:rPr>
                <w:rFonts w:ascii="標楷體" w:eastAsia="標楷體" w:hAnsi="標楷體" w:hint="eastAsia"/>
                <w:color w:val="auto"/>
                <w:lang w:val="zh-TW"/>
              </w:rPr>
              <w:t>所定之綠色債券原則</w:t>
            </w:r>
            <w:r w:rsidR="00974521" w:rsidRPr="00F24A73">
              <w:rPr>
                <w:rFonts w:ascii="標楷體" w:eastAsia="標楷體" w:hAnsi="標楷體" w:hint="eastAsia"/>
                <w:color w:val="auto"/>
                <w:lang w:val="zh-TW"/>
              </w:rPr>
              <w:t>，包括綠色投資計畫</w:t>
            </w:r>
            <w:r w:rsidR="00974521" w:rsidRPr="00F24A73">
              <w:rPr>
                <w:rFonts w:ascii="新細明體" w:eastAsia="新細明體" w:hAnsi="新細明體" w:hint="eastAsia"/>
                <w:color w:val="auto"/>
                <w:lang w:val="zh-TW"/>
              </w:rPr>
              <w:t>、</w:t>
            </w:r>
            <w:r w:rsidR="00974521" w:rsidRPr="00F24A73">
              <w:rPr>
                <w:rFonts w:ascii="標楷體" w:eastAsia="標楷體" w:hAnsi="標楷體" w:hint="eastAsia"/>
                <w:color w:val="auto"/>
                <w:lang w:val="zh-TW"/>
              </w:rPr>
              <w:t>計畫項目的評估與篩選流程，及環境持續性目標等原則)</w:t>
            </w:r>
            <w:r w:rsidR="00C31F20" w:rsidRPr="00F24A73">
              <w:rPr>
                <w:rFonts w:ascii="標楷體" w:eastAsia="標楷體" w:hAnsi="標楷體" w:cs="Times New Roman" w:hint="eastAsia"/>
                <w:color w:val="auto"/>
                <w:kern w:val="2"/>
                <w:lang w:val="zh-TW"/>
              </w:rPr>
              <w:t>，</w:t>
            </w:r>
            <w:r w:rsidR="006C1D80" w:rsidRPr="00F24A73">
              <w:rPr>
                <w:rFonts w:ascii="標楷體" w:eastAsia="標楷體" w:hAnsi="標楷體" w:cs="Times New Roman" w:hint="eastAsia"/>
                <w:color w:val="auto"/>
                <w:kern w:val="2"/>
                <w:lang w:val="zh-TW"/>
              </w:rPr>
              <w:t>自行</w:t>
            </w:r>
            <w:r w:rsidR="00C31F20" w:rsidRPr="00F24A73">
              <w:rPr>
                <w:rFonts w:ascii="標楷體" w:eastAsia="標楷體" w:hAnsi="標楷體" w:cs="Times New Roman" w:hint="eastAsia"/>
                <w:color w:val="auto"/>
                <w:kern w:val="2"/>
                <w:lang w:val="zh-TW"/>
              </w:rPr>
              <w:t>評估其綠色投資計畫</w:t>
            </w:r>
            <w:r w:rsidR="00F417E6" w:rsidRPr="00F24A73">
              <w:rPr>
                <w:rFonts w:ascii="標楷體" w:eastAsia="標楷體" w:hAnsi="標楷體" w:cs="Times New Roman" w:hint="eastAsia"/>
                <w:color w:val="auto"/>
                <w:kern w:val="2"/>
                <w:lang w:val="zh-TW"/>
              </w:rPr>
              <w:t>並出具評估意見，以</w:t>
            </w:r>
            <w:r w:rsidR="00975B9F" w:rsidRPr="00F24A73">
              <w:rPr>
                <w:rFonts w:ascii="標楷體" w:eastAsia="標楷體" w:hAnsi="標楷體" w:cs="Times New Roman" w:hint="eastAsia"/>
                <w:color w:val="auto"/>
                <w:kern w:val="2"/>
                <w:lang w:val="zh-TW"/>
              </w:rPr>
              <w:t>代替</w:t>
            </w:r>
            <w:r w:rsidR="00C31F20" w:rsidRPr="00F24A73">
              <w:rPr>
                <w:rFonts w:ascii="標楷體" w:eastAsia="標楷體" w:hAnsi="標楷體" w:cs="Times New Roman" w:hint="eastAsia"/>
                <w:color w:val="auto"/>
                <w:kern w:val="2"/>
                <w:lang w:val="zh-TW"/>
              </w:rPr>
              <w:t>外部機構</w:t>
            </w:r>
            <w:r w:rsidR="006C1D80" w:rsidRPr="00F24A73">
              <w:rPr>
                <w:rFonts w:ascii="標楷體" w:eastAsia="標楷體" w:hAnsi="標楷體" w:cs="Times New Roman" w:hint="eastAsia"/>
                <w:color w:val="auto"/>
                <w:kern w:val="2"/>
                <w:lang w:val="zh-TW"/>
              </w:rPr>
              <w:t>之</w:t>
            </w:r>
            <w:r w:rsidR="00C31F20" w:rsidRPr="00F24A73">
              <w:rPr>
                <w:rFonts w:ascii="標楷體" w:eastAsia="標楷體" w:hAnsi="標楷體" w:cs="Times New Roman" w:hint="eastAsia"/>
                <w:color w:val="auto"/>
                <w:kern w:val="2"/>
                <w:lang w:val="zh-TW"/>
              </w:rPr>
              <w:t>認證</w:t>
            </w:r>
            <w:r w:rsidR="00B26414" w:rsidRPr="00F24A73">
              <w:rPr>
                <w:rFonts w:ascii="標楷體" w:eastAsia="標楷體" w:hAnsi="標楷體" w:cs="Times New Roman" w:hint="eastAsia"/>
                <w:color w:val="auto"/>
                <w:kern w:val="2"/>
                <w:lang w:val="zh-TW"/>
              </w:rPr>
              <w:t>。</w:t>
            </w:r>
          </w:p>
          <w:p w:rsidR="00721635" w:rsidRPr="00F24A73" w:rsidRDefault="00975B9F" w:rsidP="004E2953">
            <w:pPr>
              <w:pStyle w:val="HTML"/>
              <w:numPr>
                <w:ilvl w:val="0"/>
                <w:numId w:val="41"/>
              </w:numPr>
              <w:tabs>
                <w:tab w:val="clear" w:pos="916"/>
                <w:tab w:val="left" w:pos="709"/>
              </w:tabs>
              <w:jc w:val="both"/>
              <w:rPr>
                <w:rFonts w:ascii="標楷體" w:eastAsia="標楷體" w:hAnsi="標楷體"/>
                <w:color w:val="auto"/>
                <w:lang w:val="zh-TW"/>
              </w:rPr>
            </w:pPr>
            <w:r w:rsidRPr="00F24A73">
              <w:rPr>
                <w:rFonts w:ascii="標楷體" w:eastAsia="標楷體" w:hAnsi="標楷體" w:cs="Times New Roman" w:hint="eastAsia"/>
                <w:color w:val="auto"/>
                <w:kern w:val="2"/>
                <w:lang w:val="zh-TW"/>
              </w:rPr>
              <w:t>考量</w:t>
            </w:r>
            <w:r w:rsidR="00721635" w:rsidRPr="00F24A73">
              <w:rPr>
                <w:rFonts w:ascii="標楷體" w:eastAsia="標楷體" w:hAnsi="標楷體" w:cs="Times New Roman" w:hint="eastAsia"/>
                <w:color w:val="auto"/>
                <w:kern w:val="2"/>
                <w:lang w:val="zh-TW"/>
              </w:rPr>
              <w:t>能源供應專業之</w:t>
            </w:r>
            <w:r w:rsidR="00BA251E" w:rsidRPr="00F24A73">
              <w:rPr>
                <w:rFonts w:ascii="標楷體" w:eastAsia="標楷體" w:hAnsi="標楷體" w:cs="Times New Roman" w:hint="eastAsia"/>
                <w:color w:val="auto"/>
                <w:kern w:val="2"/>
                <w:lang w:val="zh-TW"/>
              </w:rPr>
              <w:t>國營事業</w:t>
            </w:r>
            <w:r w:rsidR="00721635" w:rsidRPr="00F24A73">
              <w:rPr>
                <w:rFonts w:ascii="標楷體" w:eastAsia="標楷體" w:hAnsi="標楷體" w:cs="Times New Roman" w:hint="eastAsia"/>
                <w:color w:val="auto"/>
                <w:kern w:val="2"/>
                <w:lang w:val="zh-TW"/>
              </w:rPr>
              <w:t>，</w:t>
            </w:r>
            <w:r w:rsidRPr="00F24A73">
              <w:rPr>
                <w:rFonts w:ascii="標楷體" w:eastAsia="標楷體" w:hAnsi="標楷體" w:cs="Times New Roman" w:hint="eastAsia"/>
                <w:color w:val="auto"/>
                <w:kern w:val="2"/>
                <w:lang w:val="zh-TW"/>
              </w:rPr>
              <w:t>已</w:t>
            </w:r>
            <w:r w:rsidR="006237FA" w:rsidRPr="00F24A73">
              <w:rPr>
                <w:rFonts w:ascii="標楷體" w:eastAsia="標楷體" w:hAnsi="標楷體" w:cs="Times New Roman" w:hint="eastAsia"/>
                <w:color w:val="auto"/>
                <w:kern w:val="2"/>
                <w:lang w:val="zh-TW"/>
              </w:rPr>
              <w:t>具備多元化能源</w:t>
            </w:r>
            <w:r w:rsidR="00DD6B09" w:rsidRPr="00F24A73">
              <w:rPr>
                <w:rFonts w:ascii="標楷體" w:eastAsia="標楷體" w:hAnsi="標楷體" w:cs="Times New Roman" w:hint="eastAsia"/>
                <w:color w:val="auto"/>
                <w:kern w:val="2"/>
                <w:lang w:val="zh-TW"/>
              </w:rPr>
              <w:t>及綠色</w:t>
            </w:r>
            <w:r w:rsidR="00A2568B" w:rsidRPr="00F24A73">
              <w:rPr>
                <w:rFonts w:ascii="標楷體" w:eastAsia="標楷體" w:hAnsi="標楷體" w:cs="Times New Roman" w:hint="eastAsia"/>
                <w:color w:val="auto"/>
                <w:kern w:val="2"/>
                <w:lang w:val="zh-TW"/>
              </w:rPr>
              <w:t>能源</w:t>
            </w:r>
            <w:r w:rsidR="00DD6B09" w:rsidRPr="00F24A73">
              <w:rPr>
                <w:rFonts w:ascii="標楷體" w:eastAsia="標楷體" w:hAnsi="標楷體" w:cs="Times New Roman" w:hint="eastAsia"/>
                <w:color w:val="auto"/>
                <w:kern w:val="2"/>
                <w:lang w:val="zh-TW"/>
              </w:rPr>
              <w:t>相關</w:t>
            </w:r>
            <w:r w:rsidR="00A2568B" w:rsidRPr="00F24A73">
              <w:rPr>
                <w:rFonts w:ascii="標楷體" w:eastAsia="標楷體" w:hAnsi="標楷體" w:cs="Times New Roman" w:hint="eastAsia"/>
                <w:color w:val="auto"/>
                <w:kern w:val="2"/>
                <w:lang w:val="zh-TW"/>
              </w:rPr>
              <w:t>科技</w:t>
            </w:r>
            <w:r w:rsidR="00DD6B09" w:rsidRPr="00F24A73">
              <w:rPr>
                <w:rFonts w:ascii="標楷體" w:eastAsia="標楷體" w:hAnsi="標楷體" w:cs="Times New Roman" w:hint="eastAsia"/>
                <w:color w:val="auto"/>
                <w:kern w:val="2"/>
                <w:lang w:val="zh-TW"/>
              </w:rPr>
              <w:t>之</w:t>
            </w:r>
            <w:r w:rsidR="006237FA" w:rsidRPr="00F24A73">
              <w:rPr>
                <w:rFonts w:ascii="標楷體" w:eastAsia="標楷體" w:hAnsi="標楷體" w:cs="Times New Roman" w:hint="eastAsia"/>
                <w:color w:val="auto"/>
                <w:kern w:val="2"/>
                <w:lang w:val="zh-TW"/>
              </w:rPr>
              <w:t>專業知識</w:t>
            </w:r>
            <w:r w:rsidR="00DD6B09" w:rsidRPr="00F24A73">
              <w:rPr>
                <w:rFonts w:ascii="標楷體" w:eastAsia="標楷體" w:hAnsi="標楷體" w:cs="Times New Roman" w:hint="eastAsia"/>
                <w:color w:val="auto"/>
                <w:kern w:val="2"/>
                <w:lang w:val="zh-TW"/>
              </w:rPr>
              <w:t>與</w:t>
            </w:r>
            <w:r w:rsidR="006237FA" w:rsidRPr="00F24A73">
              <w:rPr>
                <w:rFonts w:ascii="標楷體" w:eastAsia="標楷體" w:hAnsi="標楷體" w:cs="Times New Roman" w:hint="eastAsia"/>
                <w:color w:val="auto"/>
                <w:kern w:val="2"/>
                <w:lang w:val="zh-TW"/>
              </w:rPr>
              <w:t>技能，</w:t>
            </w:r>
            <w:r w:rsidR="000954FB" w:rsidRPr="00F24A73">
              <w:rPr>
                <w:rFonts w:ascii="標楷體" w:eastAsia="標楷體" w:hAnsi="標楷體" w:cs="Times New Roman" w:hint="eastAsia"/>
                <w:color w:val="auto"/>
                <w:kern w:val="2"/>
                <w:lang w:val="zh-TW"/>
              </w:rPr>
              <w:t>且</w:t>
            </w:r>
            <w:r w:rsidR="00721635" w:rsidRPr="00F24A73">
              <w:rPr>
                <w:rFonts w:ascii="標楷體" w:eastAsia="標楷體" w:hAnsi="標楷體" w:cs="Times New Roman" w:hint="eastAsia"/>
                <w:color w:val="auto"/>
                <w:kern w:val="2"/>
                <w:lang w:val="zh-TW"/>
              </w:rPr>
              <w:t>其</w:t>
            </w:r>
            <w:r w:rsidR="00C47DA6" w:rsidRPr="00F24A73">
              <w:rPr>
                <w:rFonts w:ascii="標楷體" w:eastAsia="標楷體" w:hAnsi="標楷體" w:cs="Times New Roman" w:hint="eastAsia"/>
                <w:color w:val="auto"/>
                <w:kern w:val="2"/>
                <w:lang w:val="zh-TW"/>
              </w:rPr>
              <w:t>預算支出係為</w:t>
            </w:r>
            <w:r w:rsidR="00C15B12" w:rsidRPr="00F24A73">
              <w:rPr>
                <w:rFonts w:ascii="標楷體" w:eastAsia="標楷體" w:hAnsi="標楷體" w:cs="Times New Roman" w:hint="eastAsia"/>
                <w:color w:val="auto"/>
                <w:kern w:val="2"/>
                <w:lang w:val="zh-TW"/>
              </w:rPr>
              <w:t>配合政府</w:t>
            </w:r>
            <w:r w:rsidR="00C47DA6" w:rsidRPr="00F24A73">
              <w:rPr>
                <w:rFonts w:ascii="標楷體" w:eastAsia="標楷體" w:hAnsi="標楷體" w:cs="Times New Roman" w:hint="eastAsia"/>
                <w:color w:val="auto"/>
                <w:kern w:val="2"/>
                <w:lang w:val="zh-TW"/>
              </w:rPr>
              <w:t>施</w:t>
            </w:r>
            <w:r w:rsidR="00C15B12" w:rsidRPr="00F24A73">
              <w:rPr>
                <w:rFonts w:ascii="標楷體" w:eastAsia="標楷體" w:hAnsi="標楷體" w:cs="Times New Roman" w:hint="eastAsia"/>
                <w:color w:val="auto"/>
                <w:kern w:val="2"/>
                <w:lang w:val="zh-TW"/>
              </w:rPr>
              <w:t>政</w:t>
            </w:r>
            <w:r w:rsidR="00C47DA6" w:rsidRPr="00F24A73">
              <w:rPr>
                <w:rFonts w:ascii="標楷體" w:eastAsia="標楷體" w:hAnsi="標楷體" w:cs="Times New Roman" w:hint="eastAsia"/>
                <w:color w:val="auto"/>
                <w:kern w:val="2"/>
                <w:lang w:val="zh-TW"/>
              </w:rPr>
              <w:t>計畫</w:t>
            </w:r>
            <w:r w:rsidR="00A2568B" w:rsidRPr="00F24A73">
              <w:rPr>
                <w:rFonts w:ascii="標楷體" w:eastAsia="標楷體" w:hAnsi="標楷體" w:cs="Times New Roman" w:hint="eastAsia"/>
                <w:color w:val="auto"/>
                <w:kern w:val="2"/>
                <w:lang w:val="zh-TW"/>
              </w:rPr>
              <w:t>而訂定</w:t>
            </w:r>
            <w:r w:rsidR="00865F8A" w:rsidRPr="00F24A73">
              <w:rPr>
                <w:rFonts w:ascii="標楷體" w:eastAsia="標楷體" w:hAnsi="標楷體" w:cs="Times New Roman" w:hint="eastAsia"/>
                <w:color w:val="auto"/>
                <w:kern w:val="2"/>
                <w:lang w:val="zh-TW"/>
              </w:rPr>
              <w:t>，</w:t>
            </w:r>
            <w:r w:rsidR="007A5104" w:rsidRPr="00F24A73">
              <w:rPr>
                <w:rFonts w:ascii="標楷體" w:eastAsia="標楷體" w:hAnsi="標楷體" w:cs="Times New Roman" w:hint="eastAsia"/>
                <w:color w:val="auto"/>
                <w:kern w:val="2"/>
                <w:lang w:val="zh-TW"/>
              </w:rPr>
              <w:t>另其</w:t>
            </w:r>
            <w:r w:rsidR="000954FB" w:rsidRPr="00F24A73">
              <w:rPr>
                <w:rFonts w:ascii="標楷體" w:eastAsia="標楷體" w:hAnsi="標楷體" w:cs="Times New Roman" w:hint="eastAsia"/>
                <w:color w:val="auto"/>
                <w:kern w:val="2"/>
                <w:lang w:val="zh-TW"/>
              </w:rPr>
              <w:t>資本</w:t>
            </w:r>
            <w:r w:rsidR="00246A8A" w:rsidRPr="00F24A73">
              <w:rPr>
                <w:rFonts w:ascii="標楷體" w:eastAsia="標楷體" w:hAnsi="標楷體" w:cs="Times New Roman" w:hint="eastAsia"/>
                <w:color w:val="auto"/>
                <w:kern w:val="2"/>
                <w:lang w:val="zh-TW"/>
              </w:rPr>
              <w:t>支出與公司債</w:t>
            </w:r>
            <w:r w:rsidR="00FB74C5" w:rsidRPr="00F24A73">
              <w:rPr>
                <w:rFonts w:ascii="標楷體" w:eastAsia="標楷體" w:hAnsi="標楷體" w:cs="Times New Roman" w:hint="eastAsia"/>
                <w:color w:val="auto"/>
                <w:kern w:val="2"/>
                <w:lang w:val="zh-TW"/>
              </w:rPr>
              <w:t>發行</w:t>
            </w:r>
            <w:r w:rsidR="00246A8A" w:rsidRPr="00F24A73">
              <w:rPr>
                <w:rFonts w:ascii="標楷體" w:eastAsia="標楷體" w:hAnsi="標楷體" w:cs="Times New Roman" w:hint="eastAsia"/>
                <w:color w:val="auto"/>
                <w:kern w:val="2"/>
                <w:lang w:val="zh-TW"/>
              </w:rPr>
              <w:t>皆</w:t>
            </w:r>
            <w:r w:rsidR="00D76087" w:rsidRPr="00F24A73">
              <w:rPr>
                <w:rFonts w:ascii="標楷體" w:eastAsia="標楷體" w:hAnsi="標楷體" w:cs="Times New Roman" w:hint="eastAsia"/>
                <w:color w:val="auto"/>
                <w:kern w:val="2"/>
                <w:lang w:val="zh-TW"/>
              </w:rPr>
              <w:t>須</w:t>
            </w:r>
            <w:r w:rsidR="00C15B12" w:rsidRPr="00F24A73">
              <w:rPr>
                <w:rFonts w:ascii="標楷體" w:eastAsia="標楷體" w:hAnsi="標楷體" w:cs="Times New Roman" w:hint="eastAsia"/>
                <w:color w:val="auto"/>
                <w:kern w:val="2"/>
                <w:lang w:val="zh-TW"/>
              </w:rPr>
              <w:t>依國營事業</w:t>
            </w:r>
            <w:proofErr w:type="gramStart"/>
            <w:r w:rsidR="00C15B12" w:rsidRPr="00F24A73">
              <w:rPr>
                <w:rFonts w:ascii="標楷體" w:eastAsia="標楷體" w:hAnsi="標楷體" w:cs="Times New Roman" w:hint="eastAsia"/>
                <w:color w:val="auto"/>
                <w:kern w:val="2"/>
                <w:lang w:val="zh-TW"/>
              </w:rPr>
              <w:t>管理法</w:t>
            </w:r>
            <w:r w:rsidR="00D76087" w:rsidRPr="00F24A73">
              <w:rPr>
                <w:rFonts w:ascii="標楷體" w:eastAsia="標楷體" w:hAnsi="標楷體" w:cs="Times New Roman" w:hint="eastAsia"/>
                <w:color w:val="auto"/>
                <w:kern w:val="2"/>
                <w:lang w:val="zh-TW"/>
              </w:rPr>
              <w:t>經</w:t>
            </w:r>
            <w:r w:rsidR="00246A8A" w:rsidRPr="00F24A73">
              <w:rPr>
                <w:rFonts w:ascii="標楷體" w:eastAsia="標楷體" w:hAnsi="標楷體" w:cs="Times New Roman" w:hint="eastAsia"/>
                <w:color w:val="auto"/>
                <w:kern w:val="2"/>
                <w:lang w:val="zh-TW"/>
              </w:rPr>
              <w:t>行政院</w:t>
            </w:r>
            <w:proofErr w:type="gramEnd"/>
            <w:r w:rsidR="00246A8A" w:rsidRPr="00F24A73">
              <w:rPr>
                <w:rFonts w:ascii="標楷體" w:eastAsia="標楷體" w:hAnsi="標楷體" w:cs="Times New Roman" w:hint="eastAsia"/>
                <w:color w:val="auto"/>
                <w:kern w:val="2"/>
                <w:lang w:val="zh-TW"/>
              </w:rPr>
              <w:t>或</w:t>
            </w:r>
            <w:r w:rsidR="00D76087" w:rsidRPr="00F24A73">
              <w:rPr>
                <w:rFonts w:ascii="標楷體" w:eastAsia="標楷體" w:hAnsi="標楷體" w:cs="Times New Roman" w:hint="eastAsia"/>
                <w:color w:val="auto"/>
                <w:kern w:val="2"/>
                <w:lang w:val="zh-TW"/>
              </w:rPr>
              <w:t>立法院審議通</w:t>
            </w:r>
            <w:r w:rsidR="0060219D" w:rsidRPr="00F24A73">
              <w:rPr>
                <w:rFonts w:ascii="標楷體" w:eastAsia="標楷體" w:hAnsi="標楷體" w:cs="Times New Roman" w:hint="eastAsia"/>
                <w:color w:val="auto"/>
                <w:kern w:val="2"/>
                <w:lang w:val="zh-TW"/>
              </w:rPr>
              <w:t>過</w:t>
            </w:r>
            <w:r w:rsidR="00D76087" w:rsidRPr="00F24A73">
              <w:rPr>
                <w:rFonts w:ascii="標楷體" w:eastAsia="標楷體" w:hAnsi="標楷體" w:cs="Times New Roman" w:hint="eastAsia"/>
                <w:color w:val="auto"/>
                <w:kern w:val="2"/>
                <w:lang w:val="zh-TW"/>
              </w:rPr>
              <w:t>，</w:t>
            </w:r>
            <w:proofErr w:type="gramStart"/>
            <w:r w:rsidR="00F417E6" w:rsidRPr="00F24A73">
              <w:rPr>
                <w:rFonts w:ascii="標楷體" w:eastAsia="標楷體" w:hAnsi="標楷體" w:cs="Times New Roman" w:hint="eastAsia"/>
                <w:color w:val="auto"/>
                <w:kern w:val="2"/>
                <w:lang w:val="zh-TW"/>
              </w:rPr>
              <w:t>爰</w:t>
            </w:r>
            <w:proofErr w:type="gramEnd"/>
            <w:r w:rsidR="00F417E6" w:rsidRPr="00F24A73">
              <w:rPr>
                <w:rFonts w:ascii="標楷體" w:eastAsia="標楷體" w:hAnsi="標楷體" w:cs="Times New Roman" w:hint="eastAsia"/>
                <w:color w:val="auto"/>
                <w:kern w:val="2"/>
                <w:lang w:val="zh-TW"/>
              </w:rPr>
              <w:t>規範</w:t>
            </w:r>
            <w:r w:rsidR="002C40F1" w:rsidRPr="00F24A73">
              <w:rPr>
                <w:rFonts w:ascii="標楷體" w:eastAsia="標楷體" w:hAnsi="標楷體" w:cs="Times New Roman" w:hint="eastAsia"/>
                <w:color w:val="auto"/>
                <w:kern w:val="2"/>
                <w:lang w:val="zh-TW"/>
              </w:rPr>
              <w:t>其得檢附相關預算案等書件，</w:t>
            </w:r>
            <w:r w:rsidRPr="00F24A73">
              <w:rPr>
                <w:rFonts w:ascii="標楷體" w:eastAsia="標楷體" w:hAnsi="標楷體" w:cs="Times New Roman" w:hint="eastAsia"/>
                <w:color w:val="auto"/>
                <w:kern w:val="2"/>
                <w:lang w:val="zh-TW"/>
              </w:rPr>
              <w:t>依循國際金融市場慣例之綠色債券原則</w:t>
            </w:r>
            <w:r w:rsidRPr="00F24A73">
              <w:rPr>
                <w:rFonts w:ascii="標楷體" w:eastAsia="標楷體" w:hAnsi="標楷體" w:hint="eastAsia"/>
                <w:color w:val="auto"/>
                <w:lang w:val="zh-TW"/>
              </w:rPr>
              <w:t>(如</w:t>
            </w:r>
            <w:r w:rsidRPr="00F24A73">
              <w:rPr>
                <w:rFonts w:ascii="標楷體" w:eastAsia="標楷體" w:hAnsi="標楷體"/>
                <w:color w:val="auto"/>
                <w:lang w:val="zh-TW"/>
              </w:rPr>
              <w:t>國際資本市場協會（ICMA）</w:t>
            </w:r>
            <w:r w:rsidRPr="00F24A73">
              <w:rPr>
                <w:rFonts w:ascii="標楷體" w:eastAsia="標楷體" w:hAnsi="標楷體" w:hint="eastAsia"/>
                <w:color w:val="auto"/>
                <w:lang w:val="zh-TW"/>
              </w:rPr>
              <w:t>所定之綠色債券原則</w:t>
            </w:r>
            <w:r w:rsidR="003F0F85" w:rsidRPr="00F24A73">
              <w:rPr>
                <w:rFonts w:ascii="標楷體" w:eastAsia="標楷體" w:hAnsi="標楷體" w:hint="eastAsia"/>
                <w:color w:val="auto"/>
                <w:lang w:val="zh-TW"/>
              </w:rPr>
              <w:t>，包括綠色投資計畫</w:t>
            </w:r>
            <w:r w:rsidR="003F0F85" w:rsidRPr="00F24A73">
              <w:rPr>
                <w:rFonts w:ascii="新細明體" w:eastAsia="新細明體" w:hAnsi="新細明體" w:hint="eastAsia"/>
                <w:color w:val="auto"/>
                <w:lang w:val="zh-TW"/>
              </w:rPr>
              <w:t>、</w:t>
            </w:r>
            <w:r w:rsidR="003F0F85" w:rsidRPr="00F24A73">
              <w:rPr>
                <w:rFonts w:ascii="標楷體" w:eastAsia="標楷體" w:hAnsi="標楷體" w:hint="eastAsia"/>
                <w:color w:val="auto"/>
                <w:lang w:val="zh-TW"/>
              </w:rPr>
              <w:t>計畫項目的評估與篩選流程，及環境持續性目標等原則</w:t>
            </w:r>
            <w:r w:rsidRPr="00F24A73">
              <w:rPr>
                <w:rFonts w:ascii="標楷體" w:eastAsia="標楷體" w:hAnsi="標楷體" w:hint="eastAsia"/>
                <w:color w:val="auto"/>
                <w:lang w:val="zh-TW"/>
              </w:rPr>
              <w:t>)</w:t>
            </w:r>
            <w:r w:rsidR="002C40F1" w:rsidRPr="00F24A73">
              <w:rPr>
                <w:rFonts w:ascii="標楷體" w:eastAsia="標楷體" w:hAnsi="標楷體" w:hint="eastAsia"/>
                <w:color w:val="auto"/>
                <w:lang w:val="zh-TW"/>
              </w:rPr>
              <w:t>，</w:t>
            </w:r>
            <w:r w:rsidRPr="00F24A73">
              <w:rPr>
                <w:rFonts w:ascii="標楷體" w:eastAsia="標楷體" w:hAnsi="標楷體" w:cs="Times New Roman" w:hint="eastAsia"/>
                <w:color w:val="auto"/>
                <w:kern w:val="2"/>
                <w:lang w:val="zh-TW"/>
              </w:rPr>
              <w:t>自行</w:t>
            </w:r>
            <w:r w:rsidR="008A36E7" w:rsidRPr="00F24A73">
              <w:rPr>
                <w:rFonts w:ascii="標楷體" w:eastAsia="標楷體" w:hAnsi="標楷體" w:cs="Times New Roman" w:hint="eastAsia"/>
                <w:color w:val="auto"/>
                <w:kern w:val="2"/>
                <w:lang w:val="zh-TW"/>
              </w:rPr>
              <w:t>評估其綠色投資計畫並</w:t>
            </w:r>
            <w:r w:rsidR="00F417E6" w:rsidRPr="00F24A73">
              <w:rPr>
                <w:rFonts w:ascii="標楷體" w:eastAsia="標楷體" w:hAnsi="標楷體" w:cs="Times New Roman" w:hint="eastAsia"/>
                <w:color w:val="auto"/>
                <w:kern w:val="2"/>
                <w:lang w:val="zh-TW"/>
              </w:rPr>
              <w:t>出具</w:t>
            </w:r>
            <w:r w:rsidRPr="00F24A73">
              <w:rPr>
                <w:rFonts w:ascii="標楷體" w:eastAsia="標楷體" w:hAnsi="標楷體" w:cs="Times New Roman" w:hint="eastAsia"/>
                <w:color w:val="auto"/>
                <w:kern w:val="2"/>
                <w:lang w:val="zh-TW"/>
              </w:rPr>
              <w:t>評估</w:t>
            </w:r>
            <w:r w:rsidR="00F417E6" w:rsidRPr="00F24A73">
              <w:rPr>
                <w:rFonts w:ascii="標楷體" w:eastAsia="標楷體" w:hAnsi="標楷體" w:cs="Times New Roman" w:hint="eastAsia"/>
                <w:color w:val="auto"/>
                <w:kern w:val="2"/>
                <w:lang w:val="zh-TW"/>
              </w:rPr>
              <w:t>意見，以</w:t>
            </w:r>
            <w:r w:rsidRPr="00F24A73">
              <w:rPr>
                <w:rFonts w:ascii="標楷體" w:eastAsia="標楷體" w:hAnsi="標楷體" w:cs="Times New Roman" w:hint="eastAsia"/>
                <w:color w:val="auto"/>
                <w:kern w:val="2"/>
                <w:lang w:val="zh-TW"/>
              </w:rPr>
              <w:t>代替外部機構之認證。</w:t>
            </w:r>
          </w:p>
          <w:p w:rsidR="00552C34" w:rsidRPr="00F24A73" w:rsidRDefault="00552C34" w:rsidP="004E2953">
            <w:pPr>
              <w:pStyle w:val="HTML"/>
              <w:numPr>
                <w:ilvl w:val="0"/>
                <w:numId w:val="41"/>
              </w:numPr>
              <w:tabs>
                <w:tab w:val="clear" w:pos="916"/>
                <w:tab w:val="left" w:pos="709"/>
              </w:tabs>
              <w:jc w:val="both"/>
              <w:rPr>
                <w:rFonts w:ascii="標楷體" w:eastAsia="標楷體" w:hAnsi="標楷體"/>
                <w:color w:val="auto"/>
                <w:lang w:val="zh-TW"/>
              </w:rPr>
            </w:pPr>
            <w:r w:rsidRPr="00F24A73">
              <w:rPr>
                <w:rFonts w:ascii="標楷體" w:eastAsia="標楷體" w:hAnsi="標楷體" w:cs="Times New Roman" w:hint="eastAsia"/>
                <w:color w:val="auto"/>
                <w:kern w:val="2"/>
                <w:lang w:val="zh-TW"/>
              </w:rPr>
              <w:lastRenderedPageBreak/>
              <w:t>明定具能源供應專業之事業者，係指能源管理法第四條規定之能源供應事業。</w:t>
            </w:r>
            <w:r w:rsidR="00975B9F" w:rsidRPr="00F24A73">
              <w:rPr>
                <w:rFonts w:ascii="標楷體" w:eastAsia="標楷體" w:hAnsi="標楷體" w:cs="Times New Roman" w:hint="eastAsia"/>
                <w:color w:val="auto"/>
                <w:kern w:val="2"/>
                <w:lang w:val="zh-TW"/>
              </w:rPr>
              <w:t>(目前符合能源供應事業之國營事業包含台電與中油)</w:t>
            </w: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1023F8" w:rsidRPr="00F24A73" w:rsidRDefault="001023F8" w:rsidP="001023F8">
            <w:pPr>
              <w:jc w:val="both"/>
              <w:rPr>
                <w:rFonts w:ascii="標楷體" w:eastAsia="標楷體" w:hAnsi="標楷體"/>
                <w:szCs w:val="24"/>
              </w:rPr>
            </w:pPr>
            <w:r w:rsidRPr="00F24A73">
              <w:rPr>
                <w:rFonts w:ascii="標楷體" w:eastAsia="標楷體" w:hAnsi="標楷體" w:hint="eastAsia"/>
                <w:szCs w:val="24"/>
              </w:rPr>
              <w:lastRenderedPageBreak/>
              <w:t>第</w:t>
            </w:r>
            <w:r w:rsidR="00154E20" w:rsidRPr="00F24A73">
              <w:rPr>
                <w:rFonts w:ascii="標楷體" w:eastAsia="標楷體" w:hAnsi="標楷體" w:hint="eastAsia"/>
                <w:szCs w:val="24"/>
              </w:rPr>
              <w:t>六</w:t>
            </w:r>
            <w:r w:rsidRPr="00F24A73">
              <w:rPr>
                <w:rFonts w:ascii="標楷體" w:eastAsia="標楷體" w:hAnsi="標楷體" w:hint="eastAsia"/>
                <w:szCs w:val="24"/>
              </w:rPr>
              <w:t>條</w:t>
            </w:r>
          </w:p>
          <w:p w:rsidR="001023F8" w:rsidRPr="00F24A73" w:rsidRDefault="001023F8" w:rsidP="001023F8">
            <w:pPr>
              <w:jc w:val="both"/>
              <w:rPr>
                <w:rFonts w:ascii="標楷體" w:eastAsia="標楷體" w:hAnsi="標楷體"/>
                <w:szCs w:val="24"/>
              </w:rPr>
            </w:pPr>
            <w:r w:rsidRPr="00F24A73">
              <w:rPr>
                <w:rFonts w:ascii="標楷體" w:eastAsia="標楷體" w:hAnsi="標楷體" w:hint="eastAsia"/>
                <w:szCs w:val="24"/>
              </w:rPr>
              <w:t xml:space="preserve">    本作業要點所稱認證機構，係指</w:t>
            </w:r>
            <w:r w:rsidR="00757A25" w:rsidRPr="00F24A73">
              <w:rPr>
                <w:rFonts w:ascii="標楷體" w:eastAsia="標楷體" w:hAnsi="標楷體" w:hint="eastAsia"/>
                <w:szCs w:val="24"/>
              </w:rPr>
              <w:t>依</w:t>
            </w:r>
            <w:r w:rsidR="00757A25" w:rsidRPr="00F24A73">
              <w:rPr>
                <w:rFonts w:ascii="標楷體" w:eastAsia="標楷體" w:hAnsi="標楷體" w:hint="eastAsia"/>
                <w:lang w:val="zh-TW"/>
              </w:rPr>
              <w:t>國際金融市場慣例或國內實務狀況</w:t>
            </w:r>
            <w:r w:rsidRPr="00F24A73">
              <w:rPr>
                <w:rFonts w:ascii="標楷體" w:eastAsia="標楷體" w:hAnsi="標楷體" w:hint="eastAsia"/>
                <w:szCs w:val="24"/>
              </w:rPr>
              <w:t>，具備</w:t>
            </w:r>
            <w:r w:rsidR="00C31F20" w:rsidRPr="00F24A73">
              <w:rPr>
                <w:rFonts w:ascii="標楷體" w:eastAsia="標楷體" w:hAnsi="標楷體" w:hint="eastAsia"/>
                <w:szCs w:val="24"/>
              </w:rPr>
              <w:t>評估或</w:t>
            </w:r>
            <w:r w:rsidRPr="00F24A73">
              <w:rPr>
                <w:rFonts w:ascii="標楷體" w:eastAsia="標楷體" w:hAnsi="標楷體" w:hint="eastAsia"/>
                <w:szCs w:val="24"/>
              </w:rPr>
              <w:t>認證綠色投資計畫</w:t>
            </w:r>
            <w:r w:rsidRPr="00F24A73">
              <w:rPr>
                <w:rFonts w:ascii="新細明體" w:hAnsi="新細明體" w:hint="eastAsia"/>
                <w:szCs w:val="24"/>
              </w:rPr>
              <w:t>、</w:t>
            </w:r>
            <w:r w:rsidRPr="00F24A73">
              <w:rPr>
                <w:rFonts w:ascii="標楷體" w:eastAsia="標楷體" w:hAnsi="標楷體" w:hint="eastAsia"/>
                <w:szCs w:val="24"/>
              </w:rPr>
              <w:t>資金運用計畫或資金運用情形</w:t>
            </w:r>
            <w:r w:rsidR="00C31F20" w:rsidRPr="00F24A73">
              <w:rPr>
                <w:rFonts w:ascii="標楷體" w:eastAsia="標楷體" w:hAnsi="標楷體" w:hint="eastAsia"/>
                <w:szCs w:val="24"/>
              </w:rPr>
              <w:t>之</w:t>
            </w:r>
            <w:r w:rsidRPr="00F24A73">
              <w:rPr>
                <w:rFonts w:ascii="標楷體" w:eastAsia="標楷體" w:hAnsi="標楷體" w:hint="eastAsia"/>
                <w:szCs w:val="24"/>
              </w:rPr>
              <w:t>專業能力，並具相關</w:t>
            </w:r>
            <w:r w:rsidR="00C31F20" w:rsidRPr="00F24A73">
              <w:rPr>
                <w:rFonts w:ascii="標楷體" w:eastAsia="標楷體" w:hAnsi="標楷體" w:hint="eastAsia"/>
                <w:szCs w:val="24"/>
              </w:rPr>
              <w:t>評估或</w:t>
            </w:r>
            <w:r w:rsidRPr="00F24A73">
              <w:rPr>
                <w:rFonts w:ascii="標楷體" w:eastAsia="標楷體" w:hAnsi="標楷體" w:hint="eastAsia"/>
                <w:szCs w:val="24"/>
              </w:rPr>
              <w:t>認證經驗者。</w:t>
            </w:r>
          </w:p>
          <w:p w:rsidR="00431FAD" w:rsidRPr="00F24A73" w:rsidRDefault="00431FAD" w:rsidP="00367BE0">
            <w:pPr>
              <w:jc w:val="both"/>
              <w:rPr>
                <w:rFonts w:ascii="標楷體" w:eastAsia="標楷體" w:hAnsi="標楷體"/>
                <w:szCs w:val="24"/>
              </w:rPr>
            </w:pPr>
            <w:r w:rsidRPr="00F24A73">
              <w:rPr>
                <w:rFonts w:ascii="標楷體" w:eastAsia="標楷體" w:hAnsi="標楷體" w:hint="eastAsia"/>
                <w:szCs w:val="24"/>
              </w:rPr>
              <w:t xml:space="preserve">    </w:t>
            </w:r>
            <w:r w:rsidR="006262E4" w:rsidRPr="00F24A73">
              <w:rPr>
                <w:rFonts w:ascii="標楷體" w:eastAsia="標楷體" w:hAnsi="標楷體" w:hint="eastAsia"/>
                <w:szCs w:val="24"/>
              </w:rPr>
              <w:t>認證機構</w:t>
            </w:r>
            <w:r w:rsidR="00412C5E" w:rsidRPr="00F24A73">
              <w:rPr>
                <w:rFonts w:ascii="標楷體" w:eastAsia="標楷體" w:hAnsi="標楷體" w:hint="eastAsia"/>
                <w:szCs w:val="24"/>
              </w:rPr>
              <w:t>所出具之</w:t>
            </w:r>
            <w:r w:rsidR="008A400C" w:rsidRPr="00F24A73">
              <w:rPr>
                <w:rFonts w:ascii="標楷體" w:eastAsia="標楷體" w:hAnsi="標楷體" w:hint="eastAsia"/>
                <w:szCs w:val="24"/>
              </w:rPr>
              <w:t>評估意見或認證</w:t>
            </w:r>
            <w:r w:rsidR="00757A25" w:rsidRPr="00F24A73">
              <w:rPr>
                <w:rFonts w:ascii="標楷體" w:eastAsia="標楷體" w:hAnsi="標楷體" w:hint="eastAsia"/>
                <w:szCs w:val="24"/>
              </w:rPr>
              <w:t>報告</w:t>
            </w:r>
            <w:r w:rsidR="00412C5E" w:rsidRPr="00F24A73">
              <w:rPr>
                <w:rFonts w:ascii="標楷體" w:eastAsia="標楷體" w:hAnsi="標楷體" w:hint="eastAsia"/>
                <w:szCs w:val="24"/>
              </w:rPr>
              <w:t>有</w:t>
            </w:r>
            <w:r w:rsidR="00D15707" w:rsidRPr="00F24A73">
              <w:rPr>
                <w:rFonts w:ascii="標楷體" w:eastAsia="標楷體" w:hAnsi="標楷體" w:hint="eastAsia"/>
                <w:szCs w:val="24"/>
              </w:rPr>
              <w:t>虛偽</w:t>
            </w:r>
            <w:r w:rsidR="00D15707" w:rsidRPr="00F24A73">
              <w:rPr>
                <w:rFonts w:ascii="新細明體" w:hAnsi="新細明體" w:hint="eastAsia"/>
                <w:szCs w:val="24"/>
              </w:rPr>
              <w:t>、</w:t>
            </w:r>
            <w:r w:rsidR="00D15707" w:rsidRPr="00F24A73">
              <w:rPr>
                <w:rFonts w:ascii="標楷體" w:eastAsia="標楷體" w:hAnsi="標楷體" w:hint="eastAsia"/>
                <w:szCs w:val="24"/>
              </w:rPr>
              <w:t>隱匿</w:t>
            </w:r>
            <w:r w:rsidR="00412C5E" w:rsidRPr="00F24A73">
              <w:rPr>
                <w:rFonts w:ascii="標楷體" w:eastAsia="標楷體" w:hAnsi="標楷體" w:hint="eastAsia"/>
                <w:szCs w:val="24"/>
              </w:rPr>
              <w:t>之情事者</w:t>
            </w:r>
            <w:r w:rsidR="006262E4" w:rsidRPr="00F24A73">
              <w:rPr>
                <w:rFonts w:ascii="標楷體" w:eastAsia="標楷體" w:hAnsi="標楷體" w:hint="eastAsia"/>
                <w:szCs w:val="24"/>
              </w:rPr>
              <w:t>，本中心得</w:t>
            </w:r>
            <w:r w:rsidR="00552C34" w:rsidRPr="00F24A73">
              <w:rPr>
                <w:rFonts w:ascii="標楷體" w:eastAsia="標楷體" w:hAnsi="標楷體" w:hint="eastAsia"/>
                <w:szCs w:val="24"/>
              </w:rPr>
              <w:t>撤銷</w:t>
            </w:r>
            <w:r w:rsidR="00F603B1" w:rsidRPr="00F24A73">
              <w:rPr>
                <w:rFonts w:ascii="標楷體" w:eastAsia="標楷體" w:hAnsi="標楷體" w:hint="eastAsia"/>
                <w:szCs w:val="24"/>
              </w:rPr>
              <w:t>或廢止</w:t>
            </w:r>
            <w:r w:rsidR="00552C34" w:rsidRPr="00F24A73">
              <w:rPr>
                <w:rFonts w:ascii="標楷體" w:eastAsia="標楷體" w:hAnsi="標楷體" w:hint="eastAsia"/>
                <w:szCs w:val="24"/>
              </w:rPr>
              <w:t>經其評估或認證之相關</w:t>
            </w:r>
            <w:r w:rsidR="00323C3D" w:rsidRPr="00F24A73">
              <w:rPr>
                <w:rFonts w:ascii="標楷體" w:eastAsia="標楷體" w:hAnsi="標楷體" w:hint="eastAsia"/>
                <w:szCs w:val="24"/>
              </w:rPr>
              <w:t>綠色債券資格</w:t>
            </w:r>
            <w:r w:rsidR="00552C34" w:rsidRPr="00F24A73">
              <w:rPr>
                <w:rFonts w:ascii="標楷體" w:eastAsia="標楷體" w:hAnsi="標楷體" w:hint="eastAsia"/>
                <w:szCs w:val="24"/>
              </w:rPr>
              <w:t>，並於</w:t>
            </w:r>
            <w:proofErr w:type="gramStart"/>
            <w:r w:rsidR="00552C34" w:rsidRPr="00F24A73">
              <w:rPr>
                <w:rFonts w:ascii="標楷體" w:eastAsia="標楷體" w:hAnsi="標楷體" w:hint="eastAsia"/>
                <w:szCs w:val="24"/>
              </w:rPr>
              <w:t>一</w:t>
            </w:r>
            <w:proofErr w:type="gramEnd"/>
            <w:r w:rsidR="00552C34" w:rsidRPr="00F24A73">
              <w:rPr>
                <w:rFonts w:ascii="標楷體" w:eastAsia="標楷體" w:hAnsi="標楷體" w:hint="eastAsia"/>
                <w:szCs w:val="24"/>
              </w:rPr>
              <w:t>年內</w:t>
            </w:r>
            <w:r w:rsidR="00167568" w:rsidRPr="00F24A73">
              <w:rPr>
                <w:rFonts w:ascii="標楷體" w:eastAsia="標楷體" w:hAnsi="標楷體" w:hint="eastAsia"/>
                <w:szCs w:val="24"/>
              </w:rPr>
              <w:t>拒絕</w:t>
            </w:r>
            <w:r w:rsidR="008A400C" w:rsidRPr="00F24A73">
              <w:rPr>
                <w:rFonts w:ascii="標楷體" w:eastAsia="標楷體" w:hAnsi="標楷體" w:hint="eastAsia"/>
                <w:szCs w:val="24"/>
              </w:rPr>
              <w:t>接受其</w:t>
            </w:r>
            <w:r w:rsidR="006262E4" w:rsidRPr="00F24A73">
              <w:rPr>
                <w:rFonts w:ascii="標楷體" w:eastAsia="標楷體" w:hAnsi="標楷體" w:hint="eastAsia"/>
                <w:szCs w:val="24"/>
              </w:rPr>
              <w:t>出具</w:t>
            </w:r>
            <w:r w:rsidR="00D15707" w:rsidRPr="00F24A73">
              <w:rPr>
                <w:rFonts w:ascii="標楷體" w:eastAsia="標楷體" w:hAnsi="標楷體" w:hint="eastAsia"/>
                <w:szCs w:val="24"/>
              </w:rPr>
              <w:t>之</w:t>
            </w:r>
            <w:r w:rsidR="00C31F20" w:rsidRPr="00F24A73">
              <w:rPr>
                <w:rFonts w:ascii="標楷體" w:eastAsia="標楷體" w:hAnsi="標楷體" w:hint="eastAsia"/>
                <w:szCs w:val="24"/>
              </w:rPr>
              <w:t>評估</w:t>
            </w:r>
            <w:r w:rsidR="00D15707" w:rsidRPr="00F24A73">
              <w:rPr>
                <w:rFonts w:ascii="標楷體" w:eastAsia="標楷體" w:hAnsi="標楷體" w:hint="eastAsia"/>
                <w:szCs w:val="24"/>
              </w:rPr>
              <w:t>意見</w:t>
            </w:r>
            <w:r w:rsidR="00757A25" w:rsidRPr="00F24A73">
              <w:rPr>
                <w:rFonts w:ascii="標楷體" w:eastAsia="標楷體" w:hAnsi="標楷體" w:hint="eastAsia"/>
                <w:szCs w:val="24"/>
              </w:rPr>
              <w:t>或</w:t>
            </w:r>
            <w:r w:rsidR="00C31F20" w:rsidRPr="00F24A73">
              <w:rPr>
                <w:rFonts w:ascii="標楷體" w:eastAsia="標楷體" w:hAnsi="標楷體" w:hint="eastAsia"/>
                <w:szCs w:val="24"/>
              </w:rPr>
              <w:t>認證</w:t>
            </w:r>
            <w:r w:rsidR="00757A25" w:rsidRPr="00F24A73">
              <w:rPr>
                <w:rFonts w:ascii="標楷體" w:eastAsia="標楷體" w:hAnsi="標楷體" w:hint="eastAsia"/>
                <w:szCs w:val="24"/>
              </w:rPr>
              <w:t>報告</w:t>
            </w:r>
            <w:r w:rsidR="006262E4" w:rsidRPr="00F24A73">
              <w:rPr>
                <w:rFonts w:ascii="標楷體" w:eastAsia="標楷體" w:hAnsi="標楷體" w:hint="eastAsia"/>
                <w:szCs w:val="24"/>
              </w:rPr>
              <w:t>。</w:t>
            </w:r>
          </w:p>
        </w:tc>
        <w:tc>
          <w:tcPr>
            <w:tcW w:w="4678" w:type="dxa"/>
            <w:tcBorders>
              <w:top w:val="single" w:sz="4" w:space="0" w:color="auto"/>
              <w:left w:val="single" w:sz="6" w:space="0" w:color="auto"/>
              <w:bottom w:val="single" w:sz="6" w:space="0" w:color="auto"/>
              <w:right w:val="single" w:sz="4" w:space="0" w:color="auto"/>
            </w:tcBorders>
          </w:tcPr>
          <w:p w:rsidR="00757A25" w:rsidRPr="00F24A73" w:rsidRDefault="005D5043" w:rsidP="00757A25">
            <w:pPr>
              <w:pStyle w:val="HTML"/>
              <w:numPr>
                <w:ilvl w:val="0"/>
                <w:numId w:val="37"/>
              </w:numPr>
              <w:tabs>
                <w:tab w:val="clear" w:pos="916"/>
                <w:tab w:val="left" w:pos="709"/>
              </w:tabs>
              <w:jc w:val="both"/>
              <w:rPr>
                <w:rFonts w:ascii="標楷體" w:eastAsia="標楷體" w:hAnsi="標楷體" w:cs="Times New Roman"/>
                <w:color w:val="auto"/>
                <w:kern w:val="2"/>
                <w:lang w:val="zh-TW"/>
              </w:rPr>
            </w:pPr>
            <w:r w:rsidRPr="00F24A73">
              <w:rPr>
                <w:rFonts w:ascii="標楷體" w:eastAsia="標楷體" w:hAnsi="標楷體" w:cs="Times New Roman" w:hint="eastAsia"/>
                <w:color w:val="auto"/>
                <w:kern w:val="2"/>
                <w:lang w:val="zh-TW"/>
              </w:rPr>
              <w:t>考量</w:t>
            </w:r>
            <w:r w:rsidR="00F50EF5" w:rsidRPr="00F24A73">
              <w:rPr>
                <w:rFonts w:ascii="標楷體" w:eastAsia="標楷體" w:hAnsi="標楷體" w:cs="Times New Roman" w:hint="eastAsia"/>
                <w:color w:val="auto"/>
                <w:kern w:val="2"/>
                <w:lang w:val="zh-TW"/>
              </w:rPr>
              <w:t>綠色債券</w:t>
            </w:r>
            <w:r w:rsidRPr="00F24A73">
              <w:rPr>
                <w:rFonts w:ascii="標楷體" w:eastAsia="標楷體" w:hAnsi="標楷體" w:cs="Times New Roman" w:hint="eastAsia"/>
                <w:color w:val="auto"/>
                <w:kern w:val="2"/>
                <w:lang w:val="zh-TW"/>
              </w:rPr>
              <w:t>國際市場實務，</w:t>
            </w:r>
            <w:r w:rsidR="005E6CF6" w:rsidRPr="00F24A73">
              <w:rPr>
                <w:rFonts w:ascii="標楷體" w:eastAsia="標楷體" w:hAnsi="標楷體" w:cs="Times New Roman" w:hint="eastAsia"/>
                <w:color w:val="auto"/>
                <w:kern w:val="2"/>
                <w:lang w:val="zh-TW"/>
              </w:rPr>
              <w:t>提供</w:t>
            </w:r>
            <w:r w:rsidRPr="00F24A73">
              <w:rPr>
                <w:rFonts w:ascii="標楷體" w:eastAsia="標楷體" w:hAnsi="標楷體" w:cs="Times New Roman" w:hint="eastAsia"/>
                <w:color w:val="auto"/>
                <w:kern w:val="2"/>
                <w:lang w:val="zh-TW"/>
              </w:rPr>
              <w:t>綠色債券認證之機構</w:t>
            </w:r>
            <w:r w:rsidR="00EC635D" w:rsidRPr="00F24A73">
              <w:rPr>
                <w:rFonts w:ascii="標楷體" w:eastAsia="標楷體" w:hAnsi="標楷體" w:cs="Times New Roman" w:hint="eastAsia"/>
                <w:color w:val="auto"/>
                <w:kern w:val="2"/>
                <w:lang w:val="zh-TW"/>
              </w:rPr>
              <w:t>範圍廣泛，包含</w:t>
            </w:r>
            <w:r w:rsidR="005E6CF6" w:rsidRPr="00F24A73">
              <w:rPr>
                <w:rFonts w:ascii="標楷體" w:eastAsia="標楷體" w:hAnsi="標楷體" w:cs="Times New Roman" w:hint="eastAsia"/>
                <w:color w:val="auto"/>
                <w:kern w:val="2"/>
                <w:lang w:val="zh-TW"/>
              </w:rPr>
              <w:t>會計師事務所</w:t>
            </w:r>
            <w:r w:rsidR="00EC635D" w:rsidRPr="00F24A73">
              <w:rPr>
                <w:rFonts w:ascii="標楷體" w:eastAsia="標楷體" w:hAnsi="標楷體" w:cs="Times New Roman" w:hint="eastAsia"/>
                <w:color w:val="auto"/>
                <w:kern w:val="2"/>
                <w:lang w:val="zh-TW"/>
              </w:rPr>
              <w:t>、環境評估機構、科學研究機構、社會責任諮詢</w:t>
            </w:r>
            <w:r w:rsidRPr="00F24A73">
              <w:rPr>
                <w:rFonts w:ascii="標楷體" w:eastAsia="標楷體" w:hAnsi="標楷體" w:cs="Times New Roman" w:hint="eastAsia"/>
                <w:color w:val="auto"/>
                <w:kern w:val="2"/>
                <w:lang w:val="zh-TW"/>
              </w:rPr>
              <w:t>顧問及評等機構等，</w:t>
            </w:r>
            <w:r w:rsidR="00FC6573" w:rsidRPr="00F24A73">
              <w:rPr>
                <w:rFonts w:ascii="標楷體" w:eastAsia="標楷體" w:hAnsi="標楷體" w:cs="Times New Roman" w:hint="eastAsia"/>
                <w:color w:val="auto"/>
                <w:kern w:val="2"/>
                <w:lang w:val="zh-TW"/>
              </w:rPr>
              <w:t>為</w:t>
            </w:r>
            <w:r w:rsidR="005E6CF6" w:rsidRPr="00F24A73">
              <w:rPr>
                <w:rFonts w:ascii="標楷體" w:eastAsia="標楷體" w:hAnsi="標楷體" w:cs="Times New Roman" w:hint="eastAsia"/>
                <w:color w:val="auto"/>
                <w:kern w:val="2"/>
                <w:lang w:val="zh-TW"/>
              </w:rPr>
              <w:t>與國際市場接軌</w:t>
            </w:r>
            <w:r w:rsidR="00FC6573" w:rsidRPr="00F24A73">
              <w:rPr>
                <w:rFonts w:ascii="標楷體" w:eastAsia="標楷體" w:hAnsi="標楷體" w:cs="Times New Roman" w:hint="eastAsia"/>
                <w:color w:val="auto"/>
                <w:kern w:val="2"/>
                <w:lang w:val="zh-TW"/>
              </w:rPr>
              <w:t>，</w:t>
            </w:r>
            <w:proofErr w:type="gramStart"/>
            <w:r w:rsidR="00FC6573" w:rsidRPr="00F24A73">
              <w:rPr>
                <w:rFonts w:ascii="標楷體" w:eastAsia="標楷體" w:hAnsi="標楷體" w:cs="Times New Roman" w:hint="eastAsia"/>
                <w:color w:val="auto"/>
                <w:kern w:val="2"/>
                <w:lang w:val="zh-TW"/>
              </w:rPr>
              <w:t>爰</w:t>
            </w:r>
            <w:proofErr w:type="gramEnd"/>
            <w:r w:rsidR="005E6CF6" w:rsidRPr="00F24A73">
              <w:rPr>
                <w:rFonts w:ascii="標楷體" w:eastAsia="標楷體" w:hAnsi="標楷體" w:cs="Times New Roman" w:hint="eastAsia"/>
                <w:color w:val="auto"/>
                <w:kern w:val="2"/>
                <w:lang w:val="zh-TW"/>
              </w:rPr>
              <w:t>於第一項訂定</w:t>
            </w:r>
            <w:r w:rsidR="001023F8" w:rsidRPr="00F24A73">
              <w:rPr>
                <w:rFonts w:ascii="標楷體" w:eastAsia="標楷體" w:hAnsi="標楷體" w:cs="Times New Roman" w:hint="eastAsia"/>
                <w:color w:val="auto"/>
                <w:kern w:val="2"/>
                <w:lang w:val="zh-TW"/>
              </w:rPr>
              <w:t>認證機構</w:t>
            </w:r>
            <w:r w:rsidR="00DD6B09" w:rsidRPr="00F24A73">
              <w:rPr>
                <w:rFonts w:ascii="標楷體" w:eastAsia="標楷體" w:hAnsi="標楷體" w:cs="Times New Roman" w:hint="eastAsia"/>
                <w:color w:val="auto"/>
                <w:kern w:val="2"/>
                <w:lang w:val="zh-TW"/>
              </w:rPr>
              <w:t>之</w:t>
            </w:r>
            <w:r w:rsidR="005E6CF6" w:rsidRPr="00F24A73">
              <w:rPr>
                <w:rFonts w:ascii="標楷體" w:eastAsia="標楷體" w:hAnsi="標楷體" w:cs="Times New Roman" w:hint="eastAsia"/>
                <w:color w:val="auto"/>
                <w:kern w:val="2"/>
                <w:lang w:val="zh-TW"/>
              </w:rPr>
              <w:t>資格條件</w:t>
            </w:r>
            <w:r w:rsidR="00757A25" w:rsidRPr="00F24A73">
              <w:rPr>
                <w:rFonts w:ascii="標楷體" w:eastAsia="標楷體" w:hAnsi="標楷體" w:cs="Times New Roman" w:hint="eastAsia"/>
                <w:color w:val="auto"/>
                <w:kern w:val="2"/>
                <w:lang w:val="zh-TW"/>
              </w:rPr>
              <w:t>。</w:t>
            </w:r>
          </w:p>
          <w:p w:rsidR="00552C34" w:rsidRPr="00F24A73" w:rsidRDefault="006B566F" w:rsidP="00864FD2">
            <w:pPr>
              <w:pStyle w:val="HTML"/>
              <w:numPr>
                <w:ilvl w:val="0"/>
                <w:numId w:val="37"/>
              </w:numPr>
              <w:tabs>
                <w:tab w:val="clear" w:pos="916"/>
                <w:tab w:val="left" w:pos="709"/>
              </w:tabs>
              <w:jc w:val="both"/>
              <w:rPr>
                <w:rFonts w:ascii="標楷體" w:eastAsia="標楷體" w:hAnsi="標楷體" w:cs="Times New Roman"/>
                <w:color w:val="auto"/>
                <w:kern w:val="2"/>
                <w:lang w:val="zh-TW"/>
              </w:rPr>
            </w:pPr>
            <w:r w:rsidRPr="00F24A73">
              <w:rPr>
                <w:rFonts w:ascii="標楷體" w:eastAsia="標楷體" w:hAnsi="標楷體" w:hint="eastAsia"/>
                <w:color w:val="auto"/>
                <w:lang w:val="zh-TW"/>
              </w:rPr>
              <w:t>為</w:t>
            </w:r>
            <w:r w:rsidR="005E6CF6" w:rsidRPr="00F24A73">
              <w:rPr>
                <w:rFonts w:ascii="標楷體" w:eastAsia="標楷體" w:hAnsi="標楷體" w:hint="eastAsia"/>
                <w:color w:val="auto"/>
                <w:lang w:val="zh-TW"/>
              </w:rPr>
              <w:t>強化對認</w:t>
            </w:r>
            <w:r w:rsidRPr="00F24A73">
              <w:rPr>
                <w:rFonts w:ascii="標楷體" w:eastAsia="標楷體" w:hAnsi="標楷體" w:hint="eastAsia"/>
                <w:color w:val="auto"/>
                <w:lang w:val="zh-TW"/>
              </w:rPr>
              <w:t>證機構</w:t>
            </w:r>
            <w:r w:rsidR="005E6CF6" w:rsidRPr="00F24A73">
              <w:rPr>
                <w:rFonts w:ascii="標楷體" w:eastAsia="標楷體" w:hAnsi="標楷體" w:hint="eastAsia"/>
                <w:color w:val="auto"/>
                <w:lang w:val="zh-TW"/>
              </w:rPr>
              <w:t>之管理</w:t>
            </w:r>
            <w:r w:rsidRPr="00F24A73">
              <w:rPr>
                <w:rFonts w:ascii="標楷體" w:eastAsia="標楷體" w:hAnsi="標楷體" w:hint="eastAsia"/>
                <w:color w:val="auto"/>
                <w:lang w:val="zh-TW"/>
              </w:rPr>
              <w:t>，</w:t>
            </w:r>
            <w:proofErr w:type="gramStart"/>
            <w:r w:rsidRPr="00F24A73">
              <w:rPr>
                <w:rFonts w:ascii="標楷體" w:eastAsia="標楷體" w:hAnsi="標楷體" w:hint="eastAsia"/>
                <w:color w:val="auto"/>
                <w:lang w:val="zh-TW"/>
              </w:rPr>
              <w:t>爰</w:t>
            </w:r>
            <w:proofErr w:type="gramEnd"/>
            <w:r w:rsidRPr="00F24A73">
              <w:rPr>
                <w:rFonts w:ascii="標楷體" w:eastAsia="標楷體" w:hAnsi="標楷體" w:hint="eastAsia"/>
                <w:color w:val="auto"/>
                <w:lang w:val="zh-TW"/>
              </w:rPr>
              <w:t>訂定</w:t>
            </w:r>
            <w:r w:rsidR="00757A25" w:rsidRPr="00F24A73">
              <w:rPr>
                <w:rFonts w:ascii="標楷體" w:eastAsia="標楷體" w:hAnsi="標楷體" w:hint="eastAsia"/>
                <w:color w:val="auto"/>
                <w:lang w:val="zh-TW"/>
              </w:rPr>
              <w:t>認證機構出具</w:t>
            </w:r>
            <w:r w:rsidR="005E6CF6" w:rsidRPr="00F24A73">
              <w:rPr>
                <w:rFonts w:ascii="標楷體" w:eastAsia="標楷體" w:hAnsi="標楷體" w:hint="eastAsia"/>
                <w:color w:val="auto"/>
                <w:lang w:val="zh-TW"/>
              </w:rPr>
              <w:t>虛偽或隱匿之</w:t>
            </w:r>
            <w:r w:rsidR="00757A25" w:rsidRPr="00F24A73">
              <w:rPr>
                <w:rFonts w:ascii="標楷體" w:eastAsia="標楷體" w:hAnsi="標楷體" w:hint="eastAsia"/>
                <w:color w:val="auto"/>
                <w:lang w:val="zh-TW"/>
              </w:rPr>
              <w:t>評估</w:t>
            </w:r>
            <w:r w:rsidRPr="00F24A73">
              <w:rPr>
                <w:rFonts w:ascii="標楷體" w:eastAsia="標楷體" w:hAnsi="標楷體" w:hint="eastAsia"/>
                <w:color w:val="auto"/>
                <w:lang w:val="zh-TW"/>
              </w:rPr>
              <w:t>意見</w:t>
            </w:r>
            <w:r w:rsidR="00757A25" w:rsidRPr="00F24A73">
              <w:rPr>
                <w:rFonts w:ascii="標楷體" w:eastAsia="標楷體" w:hAnsi="標楷體" w:hint="eastAsia"/>
                <w:color w:val="auto"/>
                <w:lang w:val="zh-TW"/>
              </w:rPr>
              <w:t>或認證報告</w:t>
            </w:r>
            <w:r w:rsidR="005E6CF6" w:rsidRPr="00F24A73">
              <w:rPr>
                <w:rFonts w:ascii="標楷體" w:eastAsia="標楷體" w:hAnsi="標楷體" w:hint="eastAsia"/>
                <w:color w:val="auto"/>
                <w:lang w:val="zh-TW"/>
              </w:rPr>
              <w:t>等情形之處置</w:t>
            </w:r>
            <w:r w:rsidRPr="00F24A73">
              <w:rPr>
                <w:rFonts w:ascii="標楷體" w:eastAsia="標楷體" w:hAnsi="標楷體" w:hint="eastAsia"/>
                <w:color w:val="auto"/>
                <w:lang w:val="zh-TW"/>
              </w:rPr>
              <w:t>，</w:t>
            </w:r>
            <w:proofErr w:type="gramStart"/>
            <w:r w:rsidRPr="00F24A73">
              <w:rPr>
                <w:rFonts w:ascii="標楷體" w:eastAsia="標楷體" w:hAnsi="標楷體" w:hint="eastAsia"/>
                <w:color w:val="auto"/>
                <w:lang w:val="zh-TW"/>
              </w:rPr>
              <w:t>俾</w:t>
            </w:r>
            <w:proofErr w:type="gramEnd"/>
            <w:r w:rsidRPr="00F24A73">
              <w:rPr>
                <w:rFonts w:ascii="標楷體" w:eastAsia="標楷體" w:hAnsi="標楷體" w:hint="eastAsia"/>
                <w:color w:val="auto"/>
                <w:lang w:val="zh-TW"/>
              </w:rPr>
              <w:t>利市場管理</w:t>
            </w:r>
            <w:r w:rsidR="001023F8" w:rsidRPr="00F24A73">
              <w:rPr>
                <w:rFonts w:ascii="標楷體" w:eastAsia="標楷體" w:hAnsi="標楷體" w:hint="eastAsia"/>
                <w:color w:val="auto"/>
                <w:lang w:val="zh-TW"/>
              </w:rPr>
              <w:t>。</w:t>
            </w: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1023F8" w:rsidRPr="00F24A73" w:rsidRDefault="001023F8" w:rsidP="001023F8">
            <w:pPr>
              <w:jc w:val="both"/>
              <w:rPr>
                <w:rFonts w:ascii="標楷體" w:eastAsia="標楷體" w:hAnsi="標楷體"/>
                <w:szCs w:val="24"/>
              </w:rPr>
            </w:pPr>
            <w:r w:rsidRPr="00F24A73">
              <w:rPr>
                <w:rFonts w:ascii="標楷體" w:eastAsia="標楷體" w:hAnsi="標楷體" w:hint="eastAsia"/>
                <w:szCs w:val="24"/>
              </w:rPr>
              <w:t>第</w:t>
            </w:r>
            <w:r w:rsidR="00154E20" w:rsidRPr="00F24A73">
              <w:rPr>
                <w:rFonts w:ascii="標楷體" w:eastAsia="標楷體" w:hAnsi="標楷體" w:hint="eastAsia"/>
                <w:szCs w:val="24"/>
              </w:rPr>
              <w:t>七</w:t>
            </w:r>
            <w:r w:rsidRPr="00F24A73">
              <w:rPr>
                <w:rFonts w:ascii="標楷體" w:eastAsia="標楷體" w:hAnsi="標楷體" w:hint="eastAsia"/>
                <w:szCs w:val="24"/>
              </w:rPr>
              <w:t>條</w:t>
            </w:r>
          </w:p>
          <w:p w:rsidR="001023F8" w:rsidRPr="00F24A73" w:rsidRDefault="001023F8" w:rsidP="005F33DD">
            <w:pPr>
              <w:jc w:val="both"/>
              <w:rPr>
                <w:rFonts w:ascii="標楷體" w:eastAsia="標楷體" w:hAnsi="標楷體"/>
                <w:szCs w:val="24"/>
              </w:rPr>
            </w:pPr>
            <w:r w:rsidRPr="00F24A73">
              <w:rPr>
                <w:rFonts w:ascii="標楷體" w:eastAsia="標楷體" w:hAnsi="標楷體" w:hint="eastAsia"/>
                <w:szCs w:val="24"/>
              </w:rPr>
              <w:t xml:space="preserve">    發行人</w:t>
            </w:r>
            <w:r w:rsidR="005E6CF6" w:rsidRPr="00F24A73">
              <w:rPr>
                <w:rFonts w:ascii="標楷體" w:eastAsia="標楷體" w:hAnsi="標楷體" w:hint="eastAsia"/>
                <w:szCs w:val="24"/>
              </w:rPr>
              <w:t>申請</w:t>
            </w:r>
            <w:r w:rsidR="00323C3D" w:rsidRPr="00F24A73">
              <w:rPr>
                <w:rFonts w:ascii="標楷體" w:eastAsia="標楷體" w:hAnsi="標楷體" w:hint="eastAsia"/>
                <w:szCs w:val="24"/>
              </w:rPr>
              <w:t>綠色債券資格</w:t>
            </w:r>
            <w:r w:rsidR="00B77C42" w:rsidRPr="00F24A73">
              <w:rPr>
                <w:rFonts w:ascii="標楷體" w:eastAsia="標楷體" w:hAnsi="標楷體" w:hint="eastAsia"/>
                <w:szCs w:val="24"/>
              </w:rPr>
              <w:t>認可</w:t>
            </w:r>
            <w:r w:rsidR="005E6CF6" w:rsidRPr="00F24A73">
              <w:rPr>
                <w:rFonts w:ascii="標楷體" w:eastAsia="標楷體" w:hAnsi="標楷體" w:hint="eastAsia"/>
                <w:szCs w:val="24"/>
              </w:rPr>
              <w:t>，應</w:t>
            </w:r>
            <w:r w:rsidRPr="00F24A73">
              <w:rPr>
                <w:rFonts w:ascii="標楷體" w:eastAsia="標楷體" w:hAnsi="標楷體" w:hint="eastAsia"/>
                <w:szCs w:val="24"/>
              </w:rPr>
              <w:t>檢具</w:t>
            </w:r>
            <w:r w:rsidR="00323C3D" w:rsidRPr="00F24A73">
              <w:rPr>
                <w:rFonts w:ascii="標楷體" w:eastAsia="標楷體" w:hAnsi="標楷體" w:hint="eastAsia"/>
                <w:szCs w:val="24"/>
              </w:rPr>
              <w:t>綠色債券資格</w:t>
            </w:r>
            <w:r w:rsidR="00B77C42" w:rsidRPr="00F24A73">
              <w:rPr>
                <w:rFonts w:ascii="標楷體" w:eastAsia="標楷體" w:hAnsi="標楷體" w:hint="eastAsia"/>
                <w:szCs w:val="24"/>
              </w:rPr>
              <w:t>認可</w:t>
            </w:r>
            <w:r w:rsidRPr="00F24A73">
              <w:rPr>
                <w:rFonts w:ascii="標楷體" w:eastAsia="標楷體" w:hAnsi="標楷體" w:hint="eastAsia"/>
                <w:szCs w:val="24"/>
              </w:rPr>
              <w:t>申請</w:t>
            </w:r>
            <w:r w:rsidR="00311636" w:rsidRPr="00F24A73">
              <w:rPr>
                <w:rFonts w:ascii="標楷體" w:eastAsia="標楷體" w:hAnsi="標楷體" w:hint="eastAsia"/>
                <w:szCs w:val="24"/>
              </w:rPr>
              <w:t>書</w:t>
            </w:r>
            <w:r w:rsidRPr="00F24A73">
              <w:rPr>
                <w:rFonts w:ascii="標楷體" w:eastAsia="標楷體" w:hAnsi="標楷體"/>
                <w:szCs w:val="24"/>
              </w:rPr>
              <w:t>(附表</w:t>
            </w:r>
            <w:proofErr w:type="gramStart"/>
            <w:r w:rsidRPr="00F24A73">
              <w:rPr>
                <w:rFonts w:ascii="標楷體" w:eastAsia="標楷體" w:hAnsi="標楷體" w:hint="eastAsia"/>
                <w:szCs w:val="24"/>
              </w:rPr>
              <w:t>一</w:t>
            </w:r>
            <w:proofErr w:type="gramEnd"/>
            <w:r w:rsidRPr="00F24A73">
              <w:rPr>
                <w:rFonts w:ascii="標楷體" w:eastAsia="標楷體" w:hAnsi="標楷體" w:hint="eastAsia"/>
                <w:szCs w:val="24"/>
              </w:rPr>
              <w:t>及附表二</w:t>
            </w:r>
            <w:r w:rsidRPr="00F24A73">
              <w:rPr>
                <w:rFonts w:ascii="標楷體" w:eastAsia="標楷體" w:hAnsi="標楷體"/>
                <w:szCs w:val="24"/>
              </w:rPr>
              <w:t>)，</w:t>
            </w:r>
            <w:r w:rsidR="005E6CF6" w:rsidRPr="00F24A73">
              <w:rPr>
                <w:rFonts w:ascii="標楷體" w:eastAsia="標楷體" w:hAnsi="標楷體" w:hint="eastAsia"/>
                <w:szCs w:val="24"/>
              </w:rPr>
              <w:t>連同應</w:t>
            </w:r>
            <w:proofErr w:type="gramStart"/>
            <w:r w:rsidR="005E6CF6" w:rsidRPr="00F24A73">
              <w:rPr>
                <w:rFonts w:ascii="標楷體" w:eastAsia="標楷體" w:hAnsi="標楷體" w:hint="eastAsia"/>
                <w:szCs w:val="24"/>
              </w:rPr>
              <w:t>檢附書件</w:t>
            </w:r>
            <w:proofErr w:type="gramEnd"/>
            <w:r w:rsidR="005E6CF6" w:rsidRPr="00F24A73">
              <w:rPr>
                <w:rFonts w:ascii="標楷體" w:eastAsia="標楷體" w:hAnsi="標楷體" w:hint="eastAsia"/>
                <w:szCs w:val="24"/>
              </w:rPr>
              <w:t>，</w:t>
            </w:r>
            <w:r w:rsidRPr="00F24A73">
              <w:rPr>
                <w:rFonts w:ascii="標楷體" w:eastAsia="標楷體" w:hAnsi="標楷體"/>
                <w:szCs w:val="24"/>
              </w:rPr>
              <w:t>載明其應記載事項</w:t>
            </w:r>
            <w:r w:rsidRPr="00F24A73">
              <w:rPr>
                <w:rFonts w:ascii="標楷體" w:eastAsia="標楷體" w:hAnsi="標楷體" w:hint="eastAsia"/>
                <w:szCs w:val="24"/>
              </w:rPr>
              <w:t>，</w:t>
            </w:r>
            <w:r w:rsidRPr="00F24A73">
              <w:rPr>
                <w:rFonts w:ascii="標楷體" w:eastAsia="標楷體" w:hAnsi="標楷體"/>
                <w:szCs w:val="24"/>
              </w:rPr>
              <w:t>向本中心</w:t>
            </w:r>
            <w:r w:rsidRPr="00F24A73">
              <w:rPr>
                <w:rFonts w:ascii="標楷體" w:eastAsia="標楷體" w:hAnsi="標楷體" w:hint="eastAsia"/>
                <w:szCs w:val="24"/>
              </w:rPr>
              <w:t>申請。</w:t>
            </w:r>
          </w:p>
        </w:tc>
        <w:tc>
          <w:tcPr>
            <w:tcW w:w="4678" w:type="dxa"/>
            <w:tcBorders>
              <w:top w:val="single" w:sz="4" w:space="0" w:color="auto"/>
              <w:left w:val="single" w:sz="6" w:space="0" w:color="auto"/>
              <w:bottom w:val="single" w:sz="6" w:space="0" w:color="auto"/>
              <w:right w:val="single" w:sz="4" w:space="0" w:color="auto"/>
            </w:tcBorders>
          </w:tcPr>
          <w:p w:rsidR="001023F8" w:rsidRPr="00F24A73" w:rsidRDefault="005E6CF6" w:rsidP="001023F8">
            <w:pPr>
              <w:tabs>
                <w:tab w:val="left" w:pos="503"/>
              </w:tabs>
              <w:autoSpaceDE w:val="0"/>
              <w:autoSpaceDN w:val="0"/>
              <w:adjustRightInd w:val="0"/>
              <w:jc w:val="both"/>
              <w:rPr>
                <w:rFonts w:ascii="標楷體" w:eastAsia="標楷體" w:hAnsi="標楷體"/>
                <w:szCs w:val="24"/>
                <w:lang w:val="zh-TW"/>
              </w:rPr>
            </w:pPr>
            <w:r w:rsidRPr="00F24A73">
              <w:rPr>
                <w:rFonts w:ascii="標楷體" w:eastAsia="標楷體" w:hAnsi="標楷體" w:hint="eastAsia"/>
                <w:szCs w:val="24"/>
                <w:lang w:val="zh-TW"/>
              </w:rPr>
              <w:t>明</w:t>
            </w:r>
            <w:r w:rsidR="006B566F" w:rsidRPr="00F24A73">
              <w:rPr>
                <w:rFonts w:ascii="標楷體" w:eastAsia="標楷體" w:hAnsi="標楷體" w:hint="eastAsia"/>
                <w:szCs w:val="24"/>
                <w:lang w:val="zh-TW"/>
              </w:rPr>
              <w:t>定</w:t>
            </w:r>
            <w:r w:rsidR="001023F8" w:rsidRPr="00F24A73">
              <w:rPr>
                <w:rFonts w:ascii="標楷體" w:eastAsia="標楷體" w:hAnsi="標楷體" w:hint="eastAsia"/>
                <w:szCs w:val="24"/>
                <w:lang w:val="zh-TW"/>
              </w:rPr>
              <w:t>發行人</w:t>
            </w:r>
            <w:r w:rsidR="006B566F" w:rsidRPr="00F24A73">
              <w:rPr>
                <w:rFonts w:ascii="標楷體" w:eastAsia="標楷體" w:hAnsi="標楷體" w:hint="eastAsia"/>
                <w:szCs w:val="24"/>
                <w:lang w:val="zh-TW"/>
              </w:rPr>
              <w:t>向本中心</w:t>
            </w:r>
            <w:r w:rsidRPr="00F24A73">
              <w:rPr>
                <w:rFonts w:ascii="標楷體" w:eastAsia="標楷體" w:hAnsi="標楷體" w:hint="eastAsia"/>
                <w:szCs w:val="24"/>
              </w:rPr>
              <w:t>申請</w:t>
            </w:r>
            <w:r w:rsidR="00323C3D" w:rsidRPr="00F24A73">
              <w:rPr>
                <w:rFonts w:ascii="標楷體" w:eastAsia="標楷體" w:hAnsi="標楷體" w:hint="eastAsia"/>
                <w:szCs w:val="24"/>
              </w:rPr>
              <w:t>綠色債券</w:t>
            </w:r>
            <w:r w:rsidR="007107E3" w:rsidRPr="00F24A73">
              <w:rPr>
                <w:rFonts w:ascii="標楷體" w:eastAsia="標楷體" w:hAnsi="標楷體" w:hint="eastAsia"/>
                <w:szCs w:val="24"/>
              </w:rPr>
              <w:t>資格</w:t>
            </w:r>
            <w:r w:rsidR="00367BE0" w:rsidRPr="00F24A73">
              <w:rPr>
                <w:rFonts w:ascii="標楷體" w:eastAsia="標楷體" w:hAnsi="標楷體" w:hint="eastAsia"/>
                <w:szCs w:val="24"/>
              </w:rPr>
              <w:t>認可</w:t>
            </w:r>
            <w:r w:rsidRPr="00F24A73">
              <w:rPr>
                <w:rFonts w:ascii="標楷體" w:eastAsia="標楷體" w:hAnsi="標楷體" w:hint="eastAsia"/>
                <w:szCs w:val="24"/>
              </w:rPr>
              <w:t>之申請書件與作業程序</w:t>
            </w:r>
            <w:r w:rsidR="001023F8" w:rsidRPr="00F24A73">
              <w:rPr>
                <w:rFonts w:ascii="標楷體" w:eastAsia="標楷體" w:hAnsi="標楷體" w:hint="eastAsia"/>
                <w:szCs w:val="24"/>
                <w:lang w:val="zh-TW"/>
              </w:rPr>
              <w:t>。</w:t>
            </w:r>
          </w:p>
          <w:p w:rsidR="001023F8" w:rsidRPr="00F24A73" w:rsidRDefault="001023F8" w:rsidP="001023F8">
            <w:pPr>
              <w:tabs>
                <w:tab w:val="left" w:pos="503"/>
              </w:tabs>
              <w:autoSpaceDE w:val="0"/>
              <w:autoSpaceDN w:val="0"/>
              <w:adjustRightInd w:val="0"/>
              <w:jc w:val="both"/>
              <w:rPr>
                <w:rFonts w:ascii="標楷體" w:eastAsia="標楷體" w:hAnsi="標楷體"/>
                <w:szCs w:val="24"/>
                <w:lang w:val="zh-TW"/>
              </w:rPr>
            </w:pP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975B9F" w:rsidRPr="00F24A73" w:rsidRDefault="001023F8" w:rsidP="00975B9F">
            <w:pPr>
              <w:jc w:val="both"/>
              <w:rPr>
                <w:rFonts w:ascii="標楷體" w:eastAsia="標楷體" w:hAnsi="標楷體"/>
                <w:szCs w:val="24"/>
              </w:rPr>
            </w:pPr>
            <w:r w:rsidRPr="00F24A73">
              <w:rPr>
                <w:rFonts w:ascii="標楷體" w:eastAsia="標楷體" w:hAnsi="標楷體" w:hint="eastAsia"/>
                <w:szCs w:val="24"/>
              </w:rPr>
              <w:t>第</w:t>
            </w:r>
            <w:r w:rsidR="00154E20" w:rsidRPr="00F24A73">
              <w:rPr>
                <w:rFonts w:ascii="標楷體" w:eastAsia="標楷體" w:hAnsi="標楷體" w:hint="eastAsia"/>
                <w:szCs w:val="24"/>
              </w:rPr>
              <w:t>八</w:t>
            </w:r>
            <w:r w:rsidRPr="00F24A73">
              <w:rPr>
                <w:rFonts w:ascii="標楷體" w:eastAsia="標楷體" w:hAnsi="標楷體" w:hint="eastAsia"/>
                <w:szCs w:val="24"/>
              </w:rPr>
              <w:t xml:space="preserve">條 </w:t>
            </w:r>
          </w:p>
          <w:p w:rsidR="006C1D80" w:rsidRPr="00F24A73" w:rsidRDefault="006347AC" w:rsidP="006347AC">
            <w:pPr>
              <w:jc w:val="both"/>
              <w:rPr>
                <w:rFonts w:ascii="標楷體" w:eastAsia="標楷體" w:hAnsi="標楷體"/>
                <w:szCs w:val="24"/>
              </w:rPr>
            </w:pPr>
            <w:r w:rsidRPr="00F24A73">
              <w:rPr>
                <w:rFonts w:ascii="標楷體" w:eastAsia="標楷體" w:hAnsi="標楷體" w:hint="eastAsia"/>
                <w:szCs w:val="24"/>
              </w:rPr>
              <w:t xml:space="preserve">   </w:t>
            </w:r>
            <w:r w:rsidR="00975B9F" w:rsidRPr="00F24A73">
              <w:rPr>
                <w:rFonts w:ascii="標楷體" w:eastAsia="標楷體" w:hAnsi="標楷體" w:hint="eastAsia"/>
                <w:szCs w:val="24"/>
              </w:rPr>
              <w:t>發行人申請</w:t>
            </w:r>
            <w:r w:rsidR="00323C3D" w:rsidRPr="00F24A73">
              <w:rPr>
                <w:rFonts w:ascii="標楷體" w:eastAsia="標楷體" w:hAnsi="標楷體" w:hint="eastAsia"/>
                <w:szCs w:val="24"/>
              </w:rPr>
              <w:t>綠色債券資格</w:t>
            </w:r>
            <w:r w:rsidR="006A4B42" w:rsidRPr="00F24A73">
              <w:rPr>
                <w:rFonts w:ascii="標楷體" w:eastAsia="標楷體" w:hAnsi="標楷體" w:hint="eastAsia"/>
                <w:szCs w:val="24"/>
              </w:rPr>
              <w:t>認可</w:t>
            </w:r>
            <w:r w:rsidR="00975B9F" w:rsidRPr="00F24A73">
              <w:rPr>
                <w:rFonts w:ascii="標楷體" w:eastAsia="標楷體" w:hAnsi="標楷體" w:hint="eastAsia"/>
                <w:szCs w:val="24"/>
              </w:rPr>
              <w:t>，</w:t>
            </w:r>
            <w:r w:rsidR="006A4B42" w:rsidRPr="00F24A73">
              <w:rPr>
                <w:rFonts w:ascii="標楷體" w:eastAsia="標楷體" w:hAnsi="標楷體" w:hint="eastAsia"/>
                <w:szCs w:val="24"/>
              </w:rPr>
              <w:t>本中心</w:t>
            </w:r>
            <w:r w:rsidR="00975B9F" w:rsidRPr="00F24A73">
              <w:rPr>
                <w:rFonts w:ascii="標楷體" w:eastAsia="標楷體" w:hAnsi="標楷體" w:hint="eastAsia"/>
                <w:szCs w:val="24"/>
              </w:rPr>
              <w:t>於申請書件送達之日起</w:t>
            </w:r>
            <w:r w:rsidRPr="00F24A73">
              <w:rPr>
                <w:rFonts w:ascii="標楷體" w:eastAsia="標楷體" w:hAnsi="標楷體" w:hint="eastAsia"/>
                <w:szCs w:val="24"/>
              </w:rPr>
              <w:t>三個營業日內完成審查</w:t>
            </w:r>
            <w:r w:rsidR="00975B9F" w:rsidRPr="00F24A73">
              <w:rPr>
                <w:rFonts w:ascii="標楷體" w:eastAsia="標楷體" w:hAnsi="標楷體" w:hint="eastAsia"/>
                <w:szCs w:val="24"/>
              </w:rPr>
              <w:t>。</w:t>
            </w:r>
            <w:r w:rsidR="006C1D80" w:rsidRPr="00F24A73">
              <w:rPr>
                <w:rFonts w:ascii="標楷體" w:eastAsia="標楷體" w:hAnsi="標楷體" w:hint="eastAsia"/>
                <w:szCs w:val="24"/>
              </w:rPr>
              <w:t>但有特殊情形，得簽報核准後延長審查。</w:t>
            </w:r>
          </w:p>
          <w:p w:rsidR="006347AC" w:rsidRPr="00F24A73" w:rsidRDefault="006C1D80" w:rsidP="006347AC">
            <w:pPr>
              <w:jc w:val="both"/>
              <w:rPr>
                <w:rFonts w:ascii="標楷體" w:eastAsia="標楷體" w:hAnsi="標楷體"/>
                <w:szCs w:val="24"/>
              </w:rPr>
            </w:pPr>
            <w:r w:rsidRPr="00F24A73">
              <w:rPr>
                <w:rFonts w:ascii="標楷體" w:eastAsia="標楷體" w:hAnsi="標楷體" w:hint="eastAsia"/>
                <w:szCs w:val="24"/>
              </w:rPr>
              <w:t xml:space="preserve">    經本中心審查</w:t>
            </w:r>
            <w:r w:rsidR="006D12CC" w:rsidRPr="00F24A73">
              <w:rPr>
                <w:rFonts w:ascii="標楷體" w:eastAsia="標楷體" w:hAnsi="標楷體" w:hint="eastAsia"/>
                <w:szCs w:val="24"/>
              </w:rPr>
              <w:t>前項書件</w:t>
            </w:r>
            <w:r w:rsidR="00975B9F" w:rsidRPr="00F24A73">
              <w:rPr>
                <w:rFonts w:ascii="標楷體" w:eastAsia="標楷體" w:hAnsi="標楷體" w:hint="eastAsia"/>
                <w:szCs w:val="24"/>
              </w:rPr>
              <w:t>齊備，並</w:t>
            </w:r>
            <w:r w:rsidR="006347AC" w:rsidRPr="00F24A73">
              <w:rPr>
                <w:rFonts w:ascii="標楷體" w:eastAsia="標楷體" w:hAnsi="標楷體" w:hint="eastAsia"/>
                <w:szCs w:val="24"/>
              </w:rPr>
              <w:t>符合本作業要</w:t>
            </w:r>
            <w:r w:rsidRPr="00F24A73">
              <w:rPr>
                <w:rFonts w:ascii="標楷體" w:eastAsia="標楷體" w:hAnsi="標楷體" w:hint="eastAsia"/>
                <w:szCs w:val="24"/>
              </w:rPr>
              <w:t>點</w:t>
            </w:r>
            <w:r w:rsidR="006347AC" w:rsidRPr="00F24A73">
              <w:rPr>
                <w:rFonts w:ascii="標楷體" w:eastAsia="標楷體" w:hAnsi="標楷體" w:hint="eastAsia"/>
                <w:szCs w:val="24"/>
              </w:rPr>
              <w:t>規定者，</w:t>
            </w:r>
            <w:r w:rsidRPr="00F24A73">
              <w:rPr>
                <w:rFonts w:ascii="標楷體" w:eastAsia="標楷體" w:hAnsi="標楷體" w:hint="eastAsia"/>
                <w:szCs w:val="24"/>
              </w:rPr>
              <w:t>本中心</w:t>
            </w:r>
            <w:r w:rsidR="006347AC" w:rsidRPr="00F24A73">
              <w:rPr>
                <w:rFonts w:ascii="標楷體" w:eastAsia="標楷體" w:hAnsi="標楷體" w:hint="eastAsia"/>
                <w:szCs w:val="24"/>
              </w:rPr>
              <w:t>得出具</w:t>
            </w:r>
            <w:r w:rsidR="00050843" w:rsidRPr="00F24A73">
              <w:rPr>
                <w:rFonts w:ascii="標楷體" w:eastAsia="標楷體" w:hAnsi="標楷體" w:hint="eastAsia"/>
                <w:szCs w:val="24"/>
              </w:rPr>
              <w:t>綠色債券資格</w:t>
            </w:r>
            <w:r w:rsidR="00F603B1" w:rsidRPr="00F24A73">
              <w:rPr>
                <w:rFonts w:ascii="標楷體" w:eastAsia="標楷體" w:hAnsi="標楷體" w:hint="eastAsia"/>
                <w:szCs w:val="24"/>
              </w:rPr>
              <w:t>認可</w:t>
            </w:r>
            <w:r w:rsidR="00050843" w:rsidRPr="00F24A73">
              <w:rPr>
                <w:rFonts w:ascii="標楷體" w:eastAsia="標楷體" w:hAnsi="標楷體" w:hint="eastAsia"/>
                <w:szCs w:val="24"/>
              </w:rPr>
              <w:t>文件</w:t>
            </w:r>
            <w:r w:rsidR="006347AC" w:rsidRPr="00F24A73">
              <w:rPr>
                <w:rFonts w:ascii="新細明體" w:hAnsi="新細明體" w:hint="eastAsia"/>
                <w:szCs w:val="24"/>
              </w:rPr>
              <w:t>；</w:t>
            </w:r>
            <w:r w:rsidR="006347AC" w:rsidRPr="00F24A73">
              <w:rPr>
                <w:rFonts w:ascii="標楷體" w:eastAsia="標楷體" w:hAnsi="標楷體" w:hint="eastAsia"/>
                <w:szCs w:val="24"/>
              </w:rPr>
              <w:t>如審查發現有</w:t>
            </w:r>
            <w:r w:rsidR="00975B9F" w:rsidRPr="00F24A73">
              <w:rPr>
                <w:rFonts w:ascii="標楷體" w:eastAsia="標楷體" w:hAnsi="標楷體" w:hint="eastAsia"/>
                <w:szCs w:val="24"/>
              </w:rPr>
              <w:t>申請書件不完備或</w:t>
            </w:r>
            <w:r w:rsidR="006347AC" w:rsidRPr="00F24A73">
              <w:rPr>
                <w:rFonts w:ascii="標楷體" w:eastAsia="標楷體" w:hAnsi="標楷體" w:hint="eastAsia"/>
                <w:szCs w:val="24"/>
              </w:rPr>
              <w:t>記載</w:t>
            </w:r>
            <w:r w:rsidR="00975B9F" w:rsidRPr="00F24A73">
              <w:rPr>
                <w:rFonts w:ascii="標楷體" w:eastAsia="標楷體" w:hAnsi="標楷體" w:hint="eastAsia"/>
                <w:szCs w:val="24"/>
              </w:rPr>
              <w:t>事項不充分</w:t>
            </w:r>
            <w:r w:rsidR="006347AC" w:rsidRPr="00F24A73">
              <w:rPr>
                <w:rFonts w:ascii="標楷體" w:eastAsia="標楷體" w:hAnsi="標楷體" w:hint="eastAsia"/>
                <w:szCs w:val="24"/>
              </w:rPr>
              <w:t>者，應限期請其補正</w:t>
            </w:r>
            <w:r w:rsidR="006347AC" w:rsidRPr="00F24A73">
              <w:rPr>
                <w:rFonts w:ascii="新細明體" w:hAnsi="新細明體" w:hint="eastAsia"/>
                <w:szCs w:val="24"/>
              </w:rPr>
              <w:t>；</w:t>
            </w:r>
            <w:r w:rsidR="006347AC" w:rsidRPr="00F24A73">
              <w:rPr>
                <w:rFonts w:ascii="標楷體" w:eastAsia="標楷體" w:hAnsi="標楷體" w:hint="eastAsia"/>
                <w:szCs w:val="24"/>
              </w:rPr>
              <w:t>逾期未補正者，</w:t>
            </w:r>
            <w:proofErr w:type="gramStart"/>
            <w:r w:rsidR="006347AC" w:rsidRPr="00F24A73">
              <w:rPr>
                <w:rFonts w:ascii="標楷體" w:eastAsia="標楷體" w:hAnsi="標楷體" w:hint="eastAsia"/>
                <w:szCs w:val="24"/>
              </w:rPr>
              <w:t>即簽報</w:t>
            </w:r>
            <w:proofErr w:type="gramEnd"/>
            <w:r w:rsidR="006347AC" w:rsidRPr="00F24A73">
              <w:rPr>
                <w:rFonts w:ascii="標楷體" w:eastAsia="標楷體" w:hAnsi="標楷體" w:hint="eastAsia"/>
                <w:szCs w:val="24"/>
              </w:rPr>
              <w:t>予以退件。</w:t>
            </w:r>
          </w:p>
          <w:p w:rsidR="00D33414" w:rsidRPr="00F24A73" w:rsidRDefault="006347AC" w:rsidP="009902C6">
            <w:pPr>
              <w:jc w:val="both"/>
              <w:rPr>
                <w:rFonts w:ascii="標楷體" w:eastAsia="標楷體" w:hAnsi="標楷體"/>
                <w:szCs w:val="24"/>
                <w:shd w:val="pct15" w:color="auto" w:fill="FFFFFF"/>
              </w:rPr>
            </w:pPr>
            <w:r w:rsidRPr="00F24A73">
              <w:rPr>
                <w:rFonts w:ascii="標楷體" w:eastAsia="標楷體" w:hAnsi="標楷體" w:hint="eastAsia"/>
                <w:szCs w:val="24"/>
              </w:rPr>
              <w:t xml:space="preserve">　　發行人應於</w:t>
            </w:r>
            <w:r w:rsidR="009902C6" w:rsidRPr="00F24A73">
              <w:rPr>
                <w:rFonts w:ascii="標楷體" w:eastAsia="標楷體" w:hAnsi="標楷體" w:hint="eastAsia"/>
                <w:szCs w:val="24"/>
              </w:rPr>
              <w:t>前項</w:t>
            </w:r>
            <w:r w:rsidR="006A4B42" w:rsidRPr="00F24A73">
              <w:rPr>
                <w:rFonts w:ascii="標楷體" w:eastAsia="標楷體" w:hAnsi="標楷體" w:hint="eastAsia"/>
                <w:szCs w:val="24"/>
              </w:rPr>
              <w:t>認可</w:t>
            </w:r>
            <w:r w:rsidRPr="00F24A73">
              <w:rPr>
                <w:rFonts w:ascii="標楷體" w:eastAsia="標楷體" w:hAnsi="標楷體" w:hint="eastAsia"/>
                <w:szCs w:val="24"/>
              </w:rPr>
              <w:t>文件發文日起兩個月內向本中心申請債券櫃檯買賣，逾期該</w:t>
            </w:r>
            <w:r w:rsidR="009902C6" w:rsidRPr="00F24A73">
              <w:rPr>
                <w:rFonts w:ascii="標楷體" w:eastAsia="標楷體" w:hAnsi="標楷體" w:hint="eastAsia"/>
                <w:szCs w:val="24"/>
              </w:rPr>
              <w:t>認可</w:t>
            </w:r>
            <w:r w:rsidRPr="00F24A73">
              <w:rPr>
                <w:rFonts w:ascii="標楷體" w:eastAsia="標楷體" w:hAnsi="標楷體" w:hint="eastAsia"/>
                <w:szCs w:val="24"/>
              </w:rPr>
              <w:t>文件失其效力。</w:t>
            </w:r>
          </w:p>
        </w:tc>
        <w:tc>
          <w:tcPr>
            <w:tcW w:w="4678" w:type="dxa"/>
            <w:tcBorders>
              <w:top w:val="single" w:sz="4" w:space="0" w:color="auto"/>
              <w:left w:val="single" w:sz="6" w:space="0" w:color="auto"/>
              <w:bottom w:val="single" w:sz="6" w:space="0" w:color="auto"/>
              <w:right w:val="single" w:sz="4" w:space="0" w:color="auto"/>
            </w:tcBorders>
          </w:tcPr>
          <w:p w:rsidR="00D33414" w:rsidRPr="00F24A73" w:rsidRDefault="000F75B6" w:rsidP="00D33414">
            <w:pPr>
              <w:pStyle w:val="HTML"/>
              <w:numPr>
                <w:ilvl w:val="0"/>
                <w:numId w:val="25"/>
              </w:numPr>
              <w:tabs>
                <w:tab w:val="clear" w:pos="916"/>
                <w:tab w:val="left" w:pos="709"/>
              </w:tabs>
              <w:jc w:val="both"/>
              <w:rPr>
                <w:rFonts w:ascii="標楷體" w:eastAsia="標楷體" w:hAnsi="標楷體" w:cs="Times New Roman"/>
                <w:color w:val="auto"/>
                <w:kern w:val="2"/>
                <w:lang w:val="zh-TW"/>
              </w:rPr>
            </w:pPr>
            <w:r w:rsidRPr="00F24A73">
              <w:rPr>
                <w:rFonts w:ascii="標楷體" w:eastAsia="標楷體" w:hAnsi="標楷體" w:cs="Times New Roman" w:hint="eastAsia"/>
                <w:color w:val="auto"/>
                <w:kern w:val="2"/>
                <w:lang w:val="zh-TW"/>
              </w:rPr>
              <w:t>為利審查作業之管理，</w:t>
            </w:r>
            <w:proofErr w:type="gramStart"/>
            <w:r w:rsidRPr="00F24A73">
              <w:rPr>
                <w:rFonts w:ascii="標楷體" w:eastAsia="標楷體" w:hAnsi="標楷體" w:cs="Times New Roman" w:hint="eastAsia"/>
                <w:color w:val="auto"/>
                <w:kern w:val="2"/>
                <w:lang w:val="zh-TW"/>
              </w:rPr>
              <w:t>爰</w:t>
            </w:r>
            <w:proofErr w:type="gramEnd"/>
            <w:r w:rsidRPr="00F24A73">
              <w:rPr>
                <w:rFonts w:ascii="標楷體" w:eastAsia="標楷體" w:hAnsi="標楷體" w:cs="Times New Roman" w:hint="eastAsia"/>
                <w:color w:val="auto"/>
                <w:kern w:val="2"/>
                <w:lang w:val="zh-TW"/>
              </w:rPr>
              <w:t>訂定第一項與第二項本中心綠色債券</w:t>
            </w:r>
            <w:r w:rsidRPr="00F24A73">
              <w:rPr>
                <w:rFonts w:ascii="標楷體" w:eastAsia="標楷體" w:hAnsi="標楷體" w:hint="eastAsia"/>
                <w:color w:val="auto"/>
              </w:rPr>
              <w:t>資格</w:t>
            </w:r>
            <w:r w:rsidRPr="00F24A73">
              <w:rPr>
                <w:rFonts w:ascii="標楷體" w:eastAsia="標楷體" w:hAnsi="標楷體" w:cs="Times New Roman" w:hint="eastAsia"/>
                <w:color w:val="auto"/>
                <w:kern w:val="2"/>
                <w:lang w:val="zh-TW"/>
              </w:rPr>
              <w:t>認可申請案件之審查要點、程序及期限。</w:t>
            </w:r>
          </w:p>
          <w:p w:rsidR="00D33414" w:rsidRPr="00F24A73" w:rsidRDefault="00505023" w:rsidP="00050843">
            <w:pPr>
              <w:pStyle w:val="HTML"/>
              <w:numPr>
                <w:ilvl w:val="0"/>
                <w:numId w:val="25"/>
              </w:numPr>
              <w:tabs>
                <w:tab w:val="clear" w:pos="916"/>
                <w:tab w:val="left" w:pos="709"/>
              </w:tabs>
              <w:jc w:val="both"/>
              <w:rPr>
                <w:rFonts w:ascii="標楷體" w:eastAsia="標楷體" w:hAnsi="標楷體" w:cs="Times New Roman"/>
                <w:color w:val="auto"/>
                <w:kern w:val="2"/>
                <w:lang w:val="zh-TW"/>
              </w:rPr>
            </w:pPr>
            <w:r w:rsidRPr="00F24A73">
              <w:rPr>
                <w:rFonts w:ascii="標楷體" w:eastAsia="標楷體" w:hAnsi="標楷體" w:cs="Times New Roman" w:hint="eastAsia"/>
                <w:color w:val="auto"/>
                <w:kern w:val="2"/>
                <w:lang w:val="zh-TW"/>
              </w:rPr>
              <w:t>為利</w:t>
            </w:r>
            <w:r w:rsidR="00F417E6" w:rsidRPr="00F24A73">
              <w:rPr>
                <w:rFonts w:ascii="標楷體" w:eastAsia="標楷體" w:hAnsi="標楷體" w:cs="Times New Roman" w:hint="eastAsia"/>
                <w:color w:val="auto"/>
                <w:kern w:val="2"/>
                <w:lang w:val="zh-TW"/>
              </w:rPr>
              <w:t>管理</w:t>
            </w:r>
            <w:r w:rsidR="00050843" w:rsidRPr="00F24A73">
              <w:rPr>
                <w:rFonts w:ascii="標楷體" w:eastAsia="標楷體" w:hAnsi="標楷體" w:cs="Times New Roman" w:hint="eastAsia"/>
                <w:color w:val="auto"/>
                <w:kern w:val="2"/>
              </w:rPr>
              <w:t>綠色債券資格</w:t>
            </w:r>
            <w:r w:rsidR="00181C79" w:rsidRPr="00F24A73">
              <w:rPr>
                <w:rFonts w:ascii="標楷體" w:eastAsia="標楷體" w:hAnsi="標楷體" w:cs="Times New Roman" w:hint="eastAsia"/>
                <w:color w:val="auto"/>
                <w:kern w:val="2"/>
              </w:rPr>
              <w:t>認可</w:t>
            </w:r>
            <w:r w:rsidR="00050843" w:rsidRPr="00F24A73">
              <w:rPr>
                <w:rFonts w:ascii="標楷體" w:eastAsia="標楷體" w:hAnsi="標楷體" w:cs="Times New Roman" w:hint="eastAsia"/>
                <w:color w:val="auto"/>
                <w:kern w:val="2"/>
              </w:rPr>
              <w:t>文件</w:t>
            </w:r>
            <w:r w:rsidRPr="00F24A73">
              <w:rPr>
                <w:rFonts w:ascii="標楷體" w:eastAsia="標楷體" w:hAnsi="標楷體" w:cs="Times New Roman" w:hint="eastAsia"/>
                <w:color w:val="auto"/>
                <w:kern w:val="2"/>
                <w:lang w:val="zh-TW"/>
              </w:rPr>
              <w:t>之使用情形</w:t>
            </w:r>
            <w:r w:rsidR="00F417E6" w:rsidRPr="00F24A73">
              <w:rPr>
                <w:rFonts w:ascii="標楷體" w:eastAsia="標楷體" w:hAnsi="標楷體" w:cs="Times New Roman" w:hint="eastAsia"/>
                <w:color w:val="auto"/>
                <w:kern w:val="2"/>
                <w:lang w:val="zh-TW"/>
              </w:rPr>
              <w:t>及維護其參考性</w:t>
            </w:r>
            <w:r w:rsidRPr="00F24A73">
              <w:rPr>
                <w:rFonts w:ascii="標楷體" w:eastAsia="標楷體" w:hAnsi="標楷體" w:cs="Times New Roman" w:hint="eastAsia"/>
                <w:color w:val="auto"/>
                <w:kern w:val="2"/>
                <w:lang w:val="zh-TW"/>
              </w:rPr>
              <w:t>，</w:t>
            </w:r>
            <w:proofErr w:type="gramStart"/>
            <w:r w:rsidRPr="00F24A73">
              <w:rPr>
                <w:rFonts w:ascii="標楷體" w:eastAsia="標楷體" w:hAnsi="標楷體" w:cs="Times New Roman" w:hint="eastAsia"/>
                <w:color w:val="auto"/>
                <w:kern w:val="2"/>
                <w:lang w:val="zh-TW"/>
              </w:rPr>
              <w:t>爰</w:t>
            </w:r>
            <w:proofErr w:type="gramEnd"/>
            <w:r w:rsidRPr="00F24A73">
              <w:rPr>
                <w:rFonts w:ascii="標楷體" w:eastAsia="標楷體" w:hAnsi="標楷體" w:cs="Times New Roman" w:hint="eastAsia"/>
                <w:color w:val="auto"/>
                <w:kern w:val="2"/>
                <w:lang w:val="zh-TW"/>
              </w:rPr>
              <w:t>訂定第三項，規範</w:t>
            </w:r>
            <w:r w:rsidR="00050843" w:rsidRPr="00F24A73">
              <w:rPr>
                <w:rFonts w:ascii="標楷體" w:eastAsia="標楷體" w:hAnsi="標楷體" w:cs="Times New Roman" w:hint="eastAsia"/>
                <w:color w:val="auto"/>
                <w:kern w:val="2"/>
              </w:rPr>
              <w:t>綠色債券資格</w:t>
            </w:r>
            <w:r w:rsidR="007107E3" w:rsidRPr="00F24A73">
              <w:rPr>
                <w:rFonts w:ascii="標楷體" w:eastAsia="標楷體" w:hAnsi="標楷體" w:cs="Times New Roman" w:hint="eastAsia"/>
                <w:color w:val="auto"/>
                <w:kern w:val="2"/>
              </w:rPr>
              <w:t>認可</w:t>
            </w:r>
            <w:r w:rsidR="00050843" w:rsidRPr="00F24A73">
              <w:rPr>
                <w:rFonts w:ascii="標楷體" w:eastAsia="標楷體" w:hAnsi="標楷體" w:cs="Times New Roman" w:hint="eastAsia"/>
                <w:color w:val="auto"/>
                <w:kern w:val="2"/>
              </w:rPr>
              <w:t>文件</w:t>
            </w:r>
            <w:r w:rsidR="00D33414" w:rsidRPr="00F24A73">
              <w:rPr>
                <w:rFonts w:ascii="標楷體" w:eastAsia="標楷體" w:hAnsi="標楷體" w:cs="Times New Roman" w:hint="eastAsia"/>
                <w:color w:val="auto"/>
                <w:kern w:val="2"/>
                <w:lang w:val="zh-TW"/>
              </w:rPr>
              <w:t>之時間效力。</w:t>
            </w: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1023F8" w:rsidRPr="00F24A73" w:rsidRDefault="001023F8" w:rsidP="001023F8">
            <w:pPr>
              <w:jc w:val="both"/>
              <w:rPr>
                <w:rFonts w:ascii="標楷體" w:eastAsia="標楷體" w:hAnsi="標楷體"/>
                <w:szCs w:val="24"/>
              </w:rPr>
            </w:pPr>
            <w:r w:rsidRPr="00F24A73">
              <w:rPr>
                <w:rFonts w:ascii="標楷體" w:eastAsia="標楷體" w:hAnsi="標楷體" w:hint="eastAsia"/>
                <w:szCs w:val="24"/>
              </w:rPr>
              <w:t>第</w:t>
            </w:r>
            <w:r w:rsidR="00154E20" w:rsidRPr="00F24A73">
              <w:rPr>
                <w:rFonts w:ascii="標楷體" w:eastAsia="標楷體" w:hAnsi="標楷體" w:hint="eastAsia"/>
                <w:szCs w:val="24"/>
              </w:rPr>
              <w:t>九</w:t>
            </w:r>
            <w:r w:rsidRPr="00F24A73">
              <w:rPr>
                <w:rFonts w:ascii="標楷體" w:eastAsia="標楷體" w:hAnsi="標楷體" w:hint="eastAsia"/>
                <w:szCs w:val="24"/>
              </w:rPr>
              <w:t>條</w:t>
            </w:r>
          </w:p>
          <w:p w:rsidR="001023F8" w:rsidRPr="00F24A73" w:rsidRDefault="001023F8" w:rsidP="001023F8">
            <w:pPr>
              <w:tabs>
                <w:tab w:val="left" w:pos="503"/>
              </w:tabs>
              <w:jc w:val="both"/>
              <w:rPr>
                <w:rFonts w:ascii="標楷體" w:eastAsia="標楷體" w:hAnsi="標楷體"/>
                <w:szCs w:val="24"/>
              </w:rPr>
            </w:pPr>
            <w:r w:rsidRPr="00F24A73">
              <w:rPr>
                <w:rFonts w:ascii="標楷體" w:eastAsia="標楷體" w:hAnsi="標楷體" w:hint="eastAsia"/>
                <w:szCs w:val="24"/>
              </w:rPr>
              <w:t xml:space="preserve">   </w:t>
            </w:r>
            <w:r w:rsidR="00431FAD" w:rsidRPr="00F24A73">
              <w:rPr>
                <w:rFonts w:ascii="標楷體" w:eastAsia="標楷體" w:hAnsi="標楷體" w:hint="eastAsia"/>
                <w:szCs w:val="24"/>
              </w:rPr>
              <w:t xml:space="preserve"> </w:t>
            </w:r>
            <w:r w:rsidRPr="00F24A73">
              <w:rPr>
                <w:rFonts w:ascii="標楷體" w:eastAsia="標楷體" w:hAnsi="標楷體" w:hint="eastAsia"/>
                <w:szCs w:val="24"/>
              </w:rPr>
              <w:t>發行人</w:t>
            </w:r>
            <w:r w:rsidR="002666C2" w:rsidRPr="00F24A73">
              <w:rPr>
                <w:rFonts w:ascii="標楷體" w:eastAsia="標楷體" w:hAnsi="標楷體" w:hint="eastAsia"/>
                <w:szCs w:val="24"/>
              </w:rPr>
              <w:t>申請</w:t>
            </w:r>
            <w:r w:rsidR="00050843" w:rsidRPr="00F24A73">
              <w:rPr>
                <w:rFonts w:ascii="標楷體" w:eastAsia="標楷體" w:hAnsi="標楷體" w:hint="eastAsia"/>
                <w:szCs w:val="24"/>
              </w:rPr>
              <w:t>綠色債券資格</w:t>
            </w:r>
            <w:r w:rsidR="00F603B1" w:rsidRPr="00F24A73">
              <w:rPr>
                <w:rFonts w:ascii="標楷體" w:eastAsia="標楷體" w:hAnsi="標楷體" w:hint="eastAsia"/>
                <w:szCs w:val="24"/>
              </w:rPr>
              <w:t>認可</w:t>
            </w:r>
            <w:r w:rsidR="002666C2" w:rsidRPr="00F24A73">
              <w:rPr>
                <w:rFonts w:ascii="標楷體" w:eastAsia="標楷體" w:hAnsi="標楷體" w:hint="eastAsia"/>
                <w:szCs w:val="24"/>
              </w:rPr>
              <w:t>，</w:t>
            </w:r>
            <w:r w:rsidRPr="00F24A73">
              <w:rPr>
                <w:rFonts w:ascii="標楷體" w:eastAsia="標楷體" w:hAnsi="標楷體" w:hint="eastAsia"/>
                <w:szCs w:val="24"/>
              </w:rPr>
              <w:t>應訂定綠色債券資金運用計畫</w:t>
            </w:r>
            <w:r w:rsidR="00093E34" w:rsidRPr="00F24A73">
              <w:rPr>
                <w:rFonts w:ascii="標楷體" w:eastAsia="標楷體" w:hAnsi="標楷體" w:hint="eastAsia"/>
                <w:szCs w:val="24"/>
              </w:rPr>
              <w:t>，</w:t>
            </w:r>
            <w:r w:rsidR="00757A25" w:rsidRPr="00F24A73">
              <w:rPr>
                <w:rFonts w:ascii="標楷體" w:eastAsia="標楷體" w:hAnsi="標楷體" w:hint="eastAsia"/>
                <w:szCs w:val="24"/>
              </w:rPr>
              <w:t>且須</w:t>
            </w:r>
            <w:r w:rsidR="00093E34" w:rsidRPr="00F24A73">
              <w:rPr>
                <w:rFonts w:ascii="標楷體" w:eastAsia="標楷體" w:hAnsi="標楷體" w:hint="eastAsia"/>
                <w:szCs w:val="24"/>
              </w:rPr>
              <w:t>經認證機構出具對其綠色投資計畫具有可行性</w:t>
            </w:r>
            <w:r w:rsidR="00093E34" w:rsidRPr="00F24A73">
              <w:rPr>
                <w:rFonts w:ascii="新細明體" w:hAnsi="新細明體" w:hint="eastAsia"/>
                <w:szCs w:val="24"/>
              </w:rPr>
              <w:t>、</w:t>
            </w:r>
            <w:r w:rsidR="00093E34" w:rsidRPr="00F24A73">
              <w:rPr>
                <w:rFonts w:ascii="標楷體" w:eastAsia="標楷體" w:hAnsi="標楷體" w:hint="eastAsia"/>
                <w:szCs w:val="24"/>
              </w:rPr>
              <w:t>合理性及</w:t>
            </w:r>
            <w:r w:rsidR="00093E34" w:rsidRPr="00F24A73">
              <w:rPr>
                <w:rFonts w:ascii="標楷體" w:eastAsia="標楷體" w:hAnsi="標楷體" w:hint="eastAsia"/>
                <w:szCs w:val="24"/>
              </w:rPr>
              <w:lastRenderedPageBreak/>
              <w:t>有效性</w:t>
            </w:r>
            <w:r w:rsidR="002666C2" w:rsidRPr="00F24A73">
              <w:rPr>
                <w:rFonts w:ascii="標楷體" w:eastAsia="標楷體" w:hAnsi="標楷體" w:hint="eastAsia"/>
                <w:szCs w:val="24"/>
              </w:rPr>
              <w:t>之評估意見或認證報告</w:t>
            </w:r>
            <w:r w:rsidR="00093E34" w:rsidRPr="00F24A73">
              <w:rPr>
                <w:rFonts w:ascii="標楷體" w:eastAsia="標楷體" w:hAnsi="標楷體" w:hint="eastAsia"/>
                <w:szCs w:val="24"/>
              </w:rPr>
              <w:t>。但發行人為</w:t>
            </w:r>
            <w:r w:rsidR="00D444F9" w:rsidRPr="00F24A73">
              <w:rPr>
                <w:rFonts w:ascii="標楷體" w:eastAsia="標楷體" w:hAnsi="標楷體" w:hint="eastAsia"/>
                <w:szCs w:val="24"/>
              </w:rPr>
              <w:t>具能源供應專業之國營事業者</w:t>
            </w:r>
            <w:r w:rsidRPr="00F24A73">
              <w:rPr>
                <w:rFonts w:ascii="標楷體" w:eastAsia="標楷體" w:hAnsi="標楷體" w:hint="eastAsia"/>
                <w:szCs w:val="24"/>
              </w:rPr>
              <w:t>，</w:t>
            </w:r>
            <w:r w:rsidR="00093E34" w:rsidRPr="00F24A73">
              <w:rPr>
                <w:rFonts w:ascii="標楷體" w:eastAsia="標楷體" w:hAnsi="標楷體" w:hint="eastAsia"/>
                <w:szCs w:val="24"/>
              </w:rPr>
              <w:t>得</w:t>
            </w:r>
            <w:r w:rsidR="00505023" w:rsidRPr="00F24A73">
              <w:rPr>
                <w:rFonts w:ascii="標楷體" w:eastAsia="標楷體" w:hAnsi="標楷體" w:hint="eastAsia"/>
                <w:szCs w:val="24"/>
              </w:rPr>
              <w:t>檢附其經行政院或立法院審議通過之預算案，說明其預算案與綠色債券資金運用計畫之相關性，</w:t>
            </w:r>
            <w:r w:rsidR="00093E34" w:rsidRPr="00F24A73">
              <w:rPr>
                <w:rFonts w:ascii="標楷體" w:eastAsia="標楷體" w:hAnsi="標楷體" w:hint="eastAsia"/>
                <w:szCs w:val="24"/>
              </w:rPr>
              <w:t>自行出具評估意見</w:t>
            </w:r>
            <w:r w:rsidR="008C610A" w:rsidRPr="00F24A73">
              <w:rPr>
                <w:rFonts w:ascii="標楷體" w:eastAsia="標楷體" w:hAnsi="標楷體" w:hint="eastAsia"/>
                <w:szCs w:val="24"/>
              </w:rPr>
              <w:t>。</w:t>
            </w:r>
          </w:p>
          <w:p w:rsidR="001023F8" w:rsidRPr="00F24A73" w:rsidRDefault="001023F8" w:rsidP="001023F8">
            <w:pPr>
              <w:tabs>
                <w:tab w:val="left" w:pos="503"/>
              </w:tabs>
              <w:jc w:val="both"/>
              <w:rPr>
                <w:rFonts w:ascii="標楷體" w:eastAsia="標楷體" w:hAnsi="標楷體"/>
                <w:szCs w:val="24"/>
              </w:rPr>
            </w:pPr>
            <w:r w:rsidRPr="00F24A73">
              <w:rPr>
                <w:rFonts w:ascii="標楷體" w:eastAsia="標楷體" w:hAnsi="標楷體" w:hint="eastAsia"/>
                <w:szCs w:val="24"/>
              </w:rPr>
              <w:t xml:space="preserve">   </w:t>
            </w:r>
          </w:p>
        </w:tc>
        <w:tc>
          <w:tcPr>
            <w:tcW w:w="4678" w:type="dxa"/>
            <w:tcBorders>
              <w:top w:val="single" w:sz="4" w:space="0" w:color="auto"/>
              <w:left w:val="single" w:sz="6" w:space="0" w:color="auto"/>
              <w:bottom w:val="single" w:sz="6" w:space="0" w:color="auto"/>
              <w:right w:val="single" w:sz="4" w:space="0" w:color="auto"/>
            </w:tcBorders>
          </w:tcPr>
          <w:p w:rsidR="001023F8" w:rsidRPr="00F24A73" w:rsidRDefault="00F52BD0" w:rsidP="007E4291">
            <w:pPr>
              <w:pStyle w:val="HTML"/>
              <w:numPr>
                <w:ilvl w:val="0"/>
                <w:numId w:val="29"/>
              </w:numPr>
              <w:tabs>
                <w:tab w:val="clear" w:pos="916"/>
                <w:tab w:val="left" w:pos="709"/>
              </w:tabs>
              <w:jc w:val="both"/>
              <w:rPr>
                <w:rFonts w:ascii="標楷體" w:eastAsia="標楷體" w:hAnsi="標楷體" w:cs="Times New Roman"/>
                <w:color w:val="auto"/>
                <w:kern w:val="2"/>
                <w:lang w:val="zh-TW"/>
              </w:rPr>
            </w:pPr>
            <w:r w:rsidRPr="00F24A73">
              <w:rPr>
                <w:rFonts w:ascii="標楷體" w:eastAsia="標楷體" w:hAnsi="標楷體" w:cs="Times New Roman" w:hint="eastAsia"/>
                <w:color w:val="auto"/>
                <w:kern w:val="2"/>
                <w:lang w:val="zh-TW"/>
              </w:rPr>
              <w:lastRenderedPageBreak/>
              <w:t>為確保發行人所募資金的管理應符合綠色投資計畫之用途，</w:t>
            </w:r>
            <w:proofErr w:type="gramStart"/>
            <w:r w:rsidRPr="00F24A73">
              <w:rPr>
                <w:rFonts w:ascii="標楷體" w:eastAsia="標楷體" w:hAnsi="標楷體" w:cs="Times New Roman" w:hint="eastAsia"/>
                <w:color w:val="auto"/>
                <w:kern w:val="2"/>
                <w:lang w:val="zh-TW"/>
              </w:rPr>
              <w:t>爰</w:t>
            </w:r>
            <w:proofErr w:type="gramEnd"/>
            <w:r w:rsidRPr="00F24A73">
              <w:rPr>
                <w:rFonts w:ascii="標楷體" w:eastAsia="標楷體" w:hAnsi="標楷體" w:cs="Times New Roman" w:hint="eastAsia"/>
                <w:color w:val="auto"/>
                <w:kern w:val="2"/>
                <w:lang w:val="zh-TW"/>
              </w:rPr>
              <w:t>訂定</w:t>
            </w:r>
            <w:r w:rsidR="001023F8" w:rsidRPr="00F24A73">
              <w:rPr>
                <w:rFonts w:ascii="標楷體" w:eastAsia="標楷體" w:hAnsi="標楷體" w:cs="Times New Roman" w:hint="eastAsia"/>
                <w:color w:val="auto"/>
                <w:kern w:val="2"/>
                <w:lang w:val="zh-TW"/>
              </w:rPr>
              <w:t>發行人應訂定綠色債券資金運用計畫，且</w:t>
            </w:r>
            <w:r w:rsidR="00757A25" w:rsidRPr="00F24A73">
              <w:rPr>
                <w:rFonts w:ascii="標楷體" w:eastAsia="標楷體" w:hAnsi="標楷體" w:cs="Times New Roman" w:hint="eastAsia"/>
                <w:color w:val="auto"/>
                <w:kern w:val="2"/>
                <w:lang w:val="zh-TW"/>
              </w:rPr>
              <w:t>該計畫</w:t>
            </w:r>
            <w:r w:rsidR="001023F8" w:rsidRPr="00F24A73">
              <w:rPr>
                <w:rFonts w:ascii="標楷體" w:eastAsia="標楷體" w:hAnsi="標楷體" w:cs="Times New Roman" w:hint="eastAsia"/>
                <w:color w:val="auto"/>
                <w:kern w:val="2"/>
                <w:lang w:val="zh-TW"/>
              </w:rPr>
              <w:t>應</w:t>
            </w:r>
            <w:r w:rsidR="001023F8" w:rsidRPr="00F24A73">
              <w:rPr>
                <w:rFonts w:ascii="標楷體" w:eastAsia="標楷體" w:hAnsi="標楷體" w:cs="Times New Roman" w:hint="eastAsia"/>
                <w:color w:val="auto"/>
                <w:kern w:val="2"/>
                <w:lang w:val="zh-TW"/>
              </w:rPr>
              <w:lastRenderedPageBreak/>
              <w:t>經認證機構</w:t>
            </w:r>
            <w:r w:rsidR="00757A25" w:rsidRPr="00F24A73">
              <w:rPr>
                <w:rFonts w:ascii="標楷體" w:eastAsia="標楷體" w:hAnsi="標楷體" w:cs="Times New Roman" w:hint="eastAsia"/>
                <w:color w:val="auto"/>
                <w:kern w:val="2"/>
                <w:lang w:val="zh-TW"/>
              </w:rPr>
              <w:t>評估</w:t>
            </w:r>
            <w:r w:rsidR="001023F8" w:rsidRPr="00F24A73">
              <w:rPr>
                <w:rFonts w:ascii="標楷體" w:eastAsia="標楷體" w:hAnsi="標楷體" w:cs="Times New Roman" w:hint="eastAsia"/>
                <w:color w:val="auto"/>
                <w:kern w:val="2"/>
                <w:lang w:val="zh-TW"/>
              </w:rPr>
              <w:t>對其綠色投資計畫具有可行性</w:t>
            </w:r>
            <w:r w:rsidR="001023F8" w:rsidRPr="00F24A73">
              <w:rPr>
                <w:rFonts w:ascii="新細明體" w:eastAsia="新細明體" w:hAnsi="新細明體" w:cs="Times New Roman" w:hint="eastAsia"/>
                <w:color w:val="auto"/>
                <w:kern w:val="2"/>
                <w:lang w:val="zh-TW"/>
              </w:rPr>
              <w:t>、</w:t>
            </w:r>
            <w:r w:rsidR="001023F8" w:rsidRPr="00F24A73">
              <w:rPr>
                <w:rFonts w:ascii="標楷體" w:eastAsia="標楷體" w:hAnsi="標楷體" w:cs="Times New Roman" w:hint="eastAsia"/>
                <w:color w:val="auto"/>
                <w:kern w:val="2"/>
                <w:lang w:val="zh-TW"/>
              </w:rPr>
              <w:t>合理性及有效性。</w:t>
            </w:r>
          </w:p>
          <w:p w:rsidR="007A5104" w:rsidRPr="00F24A73" w:rsidRDefault="00505023" w:rsidP="00181A14">
            <w:pPr>
              <w:pStyle w:val="HTML"/>
              <w:numPr>
                <w:ilvl w:val="0"/>
                <w:numId w:val="29"/>
              </w:numPr>
              <w:tabs>
                <w:tab w:val="clear" w:pos="916"/>
                <w:tab w:val="left" w:pos="709"/>
              </w:tabs>
              <w:jc w:val="both"/>
              <w:rPr>
                <w:rFonts w:ascii="標楷體" w:eastAsia="標楷體" w:hAnsi="標楷體" w:cs="Times New Roman"/>
                <w:color w:val="auto"/>
                <w:kern w:val="2"/>
                <w:lang w:val="zh-TW"/>
              </w:rPr>
            </w:pPr>
            <w:r w:rsidRPr="00F24A73">
              <w:rPr>
                <w:rFonts w:ascii="標楷體" w:eastAsia="標楷體" w:hAnsi="標楷體" w:cs="Times New Roman" w:hint="eastAsia"/>
                <w:color w:val="auto"/>
                <w:kern w:val="2"/>
                <w:lang w:val="zh-TW"/>
              </w:rPr>
              <w:t>考量</w:t>
            </w:r>
            <w:r w:rsidR="00C84B71" w:rsidRPr="00F24A73">
              <w:rPr>
                <w:rFonts w:ascii="標楷體" w:eastAsia="標楷體" w:hAnsi="標楷體" w:cs="Times New Roman" w:hint="eastAsia"/>
                <w:color w:val="auto"/>
                <w:kern w:val="2"/>
                <w:lang w:val="zh-TW"/>
              </w:rPr>
              <w:t>能源供應專業之國營事業</w:t>
            </w:r>
            <w:r w:rsidR="00C84B71" w:rsidRPr="00F24A73">
              <w:rPr>
                <w:rFonts w:ascii="標楷體" w:eastAsia="標楷體" w:hAnsi="標楷體" w:hint="eastAsia"/>
                <w:color w:val="auto"/>
                <w:lang w:val="zh-TW"/>
              </w:rPr>
              <w:t>，其</w:t>
            </w:r>
            <w:r w:rsidR="001023F8" w:rsidRPr="00F24A73">
              <w:rPr>
                <w:rFonts w:ascii="標楷體" w:eastAsia="標楷體" w:hAnsi="標楷體" w:hint="eastAsia"/>
                <w:color w:val="auto"/>
                <w:lang w:val="zh-TW"/>
              </w:rPr>
              <w:t>專案投資</w:t>
            </w:r>
            <w:r w:rsidR="00CD1CEF" w:rsidRPr="00F24A73">
              <w:rPr>
                <w:rFonts w:ascii="標楷體" w:eastAsia="標楷體" w:hAnsi="標楷體" w:hint="eastAsia"/>
                <w:color w:val="auto"/>
                <w:lang w:val="zh-TW"/>
              </w:rPr>
              <w:t>計畫</w:t>
            </w:r>
            <w:r w:rsidR="00DB3F31" w:rsidRPr="00F24A73">
              <w:rPr>
                <w:rFonts w:ascii="標楷體" w:eastAsia="標楷體" w:hAnsi="標楷體" w:hint="eastAsia"/>
                <w:color w:val="auto"/>
                <w:lang w:val="zh-TW"/>
              </w:rPr>
              <w:t>與公司債</w:t>
            </w:r>
            <w:r w:rsidR="0047302A" w:rsidRPr="00F24A73">
              <w:rPr>
                <w:rFonts w:ascii="標楷體" w:eastAsia="標楷體" w:hAnsi="標楷體" w:hint="eastAsia"/>
                <w:color w:val="auto"/>
                <w:lang w:val="zh-TW"/>
              </w:rPr>
              <w:t>發行，皆須經</w:t>
            </w:r>
            <w:r w:rsidR="00CF3DA8" w:rsidRPr="00F24A73">
              <w:rPr>
                <w:rFonts w:ascii="標楷體" w:eastAsia="標楷體" w:hAnsi="標楷體" w:hint="eastAsia"/>
                <w:color w:val="auto"/>
                <w:lang w:val="zh-TW"/>
              </w:rPr>
              <w:t>行政院或</w:t>
            </w:r>
            <w:r w:rsidR="001023F8" w:rsidRPr="00F24A73">
              <w:rPr>
                <w:rFonts w:ascii="標楷體" w:eastAsia="標楷體" w:hAnsi="標楷體" w:hint="eastAsia"/>
                <w:color w:val="auto"/>
                <w:lang w:val="zh-TW"/>
              </w:rPr>
              <w:t>立法院審議通</w:t>
            </w:r>
            <w:r w:rsidR="0089393C" w:rsidRPr="00F24A73">
              <w:rPr>
                <w:rFonts w:ascii="標楷體" w:eastAsia="標楷體" w:hAnsi="標楷體" w:hint="eastAsia"/>
                <w:color w:val="auto"/>
                <w:lang w:val="zh-TW"/>
              </w:rPr>
              <w:t>過</w:t>
            </w:r>
            <w:r w:rsidR="001023F8" w:rsidRPr="00F24A73">
              <w:rPr>
                <w:rFonts w:ascii="標楷體" w:eastAsia="標楷體" w:hAnsi="標楷體" w:hint="eastAsia"/>
                <w:color w:val="auto"/>
                <w:lang w:val="zh-TW"/>
              </w:rPr>
              <w:t>，</w:t>
            </w:r>
            <w:r w:rsidR="00980B7F" w:rsidRPr="00F24A73">
              <w:rPr>
                <w:rFonts w:ascii="標楷體" w:eastAsia="標楷體" w:hAnsi="標楷體" w:cs="Times New Roman" w:hint="eastAsia"/>
                <w:color w:val="auto"/>
                <w:kern w:val="2"/>
                <w:lang w:val="zh-TW"/>
              </w:rPr>
              <w:t>且國營事業管理法已</w:t>
            </w:r>
            <w:r w:rsidR="006C1D80" w:rsidRPr="00F24A73">
              <w:rPr>
                <w:rFonts w:ascii="標楷體" w:eastAsia="標楷體" w:hAnsi="標楷體" w:cs="Times New Roman" w:hint="eastAsia"/>
                <w:color w:val="auto"/>
                <w:kern w:val="2"/>
                <w:lang w:val="zh-TW"/>
              </w:rPr>
              <w:t>規範其</w:t>
            </w:r>
            <w:r w:rsidR="00980B7F" w:rsidRPr="00F24A73">
              <w:rPr>
                <w:rFonts w:ascii="標楷體" w:eastAsia="標楷體" w:hAnsi="標楷體" w:cs="Times New Roman" w:hint="eastAsia"/>
                <w:color w:val="auto"/>
                <w:kern w:val="2"/>
                <w:lang w:val="zh-TW"/>
              </w:rPr>
              <w:t>須</w:t>
            </w:r>
            <w:r w:rsidR="00D07AA4" w:rsidRPr="00F24A73">
              <w:rPr>
                <w:rFonts w:ascii="標楷體" w:eastAsia="標楷體" w:hAnsi="標楷體" w:cs="Times New Roman" w:hint="eastAsia"/>
                <w:color w:val="auto"/>
                <w:kern w:val="2"/>
                <w:lang w:val="zh-TW"/>
              </w:rPr>
              <w:t>依指定用途使用公司債債款</w:t>
            </w:r>
            <w:r w:rsidR="00F417E6" w:rsidRPr="00F24A73">
              <w:rPr>
                <w:rFonts w:ascii="標楷體" w:eastAsia="標楷體" w:hAnsi="標楷體" w:cs="Times New Roman" w:hint="eastAsia"/>
                <w:color w:val="auto"/>
                <w:kern w:val="2"/>
                <w:lang w:val="zh-TW"/>
              </w:rPr>
              <w:t>，</w:t>
            </w:r>
            <w:proofErr w:type="gramStart"/>
            <w:r w:rsidR="00F417E6" w:rsidRPr="00F24A73">
              <w:rPr>
                <w:rFonts w:ascii="標楷體" w:eastAsia="標楷體" w:hAnsi="標楷體" w:cs="Times New Roman" w:hint="eastAsia"/>
                <w:color w:val="auto"/>
                <w:kern w:val="2"/>
                <w:lang w:val="zh-TW"/>
              </w:rPr>
              <w:t>爰</w:t>
            </w:r>
            <w:proofErr w:type="gramEnd"/>
            <w:r w:rsidR="00F417E6" w:rsidRPr="00F24A73">
              <w:rPr>
                <w:rFonts w:ascii="標楷體" w:eastAsia="標楷體" w:hAnsi="標楷體" w:cs="Times New Roman" w:hint="eastAsia"/>
                <w:color w:val="auto"/>
                <w:kern w:val="2"/>
                <w:lang w:val="zh-TW"/>
              </w:rPr>
              <w:t>訂定</w:t>
            </w:r>
            <w:r w:rsidR="00C435CC" w:rsidRPr="00F24A73">
              <w:rPr>
                <w:rFonts w:ascii="標楷體" w:eastAsia="標楷體" w:hAnsi="標楷體" w:hint="eastAsia"/>
                <w:color w:val="auto"/>
                <w:lang w:val="zh-TW"/>
              </w:rPr>
              <w:t>其</w:t>
            </w:r>
            <w:r w:rsidR="00F417E6" w:rsidRPr="00F24A73">
              <w:rPr>
                <w:rFonts w:ascii="標楷體" w:eastAsia="標楷體" w:hAnsi="標楷體" w:hint="eastAsia"/>
                <w:color w:val="auto"/>
                <w:lang w:val="zh-TW"/>
              </w:rPr>
              <w:t>得</w:t>
            </w:r>
            <w:proofErr w:type="gramStart"/>
            <w:r w:rsidRPr="00F24A73">
              <w:rPr>
                <w:rFonts w:ascii="標楷體" w:eastAsia="標楷體" w:hAnsi="標楷體" w:hint="eastAsia"/>
                <w:color w:val="auto"/>
              </w:rPr>
              <w:t>檢附經行政院</w:t>
            </w:r>
            <w:proofErr w:type="gramEnd"/>
            <w:r w:rsidRPr="00F24A73">
              <w:rPr>
                <w:rFonts w:ascii="標楷體" w:eastAsia="標楷體" w:hAnsi="標楷體" w:hint="eastAsia"/>
                <w:color w:val="auto"/>
              </w:rPr>
              <w:t>或立法院審議通過之預算案</w:t>
            </w:r>
            <w:r w:rsidR="002C40F1" w:rsidRPr="00F24A73">
              <w:rPr>
                <w:rFonts w:ascii="標楷體" w:eastAsia="標楷體" w:hAnsi="標楷體" w:hint="eastAsia"/>
                <w:color w:val="auto"/>
              </w:rPr>
              <w:t>資料</w:t>
            </w:r>
            <w:r w:rsidRPr="00F24A73">
              <w:rPr>
                <w:rFonts w:ascii="標楷體" w:eastAsia="標楷體" w:hAnsi="標楷體" w:hint="eastAsia"/>
                <w:color w:val="auto"/>
              </w:rPr>
              <w:t>，說明其預算案與綠色債券資金運用計畫之相關性，</w:t>
            </w:r>
            <w:r w:rsidR="002C40F1" w:rsidRPr="00F24A73">
              <w:rPr>
                <w:rFonts w:ascii="標楷體" w:eastAsia="標楷體" w:hAnsi="標楷體" w:hint="eastAsia"/>
                <w:color w:val="auto"/>
              </w:rPr>
              <w:t>並</w:t>
            </w:r>
            <w:r w:rsidR="00C435CC" w:rsidRPr="00F24A73">
              <w:rPr>
                <w:rFonts w:ascii="標楷體" w:eastAsia="標楷體" w:hAnsi="標楷體" w:hint="eastAsia"/>
                <w:color w:val="auto"/>
                <w:lang w:val="zh-TW"/>
              </w:rPr>
              <w:t>自行出具資金運用計畫</w:t>
            </w:r>
            <w:r w:rsidR="00181A14" w:rsidRPr="00F24A73">
              <w:rPr>
                <w:rFonts w:ascii="標楷體" w:eastAsia="標楷體" w:hAnsi="標楷體" w:hint="eastAsia"/>
                <w:color w:val="auto"/>
                <w:lang w:val="zh-TW"/>
              </w:rPr>
              <w:t>可行、合理及有效</w:t>
            </w:r>
            <w:r w:rsidR="00C435CC" w:rsidRPr="00F24A73">
              <w:rPr>
                <w:rFonts w:ascii="標楷體" w:eastAsia="標楷體" w:hAnsi="標楷體" w:hint="eastAsia"/>
                <w:color w:val="auto"/>
                <w:lang w:val="zh-TW"/>
              </w:rPr>
              <w:t>之評估意見</w:t>
            </w:r>
            <w:r w:rsidR="00F417E6" w:rsidRPr="00F24A73">
              <w:rPr>
                <w:rFonts w:ascii="標楷體" w:eastAsia="標楷體" w:hAnsi="標楷體" w:hint="eastAsia"/>
                <w:color w:val="auto"/>
                <w:lang w:val="zh-TW"/>
              </w:rPr>
              <w:t>，以代替外部機構之認證</w:t>
            </w:r>
            <w:r w:rsidR="001023F8" w:rsidRPr="00F24A73">
              <w:rPr>
                <w:rFonts w:ascii="標楷體" w:eastAsia="標楷體" w:hAnsi="標楷體" w:hint="eastAsia"/>
                <w:color w:val="auto"/>
                <w:lang w:val="zh-TW"/>
              </w:rPr>
              <w:t>。</w:t>
            </w: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1023F8" w:rsidRPr="00F24A73" w:rsidRDefault="001023F8" w:rsidP="001023F8">
            <w:pPr>
              <w:jc w:val="both"/>
              <w:rPr>
                <w:rFonts w:ascii="標楷體" w:eastAsia="標楷體" w:hAnsi="標楷體"/>
                <w:szCs w:val="24"/>
              </w:rPr>
            </w:pPr>
            <w:r w:rsidRPr="00F24A73">
              <w:rPr>
                <w:rFonts w:ascii="標楷體" w:eastAsia="標楷體" w:hAnsi="標楷體" w:hint="eastAsia"/>
                <w:szCs w:val="24"/>
              </w:rPr>
              <w:lastRenderedPageBreak/>
              <w:t>第</w:t>
            </w:r>
            <w:r w:rsidR="00154E20" w:rsidRPr="00F24A73">
              <w:rPr>
                <w:rFonts w:ascii="標楷體" w:eastAsia="標楷體" w:hAnsi="標楷體" w:hint="eastAsia"/>
                <w:szCs w:val="24"/>
              </w:rPr>
              <w:t>十</w:t>
            </w:r>
            <w:r w:rsidRPr="00F24A73">
              <w:rPr>
                <w:rFonts w:ascii="標楷體" w:eastAsia="標楷體" w:hAnsi="標楷體" w:hint="eastAsia"/>
                <w:szCs w:val="24"/>
              </w:rPr>
              <w:t>條</w:t>
            </w:r>
          </w:p>
          <w:p w:rsidR="001023F8" w:rsidRPr="00F24A73" w:rsidRDefault="001023F8" w:rsidP="00017958">
            <w:pPr>
              <w:jc w:val="both"/>
              <w:rPr>
                <w:rFonts w:ascii="標楷體" w:eastAsia="標楷體" w:hAnsi="標楷體"/>
                <w:szCs w:val="24"/>
              </w:rPr>
            </w:pPr>
            <w:r w:rsidRPr="00F24A73">
              <w:rPr>
                <w:rFonts w:ascii="標楷體" w:eastAsia="標楷體" w:hAnsi="標楷體" w:hint="eastAsia"/>
                <w:szCs w:val="24"/>
              </w:rPr>
              <w:t xml:space="preserve">    發行人應於公開說明書揭露綠色投資計畫或綠色投資計畫之放款、認定標準、環境效益評估</w:t>
            </w:r>
            <w:r w:rsidR="00017958" w:rsidRPr="00F24A73">
              <w:rPr>
                <w:rFonts w:ascii="標楷體" w:eastAsia="標楷體" w:hAnsi="標楷體" w:hint="eastAsia"/>
                <w:szCs w:val="24"/>
              </w:rPr>
              <w:t>、</w:t>
            </w:r>
            <w:r w:rsidRPr="00F24A73">
              <w:rPr>
                <w:rFonts w:ascii="標楷體" w:eastAsia="標楷體" w:hAnsi="標楷體" w:hint="eastAsia"/>
                <w:szCs w:val="24"/>
              </w:rPr>
              <w:t>資金運用計畫</w:t>
            </w:r>
            <w:r w:rsidR="0047302A" w:rsidRPr="00F24A73">
              <w:rPr>
                <w:rFonts w:ascii="標楷體" w:eastAsia="標楷體" w:hAnsi="標楷體" w:hint="eastAsia"/>
                <w:szCs w:val="24"/>
              </w:rPr>
              <w:t>及</w:t>
            </w:r>
            <w:r w:rsidR="00017958" w:rsidRPr="00F24A73">
              <w:rPr>
                <w:rFonts w:ascii="標楷體" w:eastAsia="標楷體" w:hAnsi="標楷體" w:hint="eastAsia"/>
                <w:szCs w:val="24"/>
              </w:rPr>
              <w:t>認證機構之相關資訊</w:t>
            </w:r>
            <w:r w:rsidRPr="00F24A73">
              <w:rPr>
                <w:rFonts w:ascii="標楷體" w:eastAsia="標楷體" w:hAnsi="標楷體" w:hint="eastAsia"/>
                <w:szCs w:val="24"/>
              </w:rPr>
              <w:t>等內容。</w:t>
            </w:r>
          </w:p>
        </w:tc>
        <w:tc>
          <w:tcPr>
            <w:tcW w:w="4678" w:type="dxa"/>
            <w:tcBorders>
              <w:top w:val="single" w:sz="4" w:space="0" w:color="auto"/>
              <w:left w:val="single" w:sz="6" w:space="0" w:color="auto"/>
              <w:bottom w:val="single" w:sz="6" w:space="0" w:color="auto"/>
              <w:right w:val="single" w:sz="4" w:space="0" w:color="auto"/>
            </w:tcBorders>
          </w:tcPr>
          <w:p w:rsidR="001023F8" w:rsidRPr="00F24A73" w:rsidRDefault="00D14777" w:rsidP="00D14777">
            <w:pPr>
              <w:autoSpaceDE w:val="0"/>
              <w:autoSpaceDN w:val="0"/>
              <w:adjustRightInd w:val="0"/>
              <w:jc w:val="both"/>
              <w:rPr>
                <w:rFonts w:ascii="標楷體" w:eastAsia="標楷體" w:hAnsi="標楷體"/>
                <w:szCs w:val="24"/>
                <w:lang w:val="zh-TW"/>
              </w:rPr>
            </w:pPr>
            <w:r w:rsidRPr="00F24A73">
              <w:rPr>
                <w:rFonts w:ascii="標楷體" w:eastAsia="標楷體" w:hAnsi="標楷體" w:hint="eastAsia"/>
                <w:szCs w:val="24"/>
                <w:lang w:val="zh-TW"/>
              </w:rPr>
              <w:t>為利投資人了解綠色債券相關資訊，</w:t>
            </w:r>
            <w:proofErr w:type="gramStart"/>
            <w:r w:rsidRPr="00F24A73">
              <w:rPr>
                <w:rFonts w:ascii="標楷體" w:eastAsia="標楷體" w:hAnsi="標楷體" w:hint="eastAsia"/>
                <w:szCs w:val="24"/>
                <w:lang w:val="zh-TW"/>
              </w:rPr>
              <w:t>爰</w:t>
            </w:r>
            <w:proofErr w:type="gramEnd"/>
            <w:r w:rsidRPr="00F24A73">
              <w:rPr>
                <w:rFonts w:ascii="標楷體" w:eastAsia="標楷體" w:hAnsi="標楷體" w:hint="eastAsia"/>
                <w:szCs w:val="24"/>
                <w:lang w:val="zh-TW"/>
              </w:rPr>
              <w:t>訂定</w:t>
            </w:r>
            <w:r w:rsidR="001023F8" w:rsidRPr="00F24A73">
              <w:rPr>
                <w:rFonts w:ascii="標楷體" w:eastAsia="標楷體" w:hAnsi="標楷體" w:hint="eastAsia"/>
                <w:szCs w:val="24"/>
                <w:lang w:val="zh-TW"/>
              </w:rPr>
              <w:t>發行人之綠色債券公開</w:t>
            </w:r>
            <w:r w:rsidR="0089393C" w:rsidRPr="00F24A73">
              <w:rPr>
                <w:rFonts w:ascii="標楷體" w:eastAsia="標楷體" w:hAnsi="標楷體" w:hint="eastAsia"/>
                <w:szCs w:val="24"/>
                <w:lang w:val="zh-TW"/>
              </w:rPr>
              <w:t>說</w:t>
            </w:r>
            <w:r w:rsidRPr="00F24A73">
              <w:rPr>
                <w:rFonts w:ascii="標楷體" w:eastAsia="標楷體" w:hAnsi="標楷體" w:hint="eastAsia"/>
                <w:szCs w:val="24"/>
                <w:lang w:val="zh-TW"/>
              </w:rPr>
              <w:t>明書應揭露綠色投資計畫之相關</w:t>
            </w:r>
            <w:r w:rsidR="001023F8" w:rsidRPr="00F24A73">
              <w:rPr>
                <w:rFonts w:ascii="標楷體" w:eastAsia="標楷體" w:hAnsi="標楷體" w:hint="eastAsia"/>
                <w:szCs w:val="24"/>
                <w:lang w:val="zh-TW"/>
              </w:rPr>
              <w:t>內容。</w:t>
            </w:r>
          </w:p>
        </w:tc>
      </w:tr>
      <w:tr w:rsidR="00F24A73" w:rsidRPr="00F24A73" w:rsidTr="006B1BF6">
        <w:trPr>
          <w:trHeight w:val="641"/>
        </w:trPr>
        <w:tc>
          <w:tcPr>
            <w:tcW w:w="4500" w:type="dxa"/>
            <w:tcBorders>
              <w:top w:val="single" w:sz="4" w:space="0" w:color="auto"/>
              <w:left w:val="single" w:sz="6" w:space="0" w:color="auto"/>
              <w:bottom w:val="single" w:sz="6" w:space="0" w:color="auto"/>
              <w:right w:val="single" w:sz="4" w:space="0" w:color="auto"/>
            </w:tcBorders>
          </w:tcPr>
          <w:p w:rsidR="001023F8" w:rsidRPr="00F24A73" w:rsidRDefault="001023F8" w:rsidP="001023F8">
            <w:pPr>
              <w:jc w:val="both"/>
              <w:rPr>
                <w:rFonts w:ascii="標楷體" w:eastAsia="標楷體" w:hAnsi="標楷體"/>
                <w:szCs w:val="24"/>
              </w:rPr>
            </w:pPr>
            <w:r w:rsidRPr="00F24A73">
              <w:rPr>
                <w:rFonts w:ascii="標楷體" w:eastAsia="標楷體" w:hAnsi="標楷體" w:hint="eastAsia"/>
                <w:szCs w:val="24"/>
              </w:rPr>
              <w:t>第十</w:t>
            </w:r>
            <w:r w:rsidR="00154E20" w:rsidRPr="00F24A73">
              <w:rPr>
                <w:rFonts w:ascii="標楷體" w:eastAsia="標楷體" w:hAnsi="標楷體" w:hint="eastAsia"/>
                <w:szCs w:val="24"/>
              </w:rPr>
              <w:t>一</w:t>
            </w:r>
            <w:r w:rsidRPr="00F24A73">
              <w:rPr>
                <w:rFonts w:ascii="標楷體" w:eastAsia="標楷體" w:hAnsi="標楷體" w:hint="eastAsia"/>
                <w:szCs w:val="24"/>
              </w:rPr>
              <w:t>條</w:t>
            </w:r>
          </w:p>
          <w:p w:rsidR="001023F8" w:rsidRPr="00F24A73" w:rsidRDefault="001023F8" w:rsidP="001023F8">
            <w:pPr>
              <w:pStyle w:val="a3"/>
              <w:ind w:leftChars="0" w:left="0" w:firstLineChars="200" w:firstLine="480"/>
              <w:jc w:val="both"/>
              <w:rPr>
                <w:rFonts w:ascii="標楷體" w:eastAsia="標楷體" w:hAnsi="標楷體"/>
                <w:szCs w:val="24"/>
              </w:rPr>
            </w:pPr>
            <w:r w:rsidRPr="00F24A73">
              <w:rPr>
                <w:rFonts w:ascii="標楷體" w:eastAsia="標楷體" w:hAnsi="標楷體" w:hint="eastAsia"/>
                <w:szCs w:val="24"/>
              </w:rPr>
              <w:t>發行人應於綠色債券</w:t>
            </w:r>
            <w:r w:rsidR="00F40B56" w:rsidRPr="00F24A73">
              <w:rPr>
                <w:rFonts w:ascii="標楷體" w:eastAsia="標楷體" w:hAnsi="標楷體" w:hint="eastAsia"/>
                <w:szCs w:val="24"/>
              </w:rPr>
              <w:t>存續期間</w:t>
            </w:r>
            <w:r w:rsidRPr="00F24A73">
              <w:rPr>
                <w:rFonts w:ascii="標楷體" w:eastAsia="標楷體" w:hAnsi="標楷體" w:hint="eastAsia"/>
                <w:szCs w:val="24"/>
              </w:rPr>
              <w:t>或所募資金運用</w:t>
            </w:r>
            <w:proofErr w:type="gramStart"/>
            <w:r w:rsidRPr="00F24A73">
              <w:rPr>
                <w:rFonts w:ascii="標楷體" w:eastAsia="標楷體" w:hAnsi="標楷體" w:hint="eastAsia"/>
                <w:szCs w:val="24"/>
              </w:rPr>
              <w:t>期間，</w:t>
            </w:r>
            <w:proofErr w:type="gramEnd"/>
            <w:r w:rsidRPr="00F24A73">
              <w:rPr>
                <w:rFonts w:ascii="標楷體" w:eastAsia="標楷體" w:hAnsi="標楷體" w:hint="eastAsia"/>
                <w:szCs w:val="24"/>
              </w:rPr>
              <w:t>每會計年度終了後三十日內，由認證機構出具對資金</w:t>
            </w:r>
            <w:r w:rsidR="00CD1CEF" w:rsidRPr="00F24A73">
              <w:rPr>
                <w:rFonts w:ascii="標楷體" w:eastAsia="標楷體" w:hAnsi="標楷體" w:hint="eastAsia"/>
                <w:szCs w:val="24"/>
              </w:rPr>
              <w:t>運用</w:t>
            </w:r>
            <w:r w:rsidRPr="00F24A73">
              <w:rPr>
                <w:rFonts w:ascii="標楷體" w:eastAsia="標楷體" w:hAnsi="標楷體" w:hint="eastAsia"/>
                <w:szCs w:val="24"/>
              </w:rPr>
              <w:t>情形</w:t>
            </w:r>
            <w:r w:rsidR="00F40B56" w:rsidRPr="00F24A73">
              <w:rPr>
                <w:rFonts w:ascii="標楷體" w:eastAsia="標楷體" w:hAnsi="標楷體" w:hint="eastAsia"/>
                <w:szCs w:val="24"/>
              </w:rPr>
              <w:t>是否</w:t>
            </w:r>
            <w:r w:rsidRPr="00F24A73">
              <w:rPr>
                <w:rFonts w:ascii="標楷體" w:eastAsia="標楷體" w:hAnsi="標楷體" w:hint="eastAsia"/>
                <w:szCs w:val="24"/>
              </w:rPr>
              <w:t>符合資金運用計畫之評估意見</w:t>
            </w:r>
            <w:r w:rsidR="0047302A" w:rsidRPr="00F24A73">
              <w:rPr>
                <w:rFonts w:ascii="標楷體" w:eastAsia="標楷體" w:hAnsi="標楷體" w:hint="eastAsia"/>
                <w:szCs w:val="24"/>
              </w:rPr>
              <w:t>或認證報告</w:t>
            </w:r>
            <w:r w:rsidRPr="00F24A73">
              <w:rPr>
                <w:rFonts w:ascii="標楷體" w:eastAsia="標楷體" w:hAnsi="標楷體" w:hint="eastAsia"/>
                <w:szCs w:val="24"/>
              </w:rPr>
              <w:t>。但發行人為</w:t>
            </w:r>
            <w:r w:rsidR="00D444F9" w:rsidRPr="00F24A73">
              <w:rPr>
                <w:rFonts w:ascii="標楷體" w:eastAsia="標楷體" w:hAnsi="標楷體" w:hint="eastAsia"/>
                <w:szCs w:val="24"/>
              </w:rPr>
              <w:t>具能源供應專業之國營事業者</w:t>
            </w:r>
            <w:r w:rsidRPr="00F24A73">
              <w:rPr>
                <w:rFonts w:ascii="標楷體" w:eastAsia="標楷體" w:hAnsi="標楷體" w:hint="eastAsia"/>
                <w:szCs w:val="24"/>
              </w:rPr>
              <w:t>，得</w:t>
            </w:r>
            <w:r w:rsidR="0041566A" w:rsidRPr="00F24A73">
              <w:rPr>
                <w:rFonts w:ascii="標楷體" w:eastAsia="標楷體" w:hAnsi="標楷體" w:hint="eastAsia"/>
                <w:szCs w:val="24"/>
              </w:rPr>
              <w:t>依據</w:t>
            </w:r>
            <w:r w:rsidR="00505023" w:rsidRPr="00F24A73">
              <w:rPr>
                <w:rFonts w:ascii="標楷體" w:eastAsia="標楷體" w:hAnsi="標楷體" w:hint="eastAsia"/>
                <w:szCs w:val="24"/>
              </w:rPr>
              <w:t>相關預算案執行情形之 帳</w:t>
            </w:r>
            <w:proofErr w:type="gramStart"/>
            <w:r w:rsidR="00505023" w:rsidRPr="00F24A73">
              <w:rPr>
                <w:rFonts w:ascii="標楷體" w:eastAsia="標楷體" w:hAnsi="標楷體" w:hint="eastAsia"/>
                <w:szCs w:val="24"/>
              </w:rPr>
              <w:t>務</w:t>
            </w:r>
            <w:proofErr w:type="gramEnd"/>
            <w:r w:rsidR="00505023" w:rsidRPr="00F24A73">
              <w:rPr>
                <w:rFonts w:ascii="標楷體" w:eastAsia="標楷體" w:hAnsi="標楷體" w:hint="eastAsia"/>
                <w:szCs w:val="24"/>
              </w:rPr>
              <w:t>明細，</w:t>
            </w:r>
            <w:r w:rsidRPr="00F24A73">
              <w:rPr>
                <w:rFonts w:ascii="標楷體" w:eastAsia="標楷體" w:hAnsi="標楷體" w:hint="eastAsia"/>
                <w:szCs w:val="24"/>
              </w:rPr>
              <w:t>自行出具相關評估意見。</w:t>
            </w:r>
          </w:p>
          <w:p w:rsidR="001023F8" w:rsidRPr="00F24A73" w:rsidRDefault="001023F8" w:rsidP="001023F8">
            <w:pPr>
              <w:pStyle w:val="a3"/>
              <w:ind w:leftChars="0" w:left="0" w:firstLineChars="200" w:firstLine="480"/>
              <w:jc w:val="both"/>
              <w:rPr>
                <w:rFonts w:ascii="標楷體" w:eastAsia="標楷體" w:hAnsi="標楷體"/>
                <w:szCs w:val="24"/>
              </w:rPr>
            </w:pPr>
            <w:r w:rsidRPr="00F24A73">
              <w:rPr>
                <w:rFonts w:ascii="標楷體" w:eastAsia="標楷體" w:hAnsi="標楷體" w:hint="eastAsia"/>
                <w:szCs w:val="24"/>
              </w:rPr>
              <w:t>發行人應於前項期限內，將資金運用情形及</w:t>
            </w:r>
            <w:r w:rsidR="00CD1CEF" w:rsidRPr="00F24A73">
              <w:rPr>
                <w:rFonts w:ascii="標楷體" w:eastAsia="標楷體" w:hAnsi="標楷體" w:hint="eastAsia"/>
                <w:szCs w:val="24"/>
              </w:rPr>
              <w:t>其</w:t>
            </w:r>
            <w:r w:rsidRPr="00F24A73">
              <w:rPr>
                <w:rFonts w:ascii="標楷體" w:eastAsia="標楷體" w:hAnsi="標楷體" w:hint="eastAsia"/>
                <w:szCs w:val="24"/>
              </w:rPr>
              <w:t>評估意見</w:t>
            </w:r>
            <w:r w:rsidR="0047302A" w:rsidRPr="00F24A73">
              <w:rPr>
                <w:rFonts w:ascii="標楷體" w:eastAsia="標楷體" w:hAnsi="標楷體" w:hint="eastAsia"/>
                <w:szCs w:val="24"/>
              </w:rPr>
              <w:t>或認證報告</w:t>
            </w:r>
            <w:r w:rsidRPr="00F24A73">
              <w:rPr>
                <w:rFonts w:ascii="標楷體" w:eastAsia="標楷體" w:hAnsi="標楷體" w:hint="eastAsia"/>
                <w:szCs w:val="24"/>
              </w:rPr>
              <w:t>輸入本中心指定之</w:t>
            </w:r>
            <w:r w:rsidRPr="00F24A73">
              <w:rPr>
                <w:rFonts w:ascii="標楷體" w:eastAsia="標楷體" w:hAnsi="標楷體" w:hint="eastAsia"/>
              </w:rPr>
              <w:t>網際網路資訊申報系統</w:t>
            </w:r>
            <w:r w:rsidRPr="00F24A73">
              <w:rPr>
                <w:rFonts w:ascii="標楷體" w:eastAsia="標楷體" w:hAnsi="標楷體" w:hint="eastAsia"/>
                <w:szCs w:val="24"/>
              </w:rPr>
              <w:t>。</w:t>
            </w:r>
          </w:p>
          <w:p w:rsidR="001023F8" w:rsidRPr="00F24A73" w:rsidRDefault="001023F8" w:rsidP="001023F8">
            <w:pPr>
              <w:pStyle w:val="a3"/>
              <w:ind w:leftChars="0" w:left="0" w:firstLineChars="200" w:firstLine="480"/>
              <w:jc w:val="both"/>
              <w:rPr>
                <w:rFonts w:ascii="標楷體" w:eastAsia="標楷體" w:hAnsi="標楷體"/>
                <w:szCs w:val="24"/>
              </w:rPr>
            </w:pPr>
          </w:p>
        </w:tc>
        <w:tc>
          <w:tcPr>
            <w:tcW w:w="4678" w:type="dxa"/>
            <w:tcBorders>
              <w:top w:val="single" w:sz="4" w:space="0" w:color="auto"/>
              <w:left w:val="single" w:sz="6" w:space="0" w:color="auto"/>
              <w:bottom w:val="single" w:sz="6" w:space="0" w:color="auto"/>
              <w:right w:val="single" w:sz="4" w:space="0" w:color="auto"/>
            </w:tcBorders>
          </w:tcPr>
          <w:p w:rsidR="001023F8" w:rsidRPr="00F24A73" w:rsidRDefault="001023F8" w:rsidP="001023F8">
            <w:pPr>
              <w:pStyle w:val="a3"/>
              <w:numPr>
                <w:ilvl w:val="0"/>
                <w:numId w:val="19"/>
              </w:numPr>
              <w:tabs>
                <w:tab w:val="left" w:pos="503"/>
              </w:tabs>
              <w:autoSpaceDE w:val="0"/>
              <w:autoSpaceDN w:val="0"/>
              <w:adjustRightInd w:val="0"/>
              <w:ind w:leftChars="0"/>
              <w:jc w:val="both"/>
              <w:rPr>
                <w:rFonts w:ascii="標楷體" w:eastAsia="標楷體" w:hAnsi="標楷體"/>
                <w:szCs w:val="24"/>
                <w:lang w:val="zh-TW"/>
              </w:rPr>
            </w:pPr>
            <w:r w:rsidRPr="00F24A73">
              <w:rPr>
                <w:rFonts w:ascii="標楷體" w:eastAsia="標楷體" w:hAnsi="標楷體" w:hint="eastAsia"/>
                <w:szCs w:val="24"/>
                <w:lang w:val="zh-TW"/>
              </w:rPr>
              <w:t>為於</w:t>
            </w:r>
            <w:r w:rsidR="00F40B56" w:rsidRPr="00F24A73">
              <w:rPr>
                <w:rFonts w:ascii="標楷體" w:eastAsia="標楷體" w:hAnsi="標楷體" w:hint="eastAsia"/>
                <w:szCs w:val="24"/>
                <w:lang w:val="zh-TW"/>
              </w:rPr>
              <w:t>綠色</w:t>
            </w:r>
            <w:r w:rsidRPr="00F24A73">
              <w:rPr>
                <w:rFonts w:ascii="標楷體" w:eastAsia="標楷體" w:hAnsi="標楷體" w:hint="eastAsia"/>
                <w:szCs w:val="24"/>
                <w:lang w:val="zh-TW"/>
              </w:rPr>
              <w:t>債券</w:t>
            </w:r>
            <w:r w:rsidR="008D769C" w:rsidRPr="00F24A73">
              <w:rPr>
                <w:rFonts w:ascii="標楷體" w:eastAsia="標楷體" w:hAnsi="標楷體" w:hint="eastAsia"/>
                <w:szCs w:val="24"/>
              </w:rPr>
              <w:t>存續期間</w:t>
            </w:r>
            <w:r w:rsidRPr="00F24A73">
              <w:rPr>
                <w:rFonts w:ascii="標楷體" w:eastAsia="標楷體" w:hAnsi="標楷體" w:hint="eastAsia"/>
                <w:szCs w:val="24"/>
                <w:lang w:val="zh-TW"/>
              </w:rPr>
              <w:t>使投資人了解發行人所募資金之執行情形，並考量資金可能於債券到期前提前用畢，</w:t>
            </w:r>
            <w:r w:rsidR="00462B11" w:rsidRPr="00F24A73">
              <w:rPr>
                <w:rFonts w:ascii="標楷體" w:eastAsia="標楷體" w:hAnsi="標楷體" w:hint="eastAsia"/>
                <w:szCs w:val="24"/>
                <w:lang w:val="zh-TW"/>
              </w:rPr>
              <w:t>發行人於所</w:t>
            </w:r>
            <w:proofErr w:type="gramStart"/>
            <w:r w:rsidR="00462B11" w:rsidRPr="00F24A73">
              <w:rPr>
                <w:rFonts w:ascii="標楷體" w:eastAsia="標楷體" w:hAnsi="標楷體" w:hint="eastAsia"/>
                <w:szCs w:val="24"/>
                <w:lang w:val="zh-TW"/>
              </w:rPr>
              <w:t>募</w:t>
            </w:r>
            <w:proofErr w:type="gramEnd"/>
            <w:r w:rsidR="00462B11" w:rsidRPr="00F24A73">
              <w:rPr>
                <w:rFonts w:ascii="標楷體" w:eastAsia="標楷體" w:hAnsi="標楷體" w:hint="eastAsia"/>
                <w:szCs w:val="24"/>
                <w:lang w:val="zh-TW"/>
              </w:rPr>
              <w:t>資金運用完畢後</w:t>
            </w:r>
            <w:r w:rsidR="005878D8" w:rsidRPr="00F24A73">
              <w:rPr>
                <w:rFonts w:ascii="標楷體" w:eastAsia="標楷體" w:hAnsi="標楷體" w:hint="eastAsia"/>
                <w:szCs w:val="24"/>
                <w:lang w:val="zh-TW"/>
              </w:rPr>
              <w:t>，</w:t>
            </w:r>
            <w:r w:rsidR="00E734EB" w:rsidRPr="00F24A73">
              <w:rPr>
                <w:rFonts w:ascii="標楷體" w:eastAsia="標楷體" w:hAnsi="標楷體" w:hint="eastAsia"/>
                <w:szCs w:val="24"/>
                <w:lang w:val="zh-TW"/>
              </w:rPr>
              <w:t>得</w:t>
            </w:r>
            <w:r w:rsidR="00462B11" w:rsidRPr="00F24A73">
              <w:rPr>
                <w:rFonts w:ascii="標楷體" w:eastAsia="標楷體" w:hAnsi="標楷體" w:hint="eastAsia"/>
                <w:szCs w:val="24"/>
                <w:lang w:val="zh-TW"/>
              </w:rPr>
              <w:t>無須持續定期辦理公告，</w:t>
            </w:r>
            <w:proofErr w:type="gramStart"/>
            <w:r w:rsidRPr="00F24A73">
              <w:rPr>
                <w:rFonts w:ascii="標楷體" w:eastAsia="標楷體" w:hAnsi="標楷體" w:hint="eastAsia"/>
                <w:szCs w:val="24"/>
                <w:lang w:val="zh-TW"/>
              </w:rPr>
              <w:t>爰</w:t>
            </w:r>
            <w:proofErr w:type="gramEnd"/>
            <w:r w:rsidRPr="00F24A73">
              <w:rPr>
                <w:rFonts w:ascii="標楷體" w:eastAsia="標楷體" w:hAnsi="標楷體" w:hint="eastAsia"/>
                <w:szCs w:val="24"/>
                <w:lang w:val="zh-TW"/>
              </w:rPr>
              <w:t>訂定</w:t>
            </w:r>
            <w:r w:rsidR="00F40B56" w:rsidRPr="00F24A73">
              <w:rPr>
                <w:rFonts w:ascii="標楷體" w:eastAsia="標楷體" w:hAnsi="標楷體" w:hint="eastAsia"/>
                <w:szCs w:val="24"/>
                <w:lang w:val="zh-TW"/>
              </w:rPr>
              <w:t>第一項規定。</w:t>
            </w:r>
          </w:p>
          <w:p w:rsidR="001023F8" w:rsidRPr="00F24A73" w:rsidRDefault="001023F8" w:rsidP="001023F8">
            <w:pPr>
              <w:pStyle w:val="a3"/>
              <w:numPr>
                <w:ilvl w:val="0"/>
                <w:numId w:val="19"/>
              </w:numPr>
              <w:tabs>
                <w:tab w:val="left" w:pos="503"/>
              </w:tabs>
              <w:autoSpaceDE w:val="0"/>
              <w:autoSpaceDN w:val="0"/>
              <w:adjustRightInd w:val="0"/>
              <w:ind w:leftChars="0"/>
              <w:jc w:val="both"/>
              <w:rPr>
                <w:rFonts w:ascii="標楷體" w:eastAsia="標楷體" w:hAnsi="標楷體"/>
                <w:szCs w:val="24"/>
                <w:lang w:val="zh-TW"/>
              </w:rPr>
            </w:pPr>
            <w:r w:rsidRPr="00F24A73">
              <w:rPr>
                <w:rFonts w:ascii="標楷體" w:eastAsia="標楷體" w:hAnsi="標楷體" w:hint="eastAsia"/>
                <w:szCs w:val="24"/>
                <w:lang w:val="zh-TW"/>
              </w:rPr>
              <w:t>為</w:t>
            </w:r>
            <w:r w:rsidR="00F40B56" w:rsidRPr="00F24A73">
              <w:rPr>
                <w:rFonts w:ascii="標楷體" w:eastAsia="標楷體" w:hAnsi="標楷體" w:hint="eastAsia"/>
                <w:szCs w:val="24"/>
                <w:lang w:val="zh-TW"/>
              </w:rPr>
              <w:t>客觀評估</w:t>
            </w:r>
            <w:r w:rsidRPr="00F24A73">
              <w:rPr>
                <w:rFonts w:ascii="標楷體" w:eastAsia="標楷體" w:hAnsi="標楷體" w:hint="eastAsia"/>
                <w:szCs w:val="24"/>
                <w:lang w:val="zh-TW"/>
              </w:rPr>
              <w:t>發行人所募資金是否</w:t>
            </w:r>
            <w:r w:rsidR="00F40B56" w:rsidRPr="00F24A73">
              <w:rPr>
                <w:rFonts w:ascii="標楷體" w:eastAsia="標楷體" w:hAnsi="標楷體" w:hint="eastAsia"/>
                <w:szCs w:val="24"/>
                <w:lang w:val="zh-TW"/>
              </w:rPr>
              <w:t>依循資金運用計畫</w:t>
            </w:r>
            <w:r w:rsidRPr="00F24A73">
              <w:rPr>
                <w:rFonts w:ascii="標楷體" w:eastAsia="標楷體" w:hAnsi="標楷體" w:hint="eastAsia"/>
                <w:szCs w:val="24"/>
                <w:lang w:val="zh-TW"/>
              </w:rPr>
              <w:t>確實</w:t>
            </w:r>
            <w:r w:rsidR="00F40B56" w:rsidRPr="00F24A73">
              <w:rPr>
                <w:rFonts w:ascii="標楷體" w:eastAsia="標楷體" w:hAnsi="標楷體" w:hint="eastAsia"/>
                <w:szCs w:val="24"/>
                <w:lang w:val="zh-TW"/>
              </w:rPr>
              <w:t>運用</w:t>
            </w:r>
            <w:r w:rsidRPr="00F24A73">
              <w:rPr>
                <w:rFonts w:ascii="標楷體" w:eastAsia="標楷體" w:hAnsi="標楷體" w:hint="eastAsia"/>
                <w:szCs w:val="24"/>
                <w:lang w:val="zh-TW"/>
              </w:rPr>
              <w:t>，</w:t>
            </w:r>
            <w:proofErr w:type="gramStart"/>
            <w:r w:rsidRPr="00F24A73">
              <w:rPr>
                <w:rFonts w:ascii="標楷體" w:eastAsia="標楷體" w:hAnsi="標楷體" w:hint="eastAsia"/>
                <w:szCs w:val="24"/>
                <w:lang w:val="zh-TW"/>
              </w:rPr>
              <w:t>爰</w:t>
            </w:r>
            <w:proofErr w:type="gramEnd"/>
            <w:r w:rsidRPr="00F24A73">
              <w:rPr>
                <w:rFonts w:ascii="標楷體" w:eastAsia="標楷體" w:hAnsi="標楷體" w:hint="eastAsia"/>
                <w:szCs w:val="24"/>
                <w:lang w:val="zh-TW"/>
              </w:rPr>
              <w:t>訂定資金運用情形須經</w:t>
            </w:r>
            <w:r w:rsidR="00CD1CEF" w:rsidRPr="00F24A73">
              <w:rPr>
                <w:rFonts w:ascii="標楷體" w:eastAsia="標楷體" w:hAnsi="標楷體" w:hint="eastAsia"/>
                <w:szCs w:val="24"/>
                <w:lang w:val="zh-TW"/>
              </w:rPr>
              <w:t>認證機構</w:t>
            </w:r>
            <w:r w:rsidRPr="00F24A73">
              <w:rPr>
                <w:rFonts w:ascii="標楷體" w:eastAsia="標楷體" w:hAnsi="標楷體" w:hint="eastAsia"/>
                <w:szCs w:val="24"/>
                <w:lang w:val="zh-TW"/>
              </w:rPr>
              <w:t>出具評估意見</w:t>
            </w:r>
            <w:r w:rsidR="00F40B56" w:rsidRPr="00F24A73">
              <w:rPr>
                <w:rFonts w:ascii="標楷體" w:eastAsia="標楷體" w:hAnsi="標楷體" w:hint="eastAsia"/>
                <w:szCs w:val="24"/>
                <w:lang w:val="zh-TW"/>
              </w:rPr>
              <w:t>或認證報告</w:t>
            </w:r>
            <w:r w:rsidRPr="00F24A73">
              <w:rPr>
                <w:rFonts w:ascii="標楷體" w:eastAsia="標楷體" w:hAnsi="標楷體" w:hint="eastAsia"/>
                <w:szCs w:val="24"/>
                <w:lang w:val="zh-TW"/>
              </w:rPr>
              <w:t>。</w:t>
            </w:r>
          </w:p>
          <w:p w:rsidR="001023F8" w:rsidRPr="00F24A73" w:rsidRDefault="00F417E6" w:rsidP="001023F8">
            <w:pPr>
              <w:pStyle w:val="a3"/>
              <w:numPr>
                <w:ilvl w:val="0"/>
                <w:numId w:val="19"/>
              </w:numPr>
              <w:tabs>
                <w:tab w:val="left" w:pos="503"/>
              </w:tabs>
              <w:autoSpaceDE w:val="0"/>
              <w:autoSpaceDN w:val="0"/>
              <w:adjustRightInd w:val="0"/>
              <w:ind w:leftChars="0"/>
              <w:jc w:val="both"/>
              <w:rPr>
                <w:rFonts w:ascii="標楷體" w:eastAsia="標楷體" w:hAnsi="標楷體"/>
                <w:szCs w:val="24"/>
                <w:lang w:val="zh-TW"/>
              </w:rPr>
            </w:pPr>
            <w:r w:rsidRPr="00F24A73">
              <w:rPr>
                <w:rFonts w:ascii="標楷體" w:eastAsia="標楷體" w:hAnsi="標楷體" w:hint="eastAsia"/>
                <w:lang w:val="zh-TW"/>
              </w:rPr>
              <w:t>考量</w:t>
            </w:r>
            <w:r w:rsidR="00C84B71" w:rsidRPr="00F24A73">
              <w:rPr>
                <w:rFonts w:ascii="標楷體" w:eastAsia="標楷體" w:hAnsi="標楷體" w:hint="eastAsia"/>
                <w:lang w:val="zh-TW"/>
              </w:rPr>
              <w:t>能源供應專業之國營事業</w:t>
            </w:r>
            <w:r w:rsidR="001023F8" w:rsidRPr="00F24A73">
              <w:rPr>
                <w:rFonts w:ascii="標楷體" w:eastAsia="標楷體" w:hAnsi="標楷體" w:hint="eastAsia"/>
                <w:szCs w:val="24"/>
                <w:lang w:val="zh-TW"/>
              </w:rPr>
              <w:t>，其</w:t>
            </w:r>
            <w:r w:rsidR="0047302A" w:rsidRPr="00F24A73">
              <w:rPr>
                <w:rFonts w:ascii="標楷體" w:eastAsia="標楷體" w:hAnsi="標楷體" w:hint="eastAsia"/>
                <w:szCs w:val="24"/>
                <w:lang w:val="zh-TW"/>
              </w:rPr>
              <w:t>資本支出與公司債發行皆</w:t>
            </w:r>
            <w:r w:rsidR="001023F8" w:rsidRPr="00F24A73">
              <w:rPr>
                <w:rFonts w:ascii="標楷體" w:eastAsia="標楷體" w:hAnsi="標楷體" w:hint="eastAsia"/>
                <w:szCs w:val="24"/>
                <w:lang w:val="zh-TW"/>
              </w:rPr>
              <w:t>經</w:t>
            </w:r>
            <w:r w:rsidR="00CF3DA8" w:rsidRPr="00F24A73">
              <w:rPr>
                <w:rFonts w:ascii="標楷體" w:eastAsia="標楷體" w:hAnsi="標楷體" w:hint="eastAsia"/>
                <w:szCs w:val="24"/>
                <w:lang w:val="zh-TW"/>
              </w:rPr>
              <w:t>行政院或</w:t>
            </w:r>
            <w:r w:rsidR="001023F8" w:rsidRPr="00F24A73">
              <w:rPr>
                <w:rFonts w:ascii="標楷體" w:eastAsia="標楷體" w:hAnsi="標楷體" w:hint="eastAsia"/>
                <w:szCs w:val="24"/>
                <w:lang w:val="zh-TW"/>
              </w:rPr>
              <w:t>立法院審議</w:t>
            </w:r>
            <w:r w:rsidR="0047302A" w:rsidRPr="00F24A73">
              <w:rPr>
                <w:rFonts w:ascii="標楷體" w:eastAsia="標楷體" w:hAnsi="標楷體" w:hint="eastAsia"/>
                <w:szCs w:val="24"/>
                <w:lang w:val="zh-TW"/>
              </w:rPr>
              <w:t>通過</w:t>
            </w:r>
            <w:r w:rsidR="001023F8" w:rsidRPr="00F24A73">
              <w:rPr>
                <w:rFonts w:ascii="標楷體" w:eastAsia="標楷體" w:hAnsi="標楷體" w:hint="eastAsia"/>
                <w:szCs w:val="24"/>
                <w:lang w:val="zh-TW"/>
              </w:rPr>
              <w:t>，而決算書則須經審計部審核，</w:t>
            </w:r>
            <w:r w:rsidR="0047302A" w:rsidRPr="00F24A73">
              <w:rPr>
                <w:rFonts w:ascii="標楷體" w:eastAsia="標楷體" w:hAnsi="標楷體" w:hint="eastAsia"/>
                <w:lang w:val="zh-TW"/>
              </w:rPr>
              <w:t>且</w:t>
            </w:r>
            <w:r w:rsidR="006C1D80" w:rsidRPr="00F24A73">
              <w:rPr>
                <w:rFonts w:ascii="標楷體" w:eastAsia="標楷體" w:hAnsi="標楷體" w:hint="eastAsia"/>
                <w:lang w:val="zh-TW"/>
              </w:rPr>
              <w:t>國營事業管理法已規範其</w:t>
            </w:r>
            <w:r w:rsidR="00F40B56" w:rsidRPr="00F24A73">
              <w:rPr>
                <w:rFonts w:ascii="標楷體" w:eastAsia="標楷體" w:hAnsi="標楷體" w:hint="eastAsia"/>
                <w:lang w:val="zh-TW"/>
              </w:rPr>
              <w:t>須依指定用途使用公司債債款，</w:t>
            </w:r>
            <w:proofErr w:type="gramStart"/>
            <w:r w:rsidRPr="00F24A73">
              <w:rPr>
                <w:rFonts w:ascii="標楷體" w:eastAsia="標楷體" w:hAnsi="標楷體" w:hint="eastAsia"/>
                <w:lang w:val="zh-TW"/>
              </w:rPr>
              <w:t>爰</w:t>
            </w:r>
            <w:proofErr w:type="gramEnd"/>
            <w:r w:rsidRPr="00F24A73">
              <w:rPr>
                <w:rFonts w:ascii="標楷體" w:eastAsia="標楷體" w:hAnsi="標楷體" w:hint="eastAsia"/>
                <w:lang w:val="zh-TW"/>
              </w:rPr>
              <w:t>訂定</w:t>
            </w:r>
            <w:r w:rsidR="00F40B56" w:rsidRPr="00F24A73">
              <w:rPr>
                <w:rFonts w:ascii="標楷體" w:eastAsia="標楷體" w:hAnsi="標楷體" w:hint="eastAsia"/>
                <w:lang w:val="zh-TW"/>
              </w:rPr>
              <w:t>其</w:t>
            </w:r>
            <w:r w:rsidRPr="00F24A73">
              <w:rPr>
                <w:rFonts w:ascii="標楷體" w:eastAsia="標楷體" w:hAnsi="標楷體" w:hint="eastAsia"/>
                <w:lang w:val="zh-TW"/>
              </w:rPr>
              <w:t>得</w:t>
            </w:r>
            <w:r w:rsidR="0041566A" w:rsidRPr="00F24A73">
              <w:rPr>
                <w:rFonts w:ascii="標楷體" w:eastAsia="標楷體" w:hAnsi="標楷體" w:hint="eastAsia"/>
                <w:szCs w:val="24"/>
              </w:rPr>
              <w:t>依據</w:t>
            </w:r>
            <w:r w:rsidR="00505023" w:rsidRPr="00F24A73">
              <w:rPr>
                <w:rFonts w:ascii="標楷體" w:eastAsia="標楷體" w:hAnsi="標楷體" w:hint="eastAsia"/>
                <w:szCs w:val="24"/>
              </w:rPr>
              <w:t>相關預算案執行情形之帳</w:t>
            </w:r>
            <w:proofErr w:type="gramStart"/>
            <w:r w:rsidR="00505023" w:rsidRPr="00F24A73">
              <w:rPr>
                <w:rFonts w:ascii="標楷體" w:eastAsia="標楷體" w:hAnsi="標楷體" w:hint="eastAsia"/>
                <w:szCs w:val="24"/>
              </w:rPr>
              <w:t>務</w:t>
            </w:r>
            <w:proofErr w:type="gramEnd"/>
            <w:r w:rsidR="00505023" w:rsidRPr="00F24A73">
              <w:rPr>
                <w:rFonts w:ascii="標楷體" w:eastAsia="標楷體" w:hAnsi="標楷體" w:hint="eastAsia"/>
                <w:szCs w:val="24"/>
              </w:rPr>
              <w:t>明細，</w:t>
            </w:r>
            <w:r w:rsidR="00F40B56" w:rsidRPr="00F24A73">
              <w:rPr>
                <w:rFonts w:ascii="標楷體" w:eastAsia="標楷體" w:hAnsi="標楷體" w:hint="eastAsia"/>
                <w:lang w:val="zh-TW"/>
              </w:rPr>
              <w:t>自行出具資金運用情形是否符合其資金運用計畫之評估意見</w:t>
            </w:r>
            <w:r w:rsidRPr="00F24A73">
              <w:rPr>
                <w:rFonts w:ascii="標楷體" w:eastAsia="標楷體" w:hAnsi="標楷體" w:hint="eastAsia"/>
                <w:lang w:val="zh-TW"/>
              </w:rPr>
              <w:t>，以代替外部機構之認證</w:t>
            </w:r>
            <w:r w:rsidR="001023F8" w:rsidRPr="00F24A73">
              <w:rPr>
                <w:rFonts w:ascii="標楷體" w:eastAsia="標楷體" w:hAnsi="標楷體" w:hint="eastAsia"/>
                <w:szCs w:val="24"/>
                <w:lang w:val="zh-TW"/>
              </w:rPr>
              <w:t>。</w:t>
            </w:r>
            <w:r w:rsidR="001023F8" w:rsidRPr="00F24A73">
              <w:rPr>
                <w:rFonts w:ascii="標楷體" w:eastAsia="標楷體" w:hAnsi="標楷體" w:hint="eastAsia"/>
                <w:szCs w:val="24"/>
              </w:rPr>
              <w:t xml:space="preserve">  </w:t>
            </w:r>
          </w:p>
          <w:p w:rsidR="00F40B56" w:rsidRPr="00F24A73" w:rsidRDefault="00F40B56" w:rsidP="001023F8">
            <w:pPr>
              <w:pStyle w:val="a3"/>
              <w:numPr>
                <w:ilvl w:val="0"/>
                <w:numId w:val="19"/>
              </w:numPr>
              <w:tabs>
                <w:tab w:val="left" w:pos="503"/>
              </w:tabs>
              <w:autoSpaceDE w:val="0"/>
              <w:autoSpaceDN w:val="0"/>
              <w:adjustRightInd w:val="0"/>
              <w:ind w:leftChars="0"/>
              <w:jc w:val="both"/>
              <w:rPr>
                <w:rFonts w:ascii="標楷體" w:eastAsia="標楷體" w:hAnsi="標楷體"/>
                <w:szCs w:val="24"/>
                <w:lang w:val="zh-TW"/>
              </w:rPr>
            </w:pPr>
            <w:r w:rsidRPr="00F24A73">
              <w:rPr>
                <w:rFonts w:ascii="標楷體" w:eastAsia="標楷體" w:hAnsi="標楷體" w:hint="eastAsia"/>
                <w:szCs w:val="24"/>
              </w:rPr>
              <w:t>為利市場投資人了解綠色債券之資金運用情形，</w:t>
            </w:r>
            <w:proofErr w:type="gramStart"/>
            <w:r w:rsidRPr="00F24A73">
              <w:rPr>
                <w:rFonts w:ascii="標楷體" w:eastAsia="標楷體" w:hAnsi="標楷體" w:hint="eastAsia"/>
                <w:szCs w:val="24"/>
              </w:rPr>
              <w:t>爰</w:t>
            </w:r>
            <w:proofErr w:type="gramEnd"/>
            <w:r w:rsidRPr="00F24A73">
              <w:rPr>
                <w:rFonts w:ascii="標楷體" w:eastAsia="標楷體" w:hAnsi="標楷體" w:hint="eastAsia"/>
                <w:szCs w:val="24"/>
              </w:rPr>
              <w:t>訂定第二項規定</w:t>
            </w:r>
            <w:r w:rsidR="006C1D80" w:rsidRPr="00F24A73">
              <w:rPr>
                <w:rFonts w:ascii="標楷體" w:eastAsia="標楷體" w:hAnsi="標楷體" w:hint="eastAsia"/>
                <w:szCs w:val="24"/>
              </w:rPr>
              <w:t>，以規範發行人須定期辦理資金運用情形之市場公告</w:t>
            </w:r>
            <w:r w:rsidRPr="00F24A73">
              <w:rPr>
                <w:rFonts w:ascii="標楷體" w:eastAsia="標楷體" w:hAnsi="標楷體" w:hint="eastAsia"/>
                <w:szCs w:val="24"/>
              </w:rPr>
              <w:t>。</w:t>
            </w:r>
          </w:p>
          <w:p w:rsidR="001023F8" w:rsidRPr="00F24A73" w:rsidRDefault="001023F8" w:rsidP="001023F8">
            <w:pPr>
              <w:autoSpaceDE w:val="0"/>
              <w:autoSpaceDN w:val="0"/>
              <w:adjustRightInd w:val="0"/>
              <w:jc w:val="both"/>
              <w:rPr>
                <w:rFonts w:ascii="標楷體" w:eastAsia="標楷體" w:hAnsi="標楷體"/>
                <w:szCs w:val="24"/>
                <w:lang w:val="zh-TW"/>
              </w:rPr>
            </w:pPr>
          </w:p>
        </w:tc>
      </w:tr>
      <w:tr w:rsidR="00F24A73" w:rsidRPr="00F24A73" w:rsidTr="006B1BF6">
        <w:tc>
          <w:tcPr>
            <w:tcW w:w="4500" w:type="dxa"/>
            <w:tcBorders>
              <w:top w:val="single" w:sz="6" w:space="0" w:color="auto"/>
              <w:left w:val="single" w:sz="6" w:space="0" w:color="auto"/>
              <w:bottom w:val="single" w:sz="6" w:space="0" w:color="auto"/>
              <w:right w:val="single" w:sz="4" w:space="0" w:color="auto"/>
            </w:tcBorders>
          </w:tcPr>
          <w:p w:rsidR="001023F8" w:rsidRPr="00F24A73" w:rsidRDefault="001023F8" w:rsidP="001023F8">
            <w:pPr>
              <w:jc w:val="both"/>
              <w:rPr>
                <w:rFonts w:ascii="標楷體" w:eastAsia="標楷體" w:hAnsi="標楷體"/>
                <w:szCs w:val="24"/>
              </w:rPr>
            </w:pPr>
            <w:r w:rsidRPr="00F24A73">
              <w:rPr>
                <w:rFonts w:ascii="標楷體" w:eastAsia="標楷體" w:hAnsi="標楷體" w:hint="eastAsia"/>
                <w:szCs w:val="24"/>
              </w:rPr>
              <w:lastRenderedPageBreak/>
              <w:t>第十</w:t>
            </w:r>
            <w:r w:rsidR="00154E20" w:rsidRPr="00F24A73">
              <w:rPr>
                <w:rFonts w:ascii="標楷體" w:eastAsia="標楷體" w:hAnsi="標楷體" w:hint="eastAsia"/>
                <w:szCs w:val="24"/>
              </w:rPr>
              <w:t>二</w:t>
            </w:r>
            <w:r w:rsidRPr="00F24A73">
              <w:rPr>
                <w:rFonts w:ascii="標楷體" w:eastAsia="標楷體" w:hAnsi="標楷體" w:hint="eastAsia"/>
                <w:szCs w:val="24"/>
              </w:rPr>
              <w:t>條</w:t>
            </w:r>
          </w:p>
          <w:p w:rsidR="00703413" w:rsidRPr="00F24A73" w:rsidRDefault="00703413" w:rsidP="001023F8">
            <w:pPr>
              <w:ind w:firstLineChars="200" w:firstLine="480"/>
              <w:jc w:val="both"/>
              <w:rPr>
                <w:rFonts w:ascii="標楷體" w:eastAsia="標楷體" w:hAnsi="標楷體"/>
                <w:szCs w:val="24"/>
              </w:rPr>
            </w:pPr>
            <w:r w:rsidRPr="00F24A73">
              <w:rPr>
                <w:rFonts w:ascii="標楷體" w:eastAsia="標楷體" w:hAnsi="標楷體" w:hint="eastAsia"/>
                <w:szCs w:val="24"/>
              </w:rPr>
              <w:t>發行人依第七條</w:t>
            </w:r>
            <w:r w:rsidR="00D07AA4" w:rsidRPr="00F24A73">
              <w:rPr>
                <w:rFonts w:ascii="標楷體" w:eastAsia="標楷體" w:hAnsi="標楷體" w:hint="eastAsia"/>
                <w:szCs w:val="24"/>
              </w:rPr>
              <w:t>、第十條及前</w:t>
            </w:r>
            <w:r w:rsidR="00F40B56" w:rsidRPr="00F24A73">
              <w:rPr>
                <w:rFonts w:ascii="標楷體" w:eastAsia="標楷體" w:hAnsi="標楷體" w:hint="eastAsia"/>
                <w:szCs w:val="24"/>
              </w:rPr>
              <w:t>條</w:t>
            </w:r>
            <w:r w:rsidRPr="00F24A73">
              <w:rPr>
                <w:rFonts w:ascii="標楷體" w:eastAsia="標楷體" w:hAnsi="標楷體" w:hint="eastAsia"/>
                <w:szCs w:val="24"/>
              </w:rPr>
              <w:t>規定檢送之相關申請書件</w:t>
            </w:r>
            <w:r w:rsidR="00F40B56" w:rsidRPr="00F24A73">
              <w:rPr>
                <w:rFonts w:ascii="標楷體" w:eastAsia="標楷體" w:hAnsi="標楷體" w:hint="eastAsia"/>
                <w:szCs w:val="24"/>
              </w:rPr>
              <w:t>或申報資訊，</w:t>
            </w:r>
            <w:r w:rsidRPr="00F24A73">
              <w:rPr>
                <w:rFonts w:ascii="標楷體" w:eastAsia="標楷體" w:hAnsi="標楷體" w:hint="eastAsia"/>
                <w:szCs w:val="24"/>
              </w:rPr>
              <w:t>如有虛偽或隱匿之情事者，本中心得撤銷</w:t>
            </w:r>
            <w:r w:rsidR="00B77C42" w:rsidRPr="00F24A73">
              <w:rPr>
                <w:rFonts w:ascii="標楷體" w:eastAsia="標楷體" w:hAnsi="標楷體" w:hint="eastAsia"/>
                <w:szCs w:val="24"/>
              </w:rPr>
              <w:t>或廢止</w:t>
            </w:r>
            <w:r w:rsidR="00F40B56" w:rsidRPr="00F24A73">
              <w:rPr>
                <w:rFonts w:ascii="標楷體" w:eastAsia="標楷體" w:hAnsi="標楷體" w:hint="eastAsia"/>
                <w:szCs w:val="24"/>
              </w:rPr>
              <w:t>其</w:t>
            </w:r>
            <w:r w:rsidR="00050843" w:rsidRPr="00F24A73">
              <w:rPr>
                <w:rFonts w:ascii="標楷體" w:eastAsia="標楷體" w:hAnsi="標楷體" w:hint="eastAsia"/>
                <w:szCs w:val="24"/>
              </w:rPr>
              <w:t>綠色債券資格</w:t>
            </w:r>
            <w:r w:rsidRPr="00F24A73">
              <w:rPr>
                <w:rFonts w:ascii="標楷體" w:eastAsia="標楷體" w:hAnsi="標楷體" w:hint="eastAsia"/>
                <w:szCs w:val="24"/>
              </w:rPr>
              <w:t>。</w:t>
            </w:r>
          </w:p>
          <w:p w:rsidR="001023F8" w:rsidRPr="00F24A73" w:rsidRDefault="001023F8" w:rsidP="001023F8">
            <w:pPr>
              <w:ind w:firstLineChars="200" w:firstLine="480"/>
              <w:jc w:val="both"/>
              <w:rPr>
                <w:rFonts w:ascii="標楷體" w:eastAsia="標楷體" w:hAnsi="標楷體"/>
                <w:szCs w:val="24"/>
              </w:rPr>
            </w:pPr>
            <w:r w:rsidRPr="00F24A73">
              <w:rPr>
                <w:rFonts w:ascii="標楷體" w:eastAsia="標楷體" w:hAnsi="標楷體" w:hint="eastAsia"/>
                <w:szCs w:val="24"/>
              </w:rPr>
              <w:t>發行人未依前條規定辦理申報作業或資金用途不符合資金運用計畫者，本中心得通知發行人限期補正或改善，逾期未補正或改善者，本中心得廢止</w:t>
            </w:r>
            <w:r w:rsidR="00F40B56" w:rsidRPr="00F24A73">
              <w:rPr>
                <w:rFonts w:ascii="標楷體" w:eastAsia="標楷體" w:hAnsi="標楷體" w:hint="eastAsia"/>
                <w:szCs w:val="24"/>
              </w:rPr>
              <w:t>其</w:t>
            </w:r>
            <w:r w:rsidR="00050843" w:rsidRPr="00F24A73">
              <w:rPr>
                <w:rFonts w:ascii="標楷體" w:eastAsia="標楷體" w:hAnsi="標楷體" w:hint="eastAsia"/>
                <w:szCs w:val="24"/>
              </w:rPr>
              <w:t>綠色債券資格</w:t>
            </w:r>
            <w:r w:rsidRPr="00F24A73">
              <w:rPr>
                <w:rFonts w:ascii="標楷體" w:eastAsia="標楷體" w:hAnsi="標楷體" w:hint="eastAsia"/>
                <w:szCs w:val="24"/>
              </w:rPr>
              <w:t>。</w:t>
            </w:r>
          </w:p>
          <w:p w:rsidR="001023F8" w:rsidRPr="00F24A73" w:rsidRDefault="001023F8" w:rsidP="00B77C42">
            <w:pPr>
              <w:ind w:firstLineChars="200" w:firstLine="480"/>
              <w:jc w:val="both"/>
              <w:rPr>
                <w:rFonts w:ascii="標楷體" w:eastAsia="標楷體" w:hAnsi="標楷體"/>
                <w:szCs w:val="24"/>
              </w:rPr>
            </w:pPr>
            <w:r w:rsidRPr="00F24A73">
              <w:rPr>
                <w:rFonts w:ascii="標楷體" w:eastAsia="標楷體" w:hAnsi="標楷體" w:hint="eastAsia"/>
                <w:szCs w:val="24"/>
              </w:rPr>
              <w:t>發行人因資金用途變更，致有不符合第</w:t>
            </w:r>
            <w:r w:rsidR="00154E20" w:rsidRPr="00F24A73">
              <w:rPr>
                <w:rFonts w:ascii="標楷體" w:eastAsia="標楷體" w:hAnsi="標楷體" w:hint="eastAsia"/>
                <w:szCs w:val="24"/>
              </w:rPr>
              <w:t>四</w:t>
            </w:r>
            <w:r w:rsidRPr="00F24A73">
              <w:rPr>
                <w:rFonts w:ascii="標楷體" w:eastAsia="標楷體" w:hAnsi="標楷體" w:hint="eastAsia"/>
                <w:szCs w:val="24"/>
              </w:rPr>
              <w:t>條規定之情事者，應向本中心申請廢止</w:t>
            </w:r>
            <w:r w:rsidR="00F40B56" w:rsidRPr="00F24A73">
              <w:rPr>
                <w:rFonts w:ascii="標楷體" w:eastAsia="標楷體" w:hAnsi="標楷體" w:hint="eastAsia"/>
                <w:szCs w:val="24"/>
              </w:rPr>
              <w:t>其</w:t>
            </w:r>
            <w:r w:rsidR="00050843" w:rsidRPr="00F24A73">
              <w:rPr>
                <w:rFonts w:ascii="標楷體" w:eastAsia="標楷體" w:hAnsi="標楷體" w:hint="eastAsia"/>
                <w:szCs w:val="24"/>
              </w:rPr>
              <w:t>綠色債券資格</w:t>
            </w:r>
            <w:r w:rsidRPr="00F24A73">
              <w:rPr>
                <w:rFonts w:ascii="標楷體" w:eastAsia="標楷體" w:hAnsi="標楷體" w:hint="eastAsia"/>
                <w:szCs w:val="24"/>
              </w:rPr>
              <w:t>。</w:t>
            </w:r>
          </w:p>
        </w:tc>
        <w:tc>
          <w:tcPr>
            <w:tcW w:w="4678" w:type="dxa"/>
            <w:tcBorders>
              <w:top w:val="single" w:sz="6" w:space="0" w:color="auto"/>
              <w:left w:val="single" w:sz="6" w:space="0" w:color="auto"/>
              <w:bottom w:val="single" w:sz="6" w:space="0" w:color="auto"/>
              <w:right w:val="single" w:sz="4" w:space="0" w:color="auto"/>
            </w:tcBorders>
          </w:tcPr>
          <w:p w:rsidR="00703413" w:rsidRPr="00F24A73" w:rsidRDefault="00703413" w:rsidP="00703413">
            <w:pPr>
              <w:pStyle w:val="a3"/>
              <w:numPr>
                <w:ilvl w:val="0"/>
                <w:numId w:val="38"/>
              </w:numPr>
              <w:tabs>
                <w:tab w:val="left" w:pos="503"/>
              </w:tabs>
              <w:autoSpaceDE w:val="0"/>
              <w:autoSpaceDN w:val="0"/>
              <w:adjustRightInd w:val="0"/>
              <w:ind w:leftChars="0"/>
              <w:jc w:val="both"/>
              <w:rPr>
                <w:rFonts w:ascii="標楷體" w:eastAsia="標楷體" w:hAnsi="標楷體"/>
                <w:szCs w:val="24"/>
                <w:lang w:val="zh-TW"/>
              </w:rPr>
            </w:pPr>
            <w:r w:rsidRPr="00F24A73">
              <w:rPr>
                <w:rFonts w:ascii="標楷體" w:eastAsia="標楷體" w:hAnsi="標楷體" w:hint="eastAsia"/>
                <w:szCs w:val="24"/>
                <w:lang w:val="zh-TW"/>
              </w:rPr>
              <w:t>為</w:t>
            </w:r>
            <w:r w:rsidR="00F40B56" w:rsidRPr="00F24A73">
              <w:rPr>
                <w:rFonts w:ascii="標楷體" w:eastAsia="標楷體" w:hAnsi="標楷體" w:hint="eastAsia"/>
                <w:szCs w:val="24"/>
                <w:lang w:val="zh-TW"/>
              </w:rPr>
              <w:t>強化對發行人之</w:t>
            </w:r>
            <w:r w:rsidRPr="00F24A73">
              <w:rPr>
                <w:rFonts w:ascii="標楷體" w:eastAsia="標楷體" w:hAnsi="標楷體" w:hint="eastAsia"/>
                <w:szCs w:val="24"/>
                <w:lang w:val="zh-TW"/>
              </w:rPr>
              <w:t>管理，</w:t>
            </w:r>
            <w:proofErr w:type="gramStart"/>
            <w:r w:rsidRPr="00F24A73">
              <w:rPr>
                <w:rFonts w:ascii="標楷體" w:eastAsia="標楷體" w:hAnsi="標楷體" w:hint="eastAsia"/>
                <w:szCs w:val="24"/>
                <w:lang w:val="zh-TW"/>
              </w:rPr>
              <w:t>爰</w:t>
            </w:r>
            <w:proofErr w:type="gramEnd"/>
            <w:r w:rsidR="00D96D17" w:rsidRPr="00F24A73">
              <w:rPr>
                <w:rFonts w:ascii="標楷體" w:eastAsia="標楷體" w:hAnsi="標楷體" w:hint="eastAsia"/>
                <w:szCs w:val="24"/>
                <w:lang w:val="zh-TW"/>
              </w:rPr>
              <w:t>訂定</w:t>
            </w:r>
            <w:proofErr w:type="gramStart"/>
            <w:r w:rsidRPr="00F24A73">
              <w:rPr>
                <w:rFonts w:ascii="標楷體" w:eastAsia="標楷體" w:hAnsi="標楷體" w:hint="eastAsia"/>
                <w:szCs w:val="24"/>
                <w:lang w:val="zh-TW"/>
              </w:rPr>
              <w:t>發行人所檢送</w:t>
            </w:r>
            <w:proofErr w:type="gramEnd"/>
            <w:r w:rsidRPr="00F24A73">
              <w:rPr>
                <w:rFonts w:ascii="標楷體" w:eastAsia="標楷體" w:hAnsi="標楷體" w:hint="eastAsia"/>
                <w:szCs w:val="24"/>
                <w:lang w:val="zh-TW"/>
              </w:rPr>
              <w:t>之相關書件</w:t>
            </w:r>
            <w:r w:rsidR="00F40B56" w:rsidRPr="00F24A73">
              <w:rPr>
                <w:rFonts w:ascii="標楷體" w:eastAsia="標楷體" w:hAnsi="標楷體" w:hint="eastAsia"/>
                <w:szCs w:val="24"/>
                <w:lang w:val="zh-TW"/>
              </w:rPr>
              <w:t>或</w:t>
            </w:r>
            <w:r w:rsidR="00512ADD" w:rsidRPr="00F24A73">
              <w:rPr>
                <w:rFonts w:ascii="標楷體" w:eastAsia="標楷體" w:hAnsi="標楷體" w:hint="eastAsia"/>
                <w:szCs w:val="24"/>
                <w:lang w:val="zh-TW"/>
              </w:rPr>
              <w:t>資訊</w:t>
            </w:r>
            <w:r w:rsidR="00F40B56" w:rsidRPr="00F24A73">
              <w:rPr>
                <w:rFonts w:ascii="標楷體" w:eastAsia="標楷體" w:hAnsi="標楷體" w:hint="eastAsia"/>
                <w:szCs w:val="24"/>
                <w:lang w:val="zh-TW"/>
              </w:rPr>
              <w:t>申報</w:t>
            </w:r>
            <w:r w:rsidR="00512ADD" w:rsidRPr="00F24A73">
              <w:rPr>
                <w:rFonts w:ascii="標楷體" w:eastAsia="標楷體" w:hAnsi="標楷體" w:hint="eastAsia"/>
                <w:szCs w:val="24"/>
                <w:lang w:val="zh-TW"/>
              </w:rPr>
              <w:t>作業</w:t>
            </w:r>
            <w:r w:rsidRPr="00F24A73">
              <w:rPr>
                <w:rFonts w:ascii="標楷體" w:eastAsia="標楷體" w:hAnsi="標楷體" w:hint="eastAsia"/>
                <w:szCs w:val="24"/>
                <w:lang w:val="zh-TW"/>
              </w:rPr>
              <w:t>有虛偽、隱匿之</w:t>
            </w:r>
            <w:r w:rsidR="00512ADD" w:rsidRPr="00F24A73">
              <w:rPr>
                <w:rFonts w:ascii="標楷體" w:eastAsia="標楷體" w:hAnsi="標楷體" w:hint="eastAsia"/>
                <w:szCs w:val="24"/>
                <w:lang w:val="zh-TW"/>
              </w:rPr>
              <w:t>情事</w:t>
            </w:r>
            <w:r w:rsidRPr="00F24A73">
              <w:rPr>
                <w:rFonts w:ascii="標楷體" w:eastAsia="標楷體" w:hAnsi="標楷體" w:hint="eastAsia"/>
                <w:szCs w:val="24"/>
                <w:lang w:val="zh-TW"/>
              </w:rPr>
              <w:t>者</w:t>
            </w:r>
            <w:r w:rsidR="00041FF0" w:rsidRPr="00F24A73">
              <w:rPr>
                <w:rFonts w:ascii="標楷體" w:eastAsia="標楷體" w:hAnsi="標楷體" w:hint="eastAsia"/>
                <w:szCs w:val="24"/>
                <w:lang w:val="zh-TW"/>
              </w:rPr>
              <w:t>、以及</w:t>
            </w:r>
            <w:r w:rsidR="00041FF0" w:rsidRPr="00F24A73">
              <w:rPr>
                <w:rFonts w:ascii="標楷體" w:eastAsia="標楷體" w:hAnsi="標楷體" w:hint="eastAsia"/>
                <w:szCs w:val="24"/>
              </w:rPr>
              <w:t>發行人未依前條規定辦理申報作業或資金用途不符合資金運用計畫者</w:t>
            </w:r>
            <w:r w:rsidRPr="00F24A73">
              <w:rPr>
                <w:rFonts w:ascii="標楷體" w:eastAsia="標楷體" w:hAnsi="標楷體" w:hint="eastAsia"/>
                <w:szCs w:val="24"/>
                <w:lang w:val="zh-TW"/>
              </w:rPr>
              <w:t>，本中心</w:t>
            </w:r>
            <w:r w:rsidR="00041FF0" w:rsidRPr="00F24A73">
              <w:rPr>
                <w:rFonts w:ascii="標楷體" w:eastAsia="標楷體" w:hAnsi="標楷體" w:hint="eastAsia"/>
                <w:szCs w:val="24"/>
                <w:lang w:val="zh-TW"/>
              </w:rPr>
              <w:t>得</w:t>
            </w:r>
            <w:r w:rsidR="00E66800" w:rsidRPr="00F24A73">
              <w:rPr>
                <w:rFonts w:ascii="標楷體" w:eastAsia="標楷體" w:hAnsi="標楷體" w:hint="eastAsia"/>
                <w:szCs w:val="24"/>
                <w:lang w:val="zh-TW"/>
              </w:rPr>
              <w:t>撤銷或廢止其</w:t>
            </w:r>
            <w:r w:rsidR="00050843" w:rsidRPr="00F24A73">
              <w:rPr>
                <w:rFonts w:ascii="標楷體" w:eastAsia="標楷體" w:hAnsi="標楷體" w:hint="eastAsia"/>
                <w:szCs w:val="24"/>
              </w:rPr>
              <w:t>綠色債券資格</w:t>
            </w:r>
            <w:r w:rsidR="00E66800" w:rsidRPr="00F24A73">
              <w:rPr>
                <w:rFonts w:ascii="標楷體" w:eastAsia="標楷體" w:hAnsi="標楷體" w:hint="eastAsia"/>
                <w:szCs w:val="24"/>
                <w:lang w:val="zh-TW"/>
              </w:rPr>
              <w:t>之</w:t>
            </w:r>
            <w:r w:rsidR="00041FF0" w:rsidRPr="00F24A73">
              <w:rPr>
                <w:rFonts w:ascii="標楷體" w:eastAsia="標楷體" w:hAnsi="標楷體" w:hint="eastAsia"/>
                <w:szCs w:val="24"/>
                <w:lang w:val="zh-TW"/>
              </w:rPr>
              <w:t>處置</w:t>
            </w:r>
            <w:r w:rsidRPr="00F24A73">
              <w:rPr>
                <w:rFonts w:ascii="標楷體" w:eastAsia="標楷體" w:hAnsi="標楷體" w:hint="eastAsia"/>
                <w:szCs w:val="24"/>
              </w:rPr>
              <w:t>。</w:t>
            </w:r>
          </w:p>
          <w:p w:rsidR="001023F8" w:rsidRPr="00F24A73" w:rsidRDefault="001023F8" w:rsidP="009902C6">
            <w:pPr>
              <w:pStyle w:val="a3"/>
              <w:numPr>
                <w:ilvl w:val="0"/>
                <w:numId w:val="38"/>
              </w:numPr>
              <w:tabs>
                <w:tab w:val="left" w:pos="503"/>
              </w:tabs>
              <w:autoSpaceDE w:val="0"/>
              <w:autoSpaceDN w:val="0"/>
              <w:adjustRightInd w:val="0"/>
              <w:ind w:leftChars="0"/>
              <w:jc w:val="both"/>
              <w:rPr>
                <w:rFonts w:ascii="標楷體" w:eastAsia="標楷體" w:hAnsi="標楷體"/>
                <w:szCs w:val="24"/>
                <w:lang w:val="zh-TW"/>
              </w:rPr>
            </w:pPr>
            <w:r w:rsidRPr="00F24A73">
              <w:rPr>
                <w:rFonts w:ascii="標楷體" w:eastAsia="標楷體" w:hAnsi="標楷體" w:hint="eastAsia"/>
                <w:szCs w:val="24"/>
                <w:lang w:val="zh-TW"/>
              </w:rPr>
              <w:t>明定發行人遇有</w:t>
            </w:r>
            <w:r w:rsidRPr="00F24A73">
              <w:rPr>
                <w:rFonts w:ascii="標楷體" w:eastAsia="標楷體" w:hAnsi="標楷體" w:hint="eastAsia"/>
                <w:szCs w:val="24"/>
              </w:rPr>
              <w:t>資金用途範圍</w:t>
            </w:r>
            <w:r w:rsidRPr="00F24A73">
              <w:rPr>
                <w:rFonts w:ascii="標楷體" w:eastAsia="標楷體" w:hAnsi="標楷體" w:hint="eastAsia"/>
                <w:szCs w:val="24"/>
                <w:lang w:val="zh-TW"/>
              </w:rPr>
              <w:t>變更，致不符合原約定之綠色投資計畫者，應向本中心申請廢止其有</w:t>
            </w:r>
            <w:r w:rsidR="0089393C" w:rsidRPr="00F24A73">
              <w:rPr>
                <w:rFonts w:ascii="標楷體" w:eastAsia="標楷體" w:hAnsi="標楷體" w:hint="eastAsia"/>
                <w:szCs w:val="24"/>
                <w:lang w:val="zh-TW"/>
              </w:rPr>
              <w:t>價</w:t>
            </w:r>
            <w:r w:rsidRPr="00F24A73">
              <w:rPr>
                <w:rFonts w:ascii="標楷體" w:eastAsia="標楷體" w:hAnsi="標楷體" w:hint="eastAsia"/>
                <w:szCs w:val="24"/>
                <w:lang w:val="zh-TW"/>
              </w:rPr>
              <w:t>證券之</w:t>
            </w:r>
            <w:r w:rsidR="00050843" w:rsidRPr="00F24A73">
              <w:rPr>
                <w:rFonts w:ascii="標楷體" w:eastAsia="標楷體" w:hAnsi="標楷體" w:hint="eastAsia"/>
                <w:szCs w:val="24"/>
              </w:rPr>
              <w:t>綠色債券資格</w:t>
            </w:r>
            <w:r w:rsidRPr="00F24A73">
              <w:rPr>
                <w:rFonts w:ascii="標楷體" w:eastAsia="標楷體" w:hAnsi="標楷體" w:hint="eastAsia"/>
                <w:szCs w:val="24"/>
                <w:lang w:val="zh-TW"/>
              </w:rPr>
              <w:t>。</w:t>
            </w:r>
          </w:p>
        </w:tc>
      </w:tr>
      <w:tr w:rsidR="00F24A73" w:rsidRPr="00F24A73" w:rsidTr="006B1BF6">
        <w:tc>
          <w:tcPr>
            <w:tcW w:w="4500" w:type="dxa"/>
            <w:tcBorders>
              <w:top w:val="single" w:sz="6" w:space="0" w:color="auto"/>
              <w:left w:val="single" w:sz="6" w:space="0" w:color="auto"/>
              <w:bottom w:val="single" w:sz="6" w:space="0" w:color="auto"/>
              <w:right w:val="single" w:sz="4" w:space="0" w:color="auto"/>
            </w:tcBorders>
          </w:tcPr>
          <w:p w:rsidR="001023F8" w:rsidRPr="00F24A73" w:rsidRDefault="001023F8" w:rsidP="001023F8">
            <w:pPr>
              <w:jc w:val="both"/>
              <w:rPr>
                <w:rFonts w:ascii="標楷體" w:eastAsia="標楷體" w:hAnsi="標楷體"/>
                <w:szCs w:val="24"/>
              </w:rPr>
            </w:pPr>
            <w:r w:rsidRPr="00F24A73">
              <w:rPr>
                <w:rFonts w:ascii="標楷體" w:eastAsia="標楷體" w:hAnsi="標楷體" w:hint="eastAsia"/>
                <w:szCs w:val="24"/>
              </w:rPr>
              <w:t>第十</w:t>
            </w:r>
            <w:r w:rsidR="00154E20" w:rsidRPr="00F24A73">
              <w:rPr>
                <w:rFonts w:ascii="標楷體" w:eastAsia="標楷體" w:hAnsi="標楷體" w:hint="eastAsia"/>
                <w:szCs w:val="24"/>
              </w:rPr>
              <w:t>三</w:t>
            </w:r>
            <w:r w:rsidRPr="00F24A73">
              <w:rPr>
                <w:rFonts w:ascii="標楷體" w:eastAsia="標楷體" w:hAnsi="標楷體" w:hint="eastAsia"/>
                <w:szCs w:val="24"/>
              </w:rPr>
              <w:t>條</w:t>
            </w:r>
          </w:p>
          <w:p w:rsidR="001023F8" w:rsidRPr="00F24A73" w:rsidRDefault="001023F8" w:rsidP="001023F8">
            <w:pPr>
              <w:jc w:val="both"/>
              <w:rPr>
                <w:rFonts w:ascii="標楷體" w:eastAsia="標楷體" w:hAnsi="標楷體"/>
                <w:szCs w:val="24"/>
              </w:rPr>
            </w:pPr>
            <w:r w:rsidRPr="00F24A73">
              <w:rPr>
                <w:rFonts w:ascii="標楷體" w:eastAsia="標楷體" w:hAnsi="標楷體"/>
                <w:szCs w:val="24"/>
              </w:rPr>
              <w:t xml:space="preserve">    本</w:t>
            </w:r>
            <w:r w:rsidRPr="00F24A73">
              <w:rPr>
                <w:rFonts w:ascii="標楷體" w:eastAsia="標楷體" w:hAnsi="標楷體" w:hint="eastAsia"/>
                <w:szCs w:val="24"/>
              </w:rPr>
              <w:t>作業要點經報奉主管機關核定後公告施行，修正時亦同</w:t>
            </w:r>
            <w:r w:rsidRPr="00F24A73">
              <w:rPr>
                <w:rFonts w:ascii="新細明體" w:hAnsi="新細明體" w:hint="eastAsia"/>
                <w:szCs w:val="24"/>
              </w:rPr>
              <w:t>；</w:t>
            </w:r>
            <w:r w:rsidRPr="00F24A73">
              <w:rPr>
                <w:rFonts w:ascii="標楷體" w:eastAsia="標楷體" w:hAnsi="標楷體" w:hint="eastAsia"/>
                <w:szCs w:val="24"/>
              </w:rPr>
              <w:t>作業要點中相關附表之增刪或修正，</w:t>
            </w:r>
            <w:proofErr w:type="gramStart"/>
            <w:r w:rsidRPr="00F24A73">
              <w:rPr>
                <w:rFonts w:ascii="標楷體" w:eastAsia="標楷體" w:hAnsi="標楷體" w:hint="eastAsia"/>
                <w:szCs w:val="24"/>
              </w:rPr>
              <w:t>則奉本中心</w:t>
            </w:r>
            <w:proofErr w:type="gramEnd"/>
            <w:r w:rsidRPr="00F24A73">
              <w:rPr>
                <w:rFonts w:ascii="標楷體" w:eastAsia="標楷體" w:hAnsi="標楷體" w:hint="eastAsia"/>
                <w:szCs w:val="24"/>
              </w:rPr>
              <w:t>總經理核定後施行。</w:t>
            </w:r>
          </w:p>
          <w:p w:rsidR="001023F8" w:rsidRPr="00F24A73" w:rsidRDefault="001023F8" w:rsidP="001023F8">
            <w:pPr>
              <w:pStyle w:val="a3"/>
              <w:ind w:leftChars="0"/>
              <w:jc w:val="both"/>
              <w:rPr>
                <w:rFonts w:ascii="標楷體" w:eastAsia="標楷體" w:hAnsi="標楷體"/>
                <w:szCs w:val="24"/>
              </w:rPr>
            </w:pPr>
          </w:p>
        </w:tc>
        <w:tc>
          <w:tcPr>
            <w:tcW w:w="4678" w:type="dxa"/>
            <w:tcBorders>
              <w:top w:val="single" w:sz="6" w:space="0" w:color="auto"/>
              <w:left w:val="single" w:sz="6" w:space="0" w:color="auto"/>
              <w:bottom w:val="single" w:sz="6" w:space="0" w:color="auto"/>
              <w:right w:val="single" w:sz="4" w:space="0" w:color="auto"/>
            </w:tcBorders>
          </w:tcPr>
          <w:p w:rsidR="001023F8" w:rsidRPr="00F24A73" w:rsidRDefault="001023F8" w:rsidP="001023F8">
            <w:pPr>
              <w:autoSpaceDE w:val="0"/>
              <w:autoSpaceDN w:val="0"/>
              <w:adjustRightInd w:val="0"/>
              <w:jc w:val="both"/>
              <w:rPr>
                <w:rFonts w:ascii="標楷體" w:eastAsia="標楷體" w:hAnsi="標楷體"/>
                <w:szCs w:val="24"/>
                <w:lang w:val="zh-TW"/>
              </w:rPr>
            </w:pPr>
            <w:r w:rsidRPr="00F24A73">
              <w:rPr>
                <w:rFonts w:ascii="標楷體" w:eastAsia="標楷體" w:hAnsi="標楷體" w:hint="eastAsia"/>
                <w:szCs w:val="24"/>
                <w:lang w:val="zh-TW"/>
              </w:rPr>
              <w:t>訂定</w:t>
            </w:r>
            <w:r w:rsidRPr="00F24A73">
              <w:rPr>
                <w:rFonts w:ascii="標楷體" w:eastAsia="標楷體" w:hAnsi="標楷體"/>
                <w:szCs w:val="24"/>
                <w:lang w:val="zh-TW"/>
              </w:rPr>
              <w:t>本</w:t>
            </w:r>
            <w:r w:rsidRPr="00F24A73">
              <w:rPr>
                <w:rFonts w:ascii="標楷體" w:eastAsia="標楷體" w:hAnsi="標楷體" w:hint="eastAsia"/>
                <w:szCs w:val="24"/>
                <w:lang w:val="zh-TW"/>
              </w:rPr>
              <w:t>作業要點之</w:t>
            </w:r>
            <w:r w:rsidR="008A6563" w:rsidRPr="00F24A73">
              <w:rPr>
                <w:rFonts w:ascii="標楷體" w:eastAsia="標楷體" w:hAnsi="標楷體" w:hint="eastAsia"/>
                <w:szCs w:val="24"/>
                <w:lang w:val="zh-TW"/>
              </w:rPr>
              <w:t>實施</w:t>
            </w:r>
            <w:r w:rsidRPr="00F24A73">
              <w:rPr>
                <w:rFonts w:ascii="標楷體" w:eastAsia="標楷體" w:hAnsi="標楷體" w:hint="eastAsia"/>
                <w:szCs w:val="24"/>
                <w:lang w:val="zh-TW"/>
              </w:rPr>
              <w:t>及修正程序</w:t>
            </w:r>
            <w:r w:rsidRPr="00F24A73">
              <w:rPr>
                <w:rFonts w:ascii="標楷體" w:eastAsia="標楷體" w:hAnsi="標楷體"/>
                <w:szCs w:val="24"/>
                <w:lang w:val="zh-TW"/>
              </w:rPr>
              <w:t>。</w:t>
            </w:r>
          </w:p>
        </w:tc>
      </w:tr>
    </w:tbl>
    <w:p w:rsidR="00B00147" w:rsidRPr="00F24A73" w:rsidRDefault="00B00147" w:rsidP="00B00147">
      <w:pPr>
        <w:rPr>
          <w:rFonts w:ascii="標楷體" w:eastAsia="標楷體" w:hAnsi="標楷體" w:cs="細明體"/>
          <w:kern w:val="0"/>
          <w:szCs w:val="24"/>
        </w:rPr>
      </w:pPr>
    </w:p>
    <w:p w:rsidR="00EC1FDB" w:rsidRPr="00F24A73" w:rsidRDefault="00EC1FDB"/>
    <w:sectPr w:rsidR="00EC1FDB" w:rsidRPr="00F24A73" w:rsidSect="00340647">
      <w:footerReference w:type="default" r:id="rId8"/>
      <w:pgSz w:w="11906" w:h="16838"/>
      <w:pgMar w:top="1440" w:right="1134"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87E" w:rsidRDefault="00D6087E">
      <w:r>
        <w:separator/>
      </w:r>
    </w:p>
  </w:endnote>
  <w:endnote w:type="continuationSeparator" w:id="0">
    <w:p w:rsidR="00D6087E" w:rsidRDefault="00D6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10" w:rsidRDefault="00234410">
    <w:pPr>
      <w:pStyle w:val="a5"/>
      <w:jc w:val="center"/>
    </w:pPr>
    <w:r>
      <w:fldChar w:fldCharType="begin"/>
    </w:r>
    <w:r>
      <w:instrText xml:space="preserve"> PAGE   \* MERGEFORMAT </w:instrText>
    </w:r>
    <w:r>
      <w:fldChar w:fldCharType="separate"/>
    </w:r>
    <w:r w:rsidR="00BE286E" w:rsidRPr="00BE286E">
      <w:rPr>
        <w:noProof/>
        <w:lang w:val="zh-TW"/>
      </w:rPr>
      <w:t>6</w:t>
    </w:r>
    <w:r>
      <w:rPr>
        <w:noProof/>
        <w:lang w:val="zh-TW"/>
      </w:rPr>
      <w:fldChar w:fldCharType="end"/>
    </w:r>
  </w:p>
  <w:p w:rsidR="00234410" w:rsidRDefault="002344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87E" w:rsidRDefault="00D6087E">
      <w:r>
        <w:separator/>
      </w:r>
    </w:p>
  </w:footnote>
  <w:footnote w:type="continuationSeparator" w:id="0">
    <w:p w:rsidR="00D6087E" w:rsidRDefault="00D60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39C"/>
    <w:multiLevelType w:val="hybridMultilevel"/>
    <w:tmpl w:val="5E02C9DE"/>
    <w:lvl w:ilvl="0" w:tplc="AEB85794">
      <w:start w:val="1"/>
      <w:numFmt w:val="taiwaneseCountingThousand"/>
      <w:lvlText w:val="%1、"/>
      <w:lvlJc w:val="left"/>
      <w:pPr>
        <w:ind w:left="625" w:hanging="51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 w15:restartNumberingAfterBreak="0">
    <w:nsid w:val="02825BF7"/>
    <w:multiLevelType w:val="hybridMultilevel"/>
    <w:tmpl w:val="BCA80030"/>
    <w:lvl w:ilvl="0" w:tplc="51DCDB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0A0E46"/>
    <w:multiLevelType w:val="hybridMultilevel"/>
    <w:tmpl w:val="765ADD16"/>
    <w:lvl w:ilvl="0" w:tplc="97C6FF16">
      <w:start w:val="1"/>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D8B4A0A"/>
    <w:multiLevelType w:val="hybridMultilevel"/>
    <w:tmpl w:val="553442AE"/>
    <w:lvl w:ilvl="0" w:tplc="145E9CE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AF222F"/>
    <w:multiLevelType w:val="hybridMultilevel"/>
    <w:tmpl w:val="BCA80030"/>
    <w:lvl w:ilvl="0" w:tplc="51DCDB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2A5FFA"/>
    <w:multiLevelType w:val="hybridMultilevel"/>
    <w:tmpl w:val="15164BF0"/>
    <w:lvl w:ilvl="0" w:tplc="F5A69DB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2D7E0F"/>
    <w:multiLevelType w:val="hybridMultilevel"/>
    <w:tmpl w:val="F5DED8EA"/>
    <w:lvl w:ilvl="0" w:tplc="145E9CE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760FF"/>
    <w:multiLevelType w:val="hybridMultilevel"/>
    <w:tmpl w:val="8A38FA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C67827"/>
    <w:multiLevelType w:val="hybridMultilevel"/>
    <w:tmpl w:val="C0701284"/>
    <w:lvl w:ilvl="0" w:tplc="145E9CE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AB3935"/>
    <w:multiLevelType w:val="hybridMultilevel"/>
    <w:tmpl w:val="47A8736A"/>
    <w:lvl w:ilvl="0" w:tplc="5FC446E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53464D0"/>
    <w:multiLevelType w:val="hybridMultilevel"/>
    <w:tmpl w:val="A7F4EE3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364F59"/>
    <w:multiLevelType w:val="hybridMultilevel"/>
    <w:tmpl w:val="CC44F0D6"/>
    <w:lvl w:ilvl="0" w:tplc="79567E3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EF018C"/>
    <w:multiLevelType w:val="hybridMultilevel"/>
    <w:tmpl w:val="C0701284"/>
    <w:lvl w:ilvl="0" w:tplc="145E9CE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C8235C"/>
    <w:multiLevelType w:val="hybridMultilevel"/>
    <w:tmpl w:val="1FEC1AB2"/>
    <w:lvl w:ilvl="0" w:tplc="51DCDB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75167A"/>
    <w:multiLevelType w:val="hybridMultilevel"/>
    <w:tmpl w:val="BCA80030"/>
    <w:lvl w:ilvl="0" w:tplc="51DCDB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1F1613"/>
    <w:multiLevelType w:val="hybridMultilevel"/>
    <w:tmpl w:val="FC0AB714"/>
    <w:lvl w:ilvl="0" w:tplc="F948FD48">
      <w:start w:val="1"/>
      <w:numFmt w:val="taiwaneseCountingThousand"/>
      <w:lvlText w:val="(%1)"/>
      <w:lvlJc w:val="left"/>
      <w:pPr>
        <w:ind w:left="1008" w:hanging="552"/>
      </w:pPr>
      <w:rPr>
        <w:rFonts w:hint="default"/>
        <w:u w:val="single"/>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6" w15:restartNumberingAfterBreak="0">
    <w:nsid w:val="3B27764B"/>
    <w:multiLevelType w:val="hybridMultilevel"/>
    <w:tmpl w:val="3398BB46"/>
    <w:lvl w:ilvl="0" w:tplc="DF2E8B6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624C1F"/>
    <w:multiLevelType w:val="hybridMultilevel"/>
    <w:tmpl w:val="4FAABF06"/>
    <w:lvl w:ilvl="0" w:tplc="2D28CCA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335E06"/>
    <w:multiLevelType w:val="hybridMultilevel"/>
    <w:tmpl w:val="A7F4EE3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804550"/>
    <w:multiLevelType w:val="hybridMultilevel"/>
    <w:tmpl w:val="826E5D4A"/>
    <w:lvl w:ilvl="0" w:tplc="DF2E8B6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8F27BF"/>
    <w:multiLevelType w:val="hybridMultilevel"/>
    <w:tmpl w:val="3F46CAF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6F2472"/>
    <w:multiLevelType w:val="hybridMultilevel"/>
    <w:tmpl w:val="C6786A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DB5F93"/>
    <w:multiLevelType w:val="hybridMultilevel"/>
    <w:tmpl w:val="71D2EDD4"/>
    <w:lvl w:ilvl="0" w:tplc="07AE0DF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EA09EB"/>
    <w:multiLevelType w:val="hybridMultilevel"/>
    <w:tmpl w:val="1FEC1AB2"/>
    <w:lvl w:ilvl="0" w:tplc="51DCDB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033558"/>
    <w:multiLevelType w:val="hybridMultilevel"/>
    <w:tmpl w:val="7BB2BC8E"/>
    <w:lvl w:ilvl="0" w:tplc="3E04772C">
      <w:start w:val="1"/>
      <w:numFmt w:val="taiwaneseCountingThousand"/>
      <w:lvlText w:val="%1、"/>
      <w:lvlJc w:val="left"/>
      <w:pPr>
        <w:ind w:left="1190" w:hanging="480"/>
      </w:pPr>
      <w:rPr>
        <w:rFonts w:ascii="標楷體" w:eastAsia="標楷體" w:hAnsi="標楷體" w:hint="default"/>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64957DA9"/>
    <w:multiLevelType w:val="hybridMultilevel"/>
    <w:tmpl w:val="4FB2DD4A"/>
    <w:lvl w:ilvl="0" w:tplc="92D47B44">
      <w:start w:val="1"/>
      <w:numFmt w:val="taiwaneseCountingThousand"/>
      <w:lvlText w:val="%1、"/>
      <w:lvlJc w:val="left"/>
      <w:pPr>
        <w:ind w:left="456" w:hanging="456"/>
      </w:pPr>
      <w:rPr>
        <w:rFonts w:hint="default"/>
      </w:rPr>
    </w:lvl>
    <w:lvl w:ilvl="1" w:tplc="202A531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4D1831"/>
    <w:multiLevelType w:val="hybridMultilevel"/>
    <w:tmpl w:val="00389A86"/>
    <w:lvl w:ilvl="0" w:tplc="D6DA240A">
      <w:start w:val="1"/>
      <w:numFmt w:val="taiwaneseCountingThousand"/>
      <w:lvlText w:val="%1、"/>
      <w:lvlJc w:val="left"/>
      <w:pPr>
        <w:ind w:left="384" w:hanging="384"/>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463C9C"/>
    <w:multiLevelType w:val="hybridMultilevel"/>
    <w:tmpl w:val="DEC0EE52"/>
    <w:lvl w:ilvl="0" w:tplc="3FEA5C6A">
      <w:start w:val="1"/>
      <w:numFmt w:val="taiwaneseCountingThousand"/>
      <w:lvlText w:val="第%1條"/>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B43A31"/>
    <w:multiLevelType w:val="hybridMultilevel"/>
    <w:tmpl w:val="0024B7D0"/>
    <w:lvl w:ilvl="0" w:tplc="85F489B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AC70A4"/>
    <w:multiLevelType w:val="hybridMultilevel"/>
    <w:tmpl w:val="D5468A56"/>
    <w:lvl w:ilvl="0" w:tplc="C5527D1A">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8D7773"/>
    <w:multiLevelType w:val="hybridMultilevel"/>
    <w:tmpl w:val="C7B6321A"/>
    <w:lvl w:ilvl="0" w:tplc="28B2A226">
      <w:start w:val="1"/>
      <w:numFmt w:val="decimal"/>
      <w:lvlText w:val="%1、"/>
      <w:lvlJc w:val="left"/>
      <w:pPr>
        <w:ind w:left="1360" w:hanging="792"/>
      </w:pPr>
      <w:rPr>
        <w:rFonts w:ascii="標楷體" w:eastAsia="標楷體" w:hAnsi="標楷體" w:cs="Arial"/>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1" w15:restartNumberingAfterBreak="0">
    <w:nsid w:val="73E30F7B"/>
    <w:multiLevelType w:val="hybridMultilevel"/>
    <w:tmpl w:val="4FB2DD4A"/>
    <w:lvl w:ilvl="0" w:tplc="92D47B44">
      <w:start w:val="1"/>
      <w:numFmt w:val="taiwaneseCountingThousand"/>
      <w:lvlText w:val="%1、"/>
      <w:lvlJc w:val="left"/>
      <w:pPr>
        <w:ind w:left="456" w:hanging="456"/>
      </w:pPr>
      <w:rPr>
        <w:rFonts w:hint="default"/>
      </w:rPr>
    </w:lvl>
    <w:lvl w:ilvl="1" w:tplc="202A531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E90C35"/>
    <w:multiLevelType w:val="hybridMultilevel"/>
    <w:tmpl w:val="BCA80030"/>
    <w:lvl w:ilvl="0" w:tplc="51DCDB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5376BE"/>
    <w:multiLevelType w:val="hybridMultilevel"/>
    <w:tmpl w:val="1C6CD66E"/>
    <w:lvl w:ilvl="0" w:tplc="92D47B44">
      <w:start w:val="1"/>
      <w:numFmt w:val="taiwaneseCountingThousand"/>
      <w:lvlText w:val="%1、"/>
      <w:lvlJc w:val="left"/>
      <w:pPr>
        <w:ind w:left="456" w:hanging="456"/>
      </w:pPr>
      <w:rPr>
        <w:rFonts w:hint="default"/>
      </w:rPr>
    </w:lvl>
    <w:lvl w:ilvl="1" w:tplc="202A531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9549C0"/>
    <w:multiLevelType w:val="hybridMultilevel"/>
    <w:tmpl w:val="A252C3E6"/>
    <w:lvl w:ilvl="0" w:tplc="752EDA5C">
      <w:start w:val="1"/>
      <w:numFmt w:val="taiwaneseCountingThousand"/>
      <w:lvlText w:val="(%1)"/>
      <w:lvlJc w:val="left"/>
      <w:pPr>
        <w:ind w:left="1356" w:hanging="516"/>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57B476E"/>
    <w:multiLevelType w:val="hybridMultilevel"/>
    <w:tmpl w:val="3398BB46"/>
    <w:lvl w:ilvl="0" w:tplc="DF2E8B6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72F12FC"/>
    <w:multiLevelType w:val="hybridMultilevel"/>
    <w:tmpl w:val="3F92571C"/>
    <w:lvl w:ilvl="0" w:tplc="B304389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78047E3C"/>
    <w:multiLevelType w:val="hybridMultilevel"/>
    <w:tmpl w:val="1C6CD66E"/>
    <w:lvl w:ilvl="0" w:tplc="92D47B44">
      <w:start w:val="1"/>
      <w:numFmt w:val="taiwaneseCountingThousand"/>
      <w:lvlText w:val="%1、"/>
      <w:lvlJc w:val="left"/>
      <w:pPr>
        <w:ind w:left="456" w:hanging="456"/>
      </w:pPr>
      <w:rPr>
        <w:rFonts w:hint="default"/>
      </w:rPr>
    </w:lvl>
    <w:lvl w:ilvl="1" w:tplc="202A531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8F05AFF"/>
    <w:multiLevelType w:val="hybridMultilevel"/>
    <w:tmpl w:val="3E141856"/>
    <w:lvl w:ilvl="0" w:tplc="DF2E8B6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5020F2"/>
    <w:multiLevelType w:val="hybridMultilevel"/>
    <w:tmpl w:val="A7FAA464"/>
    <w:lvl w:ilvl="0" w:tplc="C6DC7F3C">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C104EE"/>
    <w:multiLevelType w:val="hybridMultilevel"/>
    <w:tmpl w:val="74567AFC"/>
    <w:lvl w:ilvl="0" w:tplc="4958327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8"/>
  </w:num>
  <w:num w:numId="3">
    <w:abstractNumId w:val="0"/>
  </w:num>
  <w:num w:numId="4">
    <w:abstractNumId w:val="20"/>
  </w:num>
  <w:num w:numId="5">
    <w:abstractNumId w:val="30"/>
  </w:num>
  <w:num w:numId="6">
    <w:abstractNumId w:val="21"/>
  </w:num>
  <w:num w:numId="7">
    <w:abstractNumId w:val="39"/>
  </w:num>
  <w:num w:numId="8">
    <w:abstractNumId w:val="10"/>
  </w:num>
  <w:num w:numId="9">
    <w:abstractNumId w:val="6"/>
  </w:num>
  <w:num w:numId="10">
    <w:abstractNumId w:val="7"/>
  </w:num>
  <w:num w:numId="11">
    <w:abstractNumId w:val="3"/>
  </w:num>
  <w:num w:numId="12">
    <w:abstractNumId w:val="24"/>
  </w:num>
  <w:num w:numId="13">
    <w:abstractNumId w:val="12"/>
  </w:num>
  <w:num w:numId="14">
    <w:abstractNumId w:val="19"/>
  </w:num>
  <w:num w:numId="15">
    <w:abstractNumId w:val="2"/>
  </w:num>
  <w:num w:numId="16">
    <w:abstractNumId w:val="31"/>
  </w:num>
  <w:num w:numId="17">
    <w:abstractNumId w:val="14"/>
  </w:num>
  <w:num w:numId="18">
    <w:abstractNumId w:val="28"/>
  </w:num>
  <w:num w:numId="19">
    <w:abstractNumId w:val="16"/>
  </w:num>
  <w:num w:numId="20">
    <w:abstractNumId w:val="5"/>
  </w:num>
  <w:num w:numId="21">
    <w:abstractNumId w:val="38"/>
  </w:num>
  <w:num w:numId="22">
    <w:abstractNumId w:val="22"/>
  </w:num>
  <w:num w:numId="23">
    <w:abstractNumId w:val="23"/>
  </w:num>
  <w:num w:numId="24">
    <w:abstractNumId w:val="29"/>
  </w:num>
  <w:num w:numId="25">
    <w:abstractNumId w:val="32"/>
  </w:num>
  <w:num w:numId="26">
    <w:abstractNumId w:val="33"/>
  </w:num>
  <w:num w:numId="27">
    <w:abstractNumId w:val="17"/>
  </w:num>
  <w:num w:numId="28">
    <w:abstractNumId w:val="11"/>
  </w:num>
  <w:num w:numId="29">
    <w:abstractNumId w:val="1"/>
  </w:num>
  <w:num w:numId="30">
    <w:abstractNumId w:val="36"/>
  </w:num>
  <w:num w:numId="31">
    <w:abstractNumId w:val="9"/>
  </w:num>
  <w:num w:numId="32">
    <w:abstractNumId w:val="37"/>
  </w:num>
  <w:num w:numId="33">
    <w:abstractNumId w:val="25"/>
  </w:num>
  <w:num w:numId="34">
    <w:abstractNumId w:val="15"/>
  </w:num>
  <w:num w:numId="35">
    <w:abstractNumId w:val="8"/>
  </w:num>
  <w:num w:numId="36">
    <w:abstractNumId w:val="40"/>
  </w:num>
  <w:num w:numId="37">
    <w:abstractNumId w:val="4"/>
  </w:num>
  <w:num w:numId="38">
    <w:abstractNumId w:val="35"/>
  </w:num>
  <w:num w:numId="39">
    <w:abstractNumId w:val="34"/>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47"/>
    <w:rsid w:val="000042CF"/>
    <w:rsid w:val="0000458F"/>
    <w:rsid w:val="000055B6"/>
    <w:rsid w:val="00007A60"/>
    <w:rsid w:val="00010A7C"/>
    <w:rsid w:val="00017958"/>
    <w:rsid w:val="00020B95"/>
    <w:rsid w:val="00023E12"/>
    <w:rsid w:val="000266E0"/>
    <w:rsid w:val="000312D0"/>
    <w:rsid w:val="00041FF0"/>
    <w:rsid w:val="0004520E"/>
    <w:rsid w:val="00050843"/>
    <w:rsid w:val="0005447F"/>
    <w:rsid w:val="000561B8"/>
    <w:rsid w:val="00057041"/>
    <w:rsid w:val="00060543"/>
    <w:rsid w:val="00060F9D"/>
    <w:rsid w:val="00071602"/>
    <w:rsid w:val="0007347C"/>
    <w:rsid w:val="00076232"/>
    <w:rsid w:val="000838A6"/>
    <w:rsid w:val="00083A85"/>
    <w:rsid w:val="00084C02"/>
    <w:rsid w:val="00084F24"/>
    <w:rsid w:val="00085BA8"/>
    <w:rsid w:val="00091B4E"/>
    <w:rsid w:val="00093E34"/>
    <w:rsid w:val="000954FB"/>
    <w:rsid w:val="000A3F13"/>
    <w:rsid w:val="000A78A1"/>
    <w:rsid w:val="000B061B"/>
    <w:rsid w:val="000B1A25"/>
    <w:rsid w:val="000C1DD0"/>
    <w:rsid w:val="000C7811"/>
    <w:rsid w:val="000D1162"/>
    <w:rsid w:val="000D43D2"/>
    <w:rsid w:val="000D527D"/>
    <w:rsid w:val="000D52B1"/>
    <w:rsid w:val="000D5E6E"/>
    <w:rsid w:val="000D609A"/>
    <w:rsid w:val="000D769C"/>
    <w:rsid w:val="000D76B3"/>
    <w:rsid w:val="000E11A2"/>
    <w:rsid w:val="000E4249"/>
    <w:rsid w:val="000E6818"/>
    <w:rsid w:val="000F0D59"/>
    <w:rsid w:val="000F1E77"/>
    <w:rsid w:val="000F3E98"/>
    <w:rsid w:val="000F6B14"/>
    <w:rsid w:val="000F75B6"/>
    <w:rsid w:val="001023F8"/>
    <w:rsid w:val="00114906"/>
    <w:rsid w:val="001152D0"/>
    <w:rsid w:val="00115BCF"/>
    <w:rsid w:val="00117866"/>
    <w:rsid w:val="001233F6"/>
    <w:rsid w:val="00132C30"/>
    <w:rsid w:val="001359A8"/>
    <w:rsid w:val="00137705"/>
    <w:rsid w:val="00141095"/>
    <w:rsid w:val="00142E8F"/>
    <w:rsid w:val="00143E21"/>
    <w:rsid w:val="00151AFE"/>
    <w:rsid w:val="00154E20"/>
    <w:rsid w:val="00160B52"/>
    <w:rsid w:val="00165EB9"/>
    <w:rsid w:val="00167568"/>
    <w:rsid w:val="001711E1"/>
    <w:rsid w:val="00171E4C"/>
    <w:rsid w:val="00173618"/>
    <w:rsid w:val="001802C0"/>
    <w:rsid w:val="00181A14"/>
    <w:rsid w:val="00181C79"/>
    <w:rsid w:val="00183334"/>
    <w:rsid w:val="0018457A"/>
    <w:rsid w:val="001851C1"/>
    <w:rsid w:val="001870FB"/>
    <w:rsid w:val="001921DD"/>
    <w:rsid w:val="001958AF"/>
    <w:rsid w:val="00196900"/>
    <w:rsid w:val="001A11C6"/>
    <w:rsid w:val="001A36E6"/>
    <w:rsid w:val="001B679F"/>
    <w:rsid w:val="001B6B74"/>
    <w:rsid w:val="001C28EC"/>
    <w:rsid w:val="001C490B"/>
    <w:rsid w:val="001C49C4"/>
    <w:rsid w:val="001C5F8F"/>
    <w:rsid w:val="001C6F66"/>
    <w:rsid w:val="001C7EF8"/>
    <w:rsid w:val="001E1283"/>
    <w:rsid w:val="001F141E"/>
    <w:rsid w:val="00202F22"/>
    <w:rsid w:val="002048AA"/>
    <w:rsid w:val="00206B5D"/>
    <w:rsid w:val="00210C80"/>
    <w:rsid w:val="002133B3"/>
    <w:rsid w:val="0021565A"/>
    <w:rsid w:val="002176CA"/>
    <w:rsid w:val="002247EE"/>
    <w:rsid w:val="002264E7"/>
    <w:rsid w:val="002316BD"/>
    <w:rsid w:val="00234410"/>
    <w:rsid w:val="0024188E"/>
    <w:rsid w:val="00246A8A"/>
    <w:rsid w:val="0025137C"/>
    <w:rsid w:val="00251C62"/>
    <w:rsid w:val="00252A19"/>
    <w:rsid w:val="002537AC"/>
    <w:rsid w:val="0025478A"/>
    <w:rsid w:val="00255CCD"/>
    <w:rsid w:val="00256544"/>
    <w:rsid w:val="002666C2"/>
    <w:rsid w:val="002755EF"/>
    <w:rsid w:val="00280388"/>
    <w:rsid w:val="00284496"/>
    <w:rsid w:val="00285788"/>
    <w:rsid w:val="002A34E6"/>
    <w:rsid w:val="002A4E6A"/>
    <w:rsid w:val="002A7C0B"/>
    <w:rsid w:val="002B491D"/>
    <w:rsid w:val="002C0955"/>
    <w:rsid w:val="002C0B19"/>
    <w:rsid w:val="002C18FD"/>
    <w:rsid w:val="002C2635"/>
    <w:rsid w:val="002C40F1"/>
    <w:rsid w:val="002C6282"/>
    <w:rsid w:val="002C659D"/>
    <w:rsid w:val="002C678E"/>
    <w:rsid w:val="002D31E0"/>
    <w:rsid w:val="002D3BBD"/>
    <w:rsid w:val="002E2EAC"/>
    <w:rsid w:val="002E5AB1"/>
    <w:rsid w:val="002E6DBA"/>
    <w:rsid w:val="002E749F"/>
    <w:rsid w:val="002F0AA4"/>
    <w:rsid w:val="002F72AE"/>
    <w:rsid w:val="0030367A"/>
    <w:rsid w:val="00311636"/>
    <w:rsid w:val="00316DAB"/>
    <w:rsid w:val="0031786A"/>
    <w:rsid w:val="00323C3D"/>
    <w:rsid w:val="00326930"/>
    <w:rsid w:val="0033304B"/>
    <w:rsid w:val="00340647"/>
    <w:rsid w:val="00343FB6"/>
    <w:rsid w:val="00346230"/>
    <w:rsid w:val="00346F88"/>
    <w:rsid w:val="00350339"/>
    <w:rsid w:val="003503EA"/>
    <w:rsid w:val="00357AAE"/>
    <w:rsid w:val="003663A4"/>
    <w:rsid w:val="00367BE0"/>
    <w:rsid w:val="00377A45"/>
    <w:rsid w:val="0038184F"/>
    <w:rsid w:val="00381A32"/>
    <w:rsid w:val="00381AB3"/>
    <w:rsid w:val="0038320E"/>
    <w:rsid w:val="00386816"/>
    <w:rsid w:val="003935AA"/>
    <w:rsid w:val="003962A6"/>
    <w:rsid w:val="00396651"/>
    <w:rsid w:val="003A4A36"/>
    <w:rsid w:val="003B0852"/>
    <w:rsid w:val="003B5786"/>
    <w:rsid w:val="003B6665"/>
    <w:rsid w:val="003E2BEF"/>
    <w:rsid w:val="003E377A"/>
    <w:rsid w:val="003E3B67"/>
    <w:rsid w:val="003E47B2"/>
    <w:rsid w:val="003F0F85"/>
    <w:rsid w:val="003F1977"/>
    <w:rsid w:val="003F2E6B"/>
    <w:rsid w:val="004066D2"/>
    <w:rsid w:val="004116F7"/>
    <w:rsid w:val="00412C5E"/>
    <w:rsid w:val="0041304C"/>
    <w:rsid w:val="00413969"/>
    <w:rsid w:val="00413E2E"/>
    <w:rsid w:val="0041566A"/>
    <w:rsid w:val="00415A8B"/>
    <w:rsid w:val="00431FAD"/>
    <w:rsid w:val="00434C9B"/>
    <w:rsid w:val="00442CDC"/>
    <w:rsid w:val="00445AAA"/>
    <w:rsid w:val="0044738C"/>
    <w:rsid w:val="00462B11"/>
    <w:rsid w:val="00463935"/>
    <w:rsid w:val="00463C55"/>
    <w:rsid w:val="00467C8A"/>
    <w:rsid w:val="0047302A"/>
    <w:rsid w:val="00481B9D"/>
    <w:rsid w:val="00483F05"/>
    <w:rsid w:val="00484EE6"/>
    <w:rsid w:val="00487892"/>
    <w:rsid w:val="00490F68"/>
    <w:rsid w:val="004933ED"/>
    <w:rsid w:val="00493E54"/>
    <w:rsid w:val="004959F9"/>
    <w:rsid w:val="004977F9"/>
    <w:rsid w:val="004A4C4D"/>
    <w:rsid w:val="004A7F60"/>
    <w:rsid w:val="004B358F"/>
    <w:rsid w:val="004C468F"/>
    <w:rsid w:val="004D286B"/>
    <w:rsid w:val="004D3D46"/>
    <w:rsid w:val="004D7954"/>
    <w:rsid w:val="004E2953"/>
    <w:rsid w:val="004E30FD"/>
    <w:rsid w:val="004E5BB8"/>
    <w:rsid w:val="004F066E"/>
    <w:rsid w:val="004F1C01"/>
    <w:rsid w:val="004F641D"/>
    <w:rsid w:val="00502643"/>
    <w:rsid w:val="00505023"/>
    <w:rsid w:val="00506EE8"/>
    <w:rsid w:val="00512ADD"/>
    <w:rsid w:val="00520610"/>
    <w:rsid w:val="00531E5A"/>
    <w:rsid w:val="00532D1A"/>
    <w:rsid w:val="00533940"/>
    <w:rsid w:val="00536FC1"/>
    <w:rsid w:val="0054648D"/>
    <w:rsid w:val="00547E22"/>
    <w:rsid w:val="00552C34"/>
    <w:rsid w:val="0055621D"/>
    <w:rsid w:val="00570C70"/>
    <w:rsid w:val="00570FAA"/>
    <w:rsid w:val="00572557"/>
    <w:rsid w:val="00573569"/>
    <w:rsid w:val="00575B1A"/>
    <w:rsid w:val="00580AF6"/>
    <w:rsid w:val="00584513"/>
    <w:rsid w:val="005878D8"/>
    <w:rsid w:val="00592388"/>
    <w:rsid w:val="0059791B"/>
    <w:rsid w:val="005A21F9"/>
    <w:rsid w:val="005A71CB"/>
    <w:rsid w:val="005B04E0"/>
    <w:rsid w:val="005B35BB"/>
    <w:rsid w:val="005B410D"/>
    <w:rsid w:val="005B45E4"/>
    <w:rsid w:val="005C04C7"/>
    <w:rsid w:val="005C0BD7"/>
    <w:rsid w:val="005C0EC2"/>
    <w:rsid w:val="005C28E1"/>
    <w:rsid w:val="005C38BA"/>
    <w:rsid w:val="005C5EEE"/>
    <w:rsid w:val="005C7B4C"/>
    <w:rsid w:val="005D35E5"/>
    <w:rsid w:val="005D4C0D"/>
    <w:rsid w:val="005D5043"/>
    <w:rsid w:val="005D5614"/>
    <w:rsid w:val="005E3815"/>
    <w:rsid w:val="005E5043"/>
    <w:rsid w:val="005E6CF6"/>
    <w:rsid w:val="005E7653"/>
    <w:rsid w:val="005E7A01"/>
    <w:rsid w:val="005F33DD"/>
    <w:rsid w:val="005F788D"/>
    <w:rsid w:val="0060219D"/>
    <w:rsid w:val="00603FBA"/>
    <w:rsid w:val="006058EA"/>
    <w:rsid w:val="00607323"/>
    <w:rsid w:val="00612DF7"/>
    <w:rsid w:val="006153EC"/>
    <w:rsid w:val="00616388"/>
    <w:rsid w:val="00617853"/>
    <w:rsid w:val="006237FA"/>
    <w:rsid w:val="006262E4"/>
    <w:rsid w:val="0063111F"/>
    <w:rsid w:val="00631A80"/>
    <w:rsid w:val="00633C5B"/>
    <w:rsid w:val="006347AC"/>
    <w:rsid w:val="006403B6"/>
    <w:rsid w:val="00646F48"/>
    <w:rsid w:val="006507B5"/>
    <w:rsid w:val="0065533C"/>
    <w:rsid w:val="00660A1D"/>
    <w:rsid w:val="00663FE9"/>
    <w:rsid w:val="006847BE"/>
    <w:rsid w:val="00692E49"/>
    <w:rsid w:val="00697F12"/>
    <w:rsid w:val="006A3D86"/>
    <w:rsid w:val="006A4B42"/>
    <w:rsid w:val="006A58DC"/>
    <w:rsid w:val="006A6A8E"/>
    <w:rsid w:val="006B1BF6"/>
    <w:rsid w:val="006B344F"/>
    <w:rsid w:val="006B3F51"/>
    <w:rsid w:val="006B566F"/>
    <w:rsid w:val="006C1D80"/>
    <w:rsid w:val="006C32FB"/>
    <w:rsid w:val="006C7947"/>
    <w:rsid w:val="006D0987"/>
    <w:rsid w:val="006D12CC"/>
    <w:rsid w:val="006D2BBA"/>
    <w:rsid w:val="006D65DD"/>
    <w:rsid w:val="006E40F2"/>
    <w:rsid w:val="006F0D31"/>
    <w:rsid w:val="00700829"/>
    <w:rsid w:val="00703413"/>
    <w:rsid w:val="00704709"/>
    <w:rsid w:val="00704AEE"/>
    <w:rsid w:val="007051C7"/>
    <w:rsid w:val="007107E3"/>
    <w:rsid w:val="007109AA"/>
    <w:rsid w:val="00715E73"/>
    <w:rsid w:val="00717387"/>
    <w:rsid w:val="00721635"/>
    <w:rsid w:val="007236A9"/>
    <w:rsid w:val="00724CCA"/>
    <w:rsid w:val="007306E9"/>
    <w:rsid w:val="00734CF4"/>
    <w:rsid w:val="00735591"/>
    <w:rsid w:val="0074407A"/>
    <w:rsid w:val="0074465D"/>
    <w:rsid w:val="007462A6"/>
    <w:rsid w:val="00750DAC"/>
    <w:rsid w:val="007542D1"/>
    <w:rsid w:val="0075769F"/>
    <w:rsid w:val="00757A25"/>
    <w:rsid w:val="0076001A"/>
    <w:rsid w:val="00765ECE"/>
    <w:rsid w:val="00767C46"/>
    <w:rsid w:val="00780B97"/>
    <w:rsid w:val="00786B4F"/>
    <w:rsid w:val="00792265"/>
    <w:rsid w:val="0079747D"/>
    <w:rsid w:val="007A1E5F"/>
    <w:rsid w:val="007A4298"/>
    <w:rsid w:val="007A5104"/>
    <w:rsid w:val="007B6276"/>
    <w:rsid w:val="007B7A63"/>
    <w:rsid w:val="007C1B86"/>
    <w:rsid w:val="007C1E8E"/>
    <w:rsid w:val="007C53AC"/>
    <w:rsid w:val="007C7196"/>
    <w:rsid w:val="007C7402"/>
    <w:rsid w:val="007C7F81"/>
    <w:rsid w:val="007D31E0"/>
    <w:rsid w:val="007D798B"/>
    <w:rsid w:val="007D7CDE"/>
    <w:rsid w:val="007E2481"/>
    <w:rsid w:val="007E4291"/>
    <w:rsid w:val="007E592A"/>
    <w:rsid w:val="007E65DF"/>
    <w:rsid w:val="007F4C40"/>
    <w:rsid w:val="00800A81"/>
    <w:rsid w:val="0080349D"/>
    <w:rsid w:val="0080447E"/>
    <w:rsid w:val="0080615C"/>
    <w:rsid w:val="00806617"/>
    <w:rsid w:val="00815560"/>
    <w:rsid w:val="00820B05"/>
    <w:rsid w:val="00823EE6"/>
    <w:rsid w:val="008253A5"/>
    <w:rsid w:val="00831C43"/>
    <w:rsid w:val="00836D1C"/>
    <w:rsid w:val="00841DA0"/>
    <w:rsid w:val="00847C53"/>
    <w:rsid w:val="00851392"/>
    <w:rsid w:val="00856EB7"/>
    <w:rsid w:val="00863103"/>
    <w:rsid w:val="00864FD2"/>
    <w:rsid w:val="00865F8A"/>
    <w:rsid w:val="008710AA"/>
    <w:rsid w:val="0087159C"/>
    <w:rsid w:val="008724F1"/>
    <w:rsid w:val="0087320F"/>
    <w:rsid w:val="00873C07"/>
    <w:rsid w:val="00874EDB"/>
    <w:rsid w:val="00880D13"/>
    <w:rsid w:val="00881793"/>
    <w:rsid w:val="00883DE3"/>
    <w:rsid w:val="0089393C"/>
    <w:rsid w:val="008941F5"/>
    <w:rsid w:val="00897DC3"/>
    <w:rsid w:val="008A0691"/>
    <w:rsid w:val="008A1F3C"/>
    <w:rsid w:val="008A23CC"/>
    <w:rsid w:val="008A2D69"/>
    <w:rsid w:val="008A3167"/>
    <w:rsid w:val="008A36E7"/>
    <w:rsid w:val="008A400C"/>
    <w:rsid w:val="008A4D1C"/>
    <w:rsid w:val="008A6563"/>
    <w:rsid w:val="008B1F9A"/>
    <w:rsid w:val="008B2440"/>
    <w:rsid w:val="008B43F2"/>
    <w:rsid w:val="008C22A7"/>
    <w:rsid w:val="008C610A"/>
    <w:rsid w:val="008D0713"/>
    <w:rsid w:val="008D10DF"/>
    <w:rsid w:val="008D5EB9"/>
    <w:rsid w:val="008D730D"/>
    <w:rsid w:val="008D769C"/>
    <w:rsid w:val="008E4892"/>
    <w:rsid w:val="008F6B7B"/>
    <w:rsid w:val="00900271"/>
    <w:rsid w:val="00901937"/>
    <w:rsid w:val="00903777"/>
    <w:rsid w:val="00911458"/>
    <w:rsid w:val="00914D6B"/>
    <w:rsid w:val="00921B0D"/>
    <w:rsid w:val="00923993"/>
    <w:rsid w:val="00923D57"/>
    <w:rsid w:val="0093208C"/>
    <w:rsid w:val="00933BA8"/>
    <w:rsid w:val="009368CD"/>
    <w:rsid w:val="0093777C"/>
    <w:rsid w:val="00953E19"/>
    <w:rsid w:val="00953F83"/>
    <w:rsid w:val="00955E88"/>
    <w:rsid w:val="00957707"/>
    <w:rsid w:val="00964F0A"/>
    <w:rsid w:val="00966443"/>
    <w:rsid w:val="00974521"/>
    <w:rsid w:val="00975B9F"/>
    <w:rsid w:val="00976703"/>
    <w:rsid w:val="00977686"/>
    <w:rsid w:val="00980B7F"/>
    <w:rsid w:val="00981E9A"/>
    <w:rsid w:val="00982C21"/>
    <w:rsid w:val="009902C6"/>
    <w:rsid w:val="009A182E"/>
    <w:rsid w:val="009A5D65"/>
    <w:rsid w:val="009A7854"/>
    <w:rsid w:val="009A7F24"/>
    <w:rsid w:val="009B5CF7"/>
    <w:rsid w:val="009C12D1"/>
    <w:rsid w:val="009C7A61"/>
    <w:rsid w:val="009D5248"/>
    <w:rsid w:val="009D5F35"/>
    <w:rsid w:val="009E0F11"/>
    <w:rsid w:val="009E4E23"/>
    <w:rsid w:val="009E7565"/>
    <w:rsid w:val="009F5689"/>
    <w:rsid w:val="00A02548"/>
    <w:rsid w:val="00A074E6"/>
    <w:rsid w:val="00A07F50"/>
    <w:rsid w:val="00A1080C"/>
    <w:rsid w:val="00A110CF"/>
    <w:rsid w:val="00A12AFA"/>
    <w:rsid w:val="00A13486"/>
    <w:rsid w:val="00A16842"/>
    <w:rsid w:val="00A23870"/>
    <w:rsid w:val="00A254E5"/>
    <w:rsid w:val="00A2568B"/>
    <w:rsid w:val="00A26844"/>
    <w:rsid w:val="00A2769B"/>
    <w:rsid w:val="00A301B6"/>
    <w:rsid w:val="00A3151E"/>
    <w:rsid w:val="00A32E6D"/>
    <w:rsid w:val="00A356B6"/>
    <w:rsid w:val="00A401CA"/>
    <w:rsid w:val="00A43757"/>
    <w:rsid w:val="00A43D77"/>
    <w:rsid w:val="00A46588"/>
    <w:rsid w:val="00A5243A"/>
    <w:rsid w:val="00A52785"/>
    <w:rsid w:val="00A55F38"/>
    <w:rsid w:val="00A56666"/>
    <w:rsid w:val="00A5686D"/>
    <w:rsid w:val="00A56F34"/>
    <w:rsid w:val="00A608EB"/>
    <w:rsid w:val="00A64528"/>
    <w:rsid w:val="00A64898"/>
    <w:rsid w:val="00A72C1F"/>
    <w:rsid w:val="00A81F63"/>
    <w:rsid w:val="00A91E66"/>
    <w:rsid w:val="00A930EC"/>
    <w:rsid w:val="00A95C7C"/>
    <w:rsid w:val="00AA55F9"/>
    <w:rsid w:val="00AB0C63"/>
    <w:rsid w:val="00AB6A4B"/>
    <w:rsid w:val="00AB6BB2"/>
    <w:rsid w:val="00AC7C05"/>
    <w:rsid w:val="00AD0C1B"/>
    <w:rsid w:val="00AD4B41"/>
    <w:rsid w:val="00AE37C4"/>
    <w:rsid w:val="00AE3B25"/>
    <w:rsid w:val="00AF2CDB"/>
    <w:rsid w:val="00AF68F7"/>
    <w:rsid w:val="00B00147"/>
    <w:rsid w:val="00B00D0A"/>
    <w:rsid w:val="00B01BF6"/>
    <w:rsid w:val="00B04FA2"/>
    <w:rsid w:val="00B109ED"/>
    <w:rsid w:val="00B1109B"/>
    <w:rsid w:val="00B12F3D"/>
    <w:rsid w:val="00B143C1"/>
    <w:rsid w:val="00B26414"/>
    <w:rsid w:val="00B27D27"/>
    <w:rsid w:val="00B341A7"/>
    <w:rsid w:val="00B37C52"/>
    <w:rsid w:val="00B45966"/>
    <w:rsid w:val="00B70727"/>
    <w:rsid w:val="00B74304"/>
    <w:rsid w:val="00B743BD"/>
    <w:rsid w:val="00B77B31"/>
    <w:rsid w:val="00B77C42"/>
    <w:rsid w:val="00B84B03"/>
    <w:rsid w:val="00B862CD"/>
    <w:rsid w:val="00B9462F"/>
    <w:rsid w:val="00BA251E"/>
    <w:rsid w:val="00BA33A9"/>
    <w:rsid w:val="00BA45E6"/>
    <w:rsid w:val="00BA5508"/>
    <w:rsid w:val="00BB0BC0"/>
    <w:rsid w:val="00BB521F"/>
    <w:rsid w:val="00BC1318"/>
    <w:rsid w:val="00BD1F09"/>
    <w:rsid w:val="00BD228B"/>
    <w:rsid w:val="00BD395A"/>
    <w:rsid w:val="00BD48F5"/>
    <w:rsid w:val="00BE0475"/>
    <w:rsid w:val="00BE286E"/>
    <w:rsid w:val="00BE333E"/>
    <w:rsid w:val="00BE6C9D"/>
    <w:rsid w:val="00BE7457"/>
    <w:rsid w:val="00C0092D"/>
    <w:rsid w:val="00C067C3"/>
    <w:rsid w:val="00C11345"/>
    <w:rsid w:val="00C14027"/>
    <w:rsid w:val="00C15B12"/>
    <w:rsid w:val="00C17E6A"/>
    <w:rsid w:val="00C2101B"/>
    <w:rsid w:val="00C301A8"/>
    <w:rsid w:val="00C31D34"/>
    <w:rsid w:val="00C31F20"/>
    <w:rsid w:val="00C3479D"/>
    <w:rsid w:val="00C37836"/>
    <w:rsid w:val="00C435CC"/>
    <w:rsid w:val="00C44E95"/>
    <w:rsid w:val="00C47DA6"/>
    <w:rsid w:val="00C57AD2"/>
    <w:rsid w:val="00C602FA"/>
    <w:rsid w:val="00C66925"/>
    <w:rsid w:val="00C71690"/>
    <w:rsid w:val="00C73D2F"/>
    <w:rsid w:val="00C838BB"/>
    <w:rsid w:val="00C84B71"/>
    <w:rsid w:val="00C87CAD"/>
    <w:rsid w:val="00C90D98"/>
    <w:rsid w:val="00C93063"/>
    <w:rsid w:val="00C93965"/>
    <w:rsid w:val="00C973E7"/>
    <w:rsid w:val="00CA15BC"/>
    <w:rsid w:val="00CA1C98"/>
    <w:rsid w:val="00CA647D"/>
    <w:rsid w:val="00CB0A64"/>
    <w:rsid w:val="00CB2F2A"/>
    <w:rsid w:val="00CB333B"/>
    <w:rsid w:val="00CB3EDD"/>
    <w:rsid w:val="00CB7A6F"/>
    <w:rsid w:val="00CC1149"/>
    <w:rsid w:val="00CC1EDB"/>
    <w:rsid w:val="00CC3207"/>
    <w:rsid w:val="00CD1A65"/>
    <w:rsid w:val="00CD1CEF"/>
    <w:rsid w:val="00CD26D4"/>
    <w:rsid w:val="00CE183A"/>
    <w:rsid w:val="00CE2E6A"/>
    <w:rsid w:val="00CE5119"/>
    <w:rsid w:val="00CE57BC"/>
    <w:rsid w:val="00CE59B9"/>
    <w:rsid w:val="00CF034D"/>
    <w:rsid w:val="00CF3DA8"/>
    <w:rsid w:val="00CF3FB6"/>
    <w:rsid w:val="00D0308A"/>
    <w:rsid w:val="00D0380E"/>
    <w:rsid w:val="00D04351"/>
    <w:rsid w:val="00D07AA4"/>
    <w:rsid w:val="00D10F18"/>
    <w:rsid w:val="00D14777"/>
    <w:rsid w:val="00D154DE"/>
    <w:rsid w:val="00D15707"/>
    <w:rsid w:val="00D17F69"/>
    <w:rsid w:val="00D22A6A"/>
    <w:rsid w:val="00D302DB"/>
    <w:rsid w:val="00D33414"/>
    <w:rsid w:val="00D343BC"/>
    <w:rsid w:val="00D343C2"/>
    <w:rsid w:val="00D40DAA"/>
    <w:rsid w:val="00D444F9"/>
    <w:rsid w:val="00D452A5"/>
    <w:rsid w:val="00D45AA4"/>
    <w:rsid w:val="00D45C58"/>
    <w:rsid w:val="00D507CA"/>
    <w:rsid w:val="00D516EC"/>
    <w:rsid w:val="00D5729B"/>
    <w:rsid w:val="00D6087E"/>
    <w:rsid w:val="00D630F0"/>
    <w:rsid w:val="00D71D14"/>
    <w:rsid w:val="00D76087"/>
    <w:rsid w:val="00D76122"/>
    <w:rsid w:val="00D762AB"/>
    <w:rsid w:val="00D77D43"/>
    <w:rsid w:val="00D932E5"/>
    <w:rsid w:val="00D95B01"/>
    <w:rsid w:val="00D96BB4"/>
    <w:rsid w:val="00D96D17"/>
    <w:rsid w:val="00DA1B46"/>
    <w:rsid w:val="00DA5CF3"/>
    <w:rsid w:val="00DA68F4"/>
    <w:rsid w:val="00DB3F31"/>
    <w:rsid w:val="00DC23BC"/>
    <w:rsid w:val="00DC62E1"/>
    <w:rsid w:val="00DD0932"/>
    <w:rsid w:val="00DD0F29"/>
    <w:rsid w:val="00DD1E3E"/>
    <w:rsid w:val="00DD28F0"/>
    <w:rsid w:val="00DD6B09"/>
    <w:rsid w:val="00DE2204"/>
    <w:rsid w:val="00DE340B"/>
    <w:rsid w:val="00DE4667"/>
    <w:rsid w:val="00DF1C3E"/>
    <w:rsid w:val="00DF3295"/>
    <w:rsid w:val="00DF5E69"/>
    <w:rsid w:val="00DF7402"/>
    <w:rsid w:val="00DF744B"/>
    <w:rsid w:val="00DF74FD"/>
    <w:rsid w:val="00E02F28"/>
    <w:rsid w:val="00E0658E"/>
    <w:rsid w:val="00E1260A"/>
    <w:rsid w:val="00E13608"/>
    <w:rsid w:val="00E1541F"/>
    <w:rsid w:val="00E23EE2"/>
    <w:rsid w:val="00E24783"/>
    <w:rsid w:val="00E2693B"/>
    <w:rsid w:val="00E302C3"/>
    <w:rsid w:val="00E319B0"/>
    <w:rsid w:val="00E35776"/>
    <w:rsid w:val="00E457FD"/>
    <w:rsid w:val="00E52B54"/>
    <w:rsid w:val="00E61C0D"/>
    <w:rsid w:val="00E6336F"/>
    <w:rsid w:val="00E639F8"/>
    <w:rsid w:val="00E63FEF"/>
    <w:rsid w:val="00E66800"/>
    <w:rsid w:val="00E71C55"/>
    <w:rsid w:val="00E734EB"/>
    <w:rsid w:val="00E80575"/>
    <w:rsid w:val="00E83545"/>
    <w:rsid w:val="00E87C58"/>
    <w:rsid w:val="00E91304"/>
    <w:rsid w:val="00E91E0C"/>
    <w:rsid w:val="00E940F6"/>
    <w:rsid w:val="00E96F28"/>
    <w:rsid w:val="00EA148A"/>
    <w:rsid w:val="00EA17EC"/>
    <w:rsid w:val="00EB1AE6"/>
    <w:rsid w:val="00EB499E"/>
    <w:rsid w:val="00EB6BFE"/>
    <w:rsid w:val="00EC1FDB"/>
    <w:rsid w:val="00EC5729"/>
    <w:rsid w:val="00EC635D"/>
    <w:rsid w:val="00ED02E1"/>
    <w:rsid w:val="00ED0A17"/>
    <w:rsid w:val="00ED12CC"/>
    <w:rsid w:val="00ED1523"/>
    <w:rsid w:val="00ED3959"/>
    <w:rsid w:val="00ED534C"/>
    <w:rsid w:val="00ED65D3"/>
    <w:rsid w:val="00EE06C9"/>
    <w:rsid w:val="00EE0BEB"/>
    <w:rsid w:val="00EE2722"/>
    <w:rsid w:val="00EE5211"/>
    <w:rsid w:val="00EF02DE"/>
    <w:rsid w:val="00EF6D40"/>
    <w:rsid w:val="00EF7F8F"/>
    <w:rsid w:val="00F142DE"/>
    <w:rsid w:val="00F245F8"/>
    <w:rsid w:val="00F24A73"/>
    <w:rsid w:val="00F307E1"/>
    <w:rsid w:val="00F366EF"/>
    <w:rsid w:val="00F3719A"/>
    <w:rsid w:val="00F40B56"/>
    <w:rsid w:val="00F417E6"/>
    <w:rsid w:val="00F434C2"/>
    <w:rsid w:val="00F47FA7"/>
    <w:rsid w:val="00F50863"/>
    <w:rsid w:val="00F50EF5"/>
    <w:rsid w:val="00F51D77"/>
    <w:rsid w:val="00F52BD0"/>
    <w:rsid w:val="00F52FD9"/>
    <w:rsid w:val="00F53065"/>
    <w:rsid w:val="00F54822"/>
    <w:rsid w:val="00F57157"/>
    <w:rsid w:val="00F578D5"/>
    <w:rsid w:val="00F603B1"/>
    <w:rsid w:val="00F6145C"/>
    <w:rsid w:val="00F61F0B"/>
    <w:rsid w:val="00F6201D"/>
    <w:rsid w:val="00F6241E"/>
    <w:rsid w:val="00F72197"/>
    <w:rsid w:val="00F73288"/>
    <w:rsid w:val="00F75B36"/>
    <w:rsid w:val="00F820DE"/>
    <w:rsid w:val="00F83260"/>
    <w:rsid w:val="00F83BFA"/>
    <w:rsid w:val="00F875D4"/>
    <w:rsid w:val="00F92612"/>
    <w:rsid w:val="00F9756F"/>
    <w:rsid w:val="00FA15B5"/>
    <w:rsid w:val="00FA20B1"/>
    <w:rsid w:val="00FA362F"/>
    <w:rsid w:val="00FA63A5"/>
    <w:rsid w:val="00FA6CC3"/>
    <w:rsid w:val="00FB43CA"/>
    <w:rsid w:val="00FB74C5"/>
    <w:rsid w:val="00FC41D6"/>
    <w:rsid w:val="00FC6573"/>
    <w:rsid w:val="00FD4D01"/>
    <w:rsid w:val="00FD6765"/>
    <w:rsid w:val="00FE04BD"/>
    <w:rsid w:val="00FE271A"/>
    <w:rsid w:val="00FF5A26"/>
    <w:rsid w:val="00FF7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B2B19-DCA1-4425-9346-9B061DD1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14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0147"/>
    <w:pPr>
      <w:ind w:leftChars="200" w:left="480"/>
    </w:pPr>
  </w:style>
  <w:style w:type="paragraph" w:styleId="a5">
    <w:name w:val="footer"/>
    <w:basedOn w:val="a"/>
    <w:link w:val="a6"/>
    <w:uiPriority w:val="99"/>
    <w:unhideWhenUsed/>
    <w:rsid w:val="00B00147"/>
    <w:pPr>
      <w:tabs>
        <w:tab w:val="center" w:pos="4153"/>
        <w:tab w:val="right" w:pos="8306"/>
      </w:tabs>
      <w:snapToGrid w:val="0"/>
    </w:pPr>
    <w:rPr>
      <w:sz w:val="20"/>
      <w:szCs w:val="20"/>
    </w:rPr>
  </w:style>
  <w:style w:type="character" w:customStyle="1" w:styleId="a6">
    <w:name w:val="頁尾 字元"/>
    <w:basedOn w:val="a0"/>
    <w:link w:val="a5"/>
    <w:uiPriority w:val="99"/>
    <w:rsid w:val="00B00147"/>
    <w:rPr>
      <w:rFonts w:ascii="Calibri" w:eastAsia="新細明體" w:hAnsi="Calibri" w:cs="Times New Roman"/>
      <w:sz w:val="20"/>
      <w:szCs w:val="20"/>
    </w:rPr>
  </w:style>
  <w:style w:type="paragraph" w:styleId="a7">
    <w:name w:val="header"/>
    <w:basedOn w:val="a"/>
    <w:link w:val="a8"/>
    <w:uiPriority w:val="99"/>
    <w:unhideWhenUsed/>
    <w:rsid w:val="00007A60"/>
    <w:pPr>
      <w:tabs>
        <w:tab w:val="center" w:pos="4153"/>
        <w:tab w:val="right" w:pos="8306"/>
      </w:tabs>
      <w:snapToGrid w:val="0"/>
    </w:pPr>
    <w:rPr>
      <w:sz w:val="20"/>
      <w:szCs w:val="20"/>
    </w:rPr>
  </w:style>
  <w:style w:type="character" w:customStyle="1" w:styleId="a8">
    <w:name w:val="頁首 字元"/>
    <w:basedOn w:val="a0"/>
    <w:link w:val="a7"/>
    <w:uiPriority w:val="99"/>
    <w:rsid w:val="00007A60"/>
    <w:rPr>
      <w:rFonts w:ascii="Calibri" w:eastAsia="新細明體" w:hAnsi="Calibri" w:cs="Times New Roman"/>
      <w:sz w:val="20"/>
      <w:szCs w:val="20"/>
    </w:rPr>
  </w:style>
  <w:style w:type="paragraph" w:styleId="HTML">
    <w:name w:val="HTML Preformatted"/>
    <w:basedOn w:val="a"/>
    <w:link w:val="HTML0"/>
    <w:uiPriority w:val="99"/>
    <w:unhideWhenUsed/>
    <w:rsid w:val="008A2D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8A2D69"/>
    <w:rPr>
      <w:rFonts w:ascii="細明體" w:eastAsia="細明體" w:hAnsi="細明體" w:cs="細明體"/>
      <w:color w:val="333333"/>
      <w:kern w:val="0"/>
      <w:szCs w:val="24"/>
    </w:rPr>
  </w:style>
  <w:style w:type="character" w:customStyle="1" w:styleId="a4">
    <w:name w:val="清單段落 字元"/>
    <w:link w:val="a3"/>
    <w:uiPriority w:val="34"/>
    <w:locked/>
    <w:rsid w:val="00ED12CC"/>
    <w:rPr>
      <w:rFonts w:ascii="Calibri" w:eastAsia="新細明體" w:hAnsi="Calibri" w:cs="Times New Roman"/>
    </w:rPr>
  </w:style>
  <w:style w:type="paragraph" w:styleId="a9">
    <w:name w:val="Balloon Text"/>
    <w:basedOn w:val="a"/>
    <w:link w:val="aa"/>
    <w:uiPriority w:val="99"/>
    <w:semiHidden/>
    <w:unhideWhenUsed/>
    <w:rsid w:val="00A025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2548"/>
    <w:rPr>
      <w:rFonts w:asciiTheme="majorHAnsi" w:eastAsiaTheme="majorEastAsia" w:hAnsiTheme="majorHAnsi" w:cstheme="majorBidi"/>
      <w:sz w:val="18"/>
      <w:szCs w:val="18"/>
    </w:rPr>
  </w:style>
  <w:style w:type="character" w:styleId="ab">
    <w:name w:val="Placeholder Text"/>
    <w:basedOn w:val="a0"/>
    <w:uiPriority w:val="99"/>
    <w:semiHidden/>
    <w:rsid w:val="006A6A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5553">
      <w:bodyDiv w:val="1"/>
      <w:marLeft w:val="0"/>
      <w:marRight w:val="0"/>
      <w:marTop w:val="0"/>
      <w:marBottom w:val="0"/>
      <w:divBdr>
        <w:top w:val="none" w:sz="0" w:space="0" w:color="auto"/>
        <w:left w:val="none" w:sz="0" w:space="0" w:color="auto"/>
        <w:bottom w:val="none" w:sz="0" w:space="0" w:color="auto"/>
        <w:right w:val="none" w:sz="0" w:space="0" w:color="auto"/>
      </w:divBdr>
    </w:div>
    <w:div w:id="849412199">
      <w:bodyDiv w:val="1"/>
      <w:marLeft w:val="0"/>
      <w:marRight w:val="0"/>
      <w:marTop w:val="0"/>
      <w:marBottom w:val="0"/>
      <w:divBdr>
        <w:top w:val="none" w:sz="0" w:space="0" w:color="auto"/>
        <w:left w:val="none" w:sz="0" w:space="0" w:color="auto"/>
        <w:bottom w:val="none" w:sz="0" w:space="0" w:color="auto"/>
        <w:right w:val="none" w:sz="0" w:space="0" w:color="auto"/>
      </w:divBdr>
      <w:divsChild>
        <w:div w:id="1463646488">
          <w:marLeft w:val="0"/>
          <w:marRight w:val="0"/>
          <w:marTop w:val="150"/>
          <w:marBottom w:val="0"/>
          <w:divBdr>
            <w:top w:val="none" w:sz="0" w:space="0" w:color="auto"/>
            <w:left w:val="none" w:sz="0" w:space="0" w:color="auto"/>
            <w:bottom w:val="none" w:sz="0" w:space="0" w:color="auto"/>
            <w:right w:val="none" w:sz="0" w:space="0" w:color="auto"/>
          </w:divBdr>
          <w:divsChild>
            <w:div w:id="198588916">
              <w:marLeft w:val="0"/>
              <w:marRight w:val="0"/>
              <w:marTop w:val="0"/>
              <w:marBottom w:val="0"/>
              <w:divBdr>
                <w:top w:val="none" w:sz="0" w:space="0" w:color="auto"/>
                <w:left w:val="none" w:sz="0" w:space="0" w:color="auto"/>
                <w:bottom w:val="none" w:sz="0" w:space="0" w:color="auto"/>
                <w:right w:val="none" w:sz="0" w:space="0" w:color="auto"/>
              </w:divBdr>
              <w:divsChild>
                <w:div w:id="182401428">
                  <w:marLeft w:val="0"/>
                  <w:marRight w:val="0"/>
                  <w:marTop w:val="0"/>
                  <w:marBottom w:val="0"/>
                  <w:divBdr>
                    <w:top w:val="none" w:sz="0" w:space="0" w:color="auto"/>
                    <w:left w:val="none" w:sz="0" w:space="0" w:color="auto"/>
                    <w:bottom w:val="none" w:sz="0" w:space="0" w:color="auto"/>
                    <w:right w:val="none" w:sz="0" w:space="0" w:color="auto"/>
                  </w:divBdr>
                  <w:divsChild>
                    <w:div w:id="1397048412">
                      <w:marLeft w:val="0"/>
                      <w:marRight w:val="0"/>
                      <w:marTop w:val="0"/>
                      <w:marBottom w:val="0"/>
                      <w:divBdr>
                        <w:top w:val="none" w:sz="0" w:space="0" w:color="auto"/>
                        <w:left w:val="none" w:sz="0" w:space="0" w:color="auto"/>
                        <w:bottom w:val="none" w:sz="0" w:space="0" w:color="auto"/>
                        <w:right w:val="none" w:sz="0" w:space="0" w:color="auto"/>
                      </w:divBdr>
                      <w:divsChild>
                        <w:div w:id="438987979">
                          <w:marLeft w:val="0"/>
                          <w:marRight w:val="0"/>
                          <w:marTop w:val="0"/>
                          <w:marBottom w:val="0"/>
                          <w:divBdr>
                            <w:top w:val="none" w:sz="0" w:space="0" w:color="auto"/>
                            <w:left w:val="none" w:sz="0" w:space="0" w:color="auto"/>
                            <w:bottom w:val="none" w:sz="0" w:space="0" w:color="auto"/>
                            <w:right w:val="none" w:sz="0" w:space="0" w:color="auto"/>
                          </w:divBdr>
                          <w:divsChild>
                            <w:div w:id="870192480">
                              <w:marLeft w:val="0"/>
                              <w:marRight w:val="0"/>
                              <w:marTop w:val="0"/>
                              <w:marBottom w:val="0"/>
                              <w:divBdr>
                                <w:top w:val="none" w:sz="0" w:space="0" w:color="auto"/>
                                <w:left w:val="none" w:sz="0" w:space="0" w:color="auto"/>
                                <w:bottom w:val="none" w:sz="0" w:space="0" w:color="auto"/>
                                <w:right w:val="none" w:sz="0" w:space="0" w:color="auto"/>
                              </w:divBdr>
                              <w:divsChild>
                                <w:div w:id="2129153558">
                                  <w:marLeft w:val="0"/>
                                  <w:marRight w:val="0"/>
                                  <w:marTop w:val="0"/>
                                  <w:marBottom w:val="0"/>
                                  <w:divBdr>
                                    <w:top w:val="none" w:sz="0" w:space="0" w:color="auto"/>
                                    <w:left w:val="none" w:sz="0" w:space="0" w:color="auto"/>
                                    <w:bottom w:val="none" w:sz="0" w:space="0" w:color="auto"/>
                                    <w:right w:val="none" w:sz="0" w:space="0" w:color="auto"/>
                                  </w:divBdr>
                                  <w:divsChild>
                                    <w:div w:id="14867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ACB1-F837-4297-A479-F74523D8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曾婉禎</dc:creator>
  <cp:lastModifiedBy>楊英佐</cp:lastModifiedBy>
  <cp:revision>4</cp:revision>
  <cp:lastPrinted>2017-04-19T01:11:00Z</cp:lastPrinted>
  <dcterms:created xsi:type="dcterms:W3CDTF">2017-04-24T06:10:00Z</dcterms:created>
  <dcterms:modified xsi:type="dcterms:W3CDTF">2017-05-02T02:55:00Z</dcterms:modified>
</cp:coreProperties>
</file>