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363B93" w:rsidRPr="00363B93" w:rsidTr="00363B93">
        <w:trPr>
          <w:tblCellSpacing w:w="0" w:type="dxa"/>
          <w:jc w:val="center"/>
        </w:trPr>
        <w:tc>
          <w:tcPr>
            <w:tcW w:w="0" w:type="auto"/>
            <w:vAlign w:val="center"/>
            <w:hideMark/>
          </w:tcPr>
          <w:p w:rsidR="00363B93" w:rsidRPr="00363B93" w:rsidRDefault="00363B93" w:rsidP="00363B93">
            <w:pPr>
              <w:widowControl/>
              <w:spacing w:before="100" w:beforeAutospacing="1" w:after="100" w:afterAutospacing="1"/>
              <w:jc w:val="center"/>
              <w:rPr>
                <w:rFonts w:ascii="新細明體" w:eastAsia="新細明體" w:hAnsi="新細明體" w:cs="新細明體"/>
                <w:kern w:val="0"/>
                <w:szCs w:val="24"/>
              </w:rPr>
            </w:pPr>
            <w:r w:rsidRPr="00363B93">
              <w:rPr>
                <w:rFonts w:ascii="標楷體" w:eastAsia="標楷體" w:hAnsi="標楷體" w:cs="新細明體"/>
                <w:kern w:val="0"/>
                <w:szCs w:val="24"/>
              </w:rPr>
              <w:t>財團法人中華民國證券櫃檯買賣中心 公告</w:t>
            </w:r>
          </w:p>
          <w:p w:rsidR="00363B93" w:rsidRPr="00363B93" w:rsidRDefault="00363B93" w:rsidP="00363B93">
            <w:pPr>
              <w:widowControl/>
              <w:jc w:val="center"/>
              <w:rPr>
                <w:rFonts w:ascii="新細明體" w:eastAsia="新細明體" w:hAnsi="新細明體" w:cs="新細明體"/>
                <w:kern w:val="0"/>
                <w:szCs w:val="24"/>
              </w:rPr>
            </w:pPr>
          </w:p>
        </w:tc>
      </w:tr>
    </w:tbl>
    <w:p w:rsidR="00363B93" w:rsidRPr="00363B93" w:rsidRDefault="00363B93" w:rsidP="00363B93">
      <w:pPr>
        <w:widowControl/>
        <w:rPr>
          <w:rFonts w:ascii="新細明體" w:eastAsia="新細明體" w:hAnsi="新細明體" w:cs="新細明體"/>
          <w:vanish/>
          <w:kern w:val="0"/>
          <w:szCs w:val="24"/>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363B93" w:rsidRPr="00363B93" w:rsidTr="00363B93">
        <w:trPr>
          <w:tblCellSpacing w:w="0" w:type="dxa"/>
          <w:jc w:val="center"/>
        </w:trPr>
        <w:tc>
          <w:tcPr>
            <w:tcW w:w="0" w:type="auto"/>
            <w:vAlign w:val="center"/>
            <w:hideMark/>
          </w:tcPr>
          <w:p w:rsidR="00363B93" w:rsidRPr="00363B93" w:rsidRDefault="00363B93" w:rsidP="00363B93">
            <w:pPr>
              <w:widowControl/>
              <w:spacing w:before="100" w:beforeAutospacing="1" w:after="100" w:afterAutospacing="1"/>
              <w:rPr>
                <w:rFonts w:ascii="新細明體" w:eastAsia="新細明體" w:hAnsi="新細明體" w:cs="新細明體"/>
                <w:kern w:val="0"/>
                <w:szCs w:val="24"/>
              </w:rPr>
            </w:pPr>
            <w:r w:rsidRPr="00363B93">
              <w:rPr>
                <w:rFonts w:ascii="標楷體" w:eastAsia="標楷體" w:hAnsi="標楷體" w:cs="新細明體"/>
                <w:kern w:val="0"/>
                <w:szCs w:val="24"/>
              </w:rPr>
              <w:t>發文日期：中華民國102年4月17日</w:t>
            </w:r>
          </w:p>
        </w:tc>
      </w:tr>
      <w:tr w:rsidR="00363B93" w:rsidRPr="00363B93" w:rsidTr="00363B93">
        <w:trPr>
          <w:tblCellSpacing w:w="0" w:type="dxa"/>
          <w:jc w:val="center"/>
        </w:trPr>
        <w:tc>
          <w:tcPr>
            <w:tcW w:w="0" w:type="auto"/>
            <w:vAlign w:val="center"/>
            <w:hideMark/>
          </w:tcPr>
          <w:p w:rsidR="00363B93" w:rsidRPr="00363B93" w:rsidRDefault="00363B93" w:rsidP="00363B93">
            <w:pPr>
              <w:widowControl/>
              <w:spacing w:before="100" w:beforeAutospacing="1" w:after="100" w:afterAutospacing="1"/>
              <w:rPr>
                <w:rFonts w:ascii="新細明體" w:eastAsia="新細明體" w:hAnsi="新細明體" w:cs="新細明體"/>
                <w:kern w:val="0"/>
                <w:szCs w:val="24"/>
              </w:rPr>
            </w:pPr>
            <w:r w:rsidRPr="00363B93">
              <w:rPr>
                <w:rFonts w:ascii="標楷體" w:eastAsia="標楷體" w:hAnsi="標楷體" w:cs="新細明體"/>
                <w:kern w:val="0"/>
                <w:szCs w:val="24"/>
              </w:rPr>
              <w:t>發文字號：</w:t>
            </w:r>
            <w:proofErr w:type="gramStart"/>
            <w:r w:rsidRPr="00363B93">
              <w:rPr>
                <w:rFonts w:ascii="標楷體" w:eastAsia="標楷體" w:hAnsi="標楷體" w:cs="新細明體"/>
                <w:kern w:val="0"/>
                <w:szCs w:val="24"/>
              </w:rPr>
              <w:t>證櫃債字</w:t>
            </w:r>
            <w:proofErr w:type="gramEnd"/>
            <w:r w:rsidRPr="00363B93">
              <w:rPr>
                <w:rFonts w:ascii="標楷體" w:eastAsia="標楷體" w:hAnsi="標楷體" w:cs="新細明體"/>
                <w:kern w:val="0"/>
                <w:szCs w:val="24"/>
              </w:rPr>
              <w:t>第1020007925號</w:t>
            </w:r>
          </w:p>
        </w:tc>
      </w:tr>
    </w:tbl>
    <w:p w:rsidR="00363B93" w:rsidRPr="00363B93" w:rsidRDefault="00363B93" w:rsidP="00363B93">
      <w:pPr>
        <w:widowControl/>
        <w:rPr>
          <w:rFonts w:ascii="新細明體" w:eastAsia="新細明體" w:hAnsi="新細明體" w:cs="新細明體"/>
          <w:vanish/>
          <w:kern w:val="0"/>
          <w:szCs w:val="24"/>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363B93" w:rsidRPr="00363B93" w:rsidTr="00363B93">
        <w:trPr>
          <w:tblCellSpacing w:w="0" w:type="dxa"/>
          <w:jc w:val="center"/>
        </w:trPr>
        <w:tc>
          <w:tcPr>
            <w:tcW w:w="5000" w:type="pct"/>
            <w:vAlign w:val="center"/>
            <w:hideMark/>
          </w:tcPr>
          <w:p w:rsidR="00363B93" w:rsidRPr="00363B93" w:rsidRDefault="00363B93" w:rsidP="00363B93">
            <w:pPr>
              <w:widowControl/>
              <w:spacing w:before="100" w:beforeAutospacing="1" w:after="100" w:afterAutospacing="1"/>
              <w:rPr>
                <w:rFonts w:ascii="新細明體" w:eastAsia="新細明體" w:hAnsi="新細明體" w:cs="新細明體"/>
                <w:kern w:val="0"/>
                <w:szCs w:val="24"/>
              </w:rPr>
            </w:pPr>
            <w:r w:rsidRPr="00363B93">
              <w:rPr>
                <w:rFonts w:ascii="標楷體" w:eastAsia="標楷體" w:hAnsi="標楷體" w:cs="新細明體"/>
                <w:kern w:val="0"/>
                <w:szCs w:val="24"/>
              </w:rPr>
              <w:t>附件：如文</w:t>
            </w:r>
          </w:p>
        </w:tc>
      </w:tr>
    </w:tbl>
    <w:p w:rsidR="00363B93" w:rsidRPr="00363B93" w:rsidRDefault="00363B93" w:rsidP="00363B93">
      <w:pPr>
        <w:widowControl/>
        <w:rPr>
          <w:rFonts w:ascii="新細明體" w:eastAsia="新細明體" w:hAnsi="新細明體" w:cs="新細明體"/>
          <w:kern w:val="0"/>
          <w:szCs w:val="24"/>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363B93" w:rsidRPr="00363B93" w:rsidTr="00363B93">
        <w:trPr>
          <w:tblCellSpacing w:w="0" w:type="dxa"/>
          <w:jc w:val="center"/>
        </w:trPr>
        <w:tc>
          <w:tcPr>
            <w:tcW w:w="5000" w:type="pct"/>
            <w:vAlign w:val="center"/>
            <w:hideMark/>
          </w:tcPr>
          <w:p w:rsidR="00363B93" w:rsidRPr="00363B93" w:rsidRDefault="00363B93" w:rsidP="00363B93">
            <w:pPr>
              <w:widowControl/>
              <w:divId w:val="1748645825"/>
              <w:rPr>
                <w:rFonts w:ascii="標楷體" w:eastAsia="標楷體" w:hAnsi="標楷體" w:cs="新細明體"/>
                <w:kern w:val="0"/>
                <w:szCs w:val="24"/>
              </w:rPr>
            </w:pPr>
            <w:r w:rsidRPr="00363B93">
              <w:rPr>
                <w:rFonts w:ascii="標楷體" w:eastAsia="標楷體" w:hAnsi="標楷體" w:cs="新細明體"/>
                <w:kern w:val="0"/>
                <w:szCs w:val="24"/>
              </w:rPr>
              <w:t>主旨：轉知中央銀行修訂證券商辦理涉及股權、債券及利率之衍生性外匯商品業務範圍如說明，請 查照。</w:t>
            </w:r>
          </w:p>
        </w:tc>
      </w:tr>
    </w:tbl>
    <w:p w:rsidR="00363B93" w:rsidRPr="00363B93" w:rsidRDefault="00363B93" w:rsidP="00363B93">
      <w:pPr>
        <w:widowControl/>
        <w:rPr>
          <w:rFonts w:ascii="新細明體" w:eastAsia="新細明體" w:hAnsi="新細明體" w:cs="新細明體"/>
          <w:vanish/>
          <w:kern w:val="0"/>
          <w:szCs w:val="24"/>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363B93" w:rsidRPr="00363B93" w:rsidTr="00363B93">
        <w:trPr>
          <w:tblCellSpacing w:w="0" w:type="dxa"/>
          <w:jc w:val="center"/>
        </w:trPr>
        <w:tc>
          <w:tcPr>
            <w:tcW w:w="5000" w:type="pct"/>
            <w:vAlign w:val="center"/>
            <w:hideMark/>
          </w:tcPr>
          <w:p w:rsidR="00363B93" w:rsidRPr="00363B93" w:rsidRDefault="00363B93" w:rsidP="00363B93">
            <w:pPr>
              <w:widowControl/>
              <w:divId w:val="500043230"/>
              <w:rPr>
                <w:rFonts w:ascii="標楷體" w:eastAsia="標楷體" w:hAnsi="標楷體" w:cs="新細明體"/>
                <w:kern w:val="0"/>
                <w:szCs w:val="24"/>
              </w:rPr>
            </w:pPr>
            <w:r w:rsidRPr="00363B93">
              <w:rPr>
                <w:rFonts w:ascii="標楷體" w:eastAsia="標楷體" w:hAnsi="標楷體" w:cs="新細明體"/>
                <w:kern w:val="0"/>
                <w:szCs w:val="24"/>
              </w:rPr>
              <w:t>依據：中央銀行102年4月12日台央外</w:t>
            </w:r>
            <w:proofErr w:type="gramStart"/>
            <w:r w:rsidRPr="00363B93">
              <w:rPr>
                <w:rFonts w:ascii="標楷體" w:eastAsia="標楷體" w:hAnsi="標楷體" w:cs="新細明體"/>
                <w:kern w:val="0"/>
                <w:szCs w:val="24"/>
              </w:rPr>
              <w:t>柒</w:t>
            </w:r>
            <w:proofErr w:type="gramEnd"/>
            <w:r w:rsidRPr="00363B93">
              <w:rPr>
                <w:rFonts w:ascii="標楷體" w:eastAsia="標楷體" w:hAnsi="標楷體" w:cs="新細明體"/>
                <w:kern w:val="0"/>
                <w:szCs w:val="24"/>
              </w:rPr>
              <w:t>字第1020016583號函。</w:t>
            </w:r>
          </w:p>
        </w:tc>
      </w:tr>
    </w:tbl>
    <w:p w:rsidR="00363B93" w:rsidRPr="00363B93" w:rsidRDefault="00363B93" w:rsidP="00363B93">
      <w:pPr>
        <w:widowControl/>
        <w:rPr>
          <w:rFonts w:ascii="新細明體" w:eastAsia="新細明體" w:hAnsi="新細明體" w:cs="新細明體"/>
          <w:vanish/>
          <w:kern w:val="0"/>
          <w:szCs w:val="24"/>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363B93" w:rsidRPr="00363B93" w:rsidTr="00363B93">
        <w:trPr>
          <w:tblCellSpacing w:w="0" w:type="dxa"/>
          <w:jc w:val="center"/>
        </w:trPr>
        <w:tc>
          <w:tcPr>
            <w:tcW w:w="5000" w:type="pct"/>
            <w:vAlign w:val="center"/>
            <w:hideMark/>
          </w:tcPr>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公告事項：</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一、</w:t>
            </w:r>
            <w:proofErr w:type="gramStart"/>
            <w:r w:rsidRPr="00363B93">
              <w:rPr>
                <w:rFonts w:ascii="標楷體" w:eastAsia="標楷體" w:hAnsi="標楷體" w:cs="新細明體"/>
                <w:kern w:val="0"/>
                <w:szCs w:val="24"/>
              </w:rPr>
              <w:t>旨揭業務</w:t>
            </w:r>
            <w:proofErr w:type="gramEnd"/>
            <w:r w:rsidRPr="00363B93">
              <w:rPr>
                <w:rFonts w:ascii="標楷體" w:eastAsia="標楷體" w:hAnsi="標楷體" w:cs="新細明體"/>
                <w:kern w:val="0"/>
                <w:szCs w:val="24"/>
              </w:rPr>
              <w:t>範圍包括：（詳附件1）</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w:t>
            </w:r>
            <w:proofErr w:type="gramStart"/>
            <w:r w:rsidRPr="00363B93">
              <w:rPr>
                <w:rFonts w:ascii="標楷體" w:eastAsia="標楷體" w:hAnsi="標楷體" w:cs="新細明體"/>
                <w:kern w:val="0"/>
                <w:szCs w:val="24"/>
              </w:rPr>
              <w:t>一</w:t>
            </w:r>
            <w:proofErr w:type="gramEnd"/>
            <w:r w:rsidRPr="00363B93">
              <w:rPr>
                <w:rFonts w:ascii="標楷體" w:eastAsia="標楷體" w:hAnsi="標楷體" w:cs="新細明體"/>
                <w:kern w:val="0"/>
                <w:szCs w:val="24"/>
              </w:rPr>
              <w:t>)股權選擇權、股權交換及股權遠期契約：</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１、標的股權得連結與大陸地區相關之公開上市個股、股價指數或指數股票型基金，並應以外幣或人民幣計價。</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２、標的股權涉及國內者，應以外幣（不含人民幣）計價。</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３、標的股權不含本國股價指數於國外交易所掛牌之商品。</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(二)外幣利率或外幣債券衍生性商品及其再組合商品：</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１、標的涉及人民幣利率、債券或其相關指標者，應以外幣或人民幣計價。</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２、標的為外幣債券或利率指標，原則如下：</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(１)債券或利率指標可在公開網站或通用之交易系統取得。</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(２)債券或指標組合成分不得具轉換或交換股份之性質（如可轉債、交換債等）。</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(３)債券或指標組合成分不含資產證券化商品。</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(４)客戶收益可用固定公式化表示。</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(三)連結標的之外國有價證券，應符合主管機關所訂證券商自行買賣外國有價證券範圍，或其他經主管機關核定者。</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二、應遵循事項：</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w:t>
            </w:r>
            <w:proofErr w:type="gramStart"/>
            <w:r w:rsidRPr="00363B93">
              <w:rPr>
                <w:rFonts w:ascii="標楷體" w:eastAsia="標楷體" w:hAnsi="標楷體" w:cs="新細明體"/>
                <w:kern w:val="0"/>
                <w:szCs w:val="24"/>
              </w:rPr>
              <w:t>一</w:t>
            </w:r>
            <w:proofErr w:type="gramEnd"/>
            <w:r w:rsidRPr="00363B93">
              <w:rPr>
                <w:rFonts w:ascii="標楷體" w:eastAsia="標楷體" w:hAnsi="標楷體" w:cs="新細明體"/>
                <w:kern w:val="0"/>
                <w:szCs w:val="24"/>
              </w:rPr>
              <w:t>)申請辦理本案衍生性外匯商品業務之行政手續如下：</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１、應於辦理前檢附申請書（附件2）及相關書件，向中央銀行申請許可。</w:t>
            </w:r>
            <w:proofErr w:type="gramStart"/>
            <w:r w:rsidRPr="00363B93">
              <w:rPr>
                <w:rFonts w:ascii="標楷體" w:eastAsia="標楷體" w:hAnsi="標楷體" w:cs="新細明體"/>
                <w:kern w:val="0"/>
                <w:szCs w:val="24"/>
              </w:rPr>
              <w:t>惟</w:t>
            </w:r>
            <w:proofErr w:type="gramEnd"/>
            <w:r w:rsidRPr="00363B93">
              <w:rPr>
                <w:rFonts w:ascii="標楷體" w:eastAsia="標楷體" w:hAnsi="標楷體" w:cs="新細明體"/>
                <w:kern w:val="0"/>
                <w:szCs w:val="24"/>
              </w:rPr>
              <w:t>證券商因自有資金投資或避險之需求，以客戶身分與中央銀行許可辦理衍生性外匯商品業務之指定銀行或國外金融機構</w:t>
            </w:r>
            <w:proofErr w:type="gramStart"/>
            <w:r w:rsidRPr="00363B93">
              <w:rPr>
                <w:rFonts w:ascii="標楷體" w:eastAsia="標楷體" w:hAnsi="標楷體" w:cs="新細明體"/>
                <w:kern w:val="0"/>
                <w:szCs w:val="24"/>
              </w:rPr>
              <w:t>承作</w:t>
            </w:r>
            <w:proofErr w:type="gramEnd"/>
            <w:r w:rsidRPr="00363B93">
              <w:rPr>
                <w:rFonts w:ascii="標楷體" w:eastAsia="標楷體" w:hAnsi="標楷體" w:cs="新細明體"/>
                <w:kern w:val="0"/>
                <w:szCs w:val="24"/>
              </w:rPr>
              <w:t>之衍生性外匯商品交易，毋需申請。</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２、前已獲中央銀行許可辦理「外幣利率衍生性商品」及「外幣債券衍生性商品」之證券商，擬增加辦理人民幣計價或連結至大陸地區標的者，得僅檢附董事會決議增辦之</w:t>
            </w:r>
            <w:proofErr w:type="gramStart"/>
            <w:r w:rsidRPr="00363B93">
              <w:rPr>
                <w:rFonts w:ascii="標楷體" w:eastAsia="標楷體" w:hAnsi="標楷體" w:cs="新細明體"/>
                <w:kern w:val="0"/>
                <w:szCs w:val="24"/>
              </w:rPr>
              <w:t>議事錄函報</w:t>
            </w:r>
            <w:proofErr w:type="gramEnd"/>
            <w:r w:rsidRPr="00363B93">
              <w:rPr>
                <w:rFonts w:ascii="標楷體" w:eastAsia="標楷體" w:hAnsi="標楷體" w:cs="新細明體"/>
                <w:kern w:val="0"/>
                <w:szCs w:val="24"/>
              </w:rPr>
              <w:t>中央銀行備查。</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３、經中央銀行許可後，應於六個月內開辦，逾期中央銀行得廢止或撤銷其許可，但其有正當理由者，得向中央銀行申請展延三個月，並以一次為限。</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(二)證券商辦理衍生性外匯商品業務，有關匯率避險部分，應洽外匯指定銀行辦理。</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lastRenderedPageBreak/>
              <w:t>(三)證券商辦理本案衍生性外匯商品業務，有關確認交易相對人是否須符合專業客戶條件、交易規範、落實風險管理、資訊揭露及內部控制與稽核制度等，除應依主管機關之相關規定辦理外，並應遵循下列事項：</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１、辦理衍生性外匯商品業務之經辦（含產品銷售人員）及相關管理人員應具備「銀行業辦理外匯業務管理辦法」第12條之資格條件。</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２、與客戶間有關交割款項、費用收付，及提前解約或契約到期款項支付等，</w:t>
            </w:r>
            <w:proofErr w:type="gramStart"/>
            <w:r w:rsidRPr="00363B93">
              <w:rPr>
                <w:rFonts w:ascii="標楷體" w:eastAsia="標楷體" w:hAnsi="標楷體" w:cs="新細明體"/>
                <w:kern w:val="0"/>
                <w:szCs w:val="24"/>
              </w:rPr>
              <w:t>均應以計價之幣別</w:t>
            </w:r>
            <w:proofErr w:type="gramEnd"/>
            <w:r w:rsidRPr="00363B93">
              <w:rPr>
                <w:rFonts w:ascii="標楷體" w:eastAsia="標楷體" w:hAnsi="標楷體" w:cs="新細明體"/>
                <w:kern w:val="0"/>
                <w:szCs w:val="24"/>
              </w:rPr>
              <w:t>為之。除得自客戶存款戶撥轉，其需辦理結匯（含兌換）者，應由客戶透過外匯指定銀行依外匯收支或交易申報辦法之規定辦理，不得委託業者代辦。</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３、</w:t>
            </w:r>
            <w:proofErr w:type="gramStart"/>
            <w:r w:rsidRPr="00363B93">
              <w:rPr>
                <w:rFonts w:ascii="標楷體" w:eastAsia="標楷體" w:hAnsi="標楷體" w:cs="新細明體"/>
                <w:kern w:val="0"/>
                <w:szCs w:val="24"/>
              </w:rPr>
              <w:t>辦理旨揭業務</w:t>
            </w:r>
            <w:proofErr w:type="gramEnd"/>
            <w:r w:rsidRPr="00363B93">
              <w:rPr>
                <w:rFonts w:ascii="標楷體" w:eastAsia="標楷體" w:hAnsi="標楷體" w:cs="新細明體"/>
                <w:kern w:val="0"/>
                <w:szCs w:val="24"/>
              </w:rPr>
              <w:t>，證券商如有涉及新臺幣結匯，應依「外匯收支或交易申報辦法」，檢附中央銀行許可辦理相關外匯業務文件，</w:t>
            </w:r>
            <w:proofErr w:type="gramStart"/>
            <w:r w:rsidRPr="00363B93">
              <w:rPr>
                <w:rFonts w:ascii="標楷體" w:eastAsia="標楷體" w:hAnsi="標楷體" w:cs="新細明體"/>
                <w:kern w:val="0"/>
                <w:szCs w:val="24"/>
              </w:rPr>
              <w:t>逕</w:t>
            </w:r>
            <w:proofErr w:type="gramEnd"/>
            <w:r w:rsidRPr="00363B93">
              <w:rPr>
                <w:rFonts w:ascii="標楷體" w:eastAsia="標楷體" w:hAnsi="標楷體" w:cs="新細明體"/>
                <w:kern w:val="0"/>
                <w:szCs w:val="24"/>
              </w:rPr>
              <w:t>向銀行業辦理結匯，不計入證券商當年累積結匯金額。</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４、不得利用衍生性外匯商品為自身或幫助客戶遞延、隱藏損失或虛報、提前認列收入等粉飾或操縱財務報表。選擇權交易應注意避免利用權利金（尤其是期限長或</w:t>
            </w:r>
            <w:proofErr w:type="gramStart"/>
            <w:r w:rsidRPr="00363B93">
              <w:rPr>
                <w:rFonts w:ascii="標楷體" w:eastAsia="標楷體" w:hAnsi="標楷體" w:cs="新細明體"/>
                <w:kern w:val="0"/>
                <w:szCs w:val="24"/>
              </w:rPr>
              <w:t>極</w:t>
            </w:r>
            <w:proofErr w:type="gramEnd"/>
            <w:r w:rsidRPr="00363B93">
              <w:rPr>
                <w:rFonts w:ascii="標楷體" w:eastAsia="標楷體" w:hAnsi="標楷體" w:cs="新細明體"/>
                <w:kern w:val="0"/>
                <w:szCs w:val="24"/>
              </w:rPr>
              <w:t>短期之選擇權）美化財務報表，進而引起弊端。</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(四)報表申報：應於次月10日前將相關之衍生性金融商品交易量填報於「證券商辦理外匯業務及衍生性外匯商品</w:t>
            </w:r>
            <w:proofErr w:type="gramStart"/>
            <w:r w:rsidRPr="00363B93">
              <w:rPr>
                <w:rFonts w:ascii="標楷體" w:eastAsia="標楷體" w:hAnsi="標楷體" w:cs="新細明體"/>
                <w:kern w:val="0"/>
                <w:szCs w:val="24"/>
              </w:rPr>
              <w:t>交易量月報表</w:t>
            </w:r>
            <w:proofErr w:type="gramEnd"/>
            <w:r w:rsidRPr="00363B93">
              <w:rPr>
                <w:rFonts w:ascii="標楷體" w:eastAsia="標楷體" w:hAnsi="標楷體" w:cs="新細明體"/>
                <w:kern w:val="0"/>
                <w:szCs w:val="24"/>
              </w:rPr>
              <w:t>」向本中心申報，並經本中心彙總統計後，送中央銀行外匯局參考（報表及填報說明</w:t>
            </w:r>
            <w:proofErr w:type="gramStart"/>
            <w:r w:rsidRPr="00363B93">
              <w:rPr>
                <w:rFonts w:ascii="標楷體" w:eastAsia="標楷體" w:hAnsi="標楷體" w:cs="新細明體"/>
                <w:kern w:val="0"/>
                <w:szCs w:val="24"/>
              </w:rPr>
              <w:t>詳</w:t>
            </w:r>
            <w:proofErr w:type="gramEnd"/>
            <w:r w:rsidRPr="00363B93">
              <w:rPr>
                <w:rFonts w:ascii="標楷體" w:eastAsia="標楷體" w:hAnsi="標楷體" w:cs="新細明體"/>
                <w:kern w:val="0"/>
                <w:szCs w:val="24"/>
              </w:rPr>
              <w:t>附件3及附件4）。</w:t>
            </w:r>
          </w:p>
          <w:p w:rsidR="00363B93" w:rsidRPr="00363B93" w:rsidRDefault="00363B93" w:rsidP="00363B93">
            <w:pPr>
              <w:widowControl/>
              <w:rPr>
                <w:rFonts w:ascii="標楷體" w:eastAsia="標楷體" w:hAnsi="標楷體" w:cs="新細明體"/>
                <w:kern w:val="0"/>
                <w:szCs w:val="24"/>
              </w:rPr>
            </w:pPr>
            <w:r w:rsidRPr="00363B93">
              <w:rPr>
                <w:rFonts w:ascii="標楷體" w:eastAsia="標楷體" w:hAnsi="標楷體" w:cs="新細明體"/>
                <w:kern w:val="0"/>
                <w:szCs w:val="24"/>
              </w:rPr>
              <w:t>三、本中心96年3月1日</w:t>
            </w:r>
            <w:proofErr w:type="gramStart"/>
            <w:r w:rsidRPr="00363B93">
              <w:rPr>
                <w:rFonts w:ascii="標楷體" w:eastAsia="標楷體" w:hAnsi="標楷體" w:cs="新細明體"/>
                <w:kern w:val="0"/>
                <w:szCs w:val="24"/>
              </w:rPr>
              <w:t>證櫃債字</w:t>
            </w:r>
            <w:proofErr w:type="gramEnd"/>
            <w:r w:rsidRPr="00363B93">
              <w:rPr>
                <w:rFonts w:ascii="標楷體" w:eastAsia="標楷體" w:hAnsi="標楷體" w:cs="新細明體"/>
                <w:kern w:val="0"/>
                <w:szCs w:val="24"/>
              </w:rPr>
              <w:t>第0960004559號公告（附件5）及94年8月30日</w:t>
            </w:r>
            <w:proofErr w:type="gramStart"/>
            <w:r w:rsidRPr="00363B93">
              <w:rPr>
                <w:rFonts w:ascii="標楷體" w:eastAsia="標楷體" w:hAnsi="標楷體" w:cs="新細明體"/>
                <w:kern w:val="0"/>
                <w:szCs w:val="24"/>
              </w:rPr>
              <w:t>證櫃債字</w:t>
            </w:r>
            <w:proofErr w:type="gramEnd"/>
            <w:r w:rsidRPr="00363B93">
              <w:rPr>
                <w:rFonts w:ascii="標楷體" w:eastAsia="標楷體" w:hAnsi="標楷體" w:cs="新細明體"/>
                <w:kern w:val="0"/>
                <w:szCs w:val="24"/>
              </w:rPr>
              <w:t>第09400038179號公告（附件6）自即日起停止適用。</w:t>
            </w:r>
          </w:p>
        </w:tc>
      </w:tr>
    </w:tbl>
    <w:p w:rsidR="00363B93" w:rsidRPr="00363B93" w:rsidRDefault="00363B93" w:rsidP="00363B93">
      <w:pPr>
        <w:widowControl/>
        <w:rPr>
          <w:rFonts w:ascii="新細明體" w:eastAsia="新細明體" w:hAnsi="新細明體" w:cs="新細明體"/>
          <w:kern w:val="0"/>
          <w:szCs w:val="24"/>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363B93" w:rsidRPr="00363B93" w:rsidTr="00363B93">
        <w:trPr>
          <w:tblCellSpacing w:w="0" w:type="dxa"/>
          <w:jc w:val="center"/>
        </w:trPr>
        <w:tc>
          <w:tcPr>
            <w:tcW w:w="0" w:type="auto"/>
            <w:vAlign w:val="center"/>
            <w:hideMark/>
          </w:tcPr>
          <w:p w:rsidR="00363B93" w:rsidRPr="00363B93" w:rsidRDefault="00363B93" w:rsidP="00363B93">
            <w:pPr>
              <w:widowControl/>
              <w:spacing w:before="100" w:beforeAutospacing="1" w:after="100" w:afterAutospacing="1"/>
              <w:rPr>
                <w:rFonts w:ascii="新細明體" w:eastAsia="新細明體" w:hAnsi="新細明體" w:cs="新細明體"/>
                <w:kern w:val="0"/>
                <w:szCs w:val="24"/>
              </w:rPr>
            </w:pPr>
            <w:r w:rsidRPr="00363B93">
              <w:rPr>
                <w:rFonts w:ascii="標楷體" w:eastAsia="標楷體" w:hAnsi="標楷體" w:cs="新細明體"/>
                <w:kern w:val="0"/>
                <w:szCs w:val="24"/>
              </w:rPr>
              <w:t>正本：貼於本中心網站櫃買市場公告</w:t>
            </w:r>
          </w:p>
        </w:tc>
      </w:tr>
      <w:tr w:rsidR="00363B93" w:rsidRPr="00363B93" w:rsidTr="00363B93">
        <w:trPr>
          <w:tblCellSpacing w:w="0" w:type="dxa"/>
          <w:jc w:val="center"/>
        </w:trPr>
        <w:tc>
          <w:tcPr>
            <w:tcW w:w="0" w:type="auto"/>
            <w:vAlign w:val="center"/>
            <w:hideMark/>
          </w:tcPr>
          <w:p w:rsidR="00363B93" w:rsidRPr="00363B93" w:rsidRDefault="00363B93" w:rsidP="00363B93">
            <w:pPr>
              <w:widowControl/>
              <w:spacing w:before="100" w:beforeAutospacing="1" w:after="100" w:afterAutospacing="1"/>
              <w:rPr>
                <w:rFonts w:ascii="新細明體" w:eastAsia="新細明體" w:hAnsi="新細明體" w:cs="新細明體"/>
                <w:kern w:val="0"/>
                <w:szCs w:val="24"/>
              </w:rPr>
            </w:pPr>
            <w:r w:rsidRPr="00363B93">
              <w:rPr>
                <w:rFonts w:ascii="標楷體" w:eastAsia="標楷體" w:hAnsi="標楷體" w:cs="新細明體"/>
                <w:kern w:val="0"/>
                <w:szCs w:val="24"/>
              </w:rPr>
              <w:t>副本：各櫃檯買賣證券自營商、金融監督管理委員會、金融監督管理委員會證券期貨局、金融監督管理委員會銀行局、金融監督管理委員會檢查局、中央銀行外匯局、中華民國證券商業同業公會、</w:t>
            </w:r>
            <w:proofErr w:type="gramStart"/>
            <w:r w:rsidRPr="00363B93">
              <w:rPr>
                <w:rFonts w:ascii="標楷體" w:eastAsia="標楷體" w:hAnsi="標楷體" w:cs="新細明體"/>
                <w:kern w:val="0"/>
                <w:szCs w:val="24"/>
              </w:rPr>
              <w:t>博仲國際</w:t>
            </w:r>
            <w:proofErr w:type="gramEnd"/>
            <w:r w:rsidRPr="00363B93">
              <w:rPr>
                <w:rFonts w:ascii="標楷體" w:eastAsia="標楷體" w:hAnsi="標楷體" w:cs="新細明體"/>
                <w:kern w:val="0"/>
                <w:szCs w:val="24"/>
              </w:rPr>
              <w:t>法律事務所、法源資訊股份有限公司、本中心稽核室、企劃部、管理部</w:t>
            </w:r>
          </w:p>
        </w:tc>
      </w:tr>
    </w:tbl>
    <w:p w:rsidR="00DF7B8E" w:rsidRPr="00363B93" w:rsidRDefault="00DF7B8E">
      <w:bookmarkStart w:id="0" w:name="_GoBack"/>
      <w:bookmarkEnd w:id="0"/>
    </w:p>
    <w:sectPr w:rsidR="00DF7B8E" w:rsidRPr="00363B9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93"/>
    <w:rsid w:val="00363B93"/>
    <w:rsid w:val="00DF7B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B9006-6823-4076-8A33-7578C894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41715">
      <w:bodyDiv w:val="1"/>
      <w:marLeft w:val="0"/>
      <w:marRight w:val="0"/>
      <w:marTop w:val="0"/>
      <w:marBottom w:val="0"/>
      <w:divBdr>
        <w:top w:val="none" w:sz="0" w:space="0" w:color="auto"/>
        <w:left w:val="none" w:sz="0" w:space="0" w:color="auto"/>
        <w:bottom w:val="none" w:sz="0" w:space="0" w:color="auto"/>
        <w:right w:val="none" w:sz="0" w:space="0" w:color="auto"/>
      </w:divBdr>
      <w:divsChild>
        <w:div w:id="1748645825">
          <w:marLeft w:val="0"/>
          <w:marRight w:val="0"/>
          <w:marTop w:val="0"/>
          <w:marBottom w:val="0"/>
          <w:divBdr>
            <w:top w:val="none" w:sz="0" w:space="0" w:color="auto"/>
            <w:left w:val="none" w:sz="0" w:space="0" w:color="auto"/>
            <w:bottom w:val="none" w:sz="0" w:space="0" w:color="auto"/>
            <w:right w:val="none" w:sz="0" w:space="0" w:color="auto"/>
          </w:divBdr>
        </w:div>
        <w:div w:id="162161672">
          <w:marLeft w:val="0"/>
          <w:marRight w:val="0"/>
          <w:marTop w:val="0"/>
          <w:marBottom w:val="0"/>
          <w:divBdr>
            <w:top w:val="none" w:sz="0" w:space="0" w:color="auto"/>
            <w:left w:val="none" w:sz="0" w:space="0" w:color="auto"/>
            <w:bottom w:val="none" w:sz="0" w:space="0" w:color="auto"/>
            <w:right w:val="none" w:sz="0" w:space="0" w:color="auto"/>
          </w:divBdr>
          <w:divsChild>
            <w:div w:id="500043230">
              <w:marLeft w:val="0"/>
              <w:marRight w:val="0"/>
              <w:marTop w:val="0"/>
              <w:marBottom w:val="0"/>
              <w:divBdr>
                <w:top w:val="none" w:sz="0" w:space="0" w:color="auto"/>
                <w:left w:val="none" w:sz="0" w:space="0" w:color="auto"/>
                <w:bottom w:val="none" w:sz="0" w:space="0" w:color="auto"/>
                <w:right w:val="none" w:sz="0" w:space="0" w:color="auto"/>
              </w:divBdr>
            </w:div>
          </w:divsChild>
        </w:div>
        <w:div w:id="76289160">
          <w:marLeft w:val="0"/>
          <w:marRight w:val="0"/>
          <w:marTop w:val="0"/>
          <w:marBottom w:val="0"/>
          <w:divBdr>
            <w:top w:val="none" w:sz="0" w:space="0" w:color="auto"/>
            <w:left w:val="none" w:sz="0" w:space="0" w:color="auto"/>
            <w:bottom w:val="none" w:sz="0" w:space="0" w:color="auto"/>
            <w:right w:val="none" w:sz="0" w:space="0" w:color="auto"/>
          </w:divBdr>
          <w:divsChild>
            <w:div w:id="127866133">
              <w:marLeft w:val="0"/>
              <w:marRight w:val="0"/>
              <w:marTop w:val="0"/>
              <w:marBottom w:val="0"/>
              <w:divBdr>
                <w:top w:val="none" w:sz="0" w:space="0" w:color="auto"/>
                <w:left w:val="none" w:sz="0" w:space="0" w:color="auto"/>
                <w:bottom w:val="none" w:sz="0" w:space="0" w:color="auto"/>
                <w:right w:val="none" w:sz="0" w:space="0" w:color="auto"/>
              </w:divBdr>
            </w:div>
            <w:div w:id="1164928212">
              <w:marLeft w:val="0"/>
              <w:marRight w:val="0"/>
              <w:marTop w:val="0"/>
              <w:marBottom w:val="0"/>
              <w:divBdr>
                <w:top w:val="none" w:sz="0" w:space="0" w:color="auto"/>
                <w:left w:val="none" w:sz="0" w:space="0" w:color="auto"/>
                <w:bottom w:val="none" w:sz="0" w:space="0" w:color="auto"/>
                <w:right w:val="none" w:sz="0" w:space="0" w:color="auto"/>
              </w:divBdr>
            </w:div>
            <w:div w:id="1050376152">
              <w:marLeft w:val="0"/>
              <w:marRight w:val="0"/>
              <w:marTop w:val="0"/>
              <w:marBottom w:val="0"/>
              <w:divBdr>
                <w:top w:val="none" w:sz="0" w:space="0" w:color="auto"/>
                <w:left w:val="none" w:sz="0" w:space="0" w:color="auto"/>
                <w:bottom w:val="none" w:sz="0" w:space="0" w:color="auto"/>
                <w:right w:val="none" w:sz="0" w:space="0" w:color="auto"/>
              </w:divBdr>
            </w:div>
            <w:div w:id="1103695372">
              <w:marLeft w:val="0"/>
              <w:marRight w:val="0"/>
              <w:marTop w:val="0"/>
              <w:marBottom w:val="0"/>
              <w:divBdr>
                <w:top w:val="none" w:sz="0" w:space="0" w:color="auto"/>
                <w:left w:val="none" w:sz="0" w:space="0" w:color="auto"/>
                <w:bottom w:val="none" w:sz="0" w:space="0" w:color="auto"/>
                <w:right w:val="none" w:sz="0" w:space="0" w:color="auto"/>
              </w:divBdr>
            </w:div>
            <w:div w:id="1563177456">
              <w:marLeft w:val="0"/>
              <w:marRight w:val="0"/>
              <w:marTop w:val="0"/>
              <w:marBottom w:val="0"/>
              <w:divBdr>
                <w:top w:val="none" w:sz="0" w:space="0" w:color="auto"/>
                <w:left w:val="none" w:sz="0" w:space="0" w:color="auto"/>
                <w:bottom w:val="none" w:sz="0" w:space="0" w:color="auto"/>
                <w:right w:val="none" w:sz="0" w:space="0" w:color="auto"/>
              </w:divBdr>
            </w:div>
            <w:div w:id="1245188923">
              <w:marLeft w:val="0"/>
              <w:marRight w:val="0"/>
              <w:marTop w:val="0"/>
              <w:marBottom w:val="0"/>
              <w:divBdr>
                <w:top w:val="none" w:sz="0" w:space="0" w:color="auto"/>
                <w:left w:val="none" w:sz="0" w:space="0" w:color="auto"/>
                <w:bottom w:val="none" w:sz="0" w:space="0" w:color="auto"/>
                <w:right w:val="none" w:sz="0" w:space="0" w:color="auto"/>
              </w:divBdr>
            </w:div>
            <w:div w:id="1067845056">
              <w:marLeft w:val="0"/>
              <w:marRight w:val="0"/>
              <w:marTop w:val="0"/>
              <w:marBottom w:val="0"/>
              <w:divBdr>
                <w:top w:val="none" w:sz="0" w:space="0" w:color="auto"/>
                <w:left w:val="none" w:sz="0" w:space="0" w:color="auto"/>
                <w:bottom w:val="none" w:sz="0" w:space="0" w:color="auto"/>
                <w:right w:val="none" w:sz="0" w:space="0" w:color="auto"/>
              </w:divBdr>
            </w:div>
            <w:div w:id="641467004">
              <w:marLeft w:val="0"/>
              <w:marRight w:val="0"/>
              <w:marTop w:val="0"/>
              <w:marBottom w:val="0"/>
              <w:divBdr>
                <w:top w:val="none" w:sz="0" w:space="0" w:color="auto"/>
                <w:left w:val="none" w:sz="0" w:space="0" w:color="auto"/>
                <w:bottom w:val="none" w:sz="0" w:space="0" w:color="auto"/>
                <w:right w:val="none" w:sz="0" w:space="0" w:color="auto"/>
              </w:divBdr>
            </w:div>
            <w:div w:id="1726295461">
              <w:marLeft w:val="0"/>
              <w:marRight w:val="0"/>
              <w:marTop w:val="0"/>
              <w:marBottom w:val="0"/>
              <w:divBdr>
                <w:top w:val="none" w:sz="0" w:space="0" w:color="auto"/>
                <w:left w:val="none" w:sz="0" w:space="0" w:color="auto"/>
                <w:bottom w:val="none" w:sz="0" w:space="0" w:color="auto"/>
                <w:right w:val="none" w:sz="0" w:space="0" w:color="auto"/>
              </w:divBdr>
            </w:div>
            <w:div w:id="926959300">
              <w:marLeft w:val="0"/>
              <w:marRight w:val="0"/>
              <w:marTop w:val="0"/>
              <w:marBottom w:val="0"/>
              <w:divBdr>
                <w:top w:val="none" w:sz="0" w:space="0" w:color="auto"/>
                <w:left w:val="none" w:sz="0" w:space="0" w:color="auto"/>
                <w:bottom w:val="none" w:sz="0" w:space="0" w:color="auto"/>
                <w:right w:val="none" w:sz="0" w:space="0" w:color="auto"/>
              </w:divBdr>
            </w:div>
            <w:div w:id="1657807503">
              <w:marLeft w:val="0"/>
              <w:marRight w:val="0"/>
              <w:marTop w:val="0"/>
              <w:marBottom w:val="0"/>
              <w:divBdr>
                <w:top w:val="none" w:sz="0" w:space="0" w:color="auto"/>
                <w:left w:val="none" w:sz="0" w:space="0" w:color="auto"/>
                <w:bottom w:val="none" w:sz="0" w:space="0" w:color="auto"/>
                <w:right w:val="none" w:sz="0" w:space="0" w:color="auto"/>
              </w:divBdr>
            </w:div>
            <w:div w:id="1472598412">
              <w:marLeft w:val="0"/>
              <w:marRight w:val="0"/>
              <w:marTop w:val="0"/>
              <w:marBottom w:val="0"/>
              <w:divBdr>
                <w:top w:val="none" w:sz="0" w:space="0" w:color="auto"/>
                <w:left w:val="none" w:sz="0" w:space="0" w:color="auto"/>
                <w:bottom w:val="none" w:sz="0" w:space="0" w:color="auto"/>
                <w:right w:val="none" w:sz="0" w:space="0" w:color="auto"/>
              </w:divBdr>
            </w:div>
            <w:div w:id="790056408">
              <w:marLeft w:val="0"/>
              <w:marRight w:val="0"/>
              <w:marTop w:val="0"/>
              <w:marBottom w:val="0"/>
              <w:divBdr>
                <w:top w:val="none" w:sz="0" w:space="0" w:color="auto"/>
                <w:left w:val="none" w:sz="0" w:space="0" w:color="auto"/>
                <w:bottom w:val="none" w:sz="0" w:space="0" w:color="auto"/>
                <w:right w:val="none" w:sz="0" w:space="0" w:color="auto"/>
              </w:divBdr>
            </w:div>
            <w:div w:id="107704624">
              <w:marLeft w:val="0"/>
              <w:marRight w:val="0"/>
              <w:marTop w:val="0"/>
              <w:marBottom w:val="0"/>
              <w:divBdr>
                <w:top w:val="none" w:sz="0" w:space="0" w:color="auto"/>
                <w:left w:val="none" w:sz="0" w:space="0" w:color="auto"/>
                <w:bottom w:val="none" w:sz="0" w:space="0" w:color="auto"/>
                <w:right w:val="none" w:sz="0" w:space="0" w:color="auto"/>
              </w:divBdr>
            </w:div>
            <w:div w:id="1492333276">
              <w:marLeft w:val="0"/>
              <w:marRight w:val="0"/>
              <w:marTop w:val="0"/>
              <w:marBottom w:val="0"/>
              <w:divBdr>
                <w:top w:val="none" w:sz="0" w:space="0" w:color="auto"/>
                <w:left w:val="none" w:sz="0" w:space="0" w:color="auto"/>
                <w:bottom w:val="none" w:sz="0" w:space="0" w:color="auto"/>
                <w:right w:val="none" w:sz="0" w:space="0" w:color="auto"/>
              </w:divBdr>
            </w:div>
            <w:div w:id="1114397300">
              <w:marLeft w:val="0"/>
              <w:marRight w:val="0"/>
              <w:marTop w:val="0"/>
              <w:marBottom w:val="0"/>
              <w:divBdr>
                <w:top w:val="none" w:sz="0" w:space="0" w:color="auto"/>
                <w:left w:val="none" w:sz="0" w:space="0" w:color="auto"/>
                <w:bottom w:val="none" w:sz="0" w:space="0" w:color="auto"/>
                <w:right w:val="none" w:sz="0" w:space="0" w:color="auto"/>
              </w:divBdr>
            </w:div>
            <w:div w:id="616065683">
              <w:marLeft w:val="0"/>
              <w:marRight w:val="0"/>
              <w:marTop w:val="0"/>
              <w:marBottom w:val="0"/>
              <w:divBdr>
                <w:top w:val="none" w:sz="0" w:space="0" w:color="auto"/>
                <w:left w:val="none" w:sz="0" w:space="0" w:color="auto"/>
                <w:bottom w:val="none" w:sz="0" w:space="0" w:color="auto"/>
                <w:right w:val="none" w:sz="0" w:space="0" w:color="auto"/>
              </w:divBdr>
            </w:div>
            <w:div w:id="1127049371">
              <w:marLeft w:val="0"/>
              <w:marRight w:val="0"/>
              <w:marTop w:val="0"/>
              <w:marBottom w:val="0"/>
              <w:divBdr>
                <w:top w:val="none" w:sz="0" w:space="0" w:color="auto"/>
                <w:left w:val="none" w:sz="0" w:space="0" w:color="auto"/>
                <w:bottom w:val="none" w:sz="0" w:space="0" w:color="auto"/>
                <w:right w:val="none" w:sz="0" w:space="0" w:color="auto"/>
              </w:divBdr>
            </w:div>
            <w:div w:id="818112040">
              <w:marLeft w:val="0"/>
              <w:marRight w:val="0"/>
              <w:marTop w:val="0"/>
              <w:marBottom w:val="0"/>
              <w:divBdr>
                <w:top w:val="none" w:sz="0" w:space="0" w:color="auto"/>
                <w:left w:val="none" w:sz="0" w:space="0" w:color="auto"/>
                <w:bottom w:val="none" w:sz="0" w:space="0" w:color="auto"/>
                <w:right w:val="none" w:sz="0" w:space="0" w:color="auto"/>
              </w:divBdr>
            </w:div>
            <w:div w:id="778261043">
              <w:marLeft w:val="0"/>
              <w:marRight w:val="0"/>
              <w:marTop w:val="0"/>
              <w:marBottom w:val="0"/>
              <w:divBdr>
                <w:top w:val="none" w:sz="0" w:space="0" w:color="auto"/>
                <w:left w:val="none" w:sz="0" w:space="0" w:color="auto"/>
                <w:bottom w:val="none" w:sz="0" w:space="0" w:color="auto"/>
                <w:right w:val="none" w:sz="0" w:space="0" w:color="auto"/>
              </w:divBdr>
            </w:div>
            <w:div w:id="71322541">
              <w:marLeft w:val="0"/>
              <w:marRight w:val="0"/>
              <w:marTop w:val="0"/>
              <w:marBottom w:val="0"/>
              <w:divBdr>
                <w:top w:val="none" w:sz="0" w:space="0" w:color="auto"/>
                <w:left w:val="none" w:sz="0" w:space="0" w:color="auto"/>
                <w:bottom w:val="none" w:sz="0" w:space="0" w:color="auto"/>
                <w:right w:val="none" w:sz="0" w:space="0" w:color="auto"/>
              </w:divBdr>
            </w:div>
            <w:div w:id="1069696187">
              <w:marLeft w:val="0"/>
              <w:marRight w:val="0"/>
              <w:marTop w:val="0"/>
              <w:marBottom w:val="0"/>
              <w:divBdr>
                <w:top w:val="none" w:sz="0" w:space="0" w:color="auto"/>
                <w:left w:val="none" w:sz="0" w:space="0" w:color="auto"/>
                <w:bottom w:val="none" w:sz="0" w:space="0" w:color="auto"/>
                <w:right w:val="none" w:sz="0" w:space="0" w:color="auto"/>
              </w:divBdr>
            </w:div>
            <w:div w:id="1270433332">
              <w:marLeft w:val="0"/>
              <w:marRight w:val="0"/>
              <w:marTop w:val="0"/>
              <w:marBottom w:val="0"/>
              <w:divBdr>
                <w:top w:val="none" w:sz="0" w:space="0" w:color="auto"/>
                <w:left w:val="none" w:sz="0" w:space="0" w:color="auto"/>
                <w:bottom w:val="none" w:sz="0" w:space="0" w:color="auto"/>
                <w:right w:val="none" w:sz="0" w:space="0" w:color="auto"/>
              </w:divBdr>
            </w:div>
            <w:div w:id="1267151919">
              <w:marLeft w:val="0"/>
              <w:marRight w:val="0"/>
              <w:marTop w:val="0"/>
              <w:marBottom w:val="0"/>
              <w:divBdr>
                <w:top w:val="none" w:sz="0" w:space="0" w:color="auto"/>
                <w:left w:val="none" w:sz="0" w:space="0" w:color="auto"/>
                <w:bottom w:val="none" w:sz="0" w:space="0" w:color="auto"/>
                <w:right w:val="none" w:sz="0" w:space="0" w:color="auto"/>
              </w:divBdr>
            </w:div>
            <w:div w:id="94597369">
              <w:marLeft w:val="0"/>
              <w:marRight w:val="0"/>
              <w:marTop w:val="0"/>
              <w:marBottom w:val="0"/>
              <w:divBdr>
                <w:top w:val="none" w:sz="0" w:space="0" w:color="auto"/>
                <w:left w:val="none" w:sz="0" w:space="0" w:color="auto"/>
                <w:bottom w:val="none" w:sz="0" w:space="0" w:color="auto"/>
                <w:right w:val="none" w:sz="0" w:space="0" w:color="auto"/>
              </w:divBdr>
            </w:div>
            <w:div w:id="680202960">
              <w:marLeft w:val="0"/>
              <w:marRight w:val="0"/>
              <w:marTop w:val="0"/>
              <w:marBottom w:val="0"/>
              <w:divBdr>
                <w:top w:val="none" w:sz="0" w:space="0" w:color="auto"/>
                <w:left w:val="none" w:sz="0" w:space="0" w:color="auto"/>
                <w:bottom w:val="none" w:sz="0" w:space="0" w:color="auto"/>
                <w:right w:val="none" w:sz="0" w:space="0" w:color="auto"/>
              </w:divBdr>
            </w:div>
            <w:div w:id="14262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鄧淑芬</dc:creator>
  <cp:keywords/>
  <dc:description/>
  <cp:lastModifiedBy>鄧淑芬</cp:lastModifiedBy>
  <cp:revision>1</cp:revision>
  <dcterms:created xsi:type="dcterms:W3CDTF">2017-04-21T10:11:00Z</dcterms:created>
  <dcterms:modified xsi:type="dcterms:W3CDTF">2017-04-21T10:11:00Z</dcterms:modified>
</cp:coreProperties>
</file>