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AC" w:rsidRDefault="00AB5D63" w:rsidP="00574A0A">
      <w:pPr>
        <w:adjustRightInd w:val="0"/>
        <w:snapToGrid w:val="0"/>
        <w:jc w:val="both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AB5D63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財團法人中華民國證券櫃檯買賣中心</w:t>
      </w:r>
      <w:r w:rsidR="005A18A8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證券商受託買賣業務人員銷售衍生性金融商品業務規範第三條修正</w:t>
      </w:r>
      <w:r w:rsidR="00FE6AAC" w:rsidRPr="00574A0A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條文對照表</w:t>
      </w:r>
    </w:p>
    <w:p w:rsidR="005A18A8" w:rsidRPr="005A18A8" w:rsidRDefault="005A18A8" w:rsidP="005A18A8">
      <w:pPr>
        <w:pStyle w:val="3"/>
        <w:adjustRightInd w:val="0"/>
        <w:snapToGrid w:val="0"/>
        <w:spacing w:line="300" w:lineRule="auto"/>
        <w:ind w:leftChars="-354" w:left="-850" w:rightChars="-24" w:right="-58"/>
        <w:jc w:val="right"/>
        <w:rPr>
          <w:rFonts w:hint="eastAsia"/>
          <w:bCs/>
          <w:sz w:val="22"/>
          <w:szCs w:val="22"/>
        </w:rPr>
      </w:pPr>
      <w:r w:rsidRPr="00FB21B6">
        <w:rPr>
          <w:rFonts w:hint="eastAsia"/>
          <w:bCs/>
          <w:sz w:val="22"/>
          <w:szCs w:val="22"/>
        </w:rPr>
        <w:t>金融監督管理委員會</w:t>
      </w:r>
      <w:r>
        <w:rPr>
          <w:rFonts w:hint="eastAsia"/>
          <w:bCs/>
          <w:sz w:val="22"/>
          <w:szCs w:val="22"/>
        </w:rPr>
        <w:t>106</w:t>
      </w:r>
      <w:r w:rsidRPr="00FB21B6">
        <w:rPr>
          <w:rFonts w:hint="eastAsia"/>
          <w:bCs/>
          <w:sz w:val="22"/>
          <w:szCs w:val="22"/>
        </w:rPr>
        <w:t>年</w:t>
      </w:r>
      <w:r>
        <w:rPr>
          <w:rFonts w:hint="eastAsia"/>
          <w:bCs/>
          <w:sz w:val="22"/>
          <w:szCs w:val="22"/>
        </w:rPr>
        <w:t>6</w:t>
      </w:r>
      <w:r w:rsidRPr="00FB21B6">
        <w:rPr>
          <w:rFonts w:hint="eastAsia"/>
          <w:bCs/>
          <w:sz w:val="22"/>
          <w:szCs w:val="22"/>
        </w:rPr>
        <w:t>月</w:t>
      </w:r>
      <w:r>
        <w:rPr>
          <w:rFonts w:hint="eastAsia"/>
          <w:bCs/>
          <w:sz w:val="22"/>
          <w:szCs w:val="22"/>
        </w:rPr>
        <w:t>9</w:t>
      </w:r>
      <w:r w:rsidRPr="00FB21B6">
        <w:rPr>
          <w:rFonts w:hint="eastAsia"/>
          <w:bCs/>
          <w:sz w:val="22"/>
          <w:szCs w:val="22"/>
        </w:rPr>
        <w:t>日金管證券字第</w:t>
      </w:r>
      <w:r>
        <w:rPr>
          <w:rFonts w:hint="eastAsia"/>
          <w:bCs/>
          <w:sz w:val="22"/>
          <w:szCs w:val="22"/>
        </w:rPr>
        <w:t>1060014952</w:t>
      </w:r>
      <w:r w:rsidRPr="00FB21B6">
        <w:rPr>
          <w:rFonts w:hint="eastAsia"/>
          <w:bCs/>
          <w:sz w:val="22"/>
          <w:szCs w:val="22"/>
        </w:rPr>
        <w:t>號函准予備查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2788"/>
        <w:gridCol w:w="2788"/>
      </w:tblGrid>
      <w:tr w:rsidR="00FE6AAC" w:rsidRPr="00D33FBC" w:rsidTr="00E641AB">
        <w:trPr>
          <w:trHeight w:val="535"/>
          <w:tblHeader/>
        </w:trPr>
        <w:tc>
          <w:tcPr>
            <w:tcW w:w="2788" w:type="dxa"/>
          </w:tcPr>
          <w:p w:rsidR="00FE6AAC" w:rsidRPr="00D33FBC" w:rsidRDefault="00FE6AAC" w:rsidP="002870E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bCs/>
                <w:snapToGrid w:val="0"/>
              </w:rPr>
            </w:pPr>
            <w:r w:rsidRPr="00D33FBC">
              <w:rPr>
                <w:rFonts w:ascii="Times New Roman" w:eastAsia="標楷體" w:hAnsi="Times New Roman" w:cs="Times New Roman"/>
                <w:b/>
                <w:bCs/>
                <w:snapToGrid w:val="0"/>
              </w:rPr>
              <w:t>修正條文</w:t>
            </w:r>
          </w:p>
        </w:tc>
        <w:tc>
          <w:tcPr>
            <w:tcW w:w="2788" w:type="dxa"/>
          </w:tcPr>
          <w:p w:rsidR="00FE6AAC" w:rsidRPr="00D33FBC" w:rsidRDefault="00C321CE" w:rsidP="002870EC">
            <w:pPr>
              <w:adjustRightInd w:val="0"/>
              <w:snapToGrid w:val="0"/>
              <w:spacing w:line="300" w:lineRule="auto"/>
              <w:ind w:rightChars="7" w:right="17"/>
              <w:jc w:val="center"/>
              <w:rPr>
                <w:rFonts w:ascii="Times New Roman" w:eastAsia="標楷體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napToGrid w:val="0"/>
                <w:lang w:eastAsia="zh-TW"/>
              </w:rPr>
              <w:t>現行</w:t>
            </w:r>
            <w:r w:rsidR="00FE6AAC" w:rsidRPr="00D33FBC">
              <w:rPr>
                <w:rFonts w:ascii="Times New Roman" w:eastAsia="標楷體" w:hAnsi="Times New Roman" w:cs="Times New Roman"/>
                <w:b/>
                <w:bCs/>
                <w:snapToGrid w:val="0"/>
              </w:rPr>
              <w:t>條文</w:t>
            </w:r>
          </w:p>
        </w:tc>
        <w:tc>
          <w:tcPr>
            <w:tcW w:w="2788" w:type="dxa"/>
          </w:tcPr>
          <w:p w:rsidR="00FE6AAC" w:rsidRPr="00D33FBC" w:rsidRDefault="00FE6AAC" w:rsidP="002870E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bCs/>
                <w:snapToGrid w:val="0"/>
              </w:rPr>
            </w:pPr>
            <w:r w:rsidRPr="00D33FBC">
              <w:rPr>
                <w:rFonts w:ascii="Times New Roman" w:eastAsia="標楷體" w:hAnsi="Times New Roman" w:cs="Times New Roman"/>
                <w:b/>
                <w:bCs/>
                <w:snapToGrid w:val="0"/>
              </w:rPr>
              <w:t>說明</w:t>
            </w:r>
          </w:p>
        </w:tc>
      </w:tr>
      <w:tr w:rsidR="00FE6AAC" w:rsidRPr="00D33FBC" w:rsidTr="00E641AB">
        <w:trPr>
          <w:trHeight w:val="535"/>
        </w:trPr>
        <w:tc>
          <w:tcPr>
            <w:tcW w:w="2788" w:type="dxa"/>
          </w:tcPr>
          <w:p w:rsidR="00FE6AAC" w:rsidRPr="00D33FBC" w:rsidRDefault="00FE6AAC" w:rsidP="00FE6AAC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D33FBC">
              <w:rPr>
                <w:rFonts w:ascii="Times New Roman" w:eastAsia="標楷體" w:hAnsi="Times New Roman" w:cs="Times New Roman"/>
              </w:rPr>
              <w:t>第三條</w:t>
            </w:r>
          </w:p>
          <w:p w:rsidR="00FE6AAC" w:rsidRPr="00D33FBC" w:rsidRDefault="00FE6AAC" w:rsidP="00FE6AAC">
            <w:pPr>
              <w:adjustRightInd w:val="0"/>
              <w:snapToGrid w:val="0"/>
              <w:spacing w:line="300" w:lineRule="auto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D33FBC">
              <w:rPr>
                <w:rFonts w:ascii="Times New Roman" w:eastAsia="標楷體" w:hAnsi="Times New Roman" w:cs="Times New Roman"/>
              </w:rPr>
              <w:t>證券商登記受託買賣有價證券之業務人員，於符合業務規則第四十五條之資格條件，並辦理業務人員登記為「受託買賣（衍生性商品銷售）」後，得銷售衍生性金融商品（以下稱「銷售人員」）。</w:t>
            </w:r>
          </w:p>
          <w:p w:rsidR="00D33FBC" w:rsidRPr="00225C85" w:rsidRDefault="00A93839" w:rsidP="001D777D">
            <w:pPr>
              <w:adjustRightInd w:val="0"/>
              <w:snapToGrid w:val="0"/>
              <w:spacing w:line="300" w:lineRule="auto"/>
              <w:ind w:firstLineChars="200" w:firstLine="480"/>
              <w:jc w:val="both"/>
              <w:rPr>
                <w:rFonts w:ascii="標楷體" w:hAnsi="標楷體"/>
              </w:rPr>
            </w:pPr>
            <w:r w:rsidRPr="00225C85">
              <w:rPr>
                <w:rFonts w:ascii="標楷體" w:eastAsia="標楷體" w:hAnsi="標楷體" w:hint="eastAsia"/>
              </w:rPr>
              <w:t>前項衍生性金融商品</w:t>
            </w:r>
            <w:r w:rsidR="00D33FBC" w:rsidRPr="00225C85">
              <w:rPr>
                <w:rFonts w:ascii="標楷體" w:eastAsia="標楷體" w:hAnsi="標楷體" w:hint="eastAsia"/>
                <w:u w:val="single"/>
              </w:rPr>
              <w:t>不得為複雜性高風險商品，且</w:t>
            </w:r>
            <w:r w:rsidR="00D33FBC" w:rsidRPr="00225C85">
              <w:rPr>
                <w:rFonts w:ascii="標楷體" w:eastAsia="標楷體" w:hAnsi="標楷體" w:hint="eastAsia"/>
              </w:rPr>
              <w:t>以</w:t>
            </w:r>
            <w:r w:rsidR="00D33FBC" w:rsidRPr="00225C85">
              <w:rPr>
                <w:rFonts w:ascii="標楷體" w:eastAsia="標楷體" w:hAnsi="標楷體" w:hint="eastAsia"/>
                <w:u w:val="single"/>
              </w:rPr>
              <w:t>下列為限：</w:t>
            </w:r>
          </w:p>
          <w:p w:rsidR="00D33FBC" w:rsidRPr="00225C85" w:rsidRDefault="00A93839" w:rsidP="00D33FBC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line="300" w:lineRule="auto"/>
              <w:ind w:leftChars="0" w:left="510" w:hanging="510"/>
              <w:jc w:val="both"/>
              <w:rPr>
                <w:rFonts w:ascii="Times New Roman" w:hAnsi="Times New Roman" w:cs="Times New Roman"/>
                <w:u w:val="single"/>
              </w:rPr>
            </w:pPr>
            <w:r w:rsidRPr="00225C85">
              <w:rPr>
                <w:rFonts w:ascii="標楷體" w:eastAsia="標楷體" w:hAnsi="標楷體" w:hint="eastAsia"/>
              </w:rPr>
              <w:t>結構型商品</w:t>
            </w:r>
            <w:r w:rsidR="00D33FBC" w:rsidRPr="00225C85">
              <w:rPr>
                <w:rFonts w:ascii="標楷體" w:eastAsia="標楷體" w:hAnsi="標楷體" w:hint="eastAsia"/>
              </w:rPr>
              <w:t>。</w:t>
            </w:r>
          </w:p>
          <w:p w:rsidR="00D33FBC" w:rsidRPr="00225C85" w:rsidRDefault="00A93839" w:rsidP="00D33FBC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line="300" w:lineRule="auto"/>
              <w:ind w:leftChars="0" w:left="510" w:hanging="510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225C85">
              <w:rPr>
                <w:rFonts w:ascii="標楷體" w:eastAsia="標楷體" w:hAnsi="標楷體" w:hint="eastAsia"/>
                <w:bCs/>
                <w:u w:val="single"/>
              </w:rPr>
              <w:t>臺股</w:t>
            </w:r>
            <w:r w:rsidR="005D5AC2" w:rsidRPr="00225C85">
              <w:rPr>
                <w:rFonts w:ascii="標楷體" w:eastAsia="標楷體" w:hAnsi="標楷體" w:hint="eastAsia"/>
                <w:bCs/>
                <w:u w:val="single"/>
              </w:rPr>
              <w:t>股權相關之</w:t>
            </w:r>
            <w:r w:rsidR="00334CAB" w:rsidRPr="00225C85">
              <w:rPr>
                <w:rFonts w:ascii="標楷體" w:eastAsia="標楷體" w:hAnsi="標楷體" w:hint="eastAsia"/>
                <w:bCs/>
                <w:u w:val="single"/>
              </w:rPr>
              <w:t>股權</w:t>
            </w:r>
            <w:r w:rsidRPr="00225C85">
              <w:rPr>
                <w:rFonts w:ascii="標楷體" w:eastAsia="標楷體" w:hAnsi="標楷體" w:hint="eastAsia"/>
                <w:bCs/>
                <w:u w:val="single"/>
              </w:rPr>
              <w:t>衍生性商品</w:t>
            </w:r>
            <w:r w:rsidR="00D33FBC" w:rsidRPr="00225C85">
              <w:rPr>
                <w:rFonts w:ascii="標楷體" w:eastAsia="標楷體" w:hAnsi="標楷體" w:hint="eastAsia"/>
                <w:bCs/>
                <w:u w:val="single"/>
              </w:rPr>
              <w:t>。</w:t>
            </w:r>
          </w:p>
          <w:p w:rsidR="00FE6AAC" w:rsidRPr="00225C85" w:rsidRDefault="00D33FBC" w:rsidP="00D33FBC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line="300" w:lineRule="auto"/>
              <w:ind w:leftChars="0" w:left="510" w:hanging="510"/>
              <w:jc w:val="both"/>
              <w:rPr>
                <w:rFonts w:ascii="Times New Roman" w:hAnsi="Times New Roman" w:cs="Times New Roman"/>
                <w:u w:val="single"/>
              </w:rPr>
            </w:pPr>
            <w:r w:rsidRPr="00225C85">
              <w:rPr>
                <w:rFonts w:ascii="標楷體" w:eastAsia="標楷體" w:hAnsi="標楷體"/>
                <w:bCs/>
                <w:u w:val="single"/>
              </w:rPr>
              <w:t>臺股股權相關之</w:t>
            </w:r>
            <w:r w:rsidR="00A93839" w:rsidRPr="00225C85">
              <w:rPr>
                <w:rFonts w:ascii="標楷體" w:eastAsia="標楷體" w:hAnsi="標楷體" w:hint="eastAsia"/>
                <w:bCs/>
                <w:u w:val="single"/>
              </w:rPr>
              <w:t>轉（交）換公司債資產交換</w:t>
            </w:r>
            <w:r w:rsidR="00801AFC" w:rsidRPr="00225C85">
              <w:rPr>
                <w:rFonts w:ascii="標楷體" w:eastAsia="標楷體" w:hAnsi="標楷體" w:hint="eastAsia"/>
                <w:u w:val="single"/>
              </w:rPr>
              <w:t>。</w:t>
            </w:r>
          </w:p>
          <w:p w:rsidR="00FE6AAC" w:rsidRPr="00D33FBC" w:rsidRDefault="00FE6AAC" w:rsidP="00FE6AAC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FE6AAC" w:rsidRPr="00D33FBC" w:rsidRDefault="00FE6AAC" w:rsidP="00FE6AAC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D33FBC">
              <w:rPr>
                <w:rFonts w:ascii="Times New Roman" w:eastAsia="標楷體" w:hAnsi="Times New Roman" w:cs="Times New Roman"/>
              </w:rPr>
              <w:t>第三條</w:t>
            </w:r>
          </w:p>
          <w:p w:rsidR="00FE6AAC" w:rsidRPr="00D33FBC" w:rsidRDefault="00FE6AAC" w:rsidP="00FE6AAC">
            <w:pPr>
              <w:adjustRightInd w:val="0"/>
              <w:snapToGrid w:val="0"/>
              <w:spacing w:line="300" w:lineRule="auto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D33FBC">
              <w:rPr>
                <w:rFonts w:ascii="Times New Roman" w:eastAsia="標楷體" w:hAnsi="Times New Roman" w:cs="Times New Roman"/>
              </w:rPr>
              <w:t>證券商登記受託買賣有價證券之業務人員，於符合業務規則第四十五條之資格條件，並辦理業務人員登記為「受託買賣（衍生性商品銷售）」後，得銷售衍生性金融商品（以下稱「銷售人員」）。</w:t>
            </w:r>
          </w:p>
          <w:p w:rsidR="00FE6AAC" w:rsidRPr="00D33FBC" w:rsidRDefault="00FE6AAC" w:rsidP="00FE6AAC">
            <w:pPr>
              <w:adjustRightInd w:val="0"/>
              <w:snapToGrid w:val="0"/>
              <w:spacing w:line="300" w:lineRule="auto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D33FBC">
              <w:rPr>
                <w:rFonts w:ascii="Times New Roman" w:eastAsia="標楷體" w:hAnsi="Times New Roman" w:cs="Times New Roman"/>
              </w:rPr>
              <w:t>前項</w:t>
            </w:r>
            <w:r w:rsidRPr="00D33FBC">
              <w:rPr>
                <w:rFonts w:ascii="Times New Roman" w:eastAsia="標楷體" w:hAnsi="Times New Roman" w:cs="Times New Roman"/>
                <w:u w:val="single"/>
              </w:rPr>
              <w:t>銷售人員得銷售之</w:t>
            </w:r>
            <w:r w:rsidRPr="00D33FBC">
              <w:rPr>
                <w:rFonts w:ascii="Times New Roman" w:eastAsia="標楷體" w:hAnsi="Times New Roman" w:cs="Times New Roman"/>
              </w:rPr>
              <w:t>衍生性金融商品</w:t>
            </w:r>
            <w:r w:rsidRPr="00E61AFF">
              <w:rPr>
                <w:rFonts w:ascii="Times New Roman" w:eastAsia="標楷體" w:hAnsi="Times New Roman" w:cs="Times New Roman"/>
              </w:rPr>
              <w:t>以結構型商品</w:t>
            </w:r>
            <w:r w:rsidRPr="00E61AFF">
              <w:rPr>
                <w:rFonts w:ascii="Times New Roman" w:eastAsia="標楷體" w:hAnsi="Times New Roman" w:cs="Times New Roman"/>
                <w:u w:val="single"/>
              </w:rPr>
              <w:t>為限</w:t>
            </w:r>
            <w:r w:rsidRPr="00E61AFF">
              <w:rPr>
                <w:rFonts w:ascii="Times New Roman" w:eastAsia="標楷體" w:hAnsi="Times New Roman" w:cs="Times New Roman"/>
              </w:rPr>
              <w:t>。</w:t>
            </w:r>
          </w:p>
          <w:p w:rsidR="00FE6AAC" w:rsidRPr="00D33FBC" w:rsidRDefault="00FE6AAC" w:rsidP="002870EC">
            <w:pPr>
              <w:adjustRightInd w:val="0"/>
              <w:snapToGrid w:val="0"/>
              <w:spacing w:line="300" w:lineRule="auto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88" w:type="dxa"/>
          </w:tcPr>
          <w:p w:rsidR="00E61AFF" w:rsidRPr="00E61AFF" w:rsidRDefault="009269F3" w:rsidP="00E61AFF">
            <w:pPr>
              <w:pStyle w:val="a3"/>
              <w:widowControl w:val="0"/>
              <w:numPr>
                <w:ilvl w:val="0"/>
                <w:numId w:val="11"/>
              </w:numPr>
              <w:adjustRightInd w:val="0"/>
              <w:snapToGrid w:val="0"/>
              <w:spacing w:line="300" w:lineRule="auto"/>
              <w:ind w:leftChars="0" w:left="510" w:hanging="510"/>
              <w:jc w:val="both"/>
              <w:rPr>
                <w:rFonts w:ascii="Times New Roman" w:eastAsia="標楷體" w:hAnsi="Times New Roman" w:cs="Times New Roman"/>
              </w:rPr>
            </w:pPr>
            <w:r w:rsidRPr="00D33FBC">
              <w:rPr>
                <w:rFonts w:ascii="Times New Roman" w:eastAsia="標楷體" w:hAnsi="Times New Roman" w:cs="Times New Roman"/>
              </w:rPr>
              <w:t>為提升證券商業務競爭力、發揮證券商分公司通路功能，以及滿足客戶對臺股股權相關商</w:t>
            </w:r>
            <w:bookmarkStart w:id="0" w:name="_GoBack"/>
            <w:bookmarkEnd w:id="0"/>
            <w:r w:rsidRPr="00D33FBC">
              <w:rPr>
                <w:rFonts w:ascii="Times New Roman" w:eastAsia="標楷體" w:hAnsi="Times New Roman" w:cs="Times New Roman"/>
              </w:rPr>
              <w:t>品一次購足之需求，爰放寬登記受託買賣有價證券之業務人員銷售</w:t>
            </w:r>
            <w:r w:rsidR="007036F7" w:rsidRPr="00D33FBC">
              <w:rPr>
                <w:rFonts w:ascii="Times New Roman" w:eastAsia="標楷體" w:hAnsi="Times New Roman" w:cs="Times New Roman"/>
              </w:rPr>
              <w:t>之</w:t>
            </w:r>
            <w:r w:rsidR="00E641AB" w:rsidRPr="00D33FBC">
              <w:rPr>
                <w:rFonts w:ascii="Times New Roman" w:eastAsia="標楷體" w:hAnsi="Times New Roman" w:cs="Times New Roman"/>
              </w:rPr>
              <w:t>衍生性金融</w:t>
            </w:r>
            <w:r w:rsidR="007036F7" w:rsidRPr="00D33FBC">
              <w:rPr>
                <w:rFonts w:ascii="Times New Roman" w:eastAsia="標楷體" w:hAnsi="Times New Roman" w:cs="Times New Roman"/>
              </w:rPr>
              <w:t>商品範圍</w:t>
            </w:r>
            <w:r w:rsidR="00334CAB" w:rsidRPr="00D33FBC">
              <w:rPr>
                <w:rFonts w:ascii="Times New Roman" w:eastAsia="標楷體" w:hAnsi="Times New Roman" w:cs="Times New Roman"/>
              </w:rPr>
              <w:t>至</w:t>
            </w:r>
            <w:r w:rsidRPr="00D33FBC">
              <w:rPr>
                <w:rFonts w:ascii="Times New Roman" w:eastAsia="標楷體" w:hAnsi="Times New Roman" w:cs="Times New Roman"/>
              </w:rPr>
              <w:t>臺股股權相關之衍生性金融商品，修正第二</w:t>
            </w:r>
            <w:r w:rsidR="00FE6AAC" w:rsidRPr="00D33FBC">
              <w:rPr>
                <w:rFonts w:ascii="Times New Roman" w:eastAsia="標楷體" w:hAnsi="Times New Roman" w:cs="Times New Roman"/>
              </w:rPr>
              <w:t>項規定。</w:t>
            </w:r>
          </w:p>
          <w:p w:rsidR="00D33FBC" w:rsidRPr="00E61AFF" w:rsidRDefault="00D33FBC" w:rsidP="00E61AFF">
            <w:pPr>
              <w:pStyle w:val="a3"/>
              <w:widowControl w:val="0"/>
              <w:numPr>
                <w:ilvl w:val="0"/>
                <w:numId w:val="11"/>
              </w:numPr>
              <w:adjustRightInd w:val="0"/>
              <w:snapToGrid w:val="0"/>
              <w:spacing w:line="300" w:lineRule="auto"/>
              <w:ind w:leftChars="0" w:left="510" w:hanging="510"/>
              <w:jc w:val="both"/>
              <w:rPr>
                <w:rFonts w:ascii="Times New Roman" w:eastAsia="標楷體" w:hAnsi="Times New Roman" w:cs="Times New Roman"/>
              </w:rPr>
            </w:pPr>
            <w:r w:rsidRPr="00E61AFF">
              <w:rPr>
                <w:rFonts w:ascii="Times New Roman" w:eastAsia="標楷體" w:hAnsi="Times New Roman" w:cs="Times New Roman"/>
              </w:rPr>
              <w:t>本次開放</w:t>
            </w:r>
            <w:r w:rsidR="00E61AFF" w:rsidRPr="00D33FBC">
              <w:rPr>
                <w:rFonts w:ascii="Times New Roman" w:eastAsia="標楷體" w:hAnsi="Times New Roman" w:cs="Times New Roman"/>
              </w:rPr>
              <w:t>臺股股權相關之衍生性金融商品</w:t>
            </w:r>
            <w:r w:rsidR="00E61AFF">
              <w:rPr>
                <w:rFonts w:ascii="Times New Roman" w:eastAsia="標楷體" w:hAnsi="Times New Roman" w:cs="Times New Roman"/>
              </w:rPr>
              <w:t>，包括</w:t>
            </w:r>
            <w:r w:rsidR="00334CAB" w:rsidRPr="00E61AFF">
              <w:rPr>
                <w:rFonts w:ascii="Times New Roman" w:eastAsia="標楷體" w:hAnsi="Times New Roman" w:cs="Times New Roman"/>
              </w:rPr>
              <w:t>連結臺股之</w:t>
            </w:r>
            <w:r w:rsidR="003A6310" w:rsidRPr="00E61AFF">
              <w:rPr>
                <w:rFonts w:ascii="Times New Roman" w:eastAsia="標楷體" w:hAnsi="Times New Roman" w:cs="Times New Roman"/>
              </w:rPr>
              <w:t>股權衍生性商品（含</w:t>
            </w:r>
            <w:r w:rsidR="0017713E" w:rsidRPr="00E61AFF">
              <w:rPr>
                <w:rFonts w:ascii="Times New Roman" w:eastAsia="標楷體" w:hAnsi="Times New Roman" w:cs="Times New Roman" w:hint="eastAsia"/>
              </w:rPr>
              <w:t>差</w:t>
            </w:r>
            <w:r w:rsidR="006B408A" w:rsidRPr="00E61AFF">
              <w:rPr>
                <w:rFonts w:ascii="Times New Roman" w:eastAsia="標楷體" w:hAnsi="Times New Roman" w:cs="Times New Roman" w:hint="eastAsia"/>
              </w:rPr>
              <w:t>價</w:t>
            </w:r>
            <w:r w:rsidR="0017713E" w:rsidRPr="00E61AFF">
              <w:rPr>
                <w:rFonts w:ascii="Times New Roman" w:eastAsia="標楷體" w:hAnsi="Times New Roman" w:cs="Times New Roman" w:hint="eastAsia"/>
              </w:rPr>
              <w:t>契約、遠期契約、交換契約、選擇權契約及</w:t>
            </w:r>
            <w:r w:rsidR="003A6310" w:rsidRPr="00E61AFF">
              <w:rPr>
                <w:rFonts w:ascii="Times New Roman" w:eastAsia="標楷體" w:hAnsi="Times New Roman" w:cs="Times New Roman" w:hint="eastAsia"/>
              </w:rPr>
              <w:t>其組合）及連結臺股之轉（交）換公司債資產交換</w:t>
            </w:r>
            <w:r w:rsidR="00FF151D" w:rsidRPr="00E61AFF">
              <w:rPr>
                <w:rFonts w:ascii="Times New Roman" w:eastAsia="標楷體" w:hAnsi="Times New Roman" w:cs="Times New Roman" w:hint="eastAsia"/>
              </w:rPr>
              <w:t>（含選擇權端及固定收益端）</w:t>
            </w:r>
            <w:r w:rsidR="007036F7" w:rsidRPr="00E61AFF">
              <w:rPr>
                <w:rFonts w:ascii="Times New Roman" w:eastAsia="標楷體" w:hAnsi="Times New Roman" w:cs="Times New Roman"/>
              </w:rPr>
              <w:t>。</w:t>
            </w:r>
          </w:p>
          <w:p w:rsidR="00FA11A0" w:rsidRPr="00D33FBC" w:rsidRDefault="00FA11A0" w:rsidP="00D33FBC">
            <w:pPr>
              <w:pStyle w:val="a3"/>
              <w:widowControl w:val="0"/>
              <w:numPr>
                <w:ilvl w:val="0"/>
                <w:numId w:val="11"/>
              </w:numPr>
              <w:adjustRightInd w:val="0"/>
              <w:snapToGrid w:val="0"/>
              <w:spacing w:line="300" w:lineRule="auto"/>
              <w:ind w:leftChars="0" w:left="567" w:hanging="567"/>
              <w:jc w:val="both"/>
              <w:rPr>
                <w:rFonts w:ascii="Times New Roman" w:eastAsia="標楷體" w:hAnsi="Times New Roman" w:cs="Times New Roman"/>
              </w:rPr>
            </w:pPr>
            <w:r w:rsidRPr="00D33FBC">
              <w:rPr>
                <w:rFonts w:ascii="Times New Roman" w:eastAsia="標楷體" w:hAnsi="Times New Roman" w:cs="Times New Roman"/>
                <w:lang w:eastAsia="zh-TW"/>
              </w:rPr>
              <w:t>考量開放範圍內之衍生性金融商品，仍可能設計成複雜性高風險商品者，並不適合受託買賣有價證券業務人員銷售，</w:t>
            </w:r>
            <w:proofErr w:type="gramStart"/>
            <w:r w:rsidRPr="00D33FBC">
              <w:rPr>
                <w:rFonts w:ascii="Times New Roman" w:eastAsia="標楷體" w:hAnsi="Times New Roman" w:cs="Times New Roman"/>
                <w:lang w:eastAsia="zh-TW"/>
              </w:rPr>
              <w:t>爰</w:t>
            </w:r>
            <w:proofErr w:type="gramEnd"/>
            <w:r w:rsidRPr="00D33FBC">
              <w:rPr>
                <w:rFonts w:ascii="Times New Roman" w:eastAsia="標楷體" w:hAnsi="Times New Roman" w:cs="Times New Roman"/>
                <w:lang w:eastAsia="zh-TW"/>
              </w:rPr>
              <w:t>予以排除。</w:t>
            </w:r>
          </w:p>
        </w:tc>
      </w:tr>
    </w:tbl>
    <w:p w:rsidR="00E4261B" w:rsidRPr="00FB4BFC" w:rsidRDefault="00E4261B" w:rsidP="00E4261B">
      <w:pPr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223C81" w:rsidRPr="00FB4BFC" w:rsidRDefault="00223C81" w:rsidP="00BC34AD">
      <w:pPr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sectPr w:rsidR="00223C81" w:rsidRPr="00FB4B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00" w:rsidRDefault="00595E00" w:rsidP="00587CFE">
      <w:r>
        <w:separator/>
      </w:r>
    </w:p>
  </w:endnote>
  <w:endnote w:type="continuationSeparator" w:id="0">
    <w:p w:rsidR="00595E00" w:rsidRDefault="00595E00" w:rsidP="0058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026165"/>
      <w:docPartObj>
        <w:docPartGallery w:val="Page Numbers (Bottom of Page)"/>
        <w:docPartUnique/>
      </w:docPartObj>
    </w:sdtPr>
    <w:sdtEndPr/>
    <w:sdtContent>
      <w:p w:rsidR="009E3A1B" w:rsidRDefault="009E3A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8A8" w:rsidRPr="005A18A8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9E3A1B" w:rsidRDefault="009E3A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00" w:rsidRDefault="00595E00" w:rsidP="00587CFE">
      <w:r>
        <w:separator/>
      </w:r>
    </w:p>
  </w:footnote>
  <w:footnote w:type="continuationSeparator" w:id="0">
    <w:p w:rsidR="00595E00" w:rsidRDefault="00595E00" w:rsidP="0058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8D4"/>
    <w:multiLevelType w:val="hybridMultilevel"/>
    <w:tmpl w:val="1436DA40"/>
    <w:lvl w:ilvl="0" w:tplc="317604B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  <w:szCs w:val="32"/>
      </w:rPr>
    </w:lvl>
    <w:lvl w:ilvl="1" w:tplc="85CEA5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44022"/>
    <w:multiLevelType w:val="hybridMultilevel"/>
    <w:tmpl w:val="3ED87964"/>
    <w:lvl w:ilvl="0" w:tplc="317604B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D64FEC"/>
    <w:multiLevelType w:val="hybridMultilevel"/>
    <w:tmpl w:val="D28CEF72"/>
    <w:lvl w:ilvl="0" w:tplc="DB6E98A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i w:val="0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8B1E70"/>
    <w:multiLevelType w:val="hybridMultilevel"/>
    <w:tmpl w:val="6AB8B582"/>
    <w:lvl w:ilvl="0" w:tplc="CA48BD0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  <w:szCs w:val="3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C6A81"/>
    <w:multiLevelType w:val="hybridMultilevel"/>
    <w:tmpl w:val="50E27876"/>
    <w:lvl w:ilvl="0" w:tplc="317604B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304D21"/>
    <w:multiLevelType w:val="hybridMultilevel"/>
    <w:tmpl w:val="3ED87964"/>
    <w:lvl w:ilvl="0" w:tplc="317604B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575BA0"/>
    <w:multiLevelType w:val="hybridMultilevel"/>
    <w:tmpl w:val="9FDC3048"/>
    <w:lvl w:ilvl="0" w:tplc="317604B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  <w:szCs w:val="32"/>
      </w:rPr>
    </w:lvl>
    <w:lvl w:ilvl="1" w:tplc="85CEA5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3">
      <w:start w:val="1"/>
      <w:numFmt w:val="upperRoman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D036FA"/>
    <w:multiLevelType w:val="hybridMultilevel"/>
    <w:tmpl w:val="F0ACBE32"/>
    <w:lvl w:ilvl="0" w:tplc="1334F27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572C84"/>
    <w:multiLevelType w:val="hybridMultilevel"/>
    <w:tmpl w:val="0BA644BA"/>
    <w:lvl w:ilvl="0" w:tplc="317604B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  <w:szCs w:val="32"/>
      </w:rPr>
    </w:lvl>
    <w:lvl w:ilvl="1" w:tplc="85CEA5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B">
      <w:start w:val="1"/>
      <w:numFmt w:val="lowerRoman"/>
      <w:lvlText w:val="%5."/>
      <w:lvlJc w:val="righ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7613A"/>
    <w:multiLevelType w:val="hybridMultilevel"/>
    <w:tmpl w:val="7A32401A"/>
    <w:lvl w:ilvl="0" w:tplc="7354D96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BF6EAE"/>
    <w:multiLevelType w:val="hybridMultilevel"/>
    <w:tmpl w:val="070EE9D0"/>
    <w:lvl w:ilvl="0" w:tplc="972ABBF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85CEA5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D060A4"/>
    <w:multiLevelType w:val="hybridMultilevel"/>
    <w:tmpl w:val="8EF499EC"/>
    <w:lvl w:ilvl="0" w:tplc="2B76C33A">
      <w:start w:val="1"/>
      <w:numFmt w:val="decimal"/>
      <w:lvlText w:val="%1."/>
      <w:lvlJc w:val="left"/>
      <w:pPr>
        <w:ind w:left="104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 w15:restartNumberingAfterBreak="0">
    <w:nsid w:val="72877745"/>
    <w:multiLevelType w:val="hybridMultilevel"/>
    <w:tmpl w:val="21F886C4"/>
    <w:lvl w:ilvl="0" w:tplc="2408A472">
      <w:start w:val="1"/>
      <w:numFmt w:val="ideographLegalTraditional"/>
      <w:lvlText w:val="%1、"/>
      <w:lvlJc w:val="left"/>
      <w:pPr>
        <w:ind w:left="480" w:hanging="480"/>
      </w:pPr>
      <w:rPr>
        <w:rFonts w:eastAsia="標楷體" w:hint="eastAsia"/>
        <w:b/>
        <w:i w:val="0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A35252"/>
    <w:multiLevelType w:val="hybridMultilevel"/>
    <w:tmpl w:val="26747A58"/>
    <w:lvl w:ilvl="0" w:tplc="EB40AC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4"/>
  </w:num>
  <w:num w:numId="5">
    <w:abstractNumId w:val="12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81"/>
    <w:rsid w:val="00015E85"/>
    <w:rsid w:val="00083598"/>
    <w:rsid w:val="000E462A"/>
    <w:rsid w:val="000F38A0"/>
    <w:rsid w:val="00110730"/>
    <w:rsid w:val="0011730F"/>
    <w:rsid w:val="00127683"/>
    <w:rsid w:val="00135237"/>
    <w:rsid w:val="0015406D"/>
    <w:rsid w:val="0015593A"/>
    <w:rsid w:val="001722BA"/>
    <w:rsid w:val="0017713E"/>
    <w:rsid w:val="00195D4F"/>
    <w:rsid w:val="001D777D"/>
    <w:rsid w:val="001E091F"/>
    <w:rsid w:val="001E4BA0"/>
    <w:rsid w:val="001F19B4"/>
    <w:rsid w:val="002113E5"/>
    <w:rsid w:val="00216A57"/>
    <w:rsid w:val="00223C81"/>
    <w:rsid w:val="00225C85"/>
    <w:rsid w:val="00231BF7"/>
    <w:rsid w:val="0026400F"/>
    <w:rsid w:val="00291CBE"/>
    <w:rsid w:val="002975B2"/>
    <w:rsid w:val="002E09F8"/>
    <w:rsid w:val="002F288B"/>
    <w:rsid w:val="00310EE8"/>
    <w:rsid w:val="003144DE"/>
    <w:rsid w:val="00332E9F"/>
    <w:rsid w:val="00334CAB"/>
    <w:rsid w:val="003403FF"/>
    <w:rsid w:val="0034044D"/>
    <w:rsid w:val="0038489D"/>
    <w:rsid w:val="00390D0D"/>
    <w:rsid w:val="003921F8"/>
    <w:rsid w:val="003A3337"/>
    <w:rsid w:val="003A6310"/>
    <w:rsid w:val="003E29F0"/>
    <w:rsid w:val="003F0836"/>
    <w:rsid w:val="00401112"/>
    <w:rsid w:val="00401987"/>
    <w:rsid w:val="004543C8"/>
    <w:rsid w:val="0045634D"/>
    <w:rsid w:val="004F3E73"/>
    <w:rsid w:val="004F6C3C"/>
    <w:rsid w:val="00524298"/>
    <w:rsid w:val="00574A0A"/>
    <w:rsid w:val="00587CFE"/>
    <w:rsid w:val="00593390"/>
    <w:rsid w:val="00595E00"/>
    <w:rsid w:val="005A18A8"/>
    <w:rsid w:val="005A78FA"/>
    <w:rsid w:val="005D5AC2"/>
    <w:rsid w:val="005D70A4"/>
    <w:rsid w:val="00603176"/>
    <w:rsid w:val="00624E41"/>
    <w:rsid w:val="006363CB"/>
    <w:rsid w:val="006845C5"/>
    <w:rsid w:val="006978AA"/>
    <w:rsid w:val="006B408A"/>
    <w:rsid w:val="006D621F"/>
    <w:rsid w:val="006D6D3C"/>
    <w:rsid w:val="007036F7"/>
    <w:rsid w:val="00704DBF"/>
    <w:rsid w:val="00724E39"/>
    <w:rsid w:val="00740083"/>
    <w:rsid w:val="00741AFA"/>
    <w:rsid w:val="0075107B"/>
    <w:rsid w:val="0078019E"/>
    <w:rsid w:val="00784108"/>
    <w:rsid w:val="007A0939"/>
    <w:rsid w:val="007A66BE"/>
    <w:rsid w:val="007B4BA9"/>
    <w:rsid w:val="007C2E7A"/>
    <w:rsid w:val="007E1F0B"/>
    <w:rsid w:val="007E65EE"/>
    <w:rsid w:val="007F55E7"/>
    <w:rsid w:val="007F79F0"/>
    <w:rsid w:val="00801AFC"/>
    <w:rsid w:val="00836A7A"/>
    <w:rsid w:val="00847F2F"/>
    <w:rsid w:val="0086534D"/>
    <w:rsid w:val="008C31AD"/>
    <w:rsid w:val="008D4862"/>
    <w:rsid w:val="0091285B"/>
    <w:rsid w:val="00917D71"/>
    <w:rsid w:val="009269F3"/>
    <w:rsid w:val="00951703"/>
    <w:rsid w:val="00967AE1"/>
    <w:rsid w:val="0097678E"/>
    <w:rsid w:val="009A0618"/>
    <w:rsid w:val="009B17CB"/>
    <w:rsid w:val="009B64DA"/>
    <w:rsid w:val="009E3A1B"/>
    <w:rsid w:val="00A15AEF"/>
    <w:rsid w:val="00A3123D"/>
    <w:rsid w:val="00A73E33"/>
    <w:rsid w:val="00A93839"/>
    <w:rsid w:val="00A95320"/>
    <w:rsid w:val="00A97919"/>
    <w:rsid w:val="00AB5D63"/>
    <w:rsid w:val="00AD6675"/>
    <w:rsid w:val="00B13F37"/>
    <w:rsid w:val="00B20BC6"/>
    <w:rsid w:val="00B2256B"/>
    <w:rsid w:val="00B22738"/>
    <w:rsid w:val="00B237F4"/>
    <w:rsid w:val="00B56F2F"/>
    <w:rsid w:val="00B60CDF"/>
    <w:rsid w:val="00B7396E"/>
    <w:rsid w:val="00B973E0"/>
    <w:rsid w:val="00BB3531"/>
    <w:rsid w:val="00BC34AD"/>
    <w:rsid w:val="00BC3C22"/>
    <w:rsid w:val="00BD4974"/>
    <w:rsid w:val="00BD7284"/>
    <w:rsid w:val="00C14604"/>
    <w:rsid w:val="00C321CE"/>
    <w:rsid w:val="00C37C8A"/>
    <w:rsid w:val="00C41318"/>
    <w:rsid w:val="00C43569"/>
    <w:rsid w:val="00C67BE4"/>
    <w:rsid w:val="00C73544"/>
    <w:rsid w:val="00CA107C"/>
    <w:rsid w:val="00CB3D33"/>
    <w:rsid w:val="00CB5C55"/>
    <w:rsid w:val="00CC4989"/>
    <w:rsid w:val="00D044E4"/>
    <w:rsid w:val="00D27AE9"/>
    <w:rsid w:val="00D33FBC"/>
    <w:rsid w:val="00D47BE5"/>
    <w:rsid w:val="00D64824"/>
    <w:rsid w:val="00D86485"/>
    <w:rsid w:val="00D92150"/>
    <w:rsid w:val="00DA69E9"/>
    <w:rsid w:val="00DE6696"/>
    <w:rsid w:val="00E14BA4"/>
    <w:rsid w:val="00E14F64"/>
    <w:rsid w:val="00E4261B"/>
    <w:rsid w:val="00E43088"/>
    <w:rsid w:val="00E55A57"/>
    <w:rsid w:val="00E61AFF"/>
    <w:rsid w:val="00E641AB"/>
    <w:rsid w:val="00E65EEF"/>
    <w:rsid w:val="00E76647"/>
    <w:rsid w:val="00EC5B74"/>
    <w:rsid w:val="00EE64F7"/>
    <w:rsid w:val="00EE7292"/>
    <w:rsid w:val="00EF3631"/>
    <w:rsid w:val="00F16AA5"/>
    <w:rsid w:val="00F7126B"/>
    <w:rsid w:val="00F83E8F"/>
    <w:rsid w:val="00FA11A0"/>
    <w:rsid w:val="00FB0640"/>
    <w:rsid w:val="00FB4BFC"/>
    <w:rsid w:val="00FC5308"/>
    <w:rsid w:val="00FE6AAC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A01AD9-DF46-448F-B818-FAB8C121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81"/>
    <w:rPr>
      <w:rFonts w:ascii="Calibri" w:eastAsia="SimSun" w:hAnsi="Calibri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C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7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7CFE"/>
    <w:rPr>
      <w:rFonts w:ascii="Calibri" w:eastAsia="SimSun" w:hAnsi="Calibri" w:cs="SimSun"/>
      <w:kern w:val="0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587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7CFE"/>
    <w:rPr>
      <w:rFonts w:ascii="Calibri" w:eastAsia="SimSun" w:hAnsi="Calibri" w:cs="SimSun"/>
      <w:kern w:val="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C5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5308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table" w:styleId="aa">
    <w:name w:val="Table Grid"/>
    <w:basedOn w:val="a1"/>
    <w:uiPriority w:val="39"/>
    <w:rsid w:val="00C41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rsid w:val="005A18A8"/>
    <w:pPr>
      <w:widowControl w:val="0"/>
      <w:jc w:val="both"/>
    </w:pPr>
    <w:rPr>
      <w:rFonts w:ascii="Times New Roman" w:eastAsia="標楷體" w:hAnsi="Times New Roman" w:cs="Times New Roman"/>
      <w:snapToGrid w:val="0"/>
      <w:kern w:val="2"/>
      <w:lang w:eastAsia="zh-TW"/>
    </w:rPr>
  </w:style>
  <w:style w:type="character" w:customStyle="1" w:styleId="30">
    <w:name w:val="本文 3 字元"/>
    <w:basedOn w:val="a0"/>
    <w:link w:val="3"/>
    <w:semiHidden/>
    <w:rsid w:val="005A18A8"/>
    <w:rPr>
      <w:rFonts w:ascii="Times New Roman" w:eastAsia="標楷體" w:hAnsi="Times New Roman" w:cs="Times New Roman"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FEFE-10BB-477D-8F98-C6A12DE1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鄧淑芬</dc:creator>
  <cp:keywords/>
  <dc:description/>
  <cp:lastModifiedBy>鄧淑芬</cp:lastModifiedBy>
  <cp:revision>3</cp:revision>
  <cp:lastPrinted>2017-04-13T02:56:00Z</cp:lastPrinted>
  <dcterms:created xsi:type="dcterms:W3CDTF">2017-06-13T08:27:00Z</dcterms:created>
  <dcterms:modified xsi:type="dcterms:W3CDTF">2017-06-13T08:29:00Z</dcterms:modified>
</cp:coreProperties>
</file>