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667" w:rsidRPr="00D52C28" w:rsidRDefault="006C2667" w:rsidP="00E8699E">
      <w:pPr>
        <w:spacing w:line="48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74678">
        <w:rPr>
          <w:rFonts w:ascii="標楷體" w:eastAsia="標楷體" w:hAnsi="標楷體" w:cs="Times New Roman" w:hint="eastAsia"/>
          <w:b/>
          <w:sz w:val="28"/>
        </w:rPr>
        <w:t>財團法人中華民國證券櫃檯買賣中心</w:t>
      </w:r>
    </w:p>
    <w:p w:rsidR="006C2667" w:rsidRDefault="006C2667" w:rsidP="00E8699E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00E52">
        <w:rPr>
          <w:rFonts w:ascii="標楷體" w:eastAsia="標楷體" w:hAnsi="標楷體" w:hint="eastAsia"/>
          <w:b/>
          <w:sz w:val="28"/>
          <w:szCs w:val="28"/>
        </w:rPr>
        <w:t>證券商閒置資產出租及承租之營業用場地分租注意事項總說明</w:t>
      </w:r>
    </w:p>
    <w:p w:rsidR="00E8699E" w:rsidRPr="00D00E52" w:rsidRDefault="00E8699E" w:rsidP="00E8699E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6C2667" w:rsidRPr="00D52C28" w:rsidRDefault="006C2667" w:rsidP="006C2667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F695A">
        <w:rPr>
          <w:rFonts w:ascii="標楷體" w:eastAsia="標楷體" w:hAnsi="標楷體" w:hint="eastAsia"/>
          <w:sz w:val="28"/>
          <w:szCs w:val="28"/>
        </w:rPr>
        <w:t>現行證券商申報閒置資產出租及承租之營業</w:t>
      </w:r>
      <w:r>
        <w:rPr>
          <w:rFonts w:ascii="標楷體" w:eastAsia="標楷體" w:hAnsi="標楷體" w:hint="eastAsia"/>
          <w:sz w:val="28"/>
          <w:szCs w:val="28"/>
        </w:rPr>
        <w:t>用場地</w:t>
      </w:r>
      <w:r w:rsidRPr="00DF695A">
        <w:rPr>
          <w:rFonts w:ascii="標楷體" w:eastAsia="標楷體" w:hAnsi="標楷體" w:hint="eastAsia"/>
          <w:sz w:val="28"/>
          <w:szCs w:val="28"/>
        </w:rPr>
        <w:t>分租案件，僅須依主管機關相關函令規定程序辦理，無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DF695A">
        <w:rPr>
          <w:rFonts w:ascii="標楷體" w:eastAsia="標楷體" w:hAnsi="標楷體" w:hint="eastAsia"/>
          <w:sz w:val="28"/>
          <w:szCs w:val="28"/>
        </w:rPr>
        <w:t>再向主管機關申報取得同意；</w:t>
      </w:r>
      <w:r>
        <w:rPr>
          <w:rFonts w:ascii="標楷體" w:eastAsia="標楷體" w:hAnsi="標楷體" w:hint="eastAsia"/>
          <w:sz w:val="28"/>
          <w:szCs w:val="28"/>
        </w:rPr>
        <w:t>因</w:t>
      </w:r>
      <w:r w:rsidRPr="00DF695A">
        <w:rPr>
          <w:rFonts w:ascii="標楷體" w:eastAsia="標楷體" w:hAnsi="標楷體" w:hint="eastAsia"/>
          <w:sz w:val="28"/>
          <w:szCs w:val="28"/>
        </w:rPr>
        <w:t>主管機關將證券商閒置資產出租及承租之營業</w:t>
      </w:r>
      <w:r>
        <w:rPr>
          <w:rFonts w:ascii="標楷體" w:eastAsia="標楷體" w:hAnsi="標楷體" w:hint="eastAsia"/>
          <w:sz w:val="28"/>
          <w:szCs w:val="28"/>
        </w:rPr>
        <w:t>用場地</w:t>
      </w:r>
      <w:r w:rsidRPr="00DF695A">
        <w:rPr>
          <w:rFonts w:ascii="標楷體" w:eastAsia="標楷體" w:hAnsi="標楷體" w:hint="eastAsia"/>
          <w:sz w:val="28"/>
          <w:szCs w:val="28"/>
        </w:rPr>
        <w:t>分租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DF695A">
        <w:rPr>
          <w:rFonts w:ascii="標楷體" w:eastAsia="標楷體" w:hAnsi="標楷體" w:hint="eastAsia"/>
          <w:sz w:val="28"/>
          <w:szCs w:val="28"/>
        </w:rPr>
        <w:t>相關函令停止適用，</w:t>
      </w:r>
      <w:r>
        <w:rPr>
          <w:rFonts w:ascii="標楷體" w:eastAsia="標楷體" w:hAnsi="標楷體" w:hint="eastAsia"/>
          <w:sz w:val="28"/>
          <w:szCs w:val="28"/>
        </w:rPr>
        <w:t>爰訂定證券商閒置資產出租及承租之營業用場地分租注意事項，供證券商遵循。本注意事項</w:t>
      </w:r>
      <w:r w:rsidRPr="00D52C28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52C28">
        <w:rPr>
          <w:rFonts w:ascii="標楷體" w:eastAsia="標楷體" w:hAnsi="標楷體" w:hint="eastAsia"/>
          <w:sz w:val="28"/>
          <w:szCs w:val="28"/>
        </w:rPr>
        <w:t>點，摘述如下：</w:t>
      </w:r>
    </w:p>
    <w:p w:rsidR="006C2667" w:rsidRPr="00D52C28" w:rsidRDefault="006C2667" w:rsidP="006C2667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D52C28">
        <w:rPr>
          <w:rFonts w:ascii="標楷體" w:eastAsia="標楷體" w:hAnsi="標楷體" w:hint="eastAsia"/>
          <w:sz w:val="28"/>
        </w:rPr>
        <w:t>一、明定證券商</w:t>
      </w:r>
      <w:r w:rsidRPr="004C4D79">
        <w:rPr>
          <w:rFonts w:ascii="標楷體" w:eastAsia="標楷體" w:hAnsi="標楷體" w:hint="eastAsia"/>
          <w:sz w:val="28"/>
          <w:szCs w:val="28"/>
        </w:rPr>
        <w:t>閒置資產出租</w:t>
      </w:r>
      <w:r>
        <w:rPr>
          <w:rFonts w:ascii="標楷體" w:eastAsia="標楷體" w:hAnsi="標楷體" w:hint="eastAsia"/>
          <w:sz w:val="28"/>
          <w:szCs w:val="28"/>
        </w:rPr>
        <w:t>應遵循之相關規範</w:t>
      </w:r>
      <w:r w:rsidRPr="00D52C28">
        <w:rPr>
          <w:rFonts w:ascii="標楷體" w:eastAsia="標楷體" w:hAnsi="標楷體" w:hint="eastAsia"/>
          <w:sz w:val="28"/>
          <w:szCs w:val="28"/>
        </w:rPr>
        <w:t>。(第一點)</w:t>
      </w:r>
    </w:p>
    <w:p w:rsidR="006C2667" w:rsidRPr="00D52C28" w:rsidRDefault="006C2667" w:rsidP="006C2667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D52C28">
        <w:rPr>
          <w:rFonts w:ascii="標楷體" w:eastAsia="標楷體" w:hAnsi="標楷體" w:hint="eastAsia"/>
          <w:sz w:val="28"/>
        </w:rPr>
        <w:t>二、明定證券商</w:t>
      </w:r>
      <w:r>
        <w:rPr>
          <w:rFonts w:ascii="標楷體" w:eastAsia="標楷體" w:hAnsi="標楷體" w:hint="eastAsia"/>
          <w:sz w:val="28"/>
        </w:rPr>
        <w:t>將</w:t>
      </w:r>
      <w:r w:rsidRPr="004C4D79">
        <w:rPr>
          <w:rFonts w:ascii="標楷體" w:eastAsia="標楷體" w:hAnsi="標楷體" w:hint="eastAsia"/>
          <w:sz w:val="28"/>
          <w:szCs w:val="28"/>
        </w:rPr>
        <w:t>承租之營業用場地分租</w:t>
      </w:r>
      <w:r>
        <w:rPr>
          <w:rFonts w:ascii="標楷體" w:eastAsia="標楷體" w:hAnsi="標楷體" w:hint="eastAsia"/>
          <w:sz w:val="28"/>
          <w:szCs w:val="28"/>
        </w:rPr>
        <w:t>應遵循之相關規範</w:t>
      </w:r>
      <w:r w:rsidRPr="00D52C28">
        <w:rPr>
          <w:rFonts w:ascii="標楷體" w:eastAsia="標楷體" w:hAnsi="標楷體" w:hint="eastAsia"/>
          <w:sz w:val="28"/>
        </w:rPr>
        <w:t>。</w:t>
      </w:r>
      <w:r w:rsidRPr="00D52C28">
        <w:rPr>
          <w:rFonts w:ascii="標楷體" w:eastAsia="標楷體" w:hAnsi="標楷體" w:hint="eastAsia"/>
          <w:sz w:val="28"/>
          <w:szCs w:val="28"/>
        </w:rPr>
        <w:t>(第二點)</w:t>
      </w:r>
    </w:p>
    <w:p w:rsidR="006C2667" w:rsidRPr="00D52C28" w:rsidRDefault="006C2667" w:rsidP="006C2667">
      <w:pPr>
        <w:spacing w:line="440" w:lineRule="exact"/>
        <w:ind w:left="560" w:hangingChars="200" w:hanging="560"/>
        <w:rPr>
          <w:rFonts w:ascii="標楷體" w:eastAsia="標楷體" w:hAnsi="標楷體"/>
          <w:sz w:val="28"/>
        </w:rPr>
      </w:pPr>
      <w:r w:rsidRPr="00D52C28">
        <w:rPr>
          <w:rFonts w:ascii="標楷體" w:eastAsia="標楷體" w:hAnsi="標楷體" w:hint="eastAsia"/>
          <w:sz w:val="28"/>
        </w:rPr>
        <w:t>三、</w:t>
      </w:r>
      <w:r w:rsidRPr="00D52C28">
        <w:rPr>
          <w:rFonts w:ascii="標楷體" w:eastAsia="標楷體" w:hAnsi="標楷體" w:hint="eastAsia"/>
          <w:sz w:val="28"/>
          <w:szCs w:val="28"/>
        </w:rPr>
        <w:t>明定本</w:t>
      </w:r>
      <w:r>
        <w:rPr>
          <w:rFonts w:ascii="標楷體" w:eastAsia="標楷體" w:hAnsi="標楷體" w:hint="eastAsia"/>
          <w:sz w:val="28"/>
          <w:szCs w:val="28"/>
        </w:rPr>
        <w:t>注意事項</w:t>
      </w:r>
      <w:r w:rsidRPr="00D52C28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訂定及</w:t>
      </w:r>
      <w:r w:rsidRPr="00D52C28">
        <w:rPr>
          <w:rFonts w:ascii="標楷體" w:eastAsia="標楷體" w:hAnsi="標楷體" w:hint="eastAsia"/>
          <w:sz w:val="28"/>
          <w:szCs w:val="28"/>
        </w:rPr>
        <w:t>修</w:t>
      </w:r>
      <w:r w:rsidR="00343B24">
        <w:rPr>
          <w:rFonts w:ascii="標楷體" w:eastAsia="標楷體" w:hAnsi="標楷體" w:hint="eastAsia"/>
          <w:sz w:val="28"/>
          <w:szCs w:val="28"/>
        </w:rPr>
        <w:t>正</w:t>
      </w:r>
      <w:r w:rsidRPr="00D52C28">
        <w:rPr>
          <w:rFonts w:ascii="標楷體" w:eastAsia="標楷體" w:hAnsi="標楷體" w:hint="eastAsia"/>
          <w:sz w:val="28"/>
          <w:szCs w:val="28"/>
        </w:rPr>
        <w:t>時，須經主管機關核定後實施。(第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D52C28">
        <w:rPr>
          <w:rFonts w:ascii="標楷體" w:eastAsia="標楷體" w:hAnsi="標楷體" w:hint="eastAsia"/>
          <w:sz w:val="28"/>
          <w:szCs w:val="28"/>
        </w:rPr>
        <w:t>點)</w:t>
      </w:r>
    </w:p>
    <w:p w:rsidR="006C2667" w:rsidRDefault="006C2667">
      <w:pPr>
        <w:widowControl/>
        <w:rPr>
          <w:rFonts w:ascii="標楷體" w:eastAsia="標楷體" w:hAnsi="標楷體" w:cs="Times New Roman"/>
          <w:b/>
          <w:sz w:val="28"/>
        </w:rPr>
      </w:pPr>
    </w:p>
    <w:p w:rsidR="006C2667" w:rsidRDefault="006C2667">
      <w:pPr>
        <w:widowControl/>
        <w:rPr>
          <w:rFonts w:ascii="標楷體" w:eastAsia="標楷體" w:hAnsi="標楷體" w:cs="Times New Roman"/>
          <w:b/>
          <w:sz w:val="28"/>
        </w:rPr>
      </w:pPr>
    </w:p>
    <w:p w:rsidR="006C2667" w:rsidRDefault="006C2667">
      <w:pPr>
        <w:widowControl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/>
          <w:b/>
          <w:sz w:val="28"/>
        </w:rPr>
        <w:br w:type="page"/>
      </w:r>
    </w:p>
    <w:p w:rsidR="00A36904" w:rsidRPr="00474678" w:rsidRDefault="00C72647" w:rsidP="00E8699E">
      <w:pPr>
        <w:spacing w:line="48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474678">
        <w:rPr>
          <w:rFonts w:ascii="標楷體" w:eastAsia="標楷體" w:hAnsi="標楷體" w:cs="Times New Roman" w:hint="eastAsia"/>
          <w:b/>
          <w:sz w:val="28"/>
        </w:rPr>
        <w:lastRenderedPageBreak/>
        <w:t>財團法人中華民國證券櫃檯買賣中心</w:t>
      </w:r>
    </w:p>
    <w:p w:rsidR="00437D0B" w:rsidRDefault="00E7536B" w:rsidP="00E8699E">
      <w:pPr>
        <w:spacing w:line="480" w:lineRule="exact"/>
        <w:jc w:val="center"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 w:hint="eastAsia"/>
          <w:b/>
          <w:sz w:val="28"/>
        </w:rPr>
        <w:t>證券商閒置資產出租及承租之營業用場地分租</w:t>
      </w:r>
      <w:r w:rsidR="00A36904" w:rsidRPr="00474678">
        <w:rPr>
          <w:rFonts w:ascii="標楷體" w:eastAsia="標楷體" w:hAnsi="標楷體" w:cs="Times New Roman" w:hint="eastAsia"/>
          <w:b/>
          <w:sz w:val="28"/>
        </w:rPr>
        <w:t>注意事項</w:t>
      </w:r>
      <w:bookmarkStart w:id="0" w:name="_GoBack"/>
      <w:bookmarkEnd w:id="0"/>
    </w:p>
    <w:p w:rsidR="00474678" w:rsidRPr="00BD052C" w:rsidRDefault="00474678" w:rsidP="00474678">
      <w:pPr>
        <w:spacing w:line="400" w:lineRule="exact"/>
        <w:jc w:val="center"/>
        <w:rPr>
          <w:rFonts w:ascii="標楷體" w:eastAsia="標楷體" w:hAnsi="標楷體" w:cs="Times New Roman"/>
          <w:sz w:val="28"/>
        </w:rPr>
      </w:pPr>
    </w:p>
    <w:tbl>
      <w:tblPr>
        <w:tblStyle w:val="a3"/>
        <w:tblW w:w="9043" w:type="dxa"/>
        <w:tblLook w:val="04A0" w:firstRow="1" w:lastRow="0" w:firstColumn="1" w:lastColumn="0" w:noHBand="0" w:noVBand="1"/>
      </w:tblPr>
      <w:tblGrid>
        <w:gridCol w:w="5216"/>
        <w:gridCol w:w="3827"/>
      </w:tblGrid>
      <w:tr w:rsidR="001C0EB2" w:rsidRPr="00D52C28" w:rsidTr="008F56F6">
        <w:tc>
          <w:tcPr>
            <w:tcW w:w="5216" w:type="dxa"/>
          </w:tcPr>
          <w:p w:rsidR="001C0EB2" w:rsidRPr="00D52C28" w:rsidRDefault="001C0EB2" w:rsidP="008F56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條文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C0EB2" w:rsidRPr="00D52C28" w:rsidTr="008F56F6">
        <w:trPr>
          <w:trHeight w:val="4056"/>
        </w:trPr>
        <w:tc>
          <w:tcPr>
            <w:tcW w:w="5216" w:type="dxa"/>
          </w:tcPr>
          <w:p w:rsidR="001C0EB2" w:rsidRPr="004C4D79" w:rsidRDefault="001C0EB2" w:rsidP="008F56F6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閒置資產出租：</w:t>
            </w:r>
          </w:p>
          <w:p w:rsidR="005C32FF" w:rsidRDefault="001C0EB2" w:rsidP="005C32F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證券商得出租之閒置資產以下列資產為限：</w:t>
            </w:r>
          </w:p>
          <w:p w:rsidR="005C32FF" w:rsidRDefault="005C32FF" w:rsidP="005C32FF">
            <w:pPr>
              <w:pStyle w:val="a4"/>
              <w:spacing w:line="44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  <w:r w:rsidR="001C0EB2" w:rsidRPr="005C32FF">
              <w:rPr>
                <w:rFonts w:ascii="標楷體" w:eastAsia="標楷體" w:hAnsi="標楷體" w:hint="eastAsia"/>
                <w:sz w:val="28"/>
                <w:szCs w:val="28"/>
              </w:rPr>
              <w:t>已依臺灣證券交易所「審核證券商購置不動產作業流程」申報核准有案之原有營業用之自有不動產。</w:t>
            </w:r>
          </w:p>
          <w:p w:rsidR="001C0EB2" w:rsidRPr="005C32FF" w:rsidRDefault="005C32FF" w:rsidP="005C32FF">
            <w:pPr>
              <w:pStyle w:val="a4"/>
              <w:spacing w:line="440" w:lineRule="exact"/>
              <w:ind w:leftChars="0"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="001C0EB2" w:rsidRPr="005C32FF">
              <w:rPr>
                <w:rFonts w:ascii="標楷體" w:eastAsia="標楷體" w:hAnsi="標楷體" w:hint="eastAsia"/>
                <w:sz w:val="28"/>
                <w:szCs w:val="28"/>
              </w:rPr>
              <w:t>因合併、受讓而取得消滅證券商原供營業用之不動產。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明定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出租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閒置資產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範圍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0EB2" w:rsidRPr="00D52C28" w:rsidTr="008F56F6">
        <w:trPr>
          <w:trHeight w:val="1491"/>
        </w:trPr>
        <w:tc>
          <w:tcPr>
            <w:tcW w:w="5216" w:type="dxa"/>
          </w:tcPr>
          <w:p w:rsidR="001C0EB2" w:rsidRPr="004C4D79" w:rsidRDefault="001C0EB2" w:rsidP="008F56F6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出租之閒置資產仍應計入證券商管理規則第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條所定持有營業用不動產及設備總額及非營業用不動產總額。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出租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閒置資產應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納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入證券商管理規則第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計算相關財務比率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0EB2" w:rsidRPr="00D52C28" w:rsidTr="008F56F6">
        <w:tc>
          <w:tcPr>
            <w:tcW w:w="5216" w:type="dxa"/>
          </w:tcPr>
          <w:p w:rsidR="005C32FF" w:rsidRDefault="001C0EB2" w:rsidP="005C32FF">
            <w:pPr>
              <w:pStyle w:val="a4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證券商出租閒置資產者，應留存下列文件：</w:t>
            </w:r>
          </w:p>
          <w:p w:rsidR="005C32FF" w:rsidRDefault="001C0EB2" w:rsidP="005C32FF">
            <w:pPr>
              <w:pStyle w:val="a4"/>
              <w:numPr>
                <w:ilvl w:val="2"/>
                <w:numId w:val="2"/>
              </w:numPr>
              <w:spacing w:line="440" w:lineRule="exac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經法院公證之租賃契約書正本 (內含應逕受強制執行條款及不得轉租之條款)。</w:t>
            </w:r>
          </w:p>
          <w:p w:rsidR="005C32FF" w:rsidRDefault="001C0EB2" w:rsidP="005C32FF">
            <w:pPr>
              <w:pStyle w:val="a4"/>
              <w:numPr>
                <w:ilvl w:val="2"/>
                <w:numId w:val="2"/>
              </w:numPr>
              <w:spacing w:line="440" w:lineRule="exac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報經購買或合併、受讓核准函及變更登記後之許可證照影本。</w:t>
            </w:r>
          </w:p>
          <w:p w:rsidR="005C32FF" w:rsidRDefault="001C0EB2" w:rsidP="005C32FF">
            <w:pPr>
              <w:pStyle w:val="a4"/>
              <w:numPr>
                <w:ilvl w:val="2"/>
                <w:numId w:val="2"/>
              </w:numPr>
              <w:spacing w:line="440" w:lineRule="exac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出租理由說明書。</w:t>
            </w:r>
          </w:p>
          <w:p w:rsidR="005C32FF" w:rsidRDefault="001C0EB2" w:rsidP="005C32FF">
            <w:pPr>
              <w:pStyle w:val="a4"/>
              <w:numPr>
                <w:ilvl w:val="2"/>
                <w:numId w:val="2"/>
              </w:numPr>
              <w:spacing w:line="440" w:lineRule="exac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承租人身分證明文件或公司執照影本。</w:t>
            </w:r>
          </w:p>
          <w:p w:rsidR="001C0EB2" w:rsidRPr="005C32FF" w:rsidRDefault="001C0EB2" w:rsidP="005C32FF">
            <w:pPr>
              <w:pStyle w:val="a4"/>
              <w:numPr>
                <w:ilvl w:val="2"/>
                <w:numId w:val="2"/>
              </w:numPr>
              <w:spacing w:line="440" w:lineRule="exac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C32FF">
              <w:rPr>
                <w:rFonts w:ascii="標楷體" w:eastAsia="標楷體" w:hAnsi="標楷體" w:hint="eastAsia"/>
                <w:sz w:val="28"/>
                <w:szCs w:val="28"/>
              </w:rPr>
              <w:t>承租人與出租人是否為關係人之說明書。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證券商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出租閒置資產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應留存之文件。</w:t>
            </w:r>
          </w:p>
        </w:tc>
      </w:tr>
      <w:tr w:rsidR="001C0EB2" w:rsidRPr="00D52C28" w:rsidTr="008F56F6">
        <w:trPr>
          <w:trHeight w:val="2258"/>
        </w:trPr>
        <w:tc>
          <w:tcPr>
            <w:tcW w:w="5216" w:type="dxa"/>
          </w:tcPr>
          <w:p w:rsidR="001C0EB2" w:rsidRDefault="001C0EB2" w:rsidP="008F56F6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承租之營業用場地分租：</w:t>
            </w:r>
          </w:p>
          <w:p w:rsidR="001C0EB2" w:rsidRDefault="001C0EB2" w:rsidP="008F56F6">
            <w:pPr>
              <w:pStyle w:val="a4"/>
              <w:numPr>
                <w:ilvl w:val="0"/>
                <w:numId w:val="6"/>
              </w:numPr>
              <w:spacing w:line="440" w:lineRule="exact"/>
              <w:ind w:leftChars="0"/>
              <w:jc w:val="both"/>
            </w:pP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>證券商將承租之營業用場地分租時，應與次承租人簽訂租賃契約，該租賃契約內容</w:t>
            </w:r>
            <w:r w:rsidR="00343B24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>含應逕受強制執行條款及不得再分租之條款，並應經法院公證。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明定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證券商將承租之營業用場地分租時，應與次承租人簽訂租賃契約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0EB2" w:rsidRPr="00D52C28" w:rsidTr="008F56F6">
        <w:trPr>
          <w:trHeight w:val="1892"/>
        </w:trPr>
        <w:tc>
          <w:tcPr>
            <w:tcW w:w="5216" w:type="dxa"/>
          </w:tcPr>
          <w:p w:rsidR="001C0EB2" w:rsidRPr="00AD747D" w:rsidRDefault="001C0EB2" w:rsidP="008F56F6">
            <w:pPr>
              <w:pStyle w:val="a4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>分租之租賃契約所載之租金應為對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 xml:space="preserve"> (以同一地區之合理價格為之)，次承租人如為關係人並應於財務報告中充分揭露。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明定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證券商將承租之營業用場地分租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應遵循之規範。</w:t>
            </w:r>
          </w:p>
        </w:tc>
      </w:tr>
      <w:tr w:rsidR="001C0EB2" w:rsidRPr="00D52C28" w:rsidTr="008F56F6">
        <w:trPr>
          <w:trHeight w:val="1832"/>
        </w:trPr>
        <w:tc>
          <w:tcPr>
            <w:tcW w:w="5216" w:type="dxa"/>
          </w:tcPr>
          <w:p w:rsidR="001C0EB2" w:rsidRPr="00AD747D" w:rsidRDefault="001C0EB2" w:rsidP="008F56F6">
            <w:pPr>
              <w:pStyle w:val="a4"/>
              <w:numPr>
                <w:ilvl w:val="0"/>
                <w:numId w:val="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>承租之營業用場地分租後實際供證券商營業用之場地設備，應符合</w:t>
            </w:r>
            <w:r w:rsidR="00343B24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  <w:r w:rsidRPr="00AD747D">
              <w:rPr>
                <w:rFonts w:ascii="標楷體" w:eastAsia="標楷體" w:hAnsi="標楷體"/>
                <w:sz w:val="28"/>
                <w:szCs w:val="28"/>
              </w:rPr>
              <w:t>證券商及證券交易輔助人營業處所場地及設備標準</w:t>
            </w: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證券商</w:t>
            </w:r>
            <w:r w:rsidRPr="004C4D79">
              <w:rPr>
                <w:rFonts w:ascii="標楷體" w:eastAsia="標楷體" w:hAnsi="標楷體" w:hint="eastAsia"/>
                <w:sz w:val="28"/>
                <w:szCs w:val="28"/>
              </w:rPr>
              <w:t>營業用場地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分租後仍應符合本中心</w:t>
            </w:r>
            <w:r w:rsidR="00343B24">
              <w:rPr>
                <w:rFonts w:ascii="標楷體" w:eastAsia="標楷體" w:hAnsi="標楷體" w:hint="eastAsia"/>
                <w:sz w:val="28"/>
                <w:szCs w:val="28"/>
              </w:rPr>
              <w:t>證券商及證券交易輔助人營業處所</w:t>
            </w:r>
            <w:r w:rsidRPr="00A43A8E">
              <w:rPr>
                <w:rFonts w:ascii="標楷體" w:eastAsia="標楷體" w:hAnsi="標楷體"/>
                <w:sz w:val="28"/>
                <w:szCs w:val="28"/>
              </w:rPr>
              <w:t>場地及設備標準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0EB2" w:rsidRPr="00D52C28" w:rsidTr="008F56F6">
        <w:trPr>
          <w:trHeight w:val="1049"/>
        </w:trPr>
        <w:tc>
          <w:tcPr>
            <w:tcW w:w="5216" w:type="dxa"/>
          </w:tcPr>
          <w:p w:rsidR="001C0EB2" w:rsidRPr="00AD747D" w:rsidRDefault="001C0EB2" w:rsidP="008F56F6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747D">
              <w:rPr>
                <w:rFonts w:ascii="標楷體" w:eastAsia="標楷體" w:hAnsi="標楷體" w:hint="eastAsia"/>
                <w:sz w:val="28"/>
                <w:szCs w:val="28"/>
              </w:rPr>
              <w:t xml:space="preserve"> 本注意事項報請主管機關核定後公告實施，修正時亦同。</w:t>
            </w:r>
          </w:p>
        </w:tc>
        <w:tc>
          <w:tcPr>
            <w:tcW w:w="3827" w:type="dxa"/>
          </w:tcPr>
          <w:p w:rsidR="001C0EB2" w:rsidRPr="00D52C28" w:rsidRDefault="001C0EB2" w:rsidP="008F56F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明定本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訂定及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="00343B24">
              <w:rPr>
                <w:rFonts w:ascii="標楷體" w:eastAsia="標楷體" w:hAnsi="標楷體" w:hint="eastAsia"/>
                <w:sz w:val="28"/>
                <w:szCs w:val="28"/>
              </w:rPr>
              <w:t>正時，須</w:t>
            </w:r>
            <w:r w:rsidRPr="00D52C28">
              <w:rPr>
                <w:rFonts w:ascii="標楷體" w:eastAsia="標楷體" w:hAnsi="標楷體" w:hint="eastAsia"/>
                <w:sz w:val="28"/>
                <w:szCs w:val="28"/>
              </w:rPr>
              <w:t>經主管機關核定後實施。</w:t>
            </w:r>
          </w:p>
        </w:tc>
      </w:tr>
    </w:tbl>
    <w:p w:rsidR="00A36904" w:rsidRPr="001C0EB2" w:rsidRDefault="00A36904"/>
    <w:sectPr w:rsidR="00A36904" w:rsidRPr="001C0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41" w:rsidRDefault="008B2B41" w:rsidP="001C7E16">
      <w:r>
        <w:separator/>
      </w:r>
    </w:p>
  </w:endnote>
  <w:endnote w:type="continuationSeparator" w:id="0">
    <w:p w:rsidR="008B2B41" w:rsidRDefault="008B2B41" w:rsidP="001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41" w:rsidRDefault="008B2B41" w:rsidP="001C7E16">
      <w:r>
        <w:separator/>
      </w:r>
    </w:p>
  </w:footnote>
  <w:footnote w:type="continuationSeparator" w:id="0">
    <w:p w:rsidR="008B2B41" w:rsidRDefault="008B2B41" w:rsidP="001C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6ADB"/>
    <w:multiLevelType w:val="hybridMultilevel"/>
    <w:tmpl w:val="8B385B34"/>
    <w:lvl w:ilvl="0" w:tplc="3B000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E104A8"/>
    <w:multiLevelType w:val="hybridMultilevel"/>
    <w:tmpl w:val="9E14D398"/>
    <w:lvl w:ilvl="0" w:tplc="319CBF3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AB5133"/>
    <w:multiLevelType w:val="hybridMultilevel"/>
    <w:tmpl w:val="D5BC0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8F6C37"/>
    <w:multiLevelType w:val="hybridMultilevel"/>
    <w:tmpl w:val="02921E22"/>
    <w:lvl w:ilvl="0" w:tplc="FBC8B818">
      <w:start w:val="1"/>
      <w:numFmt w:val="taiwaneseCountingThousand"/>
      <w:lvlText w:val="(%1)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7F2AFA88">
      <w:start w:val="1"/>
      <w:numFmt w:val="decimal"/>
      <w:lvlText w:val="%2."/>
      <w:lvlJc w:val="left"/>
      <w:pPr>
        <w:ind w:left="1200" w:hanging="72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175A08"/>
    <w:multiLevelType w:val="hybridMultilevel"/>
    <w:tmpl w:val="915E3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462D0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9E84A22A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BB77EC"/>
    <w:multiLevelType w:val="hybridMultilevel"/>
    <w:tmpl w:val="212052EC"/>
    <w:lvl w:ilvl="0" w:tplc="165C2484">
      <w:start w:val="1"/>
      <w:numFmt w:val="taiwaneseCountingThousand"/>
      <w:lvlText w:val="(%1)"/>
      <w:lvlJc w:val="left"/>
      <w:pPr>
        <w:ind w:left="420" w:hanging="420"/>
      </w:pPr>
      <w:rPr>
        <w:rFonts w:ascii="標楷體" w:eastAsia="標楷體" w:hAnsi="標楷體" w:cstheme="minorBidi"/>
      </w:rPr>
    </w:lvl>
    <w:lvl w:ilvl="1" w:tplc="36B67474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04"/>
    <w:rsid w:val="00080FBC"/>
    <w:rsid w:val="001C0EB2"/>
    <w:rsid w:val="001C7E16"/>
    <w:rsid w:val="001E64BA"/>
    <w:rsid w:val="00343B24"/>
    <w:rsid w:val="0036466C"/>
    <w:rsid w:val="00410C46"/>
    <w:rsid w:val="00474678"/>
    <w:rsid w:val="00485E2B"/>
    <w:rsid w:val="004C4D79"/>
    <w:rsid w:val="005515BD"/>
    <w:rsid w:val="005C32FF"/>
    <w:rsid w:val="006C2667"/>
    <w:rsid w:val="00844FF4"/>
    <w:rsid w:val="008B2B41"/>
    <w:rsid w:val="0095603C"/>
    <w:rsid w:val="00A1233D"/>
    <w:rsid w:val="00A36904"/>
    <w:rsid w:val="00A43A8E"/>
    <w:rsid w:val="00A64B3F"/>
    <w:rsid w:val="00BD052C"/>
    <w:rsid w:val="00C656B2"/>
    <w:rsid w:val="00C72647"/>
    <w:rsid w:val="00D05384"/>
    <w:rsid w:val="00DB5DA6"/>
    <w:rsid w:val="00DF2432"/>
    <w:rsid w:val="00E52B02"/>
    <w:rsid w:val="00E7536B"/>
    <w:rsid w:val="00E8699E"/>
    <w:rsid w:val="00EB5198"/>
    <w:rsid w:val="00F40AC0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E7337-87CB-4F02-AC4E-6E2FB88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90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7E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7E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7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7E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張景勛</dc:creator>
  <cp:keywords/>
  <dc:description/>
  <cp:lastModifiedBy>林雅儒</cp:lastModifiedBy>
  <cp:revision>12</cp:revision>
  <cp:lastPrinted>2017-06-26T00:33:00Z</cp:lastPrinted>
  <dcterms:created xsi:type="dcterms:W3CDTF">2017-06-19T06:55:00Z</dcterms:created>
  <dcterms:modified xsi:type="dcterms:W3CDTF">2017-07-18T03:53:00Z</dcterms:modified>
</cp:coreProperties>
</file>