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80EF3" w14:textId="0044FBF0" w:rsidR="001021E1" w:rsidRDefault="001021E1" w:rsidP="0084436D">
      <w:pPr>
        <w:pStyle w:val="3"/>
        <w:adjustRightInd w:val="0"/>
        <w:snapToGrid w:val="0"/>
        <w:spacing w:line="300" w:lineRule="auto"/>
        <w:ind w:leftChars="-354" w:left="-850" w:rightChars="-373" w:right="-895"/>
        <w:jc w:val="left"/>
        <w:rPr>
          <w:b/>
          <w:bCs/>
          <w:sz w:val="36"/>
        </w:rPr>
      </w:pPr>
      <w:bookmarkStart w:id="0" w:name="_GoBack"/>
      <w:r w:rsidRPr="00390667">
        <w:rPr>
          <w:b/>
          <w:bCs/>
          <w:sz w:val="36"/>
        </w:rPr>
        <w:t>財團法人中華民國證券櫃</w:t>
      </w:r>
      <w:r w:rsidR="003278F1" w:rsidRPr="00390667">
        <w:rPr>
          <w:b/>
          <w:bCs/>
          <w:sz w:val="36"/>
        </w:rPr>
        <w:t>檯買賣中心</w:t>
      </w:r>
      <w:r w:rsidR="007A5B78" w:rsidRPr="007A5B78">
        <w:rPr>
          <w:rFonts w:hint="eastAsia"/>
          <w:b/>
          <w:bCs/>
          <w:sz w:val="36"/>
        </w:rPr>
        <w:t>證券商辦理衍生性金融商品交易業務應注意事項</w:t>
      </w:r>
      <w:r w:rsidR="007F04B5">
        <w:rPr>
          <w:rFonts w:hint="eastAsia"/>
          <w:b/>
          <w:bCs/>
          <w:sz w:val="36"/>
        </w:rPr>
        <w:t>部分條文</w:t>
      </w:r>
      <w:r w:rsidR="002B12F1" w:rsidRPr="00390667">
        <w:rPr>
          <w:b/>
          <w:bCs/>
          <w:sz w:val="36"/>
        </w:rPr>
        <w:t>修正</w:t>
      </w:r>
      <w:r w:rsidRPr="00390667">
        <w:rPr>
          <w:b/>
          <w:bCs/>
          <w:sz w:val="36"/>
        </w:rPr>
        <w:t>條文對照表</w:t>
      </w:r>
    </w:p>
    <w:p w14:paraId="01D5BE41" w14:textId="4D12DD59" w:rsidR="00D3382B" w:rsidRPr="00D3382B" w:rsidRDefault="00D3382B" w:rsidP="00BC77B0">
      <w:pPr>
        <w:pStyle w:val="3"/>
        <w:adjustRightInd w:val="0"/>
        <w:snapToGrid w:val="0"/>
        <w:spacing w:line="300" w:lineRule="auto"/>
        <w:ind w:leftChars="-354" w:left="-850" w:rightChars="-373" w:right="-895"/>
        <w:jc w:val="right"/>
        <w:rPr>
          <w:b/>
          <w:bCs/>
          <w:sz w:val="36"/>
        </w:rPr>
      </w:pPr>
      <w:r w:rsidRPr="00045673">
        <w:rPr>
          <w:bCs/>
          <w:sz w:val="22"/>
          <w:szCs w:val="22"/>
        </w:rPr>
        <w:t>金融監督管理委員會</w:t>
      </w:r>
      <w:r w:rsidRPr="00045673">
        <w:rPr>
          <w:rFonts w:hint="eastAsia"/>
          <w:bCs/>
          <w:sz w:val="22"/>
          <w:szCs w:val="22"/>
        </w:rPr>
        <w:t>107</w:t>
      </w:r>
      <w:r w:rsidRPr="00045673">
        <w:rPr>
          <w:rFonts w:hint="eastAsia"/>
          <w:bCs/>
          <w:sz w:val="22"/>
          <w:szCs w:val="22"/>
        </w:rPr>
        <w:t>年</w:t>
      </w:r>
      <w:r w:rsidRPr="00045673">
        <w:rPr>
          <w:rFonts w:hint="eastAsia"/>
          <w:bCs/>
          <w:sz w:val="22"/>
          <w:szCs w:val="22"/>
        </w:rPr>
        <w:t>4</w:t>
      </w:r>
      <w:r w:rsidRPr="00045673">
        <w:rPr>
          <w:rFonts w:hint="eastAsia"/>
          <w:bCs/>
          <w:sz w:val="22"/>
          <w:szCs w:val="22"/>
        </w:rPr>
        <w:t>月</w:t>
      </w:r>
      <w:r w:rsidRPr="00045673">
        <w:rPr>
          <w:rFonts w:hint="eastAsia"/>
          <w:bCs/>
          <w:sz w:val="22"/>
          <w:szCs w:val="22"/>
        </w:rPr>
        <w:t>12</w:t>
      </w:r>
      <w:r w:rsidRPr="00045673">
        <w:rPr>
          <w:rFonts w:hint="eastAsia"/>
          <w:bCs/>
          <w:sz w:val="22"/>
          <w:szCs w:val="22"/>
        </w:rPr>
        <w:t>日金管證券字第</w:t>
      </w:r>
      <w:r w:rsidRPr="00045673">
        <w:rPr>
          <w:rFonts w:hint="eastAsia"/>
          <w:bCs/>
          <w:sz w:val="22"/>
          <w:szCs w:val="22"/>
        </w:rPr>
        <w:t>1070104149</w:t>
      </w:r>
      <w:r w:rsidRPr="00045673">
        <w:rPr>
          <w:rFonts w:hint="eastAsia"/>
          <w:bCs/>
          <w:sz w:val="22"/>
          <w:szCs w:val="22"/>
        </w:rPr>
        <w:t>號函准予備查</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5"/>
        <w:gridCol w:w="3355"/>
        <w:gridCol w:w="3355"/>
      </w:tblGrid>
      <w:tr w:rsidR="001E2693" w:rsidRPr="00390667" w14:paraId="62531697" w14:textId="77777777" w:rsidTr="00915618">
        <w:trPr>
          <w:trHeight w:val="535"/>
          <w:tblHeader/>
        </w:trPr>
        <w:tc>
          <w:tcPr>
            <w:tcW w:w="3355" w:type="dxa"/>
          </w:tcPr>
          <w:p w14:paraId="04C239C0" w14:textId="77777777" w:rsidR="001E2693" w:rsidRPr="00390667" w:rsidRDefault="001E2693" w:rsidP="00023D65">
            <w:pPr>
              <w:adjustRightInd w:val="0"/>
              <w:snapToGrid w:val="0"/>
              <w:spacing w:line="300" w:lineRule="auto"/>
              <w:jc w:val="center"/>
              <w:rPr>
                <w:rFonts w:ascii="Times New Roman" w:eastAsia="標楷體" w:hAnsi="Times New Roman" w:cs="Times New Roman"/>
                <w:b/>
                <w:bCs/>
                <w:snapToGrid w:val="0"/>
                <w:sz w:val="28"/>
                <w:szCs w:val="28"/>
              </w:rPr>
            </w:pPr>
            <w:r w:rsidRPr="00390667">
              <w:rPr>
                <w:rFonts w:ascii="Times New Roman" w:eastAsia="標楷體" w:hAnsi="Times New Roman" w:cs="Times New Roman"/>
                <w:b/>
                <w:bCs/>
                <w:snapToGrid w:val="0"/>
                <w:sz w:val="28"/>
                <w:szCs w:val="28"/>
              </w:rPr>
              <w:t>修正條文</w:t>
            </w:r>
          </w:p>
        </w:tc>
        <w:tc>
          <w:tcPr>
            <w:tcW w:w="3355" w:type="dxa"/>
          </w:tcPr>
          <w:p w14:paraId="2A2E3A71" w14:textId="77777777" w:rsidR="001E2693" w:rsidRPr="00390667" w:rsidRDefault="00F61ABC" w:rsidP="00023D65">
            <w:pPr>
              <w:adjustRightInd w:val="0"/>
              <w:snapToGrid w:val="0"/>
              <w:spacing w:line="300" w:lineRule="auto"/>
              <w:jc w:val="center"/>
              <w:rPr>
                <w:rFonts w:ascii="Times New Roman" w:eastAsia="標楷體" w:hAnsi="Times New Roman" w:cs="Times New Roman"/>
                <w:b/>
                <w:bCs/>
                <w:snapToGrid w:val="0"/>
                <w:sz w:val="28"/>
                <w:szCs w:val="28"/>
              </w:rPr>
            </w:pPr>
            <w:r>
              <w:rPr>
                <w:rFonts w:ascii="Times New Roman" w:eastAsia="標楷體" w:hAnsi="Times New Roman" w:cs="Times New Roman"/>
                <w:b/>
                <w:bCs/>
                <w:snapToGrid w:val="0"/>
                <w:sz w:val="28"/>
                <w:szCs w:val="28"/>
              </w:rPr>
              <w:t>現行</w:t>
            </w:r>
            <w:r w:rsidR="001E2693" w:rsidRPr="00390667">
              <w:rPr>
                <w:rFonts w:ascii="Times New Roman" w:eastAsia="標楷體" w:hAnsi="Times New Roman" w:cs="Times New Roman"/>
                <w:b/>
                <w:bCs/>
                <w:snapToGrid w:val="0"/>
                <w:sz w:val="28"/>
                <w:szCs w:val="28"/>
              </w:rPr>
              <w:t>條文</w:t>
            </w:r>
          </w:p>
        </w:tc>
        <w:tc>
          <w:tcPr>
            <w:tcW w:w="3355" w:type="dxa"/>
          </w:tcPr>
          <w:p w14:paraId="4A84C3A9" w14:textId="77777777" w:rsidR="001E2693" w:rsidRPr="00390667" w:rsidRDefault="001E2693" w:rsidP="00023D65">
            <w:pPr>
              <w:adjustRightInd w:val="0"/>
              <w:snapToGrid w:val="0"/>
              <w:spacing w:line="300" w:lineRule="auto"/>
              <w:jc w:val="center"/>
              <w:rPr>
                <w:rFonts w:ascii="Times New Roman" w:eastAsia="標楷體" w:hAnsi="Times New Roman" w:cs="Times New Roman"/>
                <w:b/>
                <w:bCs/>
                <w:snapToGrid w:val="0"/>
                <w:sz w:val="28"/>
                <w:szCs w:val="28"/>
              </w:rPr>
            </w:pPr>
            <w:r w:rsidRPr="00390667">
              <w:rPr>
                <w:rFonts w:ascii="Times New Roman" w:eastAsia="標楷體" w:hAnsi="Times New Roman" w:cs="Times New Roman"/>
                <w:b/>
                <w:bCs/>
                <w:snapToGrid w:val="0"/>
                <w:sz w:val="28"/>
                <w:szCs w:val="28"/>
              </w:rPr>
              <w:t>說明</w:t>
            </w:r>
          </w:p>
        </w:tc>
      </w:tr>
      <w:tr w:rsidR="00574E09" w:rsidRPr="00390667" w14:paraId="62E0A2C5" w14:textId="77777777" w:rsidTr="00915618">
        <w:trPr>
          <w:trHeight w:val="535"/>
        </w:trPr>
        <w:tc>
          <w:tcPr>
            <w:tcW w:w="3355" w:type="dxa"/>
            <w:tcBorders>
              <w:top w:val="single" w:sz="4" w:space="0" w:color="auto"/>
              <w:left w:val="single" w:sz="4" w:space="0" w:color="auto"/>
              <w:bottom w:val="single" w:sz="4" w:space="0" w:color="auto"/>
              <w:right w:val="single" w:sz="4" w:space="0" w:color="auto"/>
            </w:tcBorders>
          </w:tcPr>
          <w:p w14:paraId="289683C9" w14:textId="77777777" w:rsidR="00574E09" w:rsidRPr="00897A7E" w:rsidRDefault="00574E09" w:rsidP="00574E09">
            <w:pPr>
              <w:snapToGrid w:val="0"/>
              <w:spacing w:line="300" w:lineRule="auto"/>
              <w:jc w:val="both"/>
              <w:rPr>
                <w:rFonts w:ascii="標楷體" w:eastAsia="標楷體" w:hAnsi="標楷體"/>
              </w:rPr>
            </w:pPr>
            <w:r w:rsidRPr="00897A7E">
              <w:rPr>
                <w:rFonts w:ascii="標楷體" w:eastAsia="標楷體" w:hAnsi="標楷體"/>
              </w:rPr>
              <w:t>第二十五條</w:t>
            </w:r>
          </w:p>
          <w:p w14:paraId="1297F274" w14:textId="34BE0C3C" w:rsidR="00C440B3" w:rsidRDefault="00574E09" w:rsidP="00C402F3">
            <w:pPr>
              <w:snapToGrid w:val="0"/>
              <w:spacing w:line="300" w:lineRule="auto"/>
              <w:ind w:firstLineChars="200" w:firstLine="480"/>
              <w:jc w:val="both"/>
              <w:rPr>
                <w:rFonts w:ascii="標楷體" w:eastAsia="標楷體" w:hAnsi="標楷體"/>
                <w:b/>
                <w:u w:val="single"/>
              </w:rPr>
            </w:pPr>
            <w:r w:rsidRPr="0077745C">
              <w:rPr>
                <w:rFonts w:ascii="標楷體" w:eastAsia="標楷體" w:hAnsi="標楷體" w:hint="eastAsia"/>
              </w:rPr>
              <w:t>證券商向專業機構投資人及高淨值投資法人以外之客戶提供結構型商</w:t>
            </w:r>
            <w:r>
              <w:rPr>
                <w:rFonts w:ascii="標楷體" w:eastAsia="標楷體" w:hAnsi="標楷體" w:hint="eastAsia"/>
              </w:rPr>
              <w:t>品</w:t>
            </w:r>
            <w:r w:rsidRPr="00B06894">
              <w:rPr>
                <w:rFonts w:ascii="標楷體" w:eastAsia="標楷體" w:hAnsi="標楷體" w:hint="eastAsia"/>
                <w:b/>
                <w:u w:val="single"/>
              </w:rPr>
              <w:t>或買入選擇權</w:t>
            </w:r>
            <w:r w:rsidR="002D5437">
              <w:rPr>
                <w:rFonts w:ascii="標楷體" w:eastAsia="標楷體" w:hAnsi="標楷體" w:hint="eastAsia"/>
                <w:b/>
                <w:u w:val="single"/>
              </w:rPr>
              <w:t>以外</w:t>
            </w:r>
            <w:r w:rsidRPr="0077745C">
              <w:rPr>
                <w:rFonts w:ascii="標楷體" w:eastAsia="標楷體" w:hAnsi="標楷體" w:hint="eastAsia"/>
              </w:rPr>
              <w:t>之衍生性金融商品交易服務，</w:t>
            </w:r>
            <w:r>
              <w:rPr>
                <w:rFonts w:ascii="標楷體" w:eastAsia="標楷體" w:hAnsi="標楷體" w:hint="eastAsia"/>
                <w:b/>
                <w:u w:val="single"/>
              </w:rPr>
              <w:t>應依下列規定</w:t>
            </w:r>
            <w:r w:rsidRPr="0077745C">
              <w:rPr>
                <w:rFonts w:ascii="標楷體" w:eastAsia="標楷體" w:hAnsi="標楷體" w:hint="eastAsia"/>
              </w:rPr>
              <w:t>辦理：</w:t>
            </w:r>
          </w:p>
          <w:p w14:paraId="6A3D0515" w14:textId="4A05CACD" w:rsidR="002D5437" w:rsidRPr="00F94D05" w:rsidRDefault="00992144" w:rsidP="00F94D05">
            <w:pPr>
              <w:snapToGrid w:val="0"/>
              <w:spacing w:line="300" w:lineRule="auto"/>
              <w:ind w:left="480" w:hangingChars="200" w:hanging="480"/>
              <w:jc w:val="both"/>
              <w:rPr>
                <w:rFonts w:ascii="標楷體" w:eastAsia="標楷體" w:hAnsi="標楷體"/>
              </w:rPr>
            </w:pPr>
            <w:r>
              <w:rPr>
                <w:rFonts w:ascii="標楷體" w:eastAsia="標楷體" w:hAnsi="標楷體" w:hint="eastAsia"/>
              </w:rPr>
              <w:t>一、</w:t>
            </w:r>
            <w:r w:rsidR="00574E09" w:rsidRPr="00F94D05">
              <w:rPr>
                <w:rFonts w:ascii="標楷體" w:eastAsia="標楷體" w:hAnsi="標楷體" w:hint="eastAsia"/>
              </w:rPr>
              <w:t>建立商品風險分級制度，且分級方式應考量多重風險因子，例如波動幅度、連結標的資產類別及產品天期等。複雜性高風險商品，應核予該商品最高風險評級。</w:t>
            </w:r>
          </w:p>
          <w:p w14:paraId="0419B674" w14:textId="0C4359CE" w:rsidR="002D5437" w:rsidRPr="002D5437" w:rsidRDefault="00992144" w:rsidP="00F94D05">
            <w:pPr>
              <w:snapToGrid w:val="0"/>
              <w:spacing w:line="300" w:lineRule="auto"/>
              <w:ind w:left="480" w:hangingChars="200" w:hanging="480"/>
              <w:jc w:val="both"/>
              <w:rPr>
                <w:rFonts w:ascii="標楷體" w:eastAsia="標楷體" w:hAnsi="標楷體"/>
              </w:rPr>
            </w:pPr>
            <w:r w:rsidRPr="00F94D05">
              <w:rPr>
                <w:rFonts w:ascii="標楷體" w:eastAsia="標楷體" w:hAnsi="標楷體" w:hint="eastAsia"/>
                <w:b/>
                <w:u w:val="single"/>
              </w:rPr>
              <w:t>二</w:t>
            </w:r>
            <w:r>
              <w:rPr>
                <w:rFonts w:ascii="標楷體" w:eastAsia="標楷體" w:hAnsi="標楷體" w:hint="eastAsia"/>
              </w:rPr>
              <w:t>、</w:t>
            </w:r>
            <w:r w:rsidR="002D5437" w:rsidRPr="002D5437">
              <w:rPr>
                <w:rFonts w:ascii="標楷體" w:eastAsia="標楷體" w:hAnsi="標楷體" w:hint="eastAsia"/>
              </w:rPr>
              <w:t>核給客戶衍生性金融商品額度</w:t>
            </w:r>
            <w:r w:rsidR="002D5437" w:rsidRPr="002D5437">
              <w:rPr>
                <w:rFonts w:ascii="Times New Roman" w:eastAsia="標楷體" w:hAnsi="Times New Roman" w:cs="Times New Roman" w:hint="eastAsia"/>
                <w:snapToGrid w:val="0"/>
                <w:kern w:val="0"/>
              </w:rPr>
              <w:t>或進行額度展延時，應請客戶提供與其他金融機構承作衍生性金融商品之額度。</w:t>
            </w:r>
          </w:p>
          <w:p w14:paraId="697929F3" w14:textId="7C6261E9" w:rsidR="00C440B3" w:rsidRPr="00220BC5" w:rsidRDefault="00992144" w:rsidP="00F94D05">
            <w:pPr>
              <w:snapToGrid w:val="0"/>
              <w:spacing w:line="300" w:lineRule="auto"/>
              <w:ind w:left="480" w:hangingChars="200" w:hanging="480"/>
              <w:jc w:val="both"/>
              <w:rPr>
                <w:rFonts w:ascii="標楷體" w:eastAsia="標楷體" w:hAnsi="標楷體"/>
                <w:b/>
                <w:u w:val="single"/>
              </w:rPr>
            </w:pPr>
            <w:r>
              <w:rPr>
                <w:rFonts w:ascii="標楷體" w:eastAsia="標楷體" w:hAnsi="標楷體" w:hint="eastAsia"/>
                <w:b/>
                <w:u w:val="single"/>
              </w:rPr>
              <w:t>三、</w:t>
            </w:r>
            <w:r w:rsidR="00574E09" w:rsidRPr="002D5437">
              <w:rPr>
                <w:rFonts w:ascii="標楷體" w:eastAsia="標楷體" w:hAnsi="標楷體" w:hint="eastAsia"/>
                <w:b/>
                <w:u w:val="single"/>
              </w:rPr>
              <w:t>應</w:t>
            </w:r>
            <w:r w:rsidR="002D5437" w:rsidRPr="002D5437">
              <w:rPr>
                <w:rFonts w:ascii="標楷體" w:eastAsia="標楷體" w:hAnsi="標楷體" w:hint="eastAsia"/>
                <w:b/>
                <w:u w:val="single"/>
              </w:rPr>
              <w:t>參酌前款資訊，</w:t>
            </w:r>
            <w:r w:rsidR="00574E09" w:rsidRPr="002D5437">
              <w:rPr>
                <w:rFonts w:ascii="標楷體" w:eastAsia="標楷體" w:hAnsi="標楷體" w:hint="eastAsia"/>
                <w:b/>
                <w:u w:val="single"/>
              </w:rPr>
              <w:t>審慎衡酌客戶風險承擔能力、承擔意願及與其他金融機構交易額度後，覈實核給客戶交易額度，以避免客戶整體暴險情形超過其風險承擔能力</w:t>
            </w:r>
            <w:r w:rsidR="00220BC5">
              <w:rPr>
                <w:rFonts w:ascii="標楷體" w:eastAsia="標楷體" w:hAnsi="標楷體" w:hint="eastAsia"/>
                <w:b/>
                <w:u w:val="single"/>
              </w:rPr>
              <w:t>，並</w:t>
            </w:r>
            <w:r w:rsidR="00220BC5" w:rsidRPr="00220BC5">
              <w:rPr>
                <w:rFonts w:ascii="標楷體" w:eastAsia="標楷體" w:hAnsi="標楷體" w:hint="eastAsia"/>
                <w:b/>
                <w:u w:val="single"/>
              </w:rPr>
              <w:t>設有</w:t>
            </w:r>
            <w:r w:rsidR="00C440B3" w:rsidRPr="00220BC5">
              <w:rPr>
                <w:rFonts w:ascii="標楷體" w:eastAsia="標楷體" w:hAnsi="標楷體" w:hint="eastAsia"/>
                <w:b/>
                <w:u w:val="single"/>
              </w:rPr>
              <w:t>徵提</w:t>
            </w:r>
            <w:r w:rsidR="009B1565">
              <w:rPr>
                <w:rFonts w:ascii="標楷體" w:eastAsia="標楷體" w:hAnsi="標楷體" w:hint="eastAsia"/>
                <w:b/>
                <w:u w:val="single"/>
              </w:rPr>
              <w:t>或追繳</w:t>
            </w:r>
            <w:r w:rsidR="00C440B3" w:rsidRPr="00220BC5">
              <w:rPr>
                <w:rFonts w:ascii="標楷體" w:eastAsia="標楷體" w:hAnsi="標楷體" w:hint="eastAsia"/>
                <w:b/>
                <w:u w:val="single"/>
              </w:rPr>
              <w:t>保證金機制。</w:t>
            </w:r>
          </w:p>
          <w:p w14:paraId="612D87FF" w14:textId="35688D39" w:rsidR="004E522F" w:rsidRPr="00334005" w:rsidRDefault="00992144" w:rsidP="00F94D05">
            <w:pPr>
              <w:snapToGrid w:val="0"/>
              <w:spacing w:line="300" w:lineRule="auto"/>
              <w:ind w:left="480" w:hangingChars="200" w:hanging="480"/>
              <w:jc w:val="both"/>
              <w:rPr>
                <w:rFonts w:ascii="標楷體" w:eastAsia="標楷體" w:hAnsi="標楷體"/>
              </w:rPr>
            </w:pPr>
            <w:r w:rsidRPr="00992144">
              <w:rPr>
                <w:rFonts w:ascii="標楷體" w:eastAsia="標楷體" w:hAnsi="標楷體" w:hint="eastAsia"/>
                <w:b/>
                <w:u w:val="single"/>
              </w:rPr>
              <w:t>四</w:t>
            </w:r>
            <w:r w:rsidRPr="00F94D05">
              <w:rPr>
                <w:rFonts w:ascii="標楷體" w:eastAsia="標楷體" w:hAnsi="標楷體" w:hint="eastAsia"/>
              </w:rPr>
              <w:t>、</w:t>
            </w:r>
            <w:r w:rsidR="004E522F" w:rsidRPr="00334005">
              <w:rPr>
                <w:rFonts w:ascii="標楷體" w:eastAsia="標楷體" w:hAnsi="標楷體"/>
              </w:rPr>
              <w:t>合理控管客戶整體信用風險，避免客戶整體暴險情形超過其風險承受能力，並應每日按市價評估，確實執行</w:t>
            </w:r>
            <w:r w:rsidR="004E522F" w:rsidRPr="00334005">
              <w:rPr>
                <w:rFonts w:ascii="標楷體" w:eastAsia="標楷體" w:hAnsi="標楷體"/>
              </w:rPr>
              <w:lastRenderedPageBreak/>
              <w:t>徵提</w:t>
            </w:r>
            <w:r w:rsidR="009B1565" w:rsidRPr="009B1565">
              <w:rPr>
                <w:rFonts w:ascii="標楷體" w:eastAsia="標楷體" w:hAnsi="標楷體"/>
                <w:b/>
                <w:u w:val="single"/>
              </w:rPr>
              <w:t>或追繳</w:t>
            </w:r>
            <w:r w:rsidR="004E522F" w:rsidRPr="00334005">
              <w:rPr>
                <w:rFonts w:ascii="標楷體" w:eastAsia="標楷體" w:hAnsi="標楷體"/>
              </w:rPr>
              <w:t>保證金機制。</w:t>
            </w:r>
          </w:p>
          <w:p w14:paraId="2AC73B9F" w14:textId="76F5DB78" w:rsidR="00574E09" w:rsidRPr="00F94D05" w:rsidRDefault="00992144" w:rsidP="00F94D05">
            <w:pPr>
              <w:snapToGrid w:val="0"/>
              <w:spacing w:line="300" w:lineRule="auto"/>
              <w:ind w:left="480" w:hangingChars="200" w:hanging="480"/>
              <w:jc w:val="both"/>
              <w:rPr>
                <w:rFonts w:ascii="標楷體" w:eastAsia="標楷體" w:hAnsi="標楷體"/>
                <w:b/>
                <w:u w:val="single"/>
              </w:rPr>
            </w:pPr>
            <w:r>
              <w:rPr>
                <w:rFonts w:ascii="標楷體" w:eastAsia="標楷體" w:hAnsi="標楷體" w:hint="eastAsia"/>
                <w:b/>
                <w:u w:val="single"/>
              </w:rPr>
              <w:t>五、</w:t>
            </w:r>
            <w:r w:rsidR="00574E09" w:rsidRPr="00992144">
              <w:rPr>
                <w:rFonts w:ascii="標楷體" w:eastAsia="標楷體" w:hAnsi="標楷體"/>
                <w:b/>
                <w:u w:val="single"/>
              </w:rPr>
              <w:t>每月</w:t>
            </w:r>
            <w:r w:rsidR="002D5437" w:rsidRPr="00992144">
              <w:rPr>
                <w:rFonts w:ascii="標楷體" w:eastAsia="標楷體" w:hAnsi="標楷體"/>
                <w:b/>
                <w:u w:val="single"/>
              </w:rPr>
              <w:t>定期</w:t>
            </w:r>
            <w:r w:rsidR="00574E09" w:rsidRPr="00992144">
              <w:rPr>
                <w:rFonts w:ascii="標楷體" w:eastAsia="標楷體" w:hAnsi="標楷體"/>
                <w:b/>
                <w:u w:val="single"/>
              </w:rPr>
              <w:t>提供客戶交易部位之市價評估資訊</w:t>
            </w:r>
            <w:r w:rsidR="00574E09" w:rsidRPr="00F94D05">
              <w:rPr>
                <w:rFonts w:ascii="標楷體" w:eastAsia="標楷體" w:hAnsi="標楷體" w:hint="eastAsia"/>
                <w:b/>
              </w:rPr>
              <w:t>。</w:t>
            </w:r>
          </w:p>
          <w:p w14:paraId="1977A4C3" w14:textId="06FE9289" w:rsidR="009B1565" w:rsidRPr="00F94D05" w:rsidRDefault="00D76C19" w:rsidP="009B1565">
            <w:pPr>
              <w:pStyle w:val="a3"/>
              <w:snapToGrid w:val="0"/>
              <w:spacing w:line="300" w:lineRule="auto"/>
              <w:ind w:leftChars="0" w:left="0" w:firstLineChars="224" w:firstLine="538"/>
              <w:jc w:val="both"/>
              <w:rPr>
                <w:rFonts w:ascii="標楷體" w:eastAsia="標楷體" w:hAnsi="標楷體"/>
                <w:b/>
                <w:u w:val="single"/>
              </w:rPr>
            </w:pPr>
            <w:r w:rsidRPr="00F94D05">
              <w:rPr>
                <w:rFonts w:ascii="標楷體" w:eastAsia="標楷體" w:hAnsi="標楷體" w:hint="eastAsia"/>
                <w:b/>
                <w:u w:val="single"/>
              </w:rPr>
              <w:t>前</w:t>
            </w:r>
            <w:r w:rsidR="009B1565" w:rsidRPr="00F94D05">
              <w:rPr>
                <w:rFonts w:ascii="標楷體" w:eastAsia="標楷體" w:hAnsi="標楷體"/>
                <w:b/>
                <w:u w:val="single"/>
              </w:rPr>
              <w:t>項第三款所稱徵提或追繳保證金機制，應符合下列規定：</w:t>
            </w:r>
          </w:p>
          <w:p w14:paraId="1DF87BF9" w14:textId="77777777" w:rsidR="009B1565" w:rsidRPr="00F94D05" w:rsidRDefault="009B1565" w:rsidP="009B1565">
            <w:pPr>
              <w:pStyle w:val="a3"/>
              <w:numPr>
                <w:ilvl w:val="0"/>
                <w:numId w:val="20"/>
              </w:numPr>
              <w:snapToGrid w:val="0"/>
              <w:spacing w:line="300" w:lineRule="auto"/>
              <w:ind w:leftChars="0" w:left="539" w:hanging="539"/>
              <w:jc w:val="both"/>
              <w:rPr>
                <w:rFonts w:ascii="標楷體" w:eastAsia="標楷體" w:hAnsi="標楷體"/>
                <w:b/>
                <w:u w:val="single"/>
              </w:rPr>
            </w:pPr>
            <w:r w:rsidRPr="00F94D05">
              <w:rPr>
                <w:rFonts w:ascii="標楷體" w:eastAsia="標楷體" w:hAnsi="標楷體" w:hint="eastAsia"/>
                <w:b/>
                <w:u w:val="single"/>
              </w:rPr>
              <w:t>向客戶收取保證金，以現金、銀行存款及流動性高之有價證券為限。</w:t>
            </w:r>
          </w:p>
          <w:p w14:paraId="60B8BC99" w14:textId="77777777" w:rsidR="009B1565" w:rsidRPr="00F94D05" w:rsidRDefault="009B1565" w:rsidP="009B1565">
            <w:pPr>
              <w:pStyle w:val="a3"/>
              <w:numPr>
                <w:ilvl w:val="0"/>
                <w:numId w:val="20"/>
              </w:numPr>
              <w:snapToGrid w:val="0"/>
              <w:spacing w:line="300" w:lineRule="auto"/>
              <w:ind w:leftChars="0" w:left="539" w:hanging="539"/>
              <w:jc w:val="both"/>
              <w:rPr>
                <w:rFonts w:ascii="標楷體" w:eastAsia="標楷體" w:hAnsi="標楷體"/>
                <w:b/>
                <w:u w:val="single"/>
              </w:rPr>
            </w:pPr>
            <w:r w:rsidRPr="00F94D05">
              <w:rPr>
                <w:rFonts w:ascii="標楷體" w:eastAsia="標楷體" w:hAnsi="標楷體" w:hint="eastAsia"/>
                <w:b/>
                <w:u w:val="single"/>
              </w:rPr>
              <w:t>應訂定內部作業制度與程序，規範客戶得以有價證券抵繳保證金之標的範圍，並訂定各類有價證券抵繳標的之折扣比率與評價價值計算方式。</w:t>
            </w:r>
          </w:p>
          <w:p w14:paraId="2A281BD1" w14:textId="77777777" w:rsidR="009B1565" w:rsidRPr="00F94D05" w:rsidRDefault="009B1565" w:rsidP="009B1565">
            <w:pPr>
              <w:pStyle w:val="a3"/>
              <w:numPr>
                <w:ilvl w:val="0"/>
                <w:numId w:val="20"/>
              </w:numPr>
              <w:snapToGrid w:val="0"/>
              <w:spacing w:line="300" w:lineRule="auto"/>
              <w:ind w:leftChars="0" w:left="539" w:hanging="539"/>
              <w:jc w:val="both"/>
              <w:rPr>
                <w:rFonts w:ascii="標楷體" w:eastAsia="標楷體" w:hAnsi="標楷體"/>
                <w:b/>
                <w:u w:val="single"/>
              </w:rPr>
            </w:pPr>
            <w:r w:rsidRPr="00F94D05">
              <w:rPr>
                <w:rFonts w:ascii="標楷體" w:eastAsia="標楷體" w:hAnsi="標楷體" w:hint="eastAsia"/>
                <w:b/>
                <w:u w:val="single"/>
              </w:rPr>
              <w:t>應定期評估檢討有價證券抵繳保證金之標的範圍、評價價值計算方式與折扣比率之妥適性與合理性，至少每年評估檢討一次。</w:t>
            </w:r>
          </w:p>
          <w:p w14:paraId="5FBFD96C" w14:textId="77777777" w:rsidR="009B1565" w:rsidRPr="00D76C19" w:rsidRDefault="009B1565" w:rsidP="009B1565">
            <w:pPr>
              <w:pStyle w:val="a3"/>
              <w:numPr>
                <w:ilvl w:val="0"/>
                <w:numId w:val="20"/>
              </w:numPr>
              <w:snapToGrid w:val="0"/>
              <w:spacing w:line="300" w:lineRule="auto"/>
              <w:ind w:leftChars="0" w:left="539" w:hanging="539"/>
              <w:jc w:val="both"/>
              <w:rPr>
                <w:rFonts w:ascii="標楷體" w:eastAsia="標楷體" w:hAnsi="標楷體"/>
                <w:b/>
                <w:u w:val="single"/>
              </w:rPr>
            </w:pPr>
            <w:r w:rsidRPr="00F94D05">
              <w:rPr>
                <w:rFonts w:ascii="標楷體" w:eastAsia="標楷體" w:hAnsi="標楷體" w:hint="eastAsia"/>
                <w:b/>
                <w:u w:val="single"/>
              </w:rPr>
              <w:t>對於客戶繳存與抵繳之保證金，視為客戶資產，且客戶不得再以所繳存與抵繳之期初保證金設定質權或以任何方式再設定擔保。</w:t>
            </w:r>
          </w:p>
          <w:p w14:paraId="54BAD732" w14:textId="77777777" w:rsidR="00574E09" w:rsidRPr="00B93653" w:rsidRDefault="00574E09" w:rsidP="00C402F3">
            <w:pPr>
              <w:snapToGrid w:val="0"/>
              <w:spacing w:line="300" w:lineRule="auto"/>
              <w:jc w:val="both"/>
              <w:rPr>
                <w:rFonts w:ascii="標楷體" w:eastAsia="標楷體" w:hAnsi="標楷體"/>
              </w:rPr>
            </w:pPr>
          </w:p>
        </w:tc>
        <w:tc>
          <w:tcPr>
            <w:tcW w:w="3355" w:type="dxa"/>
            <w:tcBorders>
              <w:top w:val="single" w:sz="4" w:space="0" w:color="auto"/>
              <w:left w:val="single" w:sz="4" w:space="0" w:color="auto"/>
              <w:bottom w:val="single" w:sz="4" w:space="0" w:color="auto"/>
              <w:right w:val="single" w:sz="4" w:space="0" w:color="auto"/>
            </w:tcBorders>
          </w:tcPr>
          <w:p w14:paraId="1EDE8596" w14:textId="77777777" w:rsidR="00574E09" w:rsidRPr="008B23B4" w:rsidRDefault="00574E09" w:rsidP="00574E09">
            <w:pPr>
              <w:adjustRightInd w:val="0"/>
              <w:snapToGrid w:val="0"/>
              <w:spacing w:line="300" w:lineRule="auto"/>
              <w:jc w:val="both"/>
              <w:rPr>
                <w:rFonts w:ascii="Times New Roman" w:eastAsia="標楷體" w:hAnsi="Times New Roman" w:cs="Times New Roman"/>
                <w:snapToGrid w:val="0"/>
                <w:kern w:val="0"/>
              </w:rPr>
            </w:pPr>
            <w:r w:rsidRPr="008B23B4">
              <w:rPr>
                <w:rFonts w:ascii="Times New Roman" w:eastAsia="標楷體" w:hAnsi="Times New Roman" w:cs="Times New Roman" w:hint="eastAsia"/>
                <w:snapToGrid w:val="0"/>
                <w:kern w:val="0"/>
              </w:rPr>
              <w:lastRenderedPageBreak/>
              <w:t>第二十五條</w:t>
            </w:r>
          </w:p>
          <w:p w14:paraId="59B79EF6" w14:textId="77777777" w:rsidR="00574E09" w:rsidRPr="008B23B4" w:rsidRDefault="00574E09" w:rsidP="00574E09">
            <w:pPr>
              <w:adjustRightInd w:val="0"/>
              <w:snapToGrid w:val="0"/>
              <w:spacing w:line="300" w:lineRule="auto"/>
              <w:ind w:firstLineChars="200" w:firstLine="480"/>
              <w:jc w:val="both"/>
              <w:rPr>
                <w:rFonts w:ascii="Times New Roman" w:eastAsia="標楷體" w:hAnsi="Times New Roman" w:cs="Times New Roman"/>
                <w:snapToGrid w:val="0"/>
                <w:kern w:val="0"/>
              </w:rPr>
            </w:pPr>
            <w:r w:rsidRPr="008B23B4">
              <w:rPr>
                <w:rFonts w:ascii="Times New Roman" w:eastAsia="標楷體" w:hAnsi="Times New Roman" w:cs="Times New Roman" w:hint="eastAsia"/>
                <w:snapToGrid w:val="0"/>
                <w:kern w:val="0"/>
              </w:rPr>
              <w:t>證券商向專業機構投資人及高淨值投資法人以外之客戶提供</w:t>
            </w:r>
            <w:r w:rsidRPr="00F94D05">
              <w:rPr>
                <w:rFonts w:ascii="Times New Roman" w:eastAsia="標楷體" w:hAnsi="Times New Roman" w:cs="Times New Roman" w:hint="eastAsia"/>
                <w:snapToGrid w:val="0"/>
                <w:kern w:val="0"/>
                <w:u w:val="single"/>
              </w:rPr>
              <w:t>非屬</w:t>
            </w:r>
            <w:r w:rsidRPr="008B23B4">
              <w:rPr>
                <w:rFonts w:ascii="Times New Roman" w:eastAsia="標楷體" w:hAnsi="Times New Roman" w:cs="Times New Roman" w:hint="eastAsia"/>
                <w:snapToGrid w:val="0"/>
                <w:kern w:val="0"/>
              </w:rPr>
              <w:t>結構型商品之衍生性金融商品交易服務</w:t>
            </w:r>
            <w:r w:rsidRPr="0077745C">
              <w:rPr>
                <w:rFonts w:ascii="Times New Roman" w:eastAsia="標楷體" w:hAnsi="Times New Roman" w:cs="Times New Roman" w:hint="eastAsia"/>
                <w:snapToGrid w:val="0"/>
                <w:kern w:val="0"/>
              </w:rPr>
              <w:t>，</w:t>
            </w:r>
            <w:r w:rsidRPr="0077745C">
              <w:rPr>
                <w:rFonts w:ascii="Times New Roman" w:eastAsia="標楷體" w:hAnsi="Times New Roman" w:cs="Times New Roman" w:hint="eastAsia"/>
                <w:snapToGrid w:val="0"/>
                <w:kern w:val="0"/>
                <w:u w:val="single"/>
              </w:rPr>
              <w:t>證券商就商品適合度建立之內部作業程序應依下列原則</w:t>
            </w:r>
            <w:r w:rsidRPr="0077745C">
              <w:rPr>
                <w:rFonts w:ascii="Times New Roman" w:eastAsia="標楷體" w:hAnsi="Times New Roman" w:cs="Times New Roman" w:hint="eastAsia"/>
                <w:snapToGrid w:val="0"/>
                <w:kern w:val="0"/>
              </w:rPr>
              <w:t>辦理：</w:t>
            </w:r>
          </w:p>
          <w:p w14:paraId="745A2A8A" w14:textId="77777777" w:rsidR="00574E09" w:rsidRPr="008B23B4" w:rsidRDefault="00574E09" w:rsidP="00574E09">
            <w:pPr>
              <w:adjustRightInd w:val="0"/>
              <w:snapToGrid w:val="0"/>
              <w:spacing w:line="300" w:lineRule="auto"/>
              <w:ind w:leftChars="1" w:left="444" w:hangingChars="184" w:hanging="442"/>
              <w:jc w:val="both"/>
              <w:rPr>
                <w:rFonts w:ascii="Times New Roman" w:eastAsia="標楷體" w:hAnsi="Times New Roman" w:cs="Times New Roman"/>
                <w:snapToGrid w:val="0"/>
                <w:kern w:val="0"/>
              </w:rPr>
            </w:pPr>
            <w:r w:rsidRPr="008B23B4">
              <w:rPr>
                <w:rFonts w:ascii="Times New Roman" w:eastAsia="標楷體" w:hAnsi="Times New Roman" w:cs="Times New Roman" w:hint="eastAsia"/>
                <w:snapToGrid w:val="0"/>
                <w:kern w:val="0"/>
              </w:rPr>
              <w:t>一、建立商品風險分級制度，且分級方式應考量多重風險因子，例如波動幅度、連結標的資產類別及產品天期等。複雜性高風險商品，應核予該商品最高風險評級。</w:t>
            </w:r>
          </w:p>
          <w:p w14:paraId="421EF4E8" w14:textId="77777777" w:rsidR="00334005" w:rsidRDefault="00574E09" w:rsidP="00334005">
            <w:pPr>
              <w:adjustRightInd w:val="0"/>
              <w:snapToGrid w:val="0"/>
              <w:spacing w:line="300" w:lineRule="auto"/>
              <w:ind w:leftChars="1" w:left="444" w:hangingChars="184" w:hanging="442"/>
              <w:jc w:val="both"/>
              <w:rPr>
                <w:rFonts w:ascii="Times New Roman" w:eastAsia="標楷體" w:hAnsi="Times New Roman" w:cs="Times New Roman"/>
                <w:snapToGrid w:val="0"/>
                <w:kern w:val="0"/>
                <w:u w:val="single"/>
              </w:rPr>
            </w:pPr>
            <w:r w:rsidRPr="008B23B4">
              <w:rPr>
                <w:rFonts w:ascii="Times New Roman" w:eastAsia="標楷體" w:hAnsi="Times New Roman" w:cs="Times New Roman" w:hint="eastAsia"/>
                <w:snapToGrid w:val="0"/>
                <w:kern w:val="0"/>
                <w:u w:val="single"/>
              </w:rPr>
              <w:t>二、複雜性高風險商品限專業客戶及以避險為目的之一般客戶承作，且客戶應具備賣出選擇權之知識與經驗。</w:t>
            </w:r>
          </w:p>
          <w:p w14:paraId="38A63D07" w14:textId="77777777" w:rsidR="00574E09" w:rsidRPr="00334005" w:rsidRDefault="00574E09" w:rsidP="00334005">
            <w:pPr>
              <w:adjustRightInd w:val="0"/>
              <w:snapToGrid w:val="0"/>
              <w:spacing w:line="300" w:lineRule="auto"/>
              <w:ind w:leftChars="1" w:left="444" w:hangingChars="184" w:hanging="442"/>
              <w:jc w:val="both"/>
              <w:rPr>
                <w:rFonts w:ascii="Times New Roman" w:eastAsia="標楷體" w:hAnsi="Times New Roman" w:cs="Times New Roman"/>
                <w:snapToGrid w:val="0"/>
                <w:kern w:val="0"/>
                <w:u w:val="single"/>
              </w:rPr>
            </w:pPr>
            <w:r w:rsidRPr="008B23B4">
              <w:rPr>
                <w:rFonts w:ascii="Times New Roman" w:eastAsia="標楷體" w:hAnsi="Times New Roman" w:cs="Times New Roman" w:hint="eastAsia"/>
                <w:snapToGrid w:val="0"/>
                <w:kern w:val="0"/>
              </w:rPr>
              <w:t>三、</w:t>
            </w:r>
            <w:r w:rsidRPr="007E7290">
              <w:rPr>
                <w:rFonts w:ascii="Times New Roman" w:eastAsia="標楷體" w:hAnsi="Times New Roman" w:cs="Times New Roman" w:hint="eastAsia"/>
                <w:snapToGrid w:val="0"/>
                <w:kern w:val="0"/>
              </w:rPr>
              <w:t>核給客戶衍生性金融商品額度或進行額度展延時，應請客戶提供與其他金融機構承作衍生性金融商品之額度。</w:t>
            </w:r>
          </w:p>
          <w:p w14:paraId="5C7FF9BA" w14:textId="77777777" w:rsidR="00334005" w:rsidRPr="008B23B4" w:rsidRDefault="00574E09" w:rsidP="00574E09">
            <w:pPr>
              <w:adjustRightInd w:val="0"/>
              <w:snapToGrid w:val="0"/>
              <w:spacing w:line="300" w:lineRule="auto"/>
              <w:ind w:leftChars="1" w:left="444" w:hangingChars="184" w:hanging="442"/>
              <w:jc w:val="both"/>
              <w:rPr>
                <w:rFonts w:ascii="Times New Roman" w:eastAsia="標楷體" w:hAnsi="Times New Roman" w:cs="Times New Roman"/>
                <w:snapToGrid w:val="0"/>
                <w:kern w:val="0"/>
              </w:rPr>
            </w:pPr>
            <w:r w:rsidRPr="008B23B4">
              <w:rPr>
                <w:rFonts w:ascii="Times New Roman" w:eastAsia="標楷體" w:hAnsi="Times New Roman" w:cs="Times New Roman" w:hint="eastAsia"/>
                <w:snapToGrid w:val="0"/>
                <w:kern w:val="0"/>
              </w:rPr>
              <w:t>四、</w:t>
            </w:r>
            <w:r w:rsidRPr="0077745C">
              <w:rPr>
                <w:rFonts w:ascii="Times New Roman" w:eastAsia="標楷體" w:hAnsi="Times New Roman" w:cs="Times New Roman" w:hint="eastAsia"/>
                <w:snapToGrid w:val="0"/>
                <w:kern w:val="0"/>
                <w:u w:val="single"/>
              </w:rPr>
              <w:t>應考量客戶之營業收入、淨值、與其他金融機構交易額度等因素，審慎衡酌客戶承受風險能力，核給客戶交易額度。</w:t>
            </w:r>
            <w:r w:rsidRPr="00C513FA">
              <w:rPr>
                <w:rFonts w:ascii="Times New Roman" w:eastAsia="標楷體" w:hAnsi="Times New Roman" w:cs="Times New Roman" w:hint="eastAsia"/>
                <w:snapToGrid w:val="0"/>
                <w:kern w:val="0"/>
                <w:u w:val="single"/>
              </w:rPr>
              <w:t>非以避險為目的之客戶應設有徵提擔保品機制。</w:t>
            </w:r>
          </w:p>
          <w:p w14:paraId="349C39A6" w14:textId="77777777" w:rsidR="00574E09" w:rsidRPr="008B23B4" w:rsidRDefault="00574E09" w:rsidP="00574E09">
            <w:pPr>
              <w:adjustRightInd w:val="0"/>
              <w:snapToGrid w:val="0"/>
              <w:spacing w:line="300" w:lineRule="auto"/>
              <w:ind w:leftChars="1" w:left="444" w:hangingChars="184" w:hanging="442"/>
              <w:jc w:val="both"/>
              <w:rPr>
                <w:rFonts w:ascii="Times New Roman" w:eastAsia="標楷體" w:hAnsi="Times New Roman" w:cs="Times New Roman"/>
                <w:snapToGrid w:val="0"/>
                <w:kern w:val="0"/>
                <w:u w:val="single"/>
              </w:rPr>
            </w:pPr>
            <w:r w:rsidRPr="008B23B4">
              <w:rPr>
                <w:rFonts w:ascii="Times New Roman" w:eastAsia="標楷體" w:hAnsi="Times New Roman" w:cs="Times New Roman" w:hint="eastAsia"/>
                <w:snapToGrid w:val="0"/>
                <w:kern w:val="0"/>
              </w:rPr>
              <w:t>五、</w:t>
            </w:r>
            <w:r w:rsidRPr="008B23B4">
              <w:rPr>
                <w:rFonts w:ascii="Times New Roman" w:eastAsia="標楷體" w:hAnsi="Times New Roman" w:cs="Times New Roman" w:hint="eastAsia"/>
                <w:snapToGrid w:val="0"/>
                <w:kern w:val="0"/>
                <w:u w:val="single"/>
              </w:rPr>
              <w:t>證券商應就非以避險為目的</w:t>
            </w:r>
            <w:r w:rsidRPr="008B23B4">
              <w:rPr>
                <w:rFonts w:ascii="Times New Roman" w:eastAsia="標楷體" w:hAnsi="Times New Roman" w:cs="Times New Roman" w:hint="eastAsia"/>
                <w:snapToGrid w:val="0"/>
                <w:kern w:val="0"/>
                <w:u w:val="single"/>
              </w:rPr>
              <w:lastRenderedPageBreak/>
              <w:t>承作之複雜性高風險商品，個別交易設有客戶最大損失上限。非避險交易之個別交易損失上限如下：</w:t>
            </w:r>
          </w:p>
          <w:p w14:paraId="685C706A" w14:textId="77777777" w:rsidR="00574E09" w:rsidRPr="008B23B4" w:rsidRDefault="00574E09" w:rsidP="00574E09">
            <w:pPr>
              <w:adjustRightInd w:val="0"/>
              <w:snapToGrid w:val="0"/>
              <w:spacing w:line="300" w:lineRule="auto"/>
              <w:ind w:leftChars="1" w:left="444" w:hangingChars="184" w:hanging="442"/>
              <w:jc w:val="both"/>
              <w:rPr>
                <w:rFonts w:ascii="Times New Roman" w:eastAsia="標楷體" w:hAnsi="Times New Roman" w:cs="Times New Roman"/>
                <w:snapToGrid w:val="0"/>
                <w:kern w:val="0"/>
                <w:u w:val="single"/>
              </w:rPr>
            </w:pPr>
            <w:r w:rsidRPr="008B23B4">
              <w:rPr>
                <w:rFonts w:ascii="Times New Roman" w:eastAsia="標楷體" w:hAnsi="Times New Roman" w:cs="Times New Roman" w:hint="eastAsia"/>
                <w:snapToGrid w:val="0"/>
                <w:kern w:val="0"/>
                <w:u w:val="single"/>
              </w:rPr>
              <w:t>（一）比價期數十二期以下（含）者，個別交易損失上限不得超過平均單期名目本金之六倍。</w:t>
            </w:r>
          </w:p>
          <w:p w14:paraId="3D518DEA" w14:textId="77777777" w:rsidR="00574E09" w:rsidRPr="008B23B4" w:rsidRDefault="00574E09" w:rsidP="00574E09">
            <w:pPr>
              <w:adjustRightInd w:val="0"/>
              <w:snapToGrid w:val="0"/>
              <w:spacing w:line="300" w:lineRule="auto"/>
              <w:ind w:leftChars="1" w:left="444" w:hangingChars="184" w:hanging="442"/>
              <w:jc w:val="both"/>
              <w:rPr>
                <w:rFonts w:ascii="Times New Roman" w:eastAsia="標楷體" w:hAnsi="Times New Roman" w:cs="Times New Roman"/>
                <w:snapToGrid w:val="0"/>
                <w:kern w:val="0"/>
                <w:u w:val="single"/>
              </w:rPr>
            </w:pPr>
            <w:r w:rsidRPr="008B23B4">
              <w:rPr>
                <w:rFonts w:ascii="Times New Roman" w:eastAsia="標楷體" w:hAnsi="Times New Roman" w:cs="Times New Roman" w:hint="eastAsia"/>
                <w:snapToGrid w:val="0"/>
                <w:kern w:val="0"/>
                <w:u w:val="single"/>
              </w:rPr>
              <w:t>（二）比價期數超過十二期者，個別交易損失上限不得超過平均單期名目本金之九點六倍。</w:t>
            </w:r>
          </w:p>
          <w:p w14:paraId="7CBE2A10" w14:textId="77777777" w:rsidR="00574E09" w:rsidRPr="008B23B4" w:rsidRDefault="00574E09" w:rsidP="00574E09">
            <w:pPr>
              <w:adjustRightInd w:val="0"/>
              <w:snapToGrid w:val="0"/>
              <w:spacing w:line="300" w:lineRule="auto"/>
              <w:ind w:leftChars="1" w:left="444" w:hangingChars="184" w:hanging="442"/>
              <w:jc w:val="both"/>
              <w:rPr>
                <w:rFonts w:ascii="Times New Roman" w:eastAsia="標楷體" w:hAnsi="Times New Roman" w:cs="Times New Roman"/>
                <w:snapToGrid w:val="0"/>
                <w:kern w:val="0"/>
                <w:u w:val="single"/>
              </w:rPr>
            </w:pPr>
            <w:r w:rsidRPr="008B23B4">
              <w:rPr>
                <w:rFonts w:ascii="Times New Roman" w:eastAsia="標楷體" w:hAnsi="Times New Roman" w:cs="Times New Roman" w:hint="eastAsia"/>
                <w:snapToGrid w:val="0"/>
                <w:kern w:val="0"/>
                <w:u w:val="single"/>
              </w:rPr>
              <w:t>（三）所稱平均單期名目本金為不計槓桿之總名目本金除以期數之金額。</w:t>
            </w:r>
          </w:p>
          <w:p w14:paraId="2660A2C6" w14:textId="77777777" w:rsidR="00574E09" w:rsidRPr="008B23B4" w:rsidRDefault="00574E09" w:rsidP="00574E09">
            <w:pPr>
              <w:adjustRightInd w:val="0"/>
              <w:snapToGrid w:val="0"/>
              <w:spacing w:line="300" w:lineRule="auto"/>
              <w:ind w:leftChars="1" w:left="444" w:hangingChars="184" w:hanging="442"/>
              <w:jc w:val="both"/>
              <w:rPr>
                <w:rFonts w:ascii="Times New Roman" w:eastAsia="標楷體" w:hAnsi="Times New Roman" w:cs="Times New Roman"/>
                <w:snapToGrid w:val="0"/>
                <w:kern w:val="0"/>
                <w:u w:val="single"/>
              </w:rPr>
            </w:pPr>
            <w:r w:rsidRPr="008B23B4">
              <w:rPr>
                <w:rFonts w:ascii="Times New Roman" w:eastAsia="標楷體" w:hAnsi="Times New Roman" w:cs="Times New Roman" w:hint="eastAsia"/>
                <w:snapToGrid w:val="0"/>
                <w:kern w:val="0"/>
                <w:u w:val="single"/>
              </w:rPr>
              <w:t>六、證券商應就非以避險為目的承作之複雜性高風險商品建立客戶風險集中度控管機制。明確訂定客戶投資複雜性高風險商品之每期名目本金總和占其在該證券商衍生性金融商品契約名目本金總金額之最高比重或客戶投資複雜性高風險商品所使用之未來潛在曝險額（</w:t>
            </w:r>
            <w:r w:rsidRPr="008B23B4">
              <w:rPr>
                <w:rFonts w:ascii="Times New Roman" w:eastAsia="標楷體" w:hAnsi="Times New Roman" w:cs="Times New Roman" w:hint="eastAsia"/>
                <w:snapToGrid w:val="0"/>
                <w:kern w:val="0"/>
                <w:u w:val="single"/>
              </w:rPr>
              <w:t>MLIV</w:t>
            </w:r>
            <w:r w:rsidRPr="008B23B4">
              <w:rPr>
                <w:rFonts w:ascii="Times New Roman" w:eastAsia="標楷體" w:hAnsi="Times New Roman" w:cs="Times New Roman" w:hint="eastAsia"/>
                <w:snapToGrid w:val="0"/>
                <w:kern w:val="0"/>
                <w:u w:val="single"/>
              </w:rPr>
              <w:t>）總和占其衍生性商品曝險額度之最高比重。</w:t>
            </w:r>
          </w:p>
          <w:p w14:paraId="64513C40" w14:textId="77777777" w:rsidR="00574E09" w:rsidRPr="008B23B4" w:rsidRDefault="00574E09" w:rsidP="00574E09">
            <w:pPr>
              <w:adjustRightInd w:val="0"/>
              <w:snapToGrid w:val="0"/>
              <w:spacing w:line="300" w:lineRule="auto"/>
              <w:ind w:leftChars="1" w:left="444" w:hangingChars="184" w:hanging="442"/>
              <w:jc w:val="both"/>
              <w:rPr>
                <w:rFonts w:ascii="Times New Roman" w:eastAsia="標楷體" w:hAnsi="Times New Roman" w:cs="Times New Roman"/>
                <w:snapToGrid w:val="0"/>
                <w:kern w:val="0"/>
                <w:u w:val="single"/>
              </w:rPr>
            </w:pPr>
            <w:r w:rsidRPr="008B23B4">
              <w:rPr>
                <w:rFonts w:ascii="Times New Roman" w:eastAsia="標楷體" w:hAnsi="Times New Roman" w:cs="Times New Roman" w:hint="eastAsia"/>
                <w:snapToGrid w:val="0"/>
                <w:kern w:val="0"/>
                <w:u w:val="single"/>
              </w:rPr>
              <w:t>七、證券商與客戶承作複雜性高風險商品交易應充分告知該金融商品、服務及契約之重要內容，包括交易條件重要內容及揭露相關風險，上</w:t>
            </w:r>
            <w:r w:rsidRPr="008B23B4">
              <w:rPr>
                <w:rFonts w:ascii="Times New Roman" w:eastAsia="標楷體" w:hAnsi="Times New Roman" w:cs="Times New Roman" w:hint="eastAsia"/>
                <w:snapToGrid w:val="0"/>
                <w:kern w:val="0"/>
                <w:u w:val="single"/>
              </w:rPr>
              <w:lastRenderedPageBreak/>
              <w:t>該說明及揭露，除以非臨櫃之自動化通路交易或客戶不予同意之情形外，應以錄音或錄影方式保留紀錄。錄音或錄影內容至少應保存該商品存續期間加計三個月之期間，如未滿五年應至少保存五年以上。但發生金融消費爭議時，應保存至該爭議終結為止。</w:t>
            </w:r>
          </w:p>
          <w:p w14:paraId="1B81578B" w14:textId="77777777" w:rsidR="00574E09" w:rsidRPr="008B23B4" w:rsidRDefault="00574E09" w:rsidP="00574E09">
            <w:pPr>
              <w:adjustRightInd w:val="0"/>
              <w:snapToGrid w:val="0"/>
              <w:spacing w:line="300" w:lineRule="auto"/>
              <w:ind w:leftChars="1" w:left="444" w:hangingChars="184" w:hanging="442"/>
              <w:jc w:val="both"/>
              <w:rPr>
                <w:rFonts w:ascii="Times New Roman" w:eastAsia="標楷體" w:hAnsi="Times New Roman" w:cs="Times New Roman"/>
                <w:snapToGrid w:val="0"/>
                <w:kern w:val="0"/>
              </w:rPr>
            </w:pPr>
            <w:r w:rsidRPr="00F94D05">
              <w:rPr>
                <w:rFonts w:ascii="Times New Roman" w:eastAsia="標楷體" w:hAnsi="Times New Roman" w:cs="Times New Roman" w:hint="eastAsia"/>
                <w:snapToGrid w:val="0"/>
                <w:kern w:val="0"/>
                <w:u w:val="single"/>
              </w:rPr>
              <w:t>八、</w:t>
            </w:r>
            <w:r w:rsidRPr="008B23B4">
              <w:rPr>
                <w:rFonts w:ascii="Times New Roman" w:eastAsia="標楷體" w:hAnsi="Times New Roman" w:cs="Times New Roman" w:hint="eastAsia"/>
                <w:snapToGrid w:val="0"/>
                <w:kern w:val="0"/>
                <w:u w:val="single"/>
              </w:rPr>
              <w:t>證券商應落實執行瞭解客戶及商品適合度制度，與非避險客戶辦理複雜性高風險商品時，所訂定之個別契約最大損失上限應有合理考量基礎。提供予客戶之交易文件應揭露該契約最大損失金額，並要求客戶於該處簽名、蓋用原留印鑑或其他雙方同意之方式確認，以提高客戶風險意識。</w:t>
            </w:r>
          </w:p>
          <w:p w14:paraId="4C081F60" w14:textId="77777777" w:rsidR="00574E09" w:rsidRDefault="00574E09" w:rsidP="00334005">
            <w:pPr>
              <w:adjustRightInd w:val="0"/>
              <w:snapToGrid w:val="0"/>
              <w:spacing w:line="300" w:lineRule="auto"/>
              <w:ind w:leftChars="1" w:left="444" w:hangingChars="184" w:hanging="442"/>
              <w:jc w:val="both"/>
              <w:rPr>
                <w:rFonts w:ascii="Times New Roman" w:eastAsia="標楷體" w:hAnsi="Times New Roman" w:cs="Times New Roman"/>
                <w:snapToGrid w:val="0"/>
                <w:kern w:val="0"/>
              </w:rPr>
            </w:pPr>
            <w:r w:rsidRPr="00F94D05">
              <w:rPr>
                <w:rFonts w:ascii="Times New Roman" w:eastAsia="標楷體" w:hAnsi="Times New Roman" w:cs="Times New Roman" w:hint="eastAsia"/>
                <w:snapToGrid w:val="0"/>
                <w:kern w:val="0"/>
                <w:u w:val="single"/>
              </w:rPr>
              <w:t>九、</w:t>
            </w:r>
            <w:r w:rsidRPr="00C440B3">
              <w:rPr>
                <w:rFonts w:ascii="Times New Roman" w:eastAsia="標楷體" w:hAnsi="Times New Roman" w:cs="Times New Roman" w:hint="eastAsia"/>
                <w:snapToGrid w:val="0"/>
                <w:kern w:val="0"/>
                <w:u w:val="single"/>
              </w:rPr>
              <w:t>證券商應</w:t>
            </w:r>
            <w:r w:rsidRPr="008B23B4">
              <w:rPr>
                <w:rFonts w:ascii="Times New Roman" w:eastAsia="標楷體" w:hAnsi="Times New Roman" w:cs="Times New Roman" w:hint="eastAsia"/>
                <w:snapToGrid w:val="0"/>
                <w:kern w:val="0"/>
              </w:rPr>
              <w:t>合理控管客戶整體信用風險，避免客戶整體暴險情形超過其風險承受能力，並應每日按市價評估，確實執行徵提保證金</w:t>
            </w:r>
            <w:r w:rsidRPr="009B1565">
              <w:rPr>
                <w:rFonts w:ascii="Times New Roman" w:eastAsia="標楷體" w:hAnsi="Times New Roman" w:cs="Times New Roman" w:hint="eastAsia"/>
                <w:snapToGrid w:val="0"/>
                <w:kern w:val="0"/>
                <w:u w:val="single"/>
              </w:rPr>
              <w:t>或擔保品</w:t>
            </w:r>
            <w:r w:rsidRPr="008B23B4">
              <w:rPr>
                <w:rFonts w:ascii="Times New Roman" w:eastAsia="標楷體" w:hAnsi="Times New Roman" w:cs="Times New Roman" w:hint="eastAsia"/>
                <w:snapToGrid w:val="0"/>
                <w:kern w:val="0"/>
              </w:rPr>
              <w:t>機制。</w:t>
            </w:r>
          </w:p>
          <w:p w14:paraId="6E858924" w14:textId="77777777" w:rsidR="00574E09" w:rsidRPr="00C513FA" w:rsidRDefault="00574E09" w:rsidP="00574E09">
            <w:pPr>
              <w:adjustRightInd w:val="0"/>
              <w:snapToGrid w:val="0"/>
              <w:spacing w:line="300" w:lineRule="auto"/>
              <w:ind w:firstLineChars="200" w:firstLine="480"/>
              <w:jc w:val="both"/>
              <w:rPr>
                <w:rFonts w:ascii="Times New Roman" w:eastAsia="標楷體" w:hAnsi="Times New Roman" w:cs="Times New Roman"/>
                <w:snapToGrid w:val="0"/>
                <w:kern w:val="0"/>
                <w:u w:val="single"/>
              </w:rPr>
            </w:pPr>
            <w:r w:rsidRPr="00C513FA">
              <w:rPr>
                <w:rFonts w:ascii="Times New Roman" w:eastAsia="標楷體" w:hAnsi="Times New Roman" w:cs="Times New Roman" w:hint="eastAsia"/>
                <w:snapToGrid w:val="0"/>
                <w:kern w:val="0"/>
                <w:u w:val="single"/>
              </w:rPr>
              <w:t>第一項第二款所稱避險目的，係指客戶有實際相對應之需求。證券商應有適當之控管制度以確認各類商品是否為避險目的而承作，及其曝險與應避險部位是否相當，並應徵提相關文</w:t>
            </w:r>
            <w:r w:rsidRPr="00C513FA">
              <w:rPr>
                <w:rFonts w:ascii="Times New Roman" w:eastAsia="標楷體" w:hAnsi="Times New Roman" w:cs="Times New Roman" w:hint="eastAsia"/>
                <w:snapToGrid w:val="0"/>
                <w:kern w:val="0"/>
                <w:u w:val="single"/>
              </w:rPr>
              <w:lastRenderedPageBreak/>
              <w:t>件。</w:t>
            </w:r>
          </w:p>
          <w:p w14:paraId="13EB0FE9" w14:textId="77777777" w:rsidR="00574E09" w:rsidRPr="008B23B4" w:rsidRDefault="00574E09" w:rsidP="00574E09">
            <w:pPr>
              <w:adjustRightInd w:val="0"/>
              <w:snapToGrid w:val="0"/>
              <w:spacing w:line="300" w:lineRule="auto"/>
              <w:ind w:firstLineChars="200" w:firstLine="480"/>
              <w:jc w:val="both"/>
              <w:rPr>
                <w:rFonts w:ascii="Times New Roman" w:eastAsia="標楷體" w:hAnsi="Times New Roman" w:cs="Times New Roman"/>
                <w:snapToGrid w:val="0"/>
                <w:kern w:val="0"/>
                <w:u w:val="single"/>
              </w:rPr>
            </w:pPr>
            <w:r w:rsidRPr="008B23B4">
              <w:rPr>
                <w:rFonts w:ascii="Times New Roman" w:eastAsia="標楷體" w:hAnsi="Times New Roman" w:cs="Times New Roman" w:hint="eastAsia"/>
                <w:snapToGrid w:val="0"/>
                <w:kern w:val="0"/>
                <w:u w:val="single"/>
              </w:rPr>
              <w:t>內部作業程序至少應包含商品分級依據、商品風險分類、客戶交易目的評估及風險集中度控管機制。</w:t>
            </w:r>
          </w:p>
          <w:p w14:paraId="3BCE0B6D" w14:textId="77777777" w:rsidR="00574E09" w:rsidRPr="008B23B4" w:rsidRDefault="00574E09" w:rsidP="00574E09">
            <w:pPr>
              <w:adjustRightInd w:val="0"/>
              <w:snapToGrid w:val="0"/>
              <w:spacing w:line="300" w:lineRule="auto"/>
              <w:ind w:firstLineChars="200" w:firstLine="480"/>
              <w:jc w:val="both"/>
              <w:rPr>
                <w:rFonts w:ascii="Times New Roman" w:eastAsia="標楷體" w:hAnsi="Times New Roman" w:cs="Times New Roman"/>
                <w:snapToGrid w:val="0"/>
                <w:kern w:val="0"/>
                <w:u w:val="single"/>
              </w:rPr>
            </w:pPr>
            <w:r w:rsidRPr="008B23B4">
              <w:rPr>
                <w:rFonts w:ascii="Times New Roman" w:eastAsia="標楷體" w:hAnsi="Times New Roman" w:cs="Times New Roman" w:hint="eastAsia"/>
                <w:snapToGrid w:val="0"/>
                <w:kern w:val="0"/>
                <w:u w:val="single"/>
              </w:rPr>
              <w:t>第一項第七款所稱之交易條件重要內容及揭露相關風險係指下列事項：</w:t>
            </w:r>
          </w:p>
          <w:p w14:paraId="6A992DC3" w14:textId="77777777" w:rsidR="00574E09" w:rsidRPr="008B23B4" w:rsidRDefault="00574E09" w:rsidP="00574E09">
            <w:pPr>
              <w:adjustRightInd w:val="0"/>
              <w:snapToGrid w:val="0"/>
              <w:spacing w:line="300" w:lineRule="auto"/>
              <w:ind w:left="444" w:hangingChars="185" w:hanging="444"/>
              <w:jc w:val="both"/>
              <w:rPr>
                <w:rFonts w:ascii="Times New Roman" w:eastAsia="標楷體" w:hAnsi="Times New Roman" w:cs="Times New Roman"/>
                <w:snapToGrid w:val="0"/>
                <w:kern w:val="0"/>
                <w:u w:val="single"/>
              </w:rPr>
            </w:pPr>
            <w:r w:rsidRPr="008B23B4">
              <w:rPr>
                <w:rFonts w:ascii="Times New Roman" w:eastAsia="標楷體" w:hAnsi="Times New Roman" w:cs="Times New Roman" w:hint="eastAsia"/>
                <w:snapToGrid w:val="0"/>
                <w:kern w:val="0"/>
                <w:u w:val="single"/>
              </w:rPr>
              <w:t>一、交易條件及重要內容</w:t>
            </w:r>
          </w:p>
          <w:p w14:paraId="117D7187" w14:textId="77777777" w:rsidR="00574E09" w:rsidRPr="008B23B4" w:rsidRDefault="00574E09" w:rsidP="00574E09">
            <w:pPr>
              <w:adjustRightInd w:val="0"/>
              <w:snapToGrid w:val="0"/>
              <w:spacing w:line="300" w:lineRule="auto"/>
              <w:ind w:left="444" w:hangingChars="185" w:hanging="444"/>
              <w:jc w:val="both"/>
              <w:rPr>
                <w:rFonts w:ascii="Times New Roman" w:eastAsia="標楷體" w:hAnsi="Times New Roman" w:cs="Times New Roman"/>
                <w:snapToGrid w:val="0"/>
                <w:kern w:val="0"/>
                <w:u w:val="single"/>
              </w:rPr>
            </w:pPr>
            <w:r w:rsidRPr="008B23B4">
              <w:rPr>
                <w:rFonts w:ascii="Times New Roman" w:eastAsia="標楷體" w:hAnsi="Times New Roman" w:cs="Times New Roman" w:hint="eastAsia"/>
                <w:snapToGrid w:val="0"/>
                <w:kern w:val="0"/>
                <w:u w:val="single"/>
              </w:rPr>
              <w:t>（一）計價幣別。</w:t>
            </w:r>
          </w:p>
          <w:p w14:paraId="1478F9CC" w14:textId="77777777" w:rsidR="00574E09" w:rsidRPr="008B23B4" w:rsidRDefault="00574E09" w:rsidP="00574E09">
            <w:pPr>
              <w:adjustRightInd w:val="0"/>
              <w:snapToGrid w:val="0"/>
              <w:spacing w:line="300" w:lineRule="auto"/>
              <w:ind w:left="444" w:hangingChars="185" w:hanging="444"/>
              <w:jc w:val="both"/>
              <w:rPr>
                <w:rFonts w:ascii="Times New Roman" w:eastAsia="標楷體" w:hAnsi="Times New Roman" w:cs="Times New Roman"/>
                <w:snapToGrid w:val="0"/>
                <w:kern w:val="0"/>
                <w:u w:val="single"/>
              </w:rPr>
            </w:pPr>
            <w:r w:rsidRPr="008B23B4">
              <w:rPr>
                <w:rFonts w:ascii="Times New Roman" w:eastAsia="標楷體" w:hAnsi="Times New Roman" w:cs="Times New Roman" w:hint="eastAsia"/>
                <w:snapToGrid w:val="0"/>
                <w:kern w:val="0"/>
                <w:u w:val="single"/>
              </w:rPr>
              <w:t>（二）交易日</w:t>
            </w:r>
            <w:r w:rsidRPr="008B23B4">
              <w:rPr>
                <w:rFonts w:ascii="Times New Roman" w:eastAsia="標楷體" w:hAnsi="Times New Roman" w:cs="Times New Roman" w:hint="eastAsia"/>
                <w:snapToGrid w:val="0"/>
                <w:kern w:val="0"/>
                <w:u w:val="single"/>
              </w:rPr>
              <w:t>/</w:t>
            </w:r>
            <w:r w:rsidRPr="008B23B4">
              <w:rPr>
                <w:rFonts w:ascii="Times New Roman" w:eastAsia="標楷體" w:hAnsi="Times New Roman" w:cs="Times New Roman" w:hint="eastAsia"/>
                <w:snapToGrid w:val="0"/>
                <w:kern w:val="0"/>
                <w:u w:val="single"/>
              </w:rPr>
              <w:t>生效日</w:t>
            </w:r>
            <w:r w:rsidRPr="008B23B4">
              <w:rPr>
                <w:rFonts w:ascii="Times New Roman" w:eastAsia="標楷體" w:hAnsi="Times New Roman" w:cs="Times New Roman" w:hint="eastAsia"/>
                <w:snapToGrid w:val="0"/>
                <w:kern w:val="0"/>
                <w:u w:val="single"/>
              </w:rPr>
              <w:t>/</w:t>
            </w:r>
            <w:r w:rsidRPr="008B23B4">
              <w:rPr>
                <w:rFonts w:ascii="Times New Roman" w:eastAsia="標楷體" w:hAnsi="Times New Roman" w:cs="Times New Roman" w:hint="eastAsia"/>
                <w:snapToGrid w:val="0"/>
                <w:kern w:val="0"/>
                <w:u w:val="single"/>
              </w:rPr>
              <w:t>到期日及其他依個別商品性質而定之日期。</w:t>
            </w:r>
          </w:p>
          <w:p w14:paraId="0013D1F8" w14:textId="77777777" w:rsidR="00574E09" w:rsidRPr="008B23B4" w:rsidRDefault="00574E09" w:rsidP="00574E09">
            <w:pPr>
              <w:adjustRightInd w:val="0"/>
              <w:snapToGrid w:val="0"/>
              <w:spacing w:line="300" w:lineRule="auto"/>
              <w:ind w:left="444" w:hangingChars="185" w:hanging="444"/>
              <w:jc w:val="both"/>
              <w:rPr>
                <w:rFonts w:ascii="Times New Roman" w:eastAsia="標楷體" w:hAnsi="Times New Roman" w:cs="Times New Roman"/>
                <w:snapToGrid w:val="0"/>
                <w:kern w:val="0"/>
                <w:u w:val="single"/>
              </w:rPr>
            </w:pPr>
            <w:r w:rsidRPr="008B23B4">
              <w:rPr>
                <w:rFonts w:ascii="Times New Roman" w:eastAsia="標楷體" w:hAnsi="Times New Roman" w:cs="Times New Roman" w:hint="eastAsia"/>
                <w:snapToGrid w:val="0"/>
                <w:kern w:val="0"/>
                <w:u w:val="single"/>
              </w:rPr>
              <w:t>（三）連結標的類別或資產。</w:t>
            </w:r>
          </w:p>
          <w:p w14:paraId="136AB5D1" w14:textId="77777777" w:rsidR="00574E09" w:rsidRPr="008B23B4" w:rsidRDefault="00574E09" w:rsidP="00574E09">
            <w:pPr>
              <w:adjustRightInd w:val="0"/>
              <w:snapToGrid w:val="0"/>
              <w:spacing w:line="300" w:lineRule="auto"/>
              <w:ind w:left="444" w:hangingChars="185" w:hanging="444"/>
              <w:jc w:val="both"/>
              <w:rPr>
                <w:rFonts w:ascii="Times New Roman" w:eastAsia="標楷體" w:hAnsi="Times New Roman" w:cs="Times New Roman"/>
                <w:snapToGrid w:val="0"/>
                <w:kern w:val="0"/>
                <w:u w:val="single"/>
              </w:rPr>
            </w:pPr>
            <w:r w:rsidRPr="008B23B4">
              <w:rPr>
                <w:rFonts w:ascii="Times New Roman" w:eastAsia="標楷體" w:hAnsi="Times New Roman" w:cs="Times New Roman" w:hint="eastAsia"/>
                <w:snapToGrid w:val="0"/>
                <w:kern w:val="0"/>
                <w:u w:val="single"/>
              </w:rPr>
              <w:t>（四）收益計算給付及其計算方式。</w:t>
            </w:r>
          </w:p>
          <w:p w14:paraId="7FCDD888" w14:textId="77777777" w:rsidR="00574E09" w:rsidRPr="008B23B4" w:rsidRDefault="00574E09" w:rsidP="00574E09">
            <w:pPr>
              <w:adjustRightInd w:val="0"/>
              <w:snapToGrid w:val="0"/>
              <w:spacing w:line="300" w:lineRule="auto"/>
              <w:ind w:left="444" w:hangingChars="185" w:hanging="444"/>
              <w:jc w:val="both"/>
              <w:rPr>
                <w:rFonts w:ascii="Times New Roman" w:eastAsia="標楷體" w:hAnsi="Times New Roman" w:cs="Times New Roman"/>
                <w:snapToGrid w:val="0"/>
                <w:kern w:val="0"/>
                <w:u w:val="single"/>
              </w:rPr>
            </w:pPr>
            <w:r w:rsidRPr="008B23B4">
              <w:rPr>
                <w:rFonts w:ascii="Times New Roman" w:eastAsia="標楷體" w:hAnsi="Times New Roman" w:cs="Times New Roman" w:hint="eastAsia"/>
                <w:snapToGrid w:val="0"/>
                <w:kern w:val="0"/>
                <w:u w:val="single"/>
              </w:rPr>
              <w:t>（五）說明交易如有提前到期約定時之條件、結算應付款數額之金額或計算方式。</w:t>
            </w:r>
          </w:p>
          <w:p w14:paraId="16F8DD74" w14:textId="77777777" w:rsidR="00574E09" w:rsidRPr="00897A7E" w:rsidRDefault="00574E09" w:rsidP="00574E09">
            <w:pPr>
              <w:adjustRightInd w:val="0"/>
              <w:snapToGrid w:val="0"/>
              <w:spacing w:line="300" w:lineRule="auto"/>
              <w:ind w:left="444" w:hangingChars="185" w:hanging="444"/>
              <w:jc w:val="both"/>
              <w:rPr>
                <w:rFonts w:ascii="Times New Roman" w:eastAsia="標楷體" w:hAnsi="Times New Roman" w:cs="Times New Roman"/>
                <w:snapToGrid w:val="0"/>
                <w:kern w:val="0"/>
              </w:rPr>
            </w:pPr>
            <w:r w:rsidRPr="008B23B4">
              <w:rPr>
                <w:rFonts w:ascii="Times New Roman" w:eastAsia="標楷體" w:hAnsi="Times New Roman" w:cs="Times New Roman" w:hint="eastAsia"/>
                <w:snapToGrid w:val="0"/>
                <w:kern w:val="0"/>
                <w:u w:val="single"/>
              </w:rPr>
              <w:t>二、所須告知之交易相關風險至少應含本注意事項第二十六條第一款至第六款。</w:t>
            </w:r>
          </w:p>
        </w:tc>
        <w:tc>
          <w:tcPr>
            <w:tcW w:w="3355" w:type="dxa"/>
            <w:tcBorders>
              <w:top w:val="single" w:sz="4" w:space="0" w:color="auto"/>
              <w:left w:val="single" w:sz="4" w:space="0" w:color="auto"/>
              <w:bottom w:val="single" w:sz="4" w:space="0" w:color="auto"/>
              <w:right w:val="single" w:sz="4" w:space="0" w:color="auto"/>
            </w:tcBorders>
          </w:tcPr>
          <w:p w14:paraId="645458C5" w14:textId="3F794A85" w:rsidR="00D76C19" w:rsidRPr="00897A7E" w:rsidRDefault="00D76C19" w:rsidP="00D76C19">
            <w:pPr>
              <w:pStyle w:val="a3"/>
              <w:numPr>
                <w:ilvl w:val="0"/>
                <w:numId w:val="7"/>
              </w:numPr>
              <w:spacing w:line="240" w:lineRule="auto"/>
              <w:ind w:leftChars="0" w:left="492" w:hanging="492"/>
              <w:jc w:val="both"/>
              <w:rPr>
                <w:rFonts w:ascii="標楷體" w:eastAsia="標楷體" w:hAnsi="標楷體" w:cs="Times New Roman"/>
                <w:color w:val="000000"/>
              </w:rPr>
            </w:pPr>
            <w:r>
              <w:rPr>
                <w:rFonts w:ascii="標楷體" w:eastAsia="標楷體" w:hAnsi="標楷體" w:cs="Times New Roman"/>
                <w:color w:val="000000"/>
              </w:rPr>
              <w:lastRenderedPageBreak/>
              <w:t>考量客戶承作買入選擇權交易，並無支付選擇權權利金以外之義務，證券商亦無</w:t>
            </w:r>
            <w:r>
              <w:rPr>
                <w:rFonts w:ascii="標楷體" w:eastAsia="標楷體" w:hAnsi="標楷體" w:cs="Times New Roman" w:hint="eastAsia"/>
                <w:color w:val="000000"/>
              </w:rPr>
              <w:t>需</w:t>
            </w:r>
            <w:r>
              <w:rPr>
                <w:rFonts w:ascii="標楷體" w:eastAsia="標楷體" w:hAnsi="標楷體" w:cs="Times New Roman"/>
                <w:color w:val="000000"/>
              </w:rPr>
              <w:t>以衍生性商品額度控管客戶信用風險，證券商過去辦理買入選擇權業務亦無發生重大不利客戶權益之情形，爰</w:t>
            </w:r>
            <w:r w:rsidR="00A65658">
              <w:rPr>
                <w:rFonts w:ascii="標楷體" w:eastAsia="標楷體" w:hAnsi="標楷體" w:cs="Times New Roman" w:hint="eastAsia"/>
                <w:color w:val="000000"/>
              </w:rPr>
              <w:t>修正第一項，將該情形</w:t>
            </w:r>
            <w:r>
              <w:rPr>
                <w:rFonts w:ascii="標楷體" w:eastAsia="標楷體" w:hAnsi="標楷體" w:cs="Times New Roman"/>
                <w:color w:val="000000"/>
              </w:rPr>
              <w:t>予</w:t>
            </w:r>
            <w:r w:rsidR="00A65658">
              <w:rPr>
                <w:rFonts w:ascii="標楷體" w:eastAsia="標楷體" w:hAnsi="標楷體" w:cs="Times New Roman" w:hint="eastAsia"/>
                <w:color w:val="000000"/>
              </w:rPr>
              <w:t>以</w:t>
            </w:r>
            <w:r>
              <w:rPr>
                <w:rFonts w:ascii="標楷體" w:eastAsia="標楷體" w:hAnsi="標楷體" w:cs="Times New Roman"/>
                <w:color w:val="000000"/>
              </w:rPr>
              <w:t>排除本條規定之適用。如客戶承作買入選擇權交易，有支付選擇權權利金以外之義務者，不在本條豁免之列。</w:t>
            </w:r>
          </w:p>
          <w:p w14:paraId="12DE6F29" w14:textId="4313CDDE" w:rsidR="00334005" w:rsidRDefault="007F04B5" w:rsidP="00787DF2">
            <w:pPr>
              <w:pStyle w:val="a3"/>
              <w:numPr>
                <w:ilvl w:val="0"/>
                <w:numId w:val="7"/>
              </w:numPr>
              <w:spacing w:line="240" w:lineRule="auto"/>
              <w:ind w:leftChars="0" w:left="492" w:hanging="492"/>
              <w:jc w:val="both"/>
              <w:rPr>
                <w:rFonts w:ascii="標楷體" w:eastAsia="標楷體" w:hAnsi="標楷體" w:cs="Times New Roman"/>
                <w:color w:val="000000"/>
              </w:rPr>
            </w:pPr>
            <w:r>
              <w:rPr>
                <w:rFonts w:ascii="標楷體" w:eastAsia="標楷體" w:hAnsi="標楷體" w:cs="Times New Roman" w:hint="eastAsia"/>
                <w:color w:val="000000"/>
              </w:rPr>
              <w:t>現行</w:t>
            </w:r>
            <w:r w:rsidR="00334005">
              <w:rPr>
                <w:rFonts w:ascii="標楷體" w:eastAsia="標楷體" w:hAnsi="標楷體" w:cs="Times New Roman"/>
                <w:color w:val="000000"/>
              </w:rPr>
              <w:t>條文第一項</w:t>
            </w:r>
            <w:r w:rsidR="003A09BA">
              <w:rPr>
                <w:rFonts w:ascii="標楷體" w:eastAsia="標楷體" w:hAnsi="標楷體" w:cs="Times New Roman"/>
                <w:color w:val="000000"/>
              </w:rPr>
              <w:t>及第四項</w:t>
            </w:r>
            <w:r w:rsidR="00334005">
              <w:rPr>
                <w:rFonts w:ascii="標楷體" w:eastAsia="標楷體" w:hAnsi="標楷體" w:cs="Times New Roman"/>
                <w:color w:val="000000"/>
              </w:rPr>
              <w:t>有關複雜性高風險商品之規範</w:t>
            </w:r>
            <w:r w:rsidR="00EA7152">
              <w:rPr>
                <w:rFonts w:ascii="標楷體" w:eastAsia="標楷體" w:hAnsi="標楷體" w:cs="Times New Roman"/>
                <w:color w:val="000000"/>
              </w:rPr>
              <w:t>，包括第一項第二款、第四款至第八款</w:t>
            </w:r>
            <w:r w:rsidR="003A09BA">
              <w:rPr>
                <w:rFonts w:ascii="標楷體" w:eastAsia="標楷體" w:hAnsi="標楷體" w:cs="Times New Roman"/>
                <w:color w:val="000000"/>
              </w:rPr>
              <w:t>、第四項，</w:t>
            </w:r>
            <w:r>
              <w:rPr>
                <w:rFonts w:ascii="標楷體" w:eastAsia="標楷體" w:hAnsi="標楷體" w:cs="Times New Roman" w:hint="eastAsia"/>
                <w:color w:val="000000"/>
              </w:rPr>
              <w:t>移列</w:t>
            </w:r>
            <w:r w:rsidR="003A09BA">
              <w:rPr>
                <w:rFonts w:ascii="標楷體" w:eastAsia="標楷體" w:hAnsi="標楷體" w:cs="Times New Roman"/>
                <w:color w:val="000000"/>
              </w:rPr>
              <w:t>至第二十五條之三</w:t>
            </w:r>
            <w:r w:rsidR="00992144">
              <w:rPr>
                <w:rFonts w:ascii="標楷體" w:eastAsia="標楷體" w:hAnsi="標楷體" w:cs="Times New Roman" w:hint="eastAsia"/>
                <w:color w:val="000000"/>
              </w:rPr>
              <w:t>，第一項其餘款次則依序遞升</w:t>
            </w:r>
            <w:r w:rsidR="00787DF2">
              <w:rPr>
                <w:rFonts w:ascii="標楷體" w:eastAsia="標楷體" w:hAnsi="標楷體" w:cs="Times New Roman" w:hint="eastAsia"/>
                <w:color w:val="000000"/>
              </w:rPr>
              <w:t>；</w:t>
            </w:r>
            <w:r w:rsidR="00817B40">
              <w:rPr>
                <w:rFonts w:ascii="標楷體" w:eastAsia="標楷體" w:hAnsi="標楷體" w:cs="Times New Roman" w:hint="eastAsia"/>
                <w:color w:val="000000"/>
              </w:rPr>
              <w:t>現行條文</w:t>
            </w:r>
            <w:r w:rsidR="00787DF2">
              <w:rPr>
                <w:rFonts w:ascii="標楷體" w:eastAsia="標楷體" w:hAnsi="標楷體" w:cs="Times New Roman" w:hint="eastAsia"/>
                <w:color w:val="000000"/>
              </w:rPr>
              <w:t>第二項移列至</w:t>
            </w:r>
            <w:r w:rsidR="00817B40">
              <w:rPr>
                <w:rFonts w:ascii="標楷體" w:eastAsia="標楷體" w:hAnsi="標楷體" w:cs="Times New Roman" w:hint="eastAsia"/>
                <w:color w:val="000000"/>
              </w:rPr>
              <w:t>修正條文</w:t>
            </w:r>
            <w:r w:rsidR="00787DF2">
              <w:rPr>
                <w:rFonts w:ascii="標楷體" w:eastAsia="標楷體" w:hAnsi="標楷體" w:cs="Times New Roman" w:hint="eastAsia"/>
                <w:color w:val="000000"/>
              </w:rPr>
              <w:t>第二十五條之二第二項，並酌作文字修正</w:t>
            </w:r>
            <w:r w:rsidR="00334005">
              <w:rPr>
                <w:rFonts w:ascii="標楷體" w:eastAsia="標楷體" w:hAnsi="標楷體" w:cs="Times New Roman" w:hint="eastAsia"/>
                <w:color w:val="000000"/>
              </w:rPr>
              <w:t>。</w:t>
            </w:r>
            <w:r w:rsidR="00787DF2">
              <w:rPr>
                <w:rFonts w:ascii="標楷體" w:eastAsia="標楷體" w:hAnsi="標楷體" w:cs="Times New Roman" w:hint="eastAsia"/>
                <w:color w:val="000000"/>
              </w:rPr>
              <w:t>另</w:t>
            </w:r>
            <w:r w:rsidR="00787DF2" w:rsidRPr="00787DF2">
              <w:rPr>
                <w:rFonts w:ascii="標楷體" w:eastAsia="標楷體" w:hAnsi="標楷體" w:cs="Times New Roman" w:hint="eastAsia"/>
                <w:color w:val="000000"/>
              </w:rPr>
              <w:t>證券商辦理</w:t>
            </w:r>
            <w:r w:rsidR="00787DF2">
              <w:rPr>
                <w:rFonts w:ascii="標楷體" w:eastAsia="標楷體" w:hAnsi="標楷體" w:cs="Times New Roman" w:hint="eastAsia"/>
                <w:color w:val="000000"/>
              </w:rPr>
              <w:t>衍生性金融商品交易服</w:t>
            </w:r>
            <w:r w:rsidR="000D26FD">
              <w:rPr>
                <w:rFonts w:ascii="標楷體" w:eastAsia="標楷體" w:hAnsi="標楷體" w:cs="Times New Roman" w:hint="eastAsia"/>
                <w:color w:val="000000"/>
              </w:rPr>
              <w:t>務及提供複雜性高風險商品交易</w:t>
            </w:r>
            <w:r w:rsidR="00787DF2">
              <w:rPr>
                <w:rFonts w:ascii="標楷體" w:eastAsia="標楷體" w:hAnsi="標楷體" w:cs="Times New Roman" w:hint="eastAsia"/>
                <w:color w:val="000000"/>
              </w:rPr>
              <w:t>之作業規範，已</w:t>
            </w:r>
            <w:r w:rsidR="000D26FD">
              <w:rPr>
                <w:rFonts w:ascii="標楷體" w:eastAsia="標楷體" w:hAnsi="標楷體" w:cs="Times New Roman" w:hint="eastAsia"/>
                <w:color w:val="000000"/>
              </w:rPr>
              <w:t>分別</w:t>
            </w:r>
            <w:r w:rsidR="00787DF2">
              <w:rPr>
                <w:rFonts w:ascii="標楷體" w:eastAsia="標楷體" w:hAnsi="標楷體" w:cs="Times New Roman" w:hint="eastAsia"/>
                <w:color w:val="000000"/>
              </w:rPr>
              <w:t>訂定於</w:t>
            </w:r>
            <w:r w:rsidR="00817B40">
              <w:rPr>
                <w:rFonts w:ascii="標楷體" w:eastAsia="標楷體" w:hAnsi="標楷體" w:cs="Times New Roman" w:hint="eastAsia"/>
                <w:color w:val="000000"/>
              </w:rPr>
              <w:t>修正條文</w:t>
            </w:r>
            <w:r w:rsidR="00787DF2">
              <w:rPr>
                <w:rFonts w:ascii="標楷體" w:eastAsia="標楷體" w:hAnsi="標楷體" w:cs="Times New Roman" w:hint="eastAsia"/>
                <w:color w:val="000000"/>
              </w:rPr>
              <w:t>第二十五條第一項及第二十五條之三，爰刪除</w:t>
            </w:r>
            <w:r w:rsidR="00817B40">
              <w:rPr>
                <w:rFonts w:ascii="標楷體" w:eastAsia="標楷體" w:hAnsi="標楷體" w:cs="Times New Roman" w:hint="eastAsia"/>
                <w:color w:val="000000"/>
              </w:rPr>
              <w:t>現行條文</w:t>
            </w:r>
            <w:r w:rsidR="00787DF2">
              <w:rPr>
                <w:rFonts w:ascii="標楷體" w:eastAsia="標楷體" w:hAnsi="標楷體" w:cs="Times New Roman" w:hint="eastAsia"/>
                <w:color w:val="000000"/>
              </w:rPr>
              <w:t>第三項規定。</w:t>
            </w:r>
          </w:p>
          <w:p w14:paraId="7A5B3974" w14:textId="69CDA1AD" w:rsidR="00EA7152" w:rsidRDefault="00574E09" w:rsidP="00574E09">
            <w:pPr>
              <w:pStyle w:val="a3"/>
              <w:numPr>
                <w:ilvl w:val="0"/>
                <w:numId w:val="7"/>
              </w:numPr>
              <w:spacing w:line="240" w:lineRule="auto"/>
              <w:ind w:leftChars="0" w:left="492" w:hanging="492"/>
              <w:jc w:val="both"/>
              <w:rPr>
                <w:rFonts w:ascii="標楷體" w:eastAsia="標楷體" w:hAnsi="標楷體" w:cs="Times New Roman"/>
                <w:color w:val="000000"/>
              </w:rPr>
            </w:pPr>
            <w:r w:rsidRPr="00897A7E">
              <w:rPr>
                <w:rFonts w:ascii="標楷體" w:eastAsia="標楷體" w:hAnsi="標楷體" w:cs="Times New Roman"/>
                <w:color w:val="000000"/>
              </w:rPr>
              <w:t>參考</w:t>
            </w:r>
            <w:r w:rsidR="00EA7152">
              <w:rPr>
                <w:rFonts w:ascii="標楷體" w:eastAsia="標楷體" w:hAnsi="標楷體" w:cs="Times New Roman"/>
                <w:color w:val="000000"/>
              </w:rPr>
              <w:t>銀行辦理衍生性金融商品業務內部作業制度及程序管理辦法第二十條第</w:t>
            </w:r>
            <w:r w:rsidR="00EA7152">
              <w:rPr>
                <w:rFonts w:ascii="標楷體" w:eastAsia="標楷體" w:hAnsi="標楷體" w:cs="Times New Roman"/>
                <w:color w:val="000000"/>
              </w:rPr>
              <w:lastRenderedPageBreak/>
              <w:t>四</w:t>
            </w:r>
            <w:r w:rsidRPr="00897A7E">
              <w:rPr>
                <w:rFonts w:ascii="標楷體" w:eastAsia="標楷體" w:hAnsi="標楷體" w:cs="Times New Roman"/>
                <w:color w:val="000000"/>
              </w:rPr>
              <w:t>項</w:t>
            </w:r>
            <w:r w:rsidR="00EA7152">
              <w:rPr>
                <w:rFonts w:ascii="標楷體" w:eastAsia="標楷體" w:hAnsi="標楷體" w:cs="Times New Roman"/>
                <w:color w:val="000000"/>
              </w:rPr>
              <w:t>，</w:t>
            </w:r>
            <w:r w:rsidR="007F04B5">
              <w:rPr>
                <w:rFonts w:ascii="標楷體" w:eastAsia="標楷體" w:hAnsi="標楷體" w:cs="Times New Roman" w:hint="eastAsia"/>
                <w:color w:val="000000"/>
              </w:rPr>
              <w:t>明定證券商</w:t>
            </w:r>
            <w:r w:rsidR="00EA7152">
              <w:rPr>
                <w:rFonts w:ascii="標楷體" w:eastAsia="標楷體" w:hAnsi="標楷體" w:cs="Times New Roman"/>
                <w:color w:val="000000"/>
              </w:rPr>
              <w:t>應參酌其他金</w:t>
            </w:r>
            <w:r w:rsidR="007F04B5">
              <w:rPr>
                <w:rFonts w:ascii="標楷體" w:eastAsia="標楷體" w:hAnsi="標楷體" w:cs="Times New Roman" w:hint="eastAsia"/>
                <w:color w:val="000000"/>
              </w:rPr>
              <w:t>融</w:t>
            </w:r>
            <w:r w:rsidR="00EA7152">
              <w:rPr>
                <w:rFonts w:ascii="標楷體" w:eastAsia="標楷體" w:hAnsi="標楷體" w:cs="Times New Roman"/>
                <w:color w:val="000000"/>
              </w:rPr>
              <w:t>機構承作衍生性金融商品之額度，審慎核給客戶交易額度避免客戶整體暴險情形超過其風險承擔能力之規定</w:t>
            </w:r>
            <w:r w:rsidR="00334005">
              <w:rPr>
                <w:rFonts w:ascii="標楷體" w:eastAsia="標楷體" w:hAnsi="標楷體" w:cs="Times New Roman"/>
                <w:color w:val="000000"/>
              </w:rPr>
              <w:t>，</w:t>
            </w:r>
            <w:r w:rsidR="007F04B5">
              <w:rPr>
                <w:rFonts w:ascii="標楷體" w:eastAsia="標楷體" w:hAnsi="標楷體" w:cs="Times New Roman" w:hint="eastAsia"/>
                <w:color w:val="000000"/>
              </w:rPr>
              <w:t>爰</w:t>
            </w:r>
            <w:r w:rsidR="00EA7152">
              <w:rPr>
                <w:rFonts w:ascii="標楷體" w:eastAsia="標楷體" w:hAnsi="標楷體" w:cs="Times New Roman" w:hint="eastAsia"/>
                <w:color w:val="000000"/>
              </w:rPr>
              <w:t>增訂第一項第三款規定。</w:t>
            </w:r>
          </w:p>
          <w:p w14:paraId="18B814DF" w14:textId="77777777" w:rsidR="00334005" w:rsidRDefault="00EA7152" w:rsidP="00574E09">
            <w:pPr>
              <w:pStyle w:val="a3"/>
              <w:numPr>
                <w:ilvl w:val="0"/>
                <w:numId w:val="7"/>
              </w:numPr>
              <w:spacing w:line="240" w:lineRule="auto"/>
              <w:ind w:leftChars="0" w:left="492" w:hanging="492"/>
              <w:jc w:val="both"/>
              <w:rPr>
                <w:rFonts w:ascii="標楷體" w:eastAsia="標楷體" w:hAnsi="標楷體" w:cs="Times New Roman"/>
                <w:color w:val="000000"/>
              </w:rPr>
            </w:pPr>
            <w:r>
              <w:rPr>
                <w:rFonts w:ascii="標楷體" w:eastAsia="標楷體" w:hAnsi="標楷體" w:cs="Times New Roman"/>
                <w:color w:val="000000"/>
              </w:rPr>
              <w:t>參考</w:t>
            </w:r>
            <w:r w:rsidR="00334005" w:rsidRPr="00FF401F">
              <w:rPr>
                <w:rFonts w:ascii="標楷體" w:eastAsia="標楷體" w:hAnsi="標楷體" w:cs="Times New Roman"/>
                <w:color w:val="000000"/>
              </w:rPr>
              <w:t>銀行辦理衍生性金融商品自律規範第二十五條</w:t>
            </w:r>
            <w:r>
              <w:rPr>
                <w:rFonts w:ascii="標楷體" w:eastAsia="標楷體" w:hAnsi="標楷體" w:cs="Times New Roman"/>
                <w:color w:val="000000"/>
              </w:rPr>
              <w:t>第六款有關定期提供客戶交易部位之市價評估資訊</w:t>
            </w:r>
            <w:r w:rsidR="00334005">
              <w:rPr>
                <w:rFonts w:ascii="標楷體" w:eastAsia="標楷體" w:hAnsi="標楷體" w:cs="Times New Roman"/>
                <w:color w:val="000000"/>
              </w:rPr>
              <w:t>規定</w:t>
            </w:r>
            <w:r w:rsidR="00334005" w:rsidRPr="00FF401F">
              <w:rPr>
                <w:rFonts w:ascii="標楷體" w:eastAsia="標楷體" w:hAnsi="標楷體" w:cs="Times New Roman"/>
                <w:color w:val="000000"/>
              </w:rPr>
              <w:t>，</w:t>
            </w:r>
            <w:r>
              <w:rPr>
                <w:rFonts w:ascii="標楷體" w:eastAsia="標楷體" w:hAnsi="標楷體" w:cs="Times New Roman"/>
                <w:color w:val="000000"/>
              </w:rPr>
              <w:t>增訂</w:t>
            </w:r>
            <w:r w:rsidR="00334005">
              <w:rPr>
                <w:rFonts w:ascii="標楷體" w:eastAsia="標楷體" w:hAnsi="標楷體" w:cs="Times New Roman"/>
                <w:color w:val="000000"/>
              </w:rPr>
              <w:t>第一項</w:t>
            </w:r>
            <w:r>
              <w:rPr>
                <w:rFonts w:ascii="標楷體" w:eastAsia="標楷體" w:hAnsi="標楷體" w:cs="Times New Roman"/>
                <w:color w:val="000000"/>
              </w:rPr>
              <w:t>第五款</w:t>
            </w:r>
            <w:r w:rsidR="00334005">
              <w:rPr>
                <w:rFonts w:ascii="標楷體" w:eastAsia="標楷體" w:hAnsi="標楷體" w:cs="Times New Roman"/>
                <w:color w:val="000000"/>
              </w:rPr>
              <w:t>規定。</w:t>
            </w:r>
          </w:p>
          <w:p w14:paraId="6905810E" w14:textId="3DC30826" w:rsidR="002B1ECA" w:rsidRDefault="00334005" w:rsidP="00574E09">
            <w:pPr>
              <w:pStyle w:val="a3"/>
              <w:numPr>
                <w:ilvl w:val="0"/>
                <w:numId w:val="7"/>
              </w:numPr>
              <w:spacing w:line="240" w:lineRule="auto"/>
              <w:ind w:leftChars="0" w:left="492" w:hanging="492"/>
              <w:jc w:val="both"/>
              <w:rPr>
                <w:rFonts w:ascii="標楷體" w:eastAsia="標楷體" w:hAnsi="標楷體" w:cs="Times New Roman"/>
                <w:color w:val="000000"/>
              </w:rPr>
            </w:pPr>
            <w:r>
              <w:rPr>
                <w:rFonts w:ascii="標楷體" w:eastAsia="標楷體" w:hAnsi="標楷體" w:cs="Times New Roman"/>
                <w:color w:val="000000"/>
              </w:rPr>
              <w:t>參考</w:t>
            </w:r>
            <w:r w:rsidR="00574E09" w:rsidRPr="00897A7E">
              <w:rPr>
                <w:rFonts w:ascii="標楷體" w:eastAsia="標楷體" w:hAnsi="標楷體" w:cs="Times New Roman"/>
                <w:color w:val="000000"/>
              </w:rPr>
              <w:t>金融監督管理委員會</w:t>
            </w:r>
            <w:r w:rsidR="00574E09">
              <w:rPr>
                <w:rFonts w:ascii="標楷體" w:eastAsia="標楷體" w:hAnsi="標楷體" w:cs="Times New Roman" w:hint="eastAsia"/>
                <w:color w:val="000000"/>
              </w:rPr>
              <w:t>106</w:t>
            </w:r>
            <w:r w:rsidR="00574E09" w:rsidRPr="00897A7E">
              <w:rPr>
                <w:rFonts w:ascii="標楷體" w:eastAsia="標楷體" w:hAnsi="標楷體" w:cs="Times New Roman" w:hint="eastAsia"/>
                <w:color w:val="000000"/>
              </w:rPr>
              <w:t>年</w:t>
            </w:r>
            <w:r w:rsidR="00574E09">
              <w:rPr>
                <w:rFonts w:ascii="標楷體" w:eastAsia="標楷體" w:hAnsi="標楷體" w:cs="Times New Roman" w:hint="eastAsia"/>
                <w:color w:val="000000"/>
              </w:rPr>
              <w:t>6</w:t>
            </w:r>
            <w:r w:rsidR="00574E09" w:rsidRPr="00897A7E">
              <w:rPr>
                <w:rFonts w:ascii="標楷體" w:eastAsia="標楷體" w:hAnsi="標楷體" w:cs="Times New Roman"/>
                <w:color w:val="000000"/>
              </w:rPr>
              <w:t>月</w:t>
            </w:r>
            <w:r w:rsidR="00574E09">
              <w:rPr>
                <w:rFonts w:ascii="標楷體" w:eastAsia="標楷體" w:hAnsi="標楷體" w:cs="Times New Roman" w:hint="eastAsia"/>
                <w:color w:val="000000"/>
              </w:rPr>
              <w:t>20</w:t>
            </w:r>
            <w:r w:rsidR="00574E09" w:rsidRPr="00897A7E">
              <w:rPr>
                <w:rFonts w:ascii="標楷體" w:eastAsia="標楷體" w:hAnsi="標楷體" w:cs="Times New Roman" w:hint="eastAsia"/>
                <w:color w:val="000000"/>
              </w:rPr>
              <w:t>日金管銀外字第</w:t>
            </w:r>
            <w:r w:rsidR="00574E09">
              <w:rPr>
                <w:rFonts w:ascii="標楷體" w:eastAsia="標楷體" w:hAnsi="標楷體" w:cs="Times New Roman"/>
                <w:color w:val="000000"/>
              </w:rPr>
              <w:t>10600064740</w:t>
            </w:r>
            <w:r w:rsidR="00574E09" w:rsidRPr="00897A7E">
              <w:rPr>
                <w:rFonts w:ascii="標楷體" w:eastAsia="標楷體" w:hAnsi="標楷體" w:cs="Times New Roman" w:hint="eastAsia"/>
                <w:color w:val="000000"/>
              </w:rPr>
              <w:t>號令</w:t>
            </w:r>
            <w:r w:rsidR="002B1ECA">
              <w:rPr>
                <w:rFonts w:ascii="標楷體" w:eastAsia="標楷體" w:hAnsi="標楷體" w:cs="Times New Roman" w:hint="eastAsia"/>
                <w:color w:val="000000"/>
              </w:rPr>
              <w:t>第二點，</w:t>
            </w:r>
            <w:r w:rsidR="00D76C19">
              <w:rPr>
                <w:rFonts w:ascii="標楷體" w:eastAsia="標楷體" w:hAnsi="標楷體" w:cs="Times New Roman" w:hint="eastAsia"/>
                <w:color w:val="000000"/>
              </w:rPr>
              <w:t>明定</w:t>
            </w:r>
            <w:r w:rsidR="002B1ECA">
              <w:rPr>
                <w:rFonts w:ascii="標楷體" w:eastAsia="標楷體" w:hAnsi="標楷體" w:cs="Times New Roman" w:hint="eastAsia"/>
                <w:color w:val="000000"/>
              </w:rPr>
              <w:t>向客戶徵提或追繳保證金機制及收取保證金方式之規定，</w:t>
            </w:r>
            <w:r w:rsidR="00D76C19">
              <w:rPr>
                <w:rFonts w:ascii="標楷體" w:eastAsia="標楷體" w:hAnsi="標楷體" w:cs="Times New Roman" w:hint="eastAsia"/>
                <w:color w:val="000000"/>
              </w:rPr>
              <w:t>爰</w:t>
            </w:r>
            <w:r w:rsidR="002B1ECA">
              <w:rPr>
                <w:rFonts w:ascii="標楷體" w:eastAsia="標楷體" w:hAnsi="標楷體" w:cs="Times New Roman" w:hint="eastAsia"/>
                <w:color w:val="000000"/>
              </w:rPr>
              <w:t>增訂</w:t>
            </w:r>
            <w:r w:rsidR="0054036A">
              <w:rPr>
                <w:rFonts w:ascii="標楷體" w:eastAsia="標楷體" w:hAnsi="標楷體" w:cs="Times New Roman" w:hint="eastAsia"/>
                <w:color w:val="000000"/>
              </w:rPr>
              <w:t>修正條文</w:t>
            </w:r>
            <w:r w:rsidR="002B1ECA">
              <w:rPr>
                <w:rFonts w:ascii="標楷體" w:eastAsia="標楷體" w:hAnsi="標楷體" w:cs="Times New Roman" w:hint="eastAsia"/>
                <w:color w:val="000000"/>
              </w:rPr>
              <w:t>第二項規定。</w:t>
            </w:r>
          </w:p>
          <w:p w14:paraId="7140ED68" w14:textId="33EDD176" w:rsidR="00574E09" w:rsidRPr="00897A7E" w:rsidRDefault="00197F5F" w:rsidP="00197F5F">
            <w:pPr>
              <w:pStyle w:val="a3"/>
              <w:numPr>
                <w:ilvl w:val="0"/>
                <w:numId w:val="7"/>
              </w:numPr>
              <w:spacing w:line="240" w:lineRule="auto"/>
              <w:ind w:leftChars="0" w:left="492" w:hanging="492"/>
              <w:jc w:val="both"/>
              <w:rPr>
                <w:rFonts w:ascii="標楷體" w:eastAsia="標楷體" w:hAnsi="標楷體" w:cs="Times New Roman"/>
                <w:color w:val="000000"/>
              </w:rPr>
            </w:pPr>
            <w:r w:rsidRPr="00BC77B0">
              <w:rPr>
                <w:rFonts w:ascii="標楷體" w:eastAsia="標楷體" w:hAnsi="標楷體" w:hint="eastAsia"/>
              </w:rPr>
              <w:t>參考</w:t>
            </w:r>
            <w:r w:rsidR="00D76C19" w:rsidRPr="00BC77B0">
              <w:rPr>
                <w:rFonts w:ascii="標楷體" w:eastAsia="標楷體" w:hAnsi="標楷體" w:hint="eastAsia"/>
              </w:rPr>
              <w:t>金融監督管理委員會</w:t>
            </w:r>
            <w:r w:rsidRPr="00BC77B0">
              <w:rPr>
                <w:rFonts w:ascii="標楷體" w:eastAsia="標楷體" w:hAnsi="標楷體" w:cs="Times New Roman"/>
                <w:color w:val="000000"/>
              </w:rPr>
              <w:t>106年6月20日金</w:t>
            </w:r>
            <w:r w:rsidRPr="00BC77B0">
              <w:rPr>
                <w:rFonts w:ascii="標楷體" w:eastAsia="標楷體" w:hAnsi="標楷體" w:cs="Times New Roman" w:hint="eastAsia"/>
                <w:color w:val="000000"/>
              </w:rPr>
              <w:t>管銀外字第</w:t>
            </w:r>
            <w:r w:rsidRPr="00BC77B0">
              <w:rPr>
                <w:rFonts w:ascii="標楷體" w:eastAsia="標楷體" w:hAnsi="標楷體" w:cs="Times New Roman"/>
                <w:color w:val="000000"/>
              </w:rPr>
              <w:t>10600064740</w:t>
            </w:r>
            <w:r w:rsidRPr="00BC77B0">
              <w:rPr>
                <w:rFonts w:ascii="標楷體" w:eastAsia="標楷體" w:hAnsi="標楷體" w:cs="Times New Roman" w:hint="eastAsia"/>
                <w:color w:val="000000"/>
              </w:rPr>
              <w:t>號令，給予公告後六個月實施之緩衝期間，</w:t>
            </w:r>
            <w:r w:rsidRPr="00D3382B">
              <w:rPr>
                <w:rFonts w:ascii="標楷體" w:eastAsia="標楷體" w:hAnsi="標楷體" w:cs="Times New Roman" w:hint="eastAsia"/>
                <w:color w:val="000000"/>
              </w:rPr>
              <w:t>另</w:t>
            </w:r>
            <w:r w:rsidR="00574E09" w:rsidRPr="00897A7E">
              <w:rPr>
                <w:rFonts w:ascii="標楷體" w:eastAsia="標楷體" w:hAnsi="標楷體" w:hint="eastAsia"/>
              </w:rPr>
              <w:t>有關證券商於本條規定生效日前與客戶辦理之衍生性金融商品交易，迄生效日仍存續者，得依證券商與客戶雙方原約定之擔保品或保證金徵提與追繳機制辦理至到期。</w:t>
            </w:r>
          </w:p>
        </w:tc>
      </w:tr>
      <w:tr w:rsidR="00C56037" w:rsidRPr="00390667" w14:paraId="5E258B0E" w14:textId="77777777" w:rsidTr="00915618">
        <w:trPr>
          <w:trHeight w:val="535"/>
        </w:trPr>
        <w:tc>
          <w:tcPr>
            <w:tcW w:w="3355" w:type="dxa"/>
            <w:tcBorders>
              <w:top w:val="single" w:sz="4" w:space="0" w:color="auto"/>
              <w:left w:val="single" w:sz="4" w:space="0" w:color="auto"/>
              <w:bottom w:val="single" w:sz="4" w:space="0" w:color="auto"/>
              <w:right w:val="single" w:sz="4" w:space="0" w:color="auto"/>
            </w:tcBorders>
          </w:tcPr>
          <w:p w14:paraId="5ED1404C" w14:textId="77777777" w:rsidR="00C56037" w:rsidRPr="000C0EFE" w:rsidRDefault="00C56037" w:rsidP="00C56037">
            <w:pPr>
              <w:snapToGrid w:val="0"/>
              <w:spacing w:line="300" w:lineRule="auto"/>
              <w:jc w:val="both"/>
              <w:rPr>
                <w:rFonts w:ascii="標楷體" w:eastAsia="標楷體" w:hAnsi="標楷體"/>
                <w:b/>
              </w:rPr>
            </w:pPr>
            <w:r>
              <w:rPr>
                <w:rFonts w:ascii="標楷體" w:eastAsia="標楷體" w:hAnsi="標楷體"/>
                <w:b/>
              </w:rPr>
              <w:lastRenderedPageBreak/>
              <w:t>第二十五</w:t>
            </w:r>
            <w:r w:rsidR="006D7660" w:rsidRPr="000C0EFE">
              <w:rPr>
                <w:rFonts w:ascii="標楷體" w:eastAsia="標楷體" w:hAnsi="標楷體"/>
                <w:b/>
              </w:rPr>
              <w:t>條</w:t>
            </w:r>
            <w:r>
              <w:rPr>
                <w:rFonts w:ascii="標楷體" w:eastAsia="標楷體" w:hAnsi="標楷體"/>
                <w:b/>
              </w:rPr>
              <w:t>之一</w:t>
            </w:r>
          </w:p>
          <w:p w14:paraId="1C9C908F" w14:textId="77777777" w:rsidR="00C56037" w:rsidRDefault="00C56037" w:rsidP="00C56037">
            <w:pPr>
              <w:snapToGrid w:val="0"/>
              <w:spacing w:line="300" w:lineRule="auto"/>
              <w:ind w:firstLineChars="200" w:firstLine="480"/>
              <w:jc w:val="both"/>
              <w:rPr>
                <w:rFonts w:ascii="標楷體" w:eastAsia="標楷體" w:hAnsi="標楷體"/>
                <w:b/>
              </w:rPr>
            </w:pPr>
            <w:r w:rsidRPr="000F5E41">
              <w:rPr>
                <w:rFonts w:ascii="標楷體" w:eastAsia="標楷體" w:hAnsi="標楷體" w:hint="eastAsia"/>
                <w:b/>
              </w:rPr>
              <w:t>證券商向專業機構投資人及高淨值投資法人以外之客戶提供複雜性高風險商品</w:t>
            </w:r>
            <w:r>
              <w:rPr>
                <w:rFonts w:ascii="標楷體" w:eastAsia="標楷體" w:hAnsi="標楷體" w:hint="eastAsia"/>
                <w:b/>
              </w:rPr>
              <w:t>及隱含賣出選擇權之匯率類衍生性金融商品交易，應向客戶徵提期初保證金</w:t>
            </w:r>
            <w:r w:rsidRPr="000F5E41">
              <w:rPr>
                <w:rFonts w:ascii="標楷體" w:eastAsia="標楷體" w:hAnsi="標楷體" w:hint="eastAsia"/>
                <w:b/>
              </w:rPr>
              <w:t>，</w:t>
            </w:r>
            <w:r>
              <w:rPr>
                <w:rFonts w:ascii="標楷體" w:eastAsia="標楷體" w:hAnsi="標楷體" w:hint="eastAsia"/>
                <w:b/>
              </w:rPr>
              <w:t>並符合下列規定：</w:t>
            </w:r>
          </w:p>
          <w:p w14:paraId="3D627579" w14:textId="77777777" w:rsidR="00C56037" w:rsidRDefault="00C56037" w:rsidP="00C56037">
            <w:pPr>
              <w:pStyle w:val="a3"/>
              <w:numPr>
                <w:ilvl w:val="0"/>
                <w:numId w:val="30"/>
              </w:numPr>
              <w:snapToGrid w:val="0"/>
              <w:spacing w:line="300" w:lineRule="auto"/>
              <w:ind w:leftChars="0" w:left="539" w:hanging="539"/>
              <w:jc w:val="both"/>
              <w:rPr>
                <w:rFonts w:ascii="標楷體" w:eastAsia="標楷體" w:hAnsi="標楷體"/>
                <w:b/>
              </w:rPr>
            </w:pPr>
            <w:r w:rsidRPr="000F5E41">
              <w:rPr>
                <w:rFonts w:ascii="標楷體" w:eastAsia="標楷體" w:hAnsi="標楷體" w:hint="eastAsia"/>
                <w:b/>
              </w:rPr>
              <w:t>複雜性高風險商品</w:t>
            </w:r>
            <w:r>
              <w:rPr>
                <w:rFonts w:ascii="標楷體" w:eastAsia="標楷體" w:hAnsi="標楷體" w:hint="eastAsia"/>
                <w:b/>
              </w:rPr>
              <w:t>：每筆交易之期初保證金金額，不得低於契約總名目本金（應加計槓桿倍數與比價</w:t>
            </w:r>
            <w:r>
              <w:rPr>
                <w:rFonts w:ascii="標楷體" w:eastAsia="標楷體" w:hAnsi="標楷體" w:hint="eastAsia"/>
                <w:b/>
              </w:rPr>
              <w:lastRenderedPageBreak/>
              <w:t>期數）之百分之二。</w:t>
            </w:r>
          </w:p>
          <w:p w14:paraId="05416D4A" w14:textId="77777777" w:rsidR="00C56037" w:rsidRDefault="00C56037" w:rsidP="00C56037">
            <w:pPr>
              <w:pStyle w:val="a3"/>
              <w:numPr>
                <w:ilvl w:val="0"/>
                <w:numId w:val="30"/>
              </w:numPr>
              <w:snapToGrid w:val="0"/>
              <w:spacing w:line="300" w:lineRule="auto"/>
              <w:ind w:leftChars="0" w:left="539" w:hanging="539"/>
              <w:jc w:val="both"/>
              <w:rPr>
                <w:rFonts w:ascii="標楷體" w:eastAsia="標楷體" w:hAnsi="標楷體"/>
                <w:b/>
              </w:rPr>
            </w:pPr>
            <w:r>
              <w:rPr>
                <w:rFonts w:ascii="標楷體" w:eastAsia="標楷體" w:hAnsi="標楷體" w:hint="eastAsia"/>
                <w:b/>
              </w:rPr>
              <w:t>隱含賣出選擇權之匯率類衍生性金融商品：</w:t>
            </w:r>
          </w:p>
          <w:p w14:paraId="3A0A6A8D" w14:textId="77777777" w:rsidR="00C56037" w:rsidRDefault="00C56037" w:rsidP="00C56037">
            <w:pPr>
              <w:pStyle w:val="a3"/>
              <w:numPr>
                <w:ilvl w:val="1"/>
                <w:numId w:val="30"/>
              </w:numPr>
              <w:snapToGrid w:val="0"/>
              <w:spacing w:line="300" w:lineRule="auto"/>
              <w:ind w:leftChars="0" w:left="681" w:hanging="567"/>
              <w:jc w:val="both"/>
              <w:rPr>
                <w:rFonts w:ascii="標楷體" w:eastAsia="標楷體" w:hAnsi="標楷體"/>
                <w:b/>
              </w:rPr>
            </w:pPr>
            <w:r>
              <w:rPr>
                <w:rFonts w:ascii="標楷體" w:eastAsia="標楷體" w:hAnsi="標楷體"/>
                <w:b/>
              </w:rPr>
              <w:t>商品期限一年以下者：每筆交易之期初保證金金額，不得低於</w:t>
            </w:r>
            <w:r>
              <w:rPr>
                <w:rFonts w:ascii="標楷體" w:eastAsia="標楷體" w:hAnsi="標楷體" w:hint="eastAsia"/>
                <w:b/>
              </w:rPr>
              <w:t>契約總名目本金（應加計槓桿倍數與比價期數）之百分之二。</w:t>
            </w:r>
          </w:p>
          <w:p w14:paraId="3CA685AE" w14:textId="77777777" w:rsidR="006D7660" w:rsidRDefault="00C56037" w:rsidP="00C56037">
            <w:pPr>
              <w:pStyle w:val="a3"/>
              <w:numPr>
                <w:ilvl w:val="1"/>
                <w:numId w:val="30"/>
              </w:numPr>
              <w:snapToGrid w:val="0"/>
              <w:spacing w:line="300" w:lineRule="auto"/>
              <w:ind w:leftChars="0" w:left="681" w:hanging="567"/>
              <w:jc w:val="both"/>
              <w:rPr>
                <w:rFonts w:ascii="標楷體" w:eastAsia="標楷體" w:hAnsi="標楷體"/>
                <w:b/>
              </w:rPr>
            </w:pPr>
            <w:r w:rsidRPr="00C56037">
              <w:rPr>
                <w:rFonts w:ascii="標楷體" w:eastAsia="標楷體" w:hAnsi="標楷體" w:hint="eastAsia"/>
                <w:b/>
              </w:rPr>
              <w:t>商品期限逾一年者：</w:t>
            </w:r>
            <w:r w:rsidRPr="00C56037">
              <w:rPr>
                <w:rFonts w:ascii="標楷體" w:eastAsia="標楷體" w:hAnsi="標楷體"/>
                <w:b/>
              </w:rPr>
              <w:t>每筆交易之期初保證金金額，不得低於</w:t>
            </w:r>
            <w:r w:rsidRPr="00C56037">
              <w:rPr>
                <w:rFonts w:ascii="標楷體" w:eastAsia="標楷體" w:hAnsi="標楷體" w:hint="eastAsia"/>
                <w:b/>
              </w:rPr>
              <w:t>契約總名目本金（應加計槓桿倍數與比價期數）之百分之五。</w:t>
            </w:r>
          </w:p>
          <w:p w14:paraId="5B63319C" w14:textId="77777777" w:rsidR="00C56037" w:rsidRPr="006D7660" w:rsidRDefault="00C56037" w:rsidP="006D7660">
            <w:pPr>
              <w:pStyle w:val="a3"/>
              <w:numPr>
                <w:ilvl w:val="0"/>
                <w:numId w:val="30"/>
              </w:numPr>
              <w:snapToGrid w:val="0"/>
              <w:spacing w:line="300" w:lineRule="auto"/>
              <w:ind w:leftChars="0"/>
              <w:jc w:val="both"/>
              <w:rPr>
                <w:rFonts w:ascii="標楷體" w:eastAsia="標楷體" w:hAnsi="標楷體"/>
                <w:b/>
              </w:rPr>
            </w:pPr>
            <w:r w:rsidRPr="006D7660">
              <w:rPr>
                <w:rFonts w:ascii="標楷體" w:eastAsia="標楷體" w:hAnsi="標楷體"/>
                <w:b/>
              </w:rPr>
              <w:t>前款匯率類衍生性金融商品，不包括陽春型遠期外匯、換匯交易、換匯換利交   易、及客戶除給付權利金外並無任何給付義務之組合式匯率選擇權商品。</w:t>
            </w:r>
          </w:p>
        </w:tc>
        <w:tc>
          <w:tcPr>
            <w:tcW w:w="3355" w:type="dxa"/>
            <w:tcBorders>
              <w:top w:val="single" w:sz="4" w:space="0" w:color="auto"/>
              <w:left w:val="single" w:sz="4" w:space="0" w:color="auto"/>
              <w:bottom w:val="single" w:sz="4" w:space="0" w:color="auto"/>
              <w:right w:val="single" w:sz="4" w:space="0" w:color="auto"/>
            </w:tcBorders>
          </w:tcPr>
          <w:p w14:paraId="07731FDE" w14:textId="77777777" w:rsidR="00C56037" w:rsidRPr="008B23B4" w:rsidRDefault="00C56037" w:rsidP="00574E09">
            <w:pPr>
              <w:adjustRightInd w:val="0"/>
              <w:snapToGrid w:val="0"/>
              <w:spacing w:line="300" w:lineRule="auto"/>
              <w:jc w:val="both"/>
              <w:rPr>
                <w:rFonts w:ascii="Times New Roman" w:eastAsia="標楷體" w:hAnsi="Times New Roman" w:cs="Times New Roman"/>
                <w:snapToGrid w:val="0"/>
                <w:kern w:val="0"/>
              </w:rPr>
            </w:pPr>
          </w:p>
        </w:tc>
        <w:tc>
          <w:tcPr>
            <w:tcW w:w="3355" w:type="dxa"/>
            <w:tcBorders>
              <w:top w:val="single" w:sz="4" w:space="0" w:color="auto"/>
              <w:left w:val="single" w:sz="4" w:space="0" w:color="auto"/>
              <w:bottom w:val="single" w:sz="4" w:space="0" w:color="auto"/>
              <w:right w:val="single" w:sz="4" w:space="0" w:color="auto"/>
            </w:tcBorders>
          </w:tcPr>
          <w:p w14:paraId="669A343B" w14:textId="77777777" w:rsidR="00C56037" w:rsidRPr="00C56037" w:rsidRDefault="00C56037" w:rsidP="00C56037">
            <w:pPr>
              <w:pStyle w:val="a3"/>
              <w:numPr>
                <w:ilvl w:val="0"/>
                <w:numId w:val="31"/>
              </w:numPr>
              <w:spacing w:line="240" w:lineRule="auto"/>
              <w:ind w:leftChars="0"/>
              <w:jc w:val="both"/>
              <w:rPr>
                <w:rFonts w:ascii="標楷體" w:eastAsia="標楷體" w:hAnsi="標楷體" w:cs="Times New Roman"/>
                <w:color w:val="000000"/>
              </w:rPr>
            </w:pPr>
            <w:r w:rsidRPr="00197F5F">
              <w:rPr>
                <w:rFonts w:ascii="標楷體" w:eastAsia="標楷體" w:hAnsi="標楷體" w:cs="Times New Roman"/>
                <w:b/>
                <w:color w:val="000000"/>
                <w:u w:val="single"/>
              </w:rPr>
              <w:t>本條新增</w:t>
            </w:r>
            <w:r w:rsidRPr="00C56037">
              <w:rPr>
                <w:rFonts w:ascii="標楷體" w:eastAsia="標楷體" w:hAnsi="標楷體" w:cs="Times New Roman"/>
                <w:color w:val="000000"/>
              </w:rPr>
              <w:t>。</w:t>
            </w:r>
          </w:p>
          <w:p w14:paraId="44D29832" w14:textId="45895929" w:rsidR="00C56037" w:rsidRPr="00C56037" w:rsidRDefault="00C56037" w:rsidP="003A09BA">
            <w:pPr>
              <w:pStyle w:val="a3"/>
              <w:numPr>
                <w:ilvl w:val="0"/>
                <w:numId w:val="31"/>
              </w:numPr>
              <w:spacing w:line="240" w:lineRule="auto"/>
              <w:ind w:leftChars="0"/>
              <w:jc w:val="both"/>
              <w:rPr>
                <w:rFonts w:ascii="標楷體" w:eastAsia="標楷體" w:hAnsi="標楷體" w:cs="Times New Roman"/>
                <w:color w:val="000000"/>
              </w:rPr>
            </w:pPr>
            <w:r w:rsidRPr="00C56037">
              <w:rPr>
                <w:rFonts w:ascii="標楷體" w:eastAsia="標楷體" w:hAnsi="標楷體" w:cs="Times New Roman"/>
                <w:color w:val="000000"/>
              </w:rPr>
              <w:t>參照金融監督管理委員會</w:t>
            </w:r>
            <w:r w:rsidRPr="00C56037">
              <w:rPr>
                <w:rFonts w:ascii="標楷體" w:eastAsia="標楷體" w:hAnsi="標楷體" w:cs="Times New Roman" w:hint="eastAsia"/>
                <w:color w:val="000000"/>
              </w:rPr>
              <w:t>106年6</w:t>
            </w:r>
            <w:r w:rsidRPr="00C56037">
              <w:rPr>
                <w:rFonts w:ascii="標楷體" w:eastAsia="標楷體" w:hAnsi="標楷體" w:cs="Times New Roman"/>
                <w:color w:val="000000"/>
              </w:rPr>
              <w:t>月</w:t>
            </w:r>
            <w:r w:rsidRPr="00C56037">
              <w:rPr>
                <w:rFonts w:ascii="標楷體" w:eastAsia="標楷體" w:hAnsi="標楷體" w:cs="Times New Roman" w:hint="eastAsia"/>
                <w:color w:val="000000"/>
              </w:rPr>
              <w:t>20日金管銀外字第</w:t>
            </w:r>
            <w:r w:rsidRPr="00C56037">
              <w:rPr>
                <w:rFonts w:ascii="標楷體" w:eastAsia="標楷體" w:hAnsi="標楷體" w:cs="Times New Roman"/>
                <w:color w:val="000000"/>
              </w:rPr>
              <w:t>10600064740</w:t>
            </w:r>
            <w:r w:rsidRPr="00C56037">
              <w:rPr>
                <w:rFonts w:ascii="標楷體" w:eastAsia="標楷體" w:hAnsi="標楷體" w:cs="Times New Roman" w:hint="eastAsia"/>
                <w:color w:val="000000"/>
              </w:rPr>
              <w:t>號令第一點，</w:t>
            </w:r>
            <w:r w:rsidR="00B56D49">
              <w:rPr>
                <w:rFonts w:ascii="標楷體" w:eastAsia="標楷體" w:hAnsi="標楷體" w:cs="Times New Roman" w:hint="eastAsia"/>
                <w:color w:val="000000"/>
              </w:rPr>
              <w:t>明定證券商</w:t>
            </w:r>
            <w:r w:rsidRPr="00C56037">
              <w:rPr>
                <w:rFonts w:ascii="標楷體" w:eastAsia="標楷體" w:hAnsi="標楷體" w:cs="Times New Roman" w:hint="eastAsia"/>
                <w:color w:val="000000"/>
              </w:rPr>
              <w:t>辦理</w:t>
            </w:r>
            <w:r w:rsidR="006D7660" w:rsidRPr="006D7660">
              <w:rPr>
                <w:rFonts w:ascii="標楷體" w:eastAsia="標楷體" w:hAnsi="標楷體" w:cs="Times New Roman" w:hint="eastAsia"/>
                <w:color w:val="000000"/>
              </w:rPr>
              <w:t>複雜性高風險商品及</w:t>
            </w:r>
            <w:r w:rsidRPr="006D7660">
              <w:rPr>
                <w:rFonts w:ascii="標楷體" w:eastAsia="標楷體" w:hAnsi="標楷體" w:cs="Times New Roman" w:hint="eastAsia"/>
                <w:color w:val="000000"/>
              </w:rPr>
              <w:t>隱含賣出</w:t>
            </w:r>
            <w:r w:rsidRPr="00C56037">
              <w:rPr>
                <w:rFonts w:ascii="標楷體" w:eastAsia="標楷體" w:hAnsi="標楷體" w:cs="Times New Roman" w:hint="eastAsia"/>
                <w:color w:val="000000"/>
              </w:rPr>
              <w:t>選擇權之匯率類衍生性金融商品，向客戶徵提期初保證金之規定，</w:t>
            </w:r>
            <w:r w:rsidR="00B56D49">
              <w:rPr>
                <w:rFonts w:ascii="標楷體" w:eastAsia="標楷體" w:hAnsi="標楷體" w:cs="Times New Roman" w:hint="eastAsia"/>
                <w:color w:val="000000"/>
              </w:rPr>
              <w:t>爰</w:t>
            </w:r>
            <w:r w:rsidRPr="00C56037">
              <w:rPr>
                <w:rFonts w:ascii="標楷體" w:eastAsia="標楷體" w:hAnsi="標楷體" w:cs="Times New Roman" w:hint="eastAsia"/>
                <w:color w:val="000000"/>
              </w:rPr>
              <w:t>增訂本條規定。</w:t>
            </w:r>
          </w:p>
        </w:tc>
      </w:tr>
      <w:tr w:rsidR="00574E09" w:rsidRPr="00390667" w14:paraId="39DC6C17" w14:textId="77777777" w:rsidTr="00AD1D0C">
        <w:trPr>
          <w:trHeight w:val="535"/>
        </w:trPr>
        <w:tc>
          <w:tcPr>
            <w:tcW w:w="3355" w:type="dxa"/>
            <w:tcBorders>
              <w:top w:val="single" w:sz="4" w:space="0" w:color="auto"/>
              <w:left w:val="single" w:sz="4" w:space="0" w:color="auto"/>
              <w:bottom w:val="single" w:sz="4" w:space="0" w:color="auto"/>
              <w:right w:val="single" w:sz="4" w:space="0" w:color="auto"/>
            </w:tcBorders>
          </w:tcPr>
          <w:p w14:paraId="61549092" w14:textId="77777777" w:rsidR="00C56037" w:rsidRPr="006D7660" w:rsidRDefault="006D7660" w:rsidP="006D7660">
            <w:pPr>
              <w:snapToGrid w:val="0"/>
              <w:spacing w:line="300" w:lineRule="auto"/>
              <w:jc w:val="both"/>
              <w:rPr>
                <w:rFonts w:ascii="標楷體" w:eastAsia="標楷體" w:hAnsi="標楷體"/>
                <w:b/>
              </w:rPr>
            </w:pPr>
            <w:r>
              <w:rPr>
                <w:rFonts w:ascii="標楷體" w:eastAsia="標楷體" w:hAnsi="標楷體"/>
                <w:b/>
              </w:rPr>
              <w:t>第二十五條之二</w:t>
            </w:r>
          </w:p>
          <w:p w14:paraId="043B0DE1" w14:textId="77777777" w:rsidR="00B93653" w:rsidRDefault="00B93653" w:rsidP="00574E09">
            <w:pPr>
              <w:snapToGrid w:val="0"/>
              <w:spacing w:line="300" w:lineRule="auto"/>
              <w:ind w:firstLineChars="200" w:firstLine="480"/>
              <w:jc w:val="both"/>
              <w:rPr>
                <w:rFonts w:ascii="標楷體" w:eastAsia="標楷體" w:hAnsi="標楷體"/>
                <w:b/>
              </w:rPr>
            </w:pPr>
            <w:r w:rsidRPr="000F5E41">
              <w:rPr>
                <w:rFonts w:ascii="標楷體" w:eastAsia="標楷體" w:hAnsi="標楷體" w:hint="eastAsia"/>
                <w:b/>
              </w:rPr>
              <w:t>證券商向專業機構投資人及高淨值投資法人以外之客戶提供複雜性高風險商品交易，應依下列規定辦理：</w:t>
            </w:r>
          </w:p>
          <w:p w14:paraId="6890263C" w14:textId="77777777" w:rsidR="00AD1D0C" w:rsidRPr="00AD1D0C" w:rsidRDefault="00AD1D0C" w:rsidP="00AD1D0C">
            <w:pPr>
              <w:pStyle w:val="a3"/>
              <w:numPr>
                <w:ilvl w:val="0"/>
                <w:numId w:val="22"/>
              </w:numPr>
              <w:snapToGrid w:val="0"/>
              <w:spacing w:line="300" w:lineRule="auto"/>
              <w:ind w:leftChars="0" w:left="539" w:hanging="539"/>
              <w:jc w:val="both"/>
              <w:rPr>
                <w:rFonts w:ascii="標楷體" w:eastAsia="標楷體" w:hAnsi="標楷體"/>
                <w:b/>
              </w:rPr>
            </w:pPr>
            <w:r w:rsidRPr="00AD1D0C">
              <w:rPr>
                <w:rFonts w:ascii="標楷體" w:eastAsia="標楷體" w:hAnsi="標楷體"/>
                <w:b/>
              </w:rPr>
              <w:t>客戶辦理避險交易，應使客戶知悉及確認該交易係基於避險目的辦理，</w:t>
            </w:r>
            <w:r>
              <w:rPr>
                <w:rFonts w:ascii="標楷體" w:eastAsia="標楷體" w:hAnsi="標楷體"/>
                <w:b/>
              </w:rPr>
              <w:t>並有適當控管制度確認客戶避險交易部位與應避險部位</w:t>
            </w:r>
            <w:r w:rsidR="00D17B8B">
              <w:rPr>
                <w:rFonts w:ascii="標楷體" w:eastAsia="標楷體" w:hAnsi="標楷體"/>
                <w:b/>
              </w:rPr>
              <w:t>相當，並應向客戶徵</w:t>
            </w:r>
            <w:r>
              <w:rPr>
                <w:rFonts w:ascii="標楷體" w:eastAsia="標楷體" w:hAnsi="標楷體"/>
                <w:b/>
              </w:rPr>
              <w:t>提具體明確之避險交易證明文件。</w:t>
            </w:r>
          </w:p>
          <w:p w14:paraId="7D17C028" w14:textId="77777777" w:rsidR="00B93653" w:rsidRDefault="00B93653" w:rsidP="00B93653">
            <w:pPr>
              <w:pStyle w:val="a3"/>
              <w:numPr>
                <w:ilvl w:val="0"/>
                <w:numId w:val="22"/>
              </w:numPr>
              <w:snapToGrid w:val="0"/>
              <w:spacing w:line="300" w:lineRule="auto"/>
              <w:ind w:leftChars="0" w:left="539" w:hanging="539"/>
              <w:jc w:val="both"/>
              <w:rPr>
                <w:rFonts w:ascii="標楷體" w:eastAsia="標楷體" w:hAnsi="標楷體"/>
                <w:b/>
              </w:rPr>
            </w:pPr>
            <w:r w:rsidRPr="00B93653">
              <w:rPr>
                <w:rFonts w:ascii="標楷體" w:eastAsia="標楷體" w:hAnsi="標楷體"/>
                <w:b/>
              </w:rPr>
              <w:t>客戶</w:t>
            </w:r>
            <w:r w:rsidR="00574E09" w:rsidRPr="00B93653">
              <w:rPr>
                <w:rFonts w:ascii="標楷體" w:eastAsia="標楷體" w:hAnsi="標楷體"/>
                <w:b/>
              </w:rPr>
              <w:t>不得</w:t>
            </w:r>
            <w:r w:rsidRPr="00B93653">
              <w:rPr>
                <w:rFonts w:ascii="標楷體" w:eastAsia="標楷體" w:hAnsi="標楷體"/>
                <w:b/>
              </w:rPr>
              <w:t>為</w:t>
            </w:r>
            <w:r w:rsidRPr="00B93653">
              <w:rPr>
                <w:rFonts w:ascii="標楷體" w:eastAsia="標楷體" w:hAnsi="標楷體" w:hint="eastAsia"/>
                <w:b/>
              </w:rPr>
              <w:t>自然人客戶</w:t>
            </w:r>
            <w:r w:rsidR="00F81A31">
              <w:rPr>
                <w:rFonts w:ascii="標楷體" w:eastAsia="標楷體" w:hAnsi="標楷體" w:hint="eastAsia"/>
                <w:b/>
              </w:rPr>
              <w:t>及</w:t>
            </w:r>
            <w:r w:rsidR="00574E09" w:rsidRPr="00B93653">
              <w:rPr>
                <w:rFonts w:ascii="標楷體" w:eastAsia="標楷體" w:hAnsi="標楷體"/>
                <w:b/>
              </w:rPr>
              <w:lastRenderedPageBreak/>
              <w:t>非避險目的交易之一般</w:t>
            </w:r>
            <w:r w:rsidR="006D7660">
              <w:rPr>
                <w:rFonts w:ascii="標楷體" w:eastAsia="標楷體" w:hAnsi="標楷體"/>
                <w:b/>
              </w:rPr>
              <w:t>法人</w:t>
            </w:r>
            <w:r w:rsidR="00574E09" w:rsidRPr="00B93653">
              <w:rPr>
                <w:rFonts w:ascii="標楷體" w:eastAsia="標楷體" w:hAnsi="標楷體"/>
                <w:b/>
              </w:rPr>
              <w:t>客戶。</w:t>
            </w:r>
          </w:p>
          <w:p w14:paraId="1333C21C" w14:textId="77777777" w:rsidR="006D7660" w:rsidRDefault="006D7660" w:rsidP="00B93653">
            <w:pPr>
              <w:pStyle w:val="a3"/>
              <w:numPr>
                <w:ilvl w:val="0"/>
                <w:numId w:val="22"/>
              </w:numPr>
              <w:snapToGrid w:val="0"/>
              <w:spacing w:line="300" w:lineRule="auto"/>
              <w:ind w:leftChars="0" w:left="539" w:hanging="539"/>
              <w:jc w:val="both"/>
              <w:rPr>
                <w:rFonts w:ascii="標楷體" w:eastAsia="標楷體" w:hAnsi="標楷體"/>
                <w:b/>
              </w:rPr>
            </w:pPr>
            <w:r>
              <w:rPr>
                <w:rFonts w:ascii="標楷體" w:eastAsia="標楷體" w:hAnsi="標楷體" w:hint="eastAsia"/>
                <w:b/>
              </w:rPr>
              <w:t>商品條件應符合下列規定：</w:t>
            </w:r>
          </w:p>
          <w:p w14:paraId="43AA5E26" w14:textId="77777777" w:rsidR="00574E09" w:rsidRDefault="00574E09" w:rsidP="006D7660">
            <w:pPr>
              <w:pStyle w:val="a3"/>
              <w:numPr>
                <w:ilvl w:val="1"/>
                <w:numId w:val="22"/>
              </w:numPr>
              <w:snapToGrid w:val="0"/>
              <w:spacing w:line="300" w:lineRule="auto"/>
              <w:ind w:leftChars="0" w:left="681" w:hanging="622"/>
              <w:jc w:val="both"/>
              <w:rPr>
                <w:rFonts w:ascii="標楷體" w:eastAsia="標楷體" w:hAnsi="標楷體"/>
                <w:b/>
              </w:rPr>
            </w:pPr>
            <w:r w:rsidRPr="00B93653">
              <w:rPr>
                <w:rFonts w:ascii="標楷體" w:eastAsia="標楷體" w:hAnsi="標楷體" w:hint="eastAsia"/>
                <w:b/>
              </w:rPr>
              <w:t>屬匯率類之複雜性高風險商品：</w:t>
            </w:r>
          </w:p>
          <w:p w14:paraId="79EAB78F" w14:textId="77777777" w:rsidR="00B93653" w:rsidRDefault="00B93653" w:rsidP="006D7660">
            <w:pPr>
              <w:pStyle w:val="a3"/>
              <w:numPr>
                <w:ilvl w:val="2"/>
                <w:numId w:val="32"/>
              </w:numPr>
              <w:snapToGrid w:val="0"/>
              <w:spacing w:line="300" w:lineRule="auto"/>
              <w:ind w:leftChars="0" w:left="681"/>
              <w:jc w:val="both"/>
              <w:rPr>
                <w:rFonts w:ascii="標楷體" w:eastAsia="標楷體" w:hAnsi="標楷體"/>
                <w:b/>
              </w:rPr>
            </w:pPr>
            <w:r w:rsidRPr="000F5E41">
              <w:rPr>
                <w:rFonts w:ascii="標楷體" w:eastAsia="標楷體" w:hAnsi="標楷體" w:hint="eastAsia"/>
                <w:b/>
              </w:rPr>
              <w:t>契約期限不得超過一年。</w:t>
            </w:r>
          </w:p>
          <w:p w14:paraId="3C90EE66" w14:textId="77777777" w:rsidR="00B93653" w:rsidRDefault="00B93653" w:rsidP="006D7660">
            <w:pPr>
              <w:pStyle w:val="a3"/>
              <w:numPr>
                <w:ilvl w:val="2"/>
                <w:numId w:val="32"/>
              </w:numPr>
              <w:snapToGrid w:val="0"/>
              <w:spacing w:line="300" w:lineRule="auto"/>
              <w:ind w:leftChars="0" w:left="681"/>
              <w:jc w:val="both"/>
              <w:rPr>
                <w:rFonts w:ascii="標楷體" w:eastAsia="標楷體" w:hAnsi="標楷體"/>
                <w:b/>
              </w:rPr>
            </w:pPr>
            <w:r w:rsidRPr="000F5E41">
              <w:rPr>
                <w:rFonts w:ascii="標楷體" w:eastAsia="標楷體" w:hAnsi="標楷體" w:hint="eastAsia"/>
                <w:b/>
              </w:rPr>
              <w:t>契約比價或結算期數不得超過十二期。</w:t>
            </w:r>
          </w:p>
          <w:p w14:paraId="1F1685DD" w14:textId="77777777" w:rsidR="006D7660" w:rsidRDefault="00B93653" w:rsidP="006D7660">
            <w:pPr>
              <w:pStyle w:val="a3"/>
              <w:numPr>
                <w:ilvl w:val="2"/>
                <w:numId w:val="32"/>
              </w:numPr>
              <w:snapToGrid w:val="0"/>
              <w:spacing w:line="300" w:lineRule="auto"/>
              <w:ind w:leftChars="0" w:left="681"/>
              <w:jc w:val="both"/>
              <w:rPr>
                <w:rFonts w:ascii="標楷體" w:eastAsia="標楷體" w:hAnsi="標楷體"/>
                <w:b/>
              </w:rPr>
            </w:pPr>
            <w:r w:rsidRPr="00B93653">
              <w:rPr>
                <w:rFonts w:ascii="標楷體" w:eastAsia="標楷體" w:hAnsi="標楷體" w:hint="eastAsia"/>
                <w:b/>
              </w:rPr>
              <w:t>非避險目的交易之個別交易損失上限，不得超過平均單期名目本金之三點六倍。</w:t>
            </w:r>
          </w:p>
          <w:p w14:paraId="3E1A3BB6" w14:textId="77777777" w:rsidR="00574E09" w:rsidRPr="006D7660" w:rsidRDefault="00F81A31" w:rsidP="006D7660">
            <w:pPr>
              <w:pStyle w:val="a3"/>
              <w:numPr>
                <w:ilvl w:val="1"/>
                <w:numId w:val="32"/>
              </w:numPr>
              <w:snapToGrid w:val="0"/>
              <w:spacing w:line="300" w:lineRule="auto"/>
              <w:ind w:leftChars="0" w:left="681" w:hanging="567"/>
              <w:jc w:val="both"/>
              <w:rPr>
                <w:rFonts w:ascii="標楷體" w:eastAsia="標楷體" w:hAnsi="標楷體"/>
                <w:b/>
              </w:rPr>
            </w:pPr>
            <w:r w:rsidRPr="006D7660">
              <w:rPr>
                <w:rFonts w:ascii="標楷體" w:eastAsia="標楷體" w:hAnsi="標楷體" w:hint="eastAsia"/>
                <w:b/>
              </w:rPr>
              <w:t>非屬匯率類</w:t>
            </w:r>
            <w:r w:rsidR="00574E09" w:rsidRPr="006D7660">
              <w:rPr>
                <w:rFonts w:ascii="標楷體" w:eastAsia="標楷體" w:hAnsi="標楷體" w:hint="eastAsia"/>
                <w:b/>
              </w:rPr>
              <w:t>之複雜性高風險商品：</w:t>
            </w:r>
          </w:p>
          <w:p w14:paraId="0F719973" w14:textId="77777777" w:rsidR="00CE35A1" w:rsidRPr="006D7660" w:rsidRDefault="00CE35A1" w:rsidP="006D7660">
            <w:pPr>
              <w:pStyle w:val="a3"/>
              <w:numPr>
                <w:ilvl w:val="0"/>
                <w:numId w:val="33"/>
              </w:numPr>
              <w:snapToGrid w:val="0"/>
              <w:spacing w:line="300" w:lineRule="auto"/>
              <w:ind w:leftChars="0"/>
              <w:jc w:val="both"/>
              <w:rPr>
                <w:rFonts w:ascii="標楷體" w:eastAsia="標楷體" w:hAnsi="標楷體"/>
                <w:b/>
              </w:rPr>
            </w:pPr>
            <w:r w:rsidRPr="006D7660">
              <w:rPr>
                <w:rFonts w:ascii="標楷體" w:eastAsia="標楷體" w:hAnsi="標楷體" w:hint="eastAsia"/>
                <w:b/>
              </w:rPr>
              <w:t>非避險目的交易契約，其比價或結算期數十二期以下（含）者，個別交易損失上限不得超過平均單期名目本金之六倍。</w:t>
            </w:r>
          </w:p>
          <w:p w14:paraId="14188C93" w14:textId="77777777" w:rsidR="006D7660" w:rsidRDefault="00CE35A1" w:rsidP="006D7660">
            <w:pPr>
              <w:pStyle w:val="a3"/>
              <w:numPr>
                <w:ilvl w:val="0"/>
                <w:numId w:val="33"/>
              </w:numPr>
              <w:snapToGrid w:val="0"/>
              <w:spacing w:line="300" w:lineRule="auto"/>
              <w:ind w:leftChars="0"/>
              <w:jc w:val="both"/>
              <w:rPr>
                <w:rFonts w:ascii="標楷體" w:eastAsia="標楷體" w:hAnsi="標楷體"/>
                <w:b/>
              </w:rPr>
            </w:pPr>
            <w:r w:rsidRPr="006D7660">
              <w:rPr>
                <w:rFonts w:ascii="標楷體" w:eastAsia="標楷體" w:hAnsi="標楷體" w:hint="eastAsia"/>
                <w:b/>
              </w:rPr>
              <w:t>非避險目的交易契約，其比價或結算期數超過十二期者，個別交易損失上限不得超過平均單期名目本金之九點六倍。</w:t>
            </w:r>
          </w:p>
          <w:p w14:paraId="0CD594EF" w14:textId="77777777" w:rsidR="00B93653" w:rsidRDefault="00574E09" w:rsidP="009B1565">
            <w:pPr>
              <w:pStyle w:val="a3"/>
              <w:numPr>
                <w:ilvl w:val="0"/>
                <w:numId w:val="37"/>
              </w:numPr>
              <w:snapToGrid w:val="0"/>
              <w:spacing w:line="300" w:lineRule="auto"/>
              <w:ind w:leftChars="0" w:left="681" w:hanging="622"/>
              <w:jc w:val="both"/>
              <w:rPr>
                <w:rFonts w:ascii="標楷體" w:eastAsia="標楷體" w:hAnsi="標楷體"/>
                <w:b/>
              </w:rPr>
            </w:pPr>
            <w:r w:rsidRPr="006D7660">
              <w:rPr>
                <w:rFonts w:ascii="標楷體" w:eastAsia="標楷體" w:hAnsi="標楷體" w:hint="eastAsia"/>
                <w:b/>
              </w:rPr>
              <w:t>前二款所稱平均單期名目本金為不計槓桿之總名目本金除以期數之金額。</w:t>
            </w:r>
          </w:p>
          <w:p w14:paraId="78BF4AC5" w14:textId="77777777" w:rsidR="000A7222" w:rsidRDefault="000A7222" w:rsidP="000A7222">
            <w:pPr>
              <w:pStyle w:val="a3"/>
              <w:snapToGrid w:val="0"/>
              <w:spacing w:line="300" w:lineRule="auto"/>
              <w:ind w:leftChars="0" w:left="0" w:firstLineChars="283" w:firstLine="680"/>
              <w:jc w:val="both"/>
              <w:rPr>
                <w:rFonts w:ascii="標楷體" w:eastAsia="標楷體" w:hAnsi="標楷體"/>
                <w:b/>
              </w:rPr>
            </w:pPr>
            <w:r>
              <w:rPr>
                <w:rFonts w:ascii="標楷體" w:eastAsia="標楷體" w:hAnsi="標楷體"/>
                <w:b/>
              </w:rPr>
              <w:t>第一項第一款所稱避險目的，係指客戶為降低自身或所屬集團企業之暴險部位或因應營運相關需求所為之目的。</w:t>
            </w:r>
          </w:p>
          <w:p w14:paraId="5DA45F60" w14:textId="77777777" w:rsidR="005D419B" w:rsidRPr="00AD1D0C" w:rsidRDefault="005D419B" w:rsidP="00AD1D0C">
            <w:pPr>
              <w:snapToGrid w:val="0"/>
              <w:spacing w:line="300" w:lineRule="auto"/>
              <w:jc w:val="both"/>
              <w:rPr>
                <w:rFonts w:ascii="標楷體" w:eastAsia="標楷體" w:hAnsi="標楷體"/>
                <w:b/>
              </w:rPr>
            </w:pPr>
          </w:p>
        </w:tc>
        <w:tc>
          <w:tcPr>
            <w:tcW w:w="3355" w:type="dxa"/>
            <w:tcBorders>
              <w:top w:val="single" w:sz="4" w:space="0" w:color="auto"/>
              <w:left w:val="single" w:sz="4" w:space="0" w:color="auto"/>
              <w:bottom w:val="single" w:sz="4" w:space="0" w:color="auto"/>
              <w:right w:val="single" w:sz="4" w:space="0" w:color="auto"/>
            </w:tcBorders>
          </w:tcPr>
          <w:p w14:paraId="05EBD0CD" w14:textId="77777777" w:rsidR="00574E09" w:rsidRPr="007A5B78" w:rsidRDefault="00574E09" w:rsidP="00574E09">
            <w:pPr>
              <w:adjustRightInd w:val="0"/>
              <w:snapToGrid w:val="0"/>
              <w:spacing w:line="300" w:lineRule="auto"/>
              <w:ind w:left="444" w:hangingChars="185" w:hanging="444"/>
              <w:jc w:val="both"/>
              <w:rPr>
                <w:rFonts w:ascii="Times New Roman" w:eastAsia="標楷體" w:hAnsi="Times New Roman" w:cs="Times New Roman"/>
                <w:snapToGrid w:val="0"/>
                <w:kern w:val="0"/>
              </w:rPr>
            </w:pPr>
          </w:p>
        </w:tc>
        <w:tc>
          <w:tcPr>
            <w:tcW w:w="3355" w:type="dxa"/>
            <w:tcBorders>
              <w:top w:val="single" w:sz="4" w:space="0" w:color="auto"/>
              <w:left w:val="single" w:sz="4" w:space="0" w:color="auto"/>
              <w:bottom w:val="single" w:sz="4" w:space="0" w:color="auto"/>
              <w:right w:val="single" w:sz="4" w:space="0" w:color="auto"/>
            </w:tcBorders>
          </w:tcPr>
          <w:p w14:paraId="42B603AB" w14:textId="77777777" w:rsidR="00574E09" w:rsidRPr="002C0009" w:rsidRDefault="00574E09" w:rsidP="00574E09">
            <w:pPr>
              <w:pStyle w:val="a3"/>
              <w:numPr>
                <w:ilvl w:val="0"/>
                <w:numId w:val="2"/>
              </w:numPr>
              <w:spacing w:line="240" w:lineRule="auto"/>
              <w:ind w:leftChars="0"/>
              <w:jc w:val="both"/>
              <w:rPr>
                <w:rFonts w:ascii="標楷體" w:eastAsia="標楷體" w:hAnsi="標楷體" w:cs="Times New Roman"/>
                <w:color w:val="000000"/>
              </w:rPr>
            </w:pPr>
            <w:r w:rsidRPr="00197F5F">
              <w:rPr>
                <w:rFonts w:ascii="標楷體" w:eastAsia="標楷體" w:hAnsi="標楷體" w:cs="Times New Roman" w:hint="eastAsia"/>
                <w:b/>
                <w:color w:val="000000"/>
                <w:u w:val="single"/>
              </w:rPr>
              <w:t>本條新增</w:t>
            </w:r>
            <w:r w:rsidRPr="002C0009">
              <w:rPr>
                <w:rFonts w:ascii="標楷體" w:eastAsia="標楷體" w:hAnsi="標楷體" w:cs="Times New Roman" w:hint="eastAsia"/>
                <w:color w:val="000000"/>
              </w:rPr>
              <w:t>。</w:t>
            </w:r>
          </w:p>
          <w:p w14:paraId="5BB77DA1" w14:textId="26E800A5" w:rsidR="00AD1D0C" w:rsidRDefault="00D17B8B" w:rsidP="00574E09">
            <w:pPr>
              <w:pStyle w:val="a3"/>
              <w:numPr>
                <w:ilvl w:val="0"/>
                <w:numId w:val="2"/>
              </w:numPr>
              <w:spacing w:line="240" w:lineRule="auto"/>
              <w:ind w:leftChars="0"/>
              <w:jc w:val="both"/>
              <w:rPr>
                <w:rFonts w:ascii="標楷體" w:eastAsia="標楷體" w:hAnsi="標楷體" w:cs="Times New Roman"/>
                <w:color w:val="000000"/>
              </w:rPr>
            </w:pPr>
            <w:r w:rsidRPr="00C56037">
              <w:rPr>
                <w:rFonts w:ascii="標楷體" w:eastAsia="標楷體" w:hAnsi="標楷體" w:cs="Times New Roman"/>
                <w:color w:val="000000"/>
              </w:rPr>
              <w:t>參照金融監督管理委員會</w:t>
            </w:r>
            <w:r w:rsidRPr="00C56037">
              <w:rPr>
                <w:rFonts w:ascii="標楷體" w:eastAsia="標楷體" w:hAnsi="標楷體" w:cs="Times New Roman" w:hint="eastAsia"/>
                <w:color w:val="000000"/>
              </w:rPr>
              <w:t>106年6</w:t>
            </w:r>
            <w:r w:rsidRPr="00C56037">
              <w:rPr>
                <w:rFonts w:ascii="標楷體" w:eastAsia="標楷體" w:hAnsi="標楷體" w:cs="Times New Roman"/>
                <w:color w:val="000000"/>
              </w:rPr>
              <w:t>月</w:t>
            </w:r>
            <w:r w:rsidRPr="00C56037">
              <w:rPr>
                <w:rFonts w:ascii="標楷體" w:eastAsia="標楷體" w:hAnsi="標楷體" w:cs="Times New Roman" w:hint="eastAsia"/>
                <w:color w:val="000000"/>
              </w:rPr>
              <w:t>20日金管銀外字第</w:t>
            </w:r>
            <w:r>
              <w:rPr>
                <w:rFonts w:ascii="標楷體" w:eastAsia="標楷體" w:hAnsi="標楷體" w:cs="Times New Roman"/>
                <w:color w:val="000000"/>
              </w:rPr>
              <w:t>10600064741</w:t>
            </w:r>
            <w:r w:rsidR="006036C2">
              <w:rPr>
                <w:rFonts w:ascii="標楷體" w:eastAsia="標楷體" w:hAnsi="標楷體" w:cs="Times New Roman" w:hint="eastAsia"/>
                <w:color w:val="000000"/>
              </w:rPr>
              <w:t>號令</w:t>
            </w:r>
            <w:r w:rsidRPr="00C56037">
              <w:rPr>
                <w:rFonts w:ascii="標楷體" w:eastAsia="標楷體" w:hAnsi="標楷體" w:cs="Times New Roman" w:hint="eastAsia"/>
                <w:color w:val="000000"/>
              </w:rPr>
              <w:t>，</w:t>
            </w:r>
            <w:r w:rsidR="00B56D49">
              <w:rPr>
                <w:rFonts w:ascii="標楷體" w:eastAsia="標楷體" w:hAnsi="標楷體" w:cs="Times New Roman" w:hint="eastAsia"/>
                <w:color w:val="000000"/>
              </w:rPr>
              <w:t>明定</w:t>
            </w:r>
            <w:r>
              <w:rPr>
                <w:rFonts w:ascii="標楷體" w:eastAsia="標楷體" w:hAnsi="標楷體" w:cs="Times New Roman" w:hint="eastAsia"/>
                <w:color w:val="000000"/>
              </w:rPr>
              <w:t>客戶辦理避險交易應有適當控管制度確認客戶避險交易部位與應避險部位相當</w:t>
            </w:r>
            <w:r w:rsidR="006036C2">
              <w:rPr>
                <w:rFonts w:ascii="標楷體" w:eastAsia="標楷體" w:hAnsi="標楷體" w:cs="Times New Roman" w:hint="eastAsia"/>
                <w:color w:val="000000"/>
              </w:rPr>
              <w:t>，及所稱避險目的</w:t>
            </w:r>
            <w:r>
              <w:rPr>
                <w:rFonts w:ascii="標楷體" w:eastAsia="標楷體" w:hAnsi="標楷體" w:cs="Times New Roman" w:hint="eastAsia"/>
                <w:color w:val="000000"/>
              </w:rPr>
              <w:t>之規定，</w:t>
            </w:r>
            <w:r w:rsidR="00B56D49">
              <w:rPr>
                <w:rFonts w:ascii="標楷體" w:eastAsia="標楷體" w:hAnsi="標楷體" w:cs="Times New Roman" w:hint="eastAsia"/>
                <w:color w:val="000000"/>
              </w:rPr>
              <w:t>爰</w:t>
            </w:r>
            <w:r>
              <w:rPr>
                <w:rFonts w:ascii="標楷體" w:eastAsia="標楷體" w:hAnsi="標楷體" w:cs="Times New Roman" w:hint="eastAsia"/>
                <w:color w:val="000000"/>
              </w:rPr>
              <w:t>增訂第一項第一款</w:t>
            </w:r>
            <w:r w:rsidR="000A7222">
              <w:rPr>
                <w:rFonts w:ascii="標楷體" w:eastAsia="標楷體" w:hAnsi="標楷體" w:cs="Times New Roman" w:hint="eastAsia"/>
                <w:color w:val="000000"/>
              </w:rPr>
              <w:t>及第二項</w:t>
            </w:r>
            <w:r>
              <w:rPr>
                <w:rFonts w:ascii="標楷體" w:eastAsia="標楷體" w:hAnsi="標楷體" w:cs="Times New Roman" w:hint="eastAsia"/>
                <w:color w:val="000000"/>
              </w:rPr>
              <w:t>規定。</w:t>
            </w:r>
          </w:p>
          <w:p w14:paraId="295B6068" w14:textId="2D6D92E2" w:rsidR="00574E09" w:rsidRDefault="00574E09" w:rsidP="00574E09">
            <w:pPr>
              <w:pStyle w:val="a3"/>
              <w:numPr>
                <w:ilvl w:val="0"/>
                <w:numId w:val="2"/>
              </w:numPr>
              <w:spacing w:line="240" w:lineRule="auto"/>
              <w:ind w:leftChars="0"/>
              <w:jc w:val="both"/>
              <w:rPr>
                <w:rFonts w:ascii="標楷體" w:eastAsia="標楷體" w:hAnsi="標楷體" w:cs="Times New Roman"/>
                <w:color w:val="000000"/>
              </w:rPr>
            </w:pPr>
            <w:r>
              <w:rPr>
                <w:rFonts w:ascii="標楷體" w:eastAsia="標楷體" w:hAnsi="標楷體" w:cs="Times New Roman"/>
                <w:color w:val="000000"/>
              </w:rPr>
              <w:t>參考銀行辦理衍生性金融商品業務內部作業制度及程序管理辦法第二十五條之一</w:t>
            </w:r>
            <w:r>
              <w:rPr>
                <w:rFonts w:ascii="標楷體" w:eastAsia="標楷體" w:hAnsi="標楷體" w:cs="Times New Roman" w:hint="eastAsia"/>
                <w:color w:val="000000"/>
              </w:rPr>
              <w:t>，</w:t>
            </w:r>
            <w:r w:rsidR="00B56D49">
              <w:rPr>
                <w:rFonts w:ascii="標楷體" w:eastAsia="標楷體" w:hAnsi="標楷體" w:cs="Times New Roman" w:hint="eastAsia"/>
                <w:color w:val="000000"/>
              </w:rPr>
              <w:t>明定</w:t>
            </w:r>
            <w:r w:rsidR="00E1399C">
              <w:rPr>
                <w:rFonts w:ascii="標楷體" w:eastAsia="標楷體" w:hAnsi="標楷體" w:cs="Times New Roman" w:hint="eastAsia"/>
                <w:color w:val="000000"/>
              </w:rPr>
              <w:t>銷售對象及商品條件限制之規定，</w:t>
            </w:r>
            <w:r w:rsidR="00B56D49">
              <w:rPr>
                <w:rFonts w:ascii="標楷體" w:eastAsia="標楷體" w:hAnsi="標楷體" w:cs="Times New Roman" w:hint="eastAsia"/>
                <w:color w:val="000000"/>
              </w:rPr>
              <w:t>爰</w:t>
            </w:r>
            <w:r>
              <w:rPr>
                <w:rFonts w:ascii="標楷體" w:eastAsia="標楷體" w:hAnsi="標楷體" w:cs="Times New Roman" w:hint="eastAsia"/>
                <w:color w:val="000000"/>
              </w:rPr>
              <w:t>增訂本</w:t>
            </w:r>
            <w:r>
              <w:rPr>
                <w:rFonts w:ascii="標楷體" w:eastAsia="標楷體" w:hAnsi="標楷體" w:cs="Times New Roman" w:hint="eastAsia"/>
                <w:color w:val="000000"/>
              </w:rPr>
              <w:lastRenderedPageBreak/>
              <w:t>條</w:t>
            </w:r>
            <w:r w:rsidR="00F81A31">
              <w:rPr>
                <w:rFonts w:ascii="標楷體" w:eastAsia="標楷體" w:hAnsi="標楷體" w:cs="Times New Roman" w:hint="eastAsia"/>
                <w:color w:val="000000"/>
              </w:rPr>
              <w:t>第一項</w:t>
            </w:r>
            <w:r w:rsidR="00D17B8B">
              <w:rPr>
                <w:rFonts w:ascii="標楷體" w:eastAsia="標楷體" w:hAnsi="標楷體" w:cs="Times New Roman" w:hint="eastAsia"/>
                <w:color w:val="000000"/>
              </w:rPr>
              <w:t>第二款至第三款</w:t>
            </w:r>
            <w:r>
              <w:rPr>
                <w:rFonts w:ascii="標楷體" w:eastAsia="標楷體" w:hAnsi="標楷體" w:cs="Times New Roman" w:hint="eastAsia"/>
                <w:color w:val="000000"/>
              </w:rPr>
              <w:t>規定。</w:t>
            </w:r>
          </w:p>
          <w:p w14:paraId="318E443B" w14:textId="77777777" w:rsidR="00F81A31" w:rsidRPr="00E1399C" w:rsidRDefault="00F81A31" w:rsidP="00E1399C">
            <w:pPr>
              <w:spacing w:line="240" w:lineRule="auto"/>
              <w:jc w:val="both"/>
              <w:rPr>
                <w:rFonts w:ascii="標楷體" w:eastAsia="標楷體" w:hAnsi="標楷體" w:cs="Times New Roman"/>
                <w:color w:val="000000"/>
              </w:rPr>
            </w:pPr>
          </w:p>
        </w:tc>
      </w:tr>
      <w:tr w:rsidR="00574E09" w:rsidRPr="00C513FA" w14:paraId="22C3DE9B" w14:textId="77777777" w:rsidTr="00915618">
        <w:trPr>
          <w:trHeight w:val="535"/>
        </w:trPr>
        <w:tc>
          <w:tcPr>
            <w:tcW w:w="3355" w:type="dxa"/>
            <w:tcBorders>
              <w:top w:val="single" w:sz="4" w:space="0" w:color="auto"/>
              <w:left w:val="single" w:sz="4" w:space="0" w:color="auto"/>
              <w:bottom w:val="single" w:sz="4" w:space="0" w:color="auto"/>
              <w:right w:val="single" w:sz="4" w:space="0" w:color="auto"/>
            </w:tcBorders>
          </w:tcPr>
          <w:p w14:paraId="582B9455" w14:textId="77777777" w:rsidR="00574E09" w:rsidRPr="00334005" w:rsidRDefault="00574E09" w:rsidP="00574E09">
            <w:pPr>
              <w:snapToGrid w:val="0"/>
              <w:spacing w:line="300" w:lineRule="auto"/>
              <w:jc w:val="both"/>
              <w:rPr>
                <w:rFonts w:ascii="Times New Roman" w:eastAsia="標楷體" w:hAnsi="Times New Roman" w:cs="Times New Roman"/>
                <w:b/>
              </w:rPr>
            </w:pPr>
            <w:r w:rsidRPr="00334005">
              <w:rPr>
                <w:rFonts w:ascii="Times New Roman" w:eastAsia="標楷體" w:hAnsi="Times New Roman" w:cs="Times New Roman"/>
                <w:b/>
              </w:rPr>
              <w:lastRenderedPageBreak/>
              <w:t>第二十五</w:t>
            </w:r>
            <w:r w:rsidR="00E1399C" w:rsidRPr="00334005">
              <w:rPr>
                <w:rFonts w:ascii="Times New Roman" w:eastAsia="標楷體" w:hAnsi="Times New Roman" w:cs="Times New Roman"/>
                <w:b/>
              </w:rPr>
              <w:t>條</w:t>
            </w:r>
            <w:r w:rsidRPr="00334005">
              <w:rPr>
                <w:rFonts w:ascii="Times New Roman" w:eastAsia="標楷體" w:hAnsi="Times New Roman" w:cs="Times New Roman"/>
                <w:b/>
              </w:rPr>
              <w:t>之</w:t>
            </w:r>
            <w:r w:rsidR="00E1399C">
              <w:rPr>
                <w:rFonts w:ascii="Times New Roman" w:eastAsia="標楷體" w:hAnsi="Times New Roman" w:cs="Times New Roman"/>
                <w:b/>
              </w:rPr>
              <w:t>三</w:t>
            </w:r>
          </w:p>
          <w:p w14:paraId="1AE662E3" w14:textId="77777777" w:rsidR="00574E09" w:rsidRPr="00C513FA" w:rsidRDefault="00574E09" w:rsidP="00574E09">
            <w:pPr>
              <w:snapToGrid w:val="0"/>
              <w:spacing w:line="300" w:lineRule="auto"/>
              <w:ind w:firstLineChars="200" w:firstLine="480"/>
              <w:jc w:val="both"/>
              <w:rPr>
                <w:rFonts w:ascii="Times New Roman" w:eastAsia="標楷體" w:hAnsi="Times New Roman" w:cs="Times New Roman"/>
                <w:b/>
              </w:rPr>
            </w:pPr>
            <w:r w:rsidRPr="00C513FA">
              <w:rPr>
                <w:rFonts w:ascii="Times New Roman" w:eastAsia="標楷體" w:hAnsi="Times New Roman" w:cs="Times New Roman"/>
                <w:b/>
              </w:rPr>
              <w:t>證券商向專業機構投資人及高淨值投資法人以外之客戶提供複雜性高風險商品交易，應符合下列原則：</w:t>
            </w:r>
          </w:p>
          <w:p w14:paraId="136C686C" w14:textId="77777777" w:rsidR="00574E09" w:rsidRPr="00C513FA" w:rsidRDefault="00574E09" w:rsidP="00574E09">
            <w:pPr>
              <w:snapToGrid w:val="0"/>
              <w:spacing w:line="300" w:lineRule="auto"/>
              <w:ind w:left="538" w:hangingChars="224" w:hanging="538"/>
              <w:jc w:val="both"/>
              <w:rPr>
                <w:rFonts w:ascii="Times New Roman" w:eastAsia="標楷體" w:hAnsi="Times New Roman" w:cs="Times New Roman"/>
                <w:b/>
              </w:rPr>
            </w:pPr>
            <w:r w:rsidRPr="00C513FA">
              <w:rPr>
                <w:rFonts w:ascii="Times New Roman" w:eastAsia="標楷體" w:hAnsi="Times New Roman" w:cs="Times New Roman"/>
                <w:b/>
              </w:rPr>
              <w:t>一、</w:t>
            </w:r>
            <w:r w:rsidRPr="00C513FA">
              <w:rPr>
                <w:rFonts w:ascii="Times New Roman" w:eastAsia="標楷體" w:hAnsi="Times New Roman" w:cs="Times New Roman"/>
                <w:b/>
              </w:rPr>
              <w:tab/>
            </w:r>
            <w:r w:rsidRPr="00C513FA">
              <w:rPr>
                <w:rFonts w:ascii="Times New Roman" w:eastAsia="標楷體" w:hAnsi="Times New Roman" w:cs="Times New Roman"/>
                <w:b/>
              </w:rPr>
              <w:t>客戶應具備承作複雜性高風險商品之交易經驗，或應至少同時具備下列交易經驗條件：</w:t>
            </w:r>
          </w:p>
          <w:p w14:paraId="40EEB56D" w14:textId="77777777" w:rsidR="00574E09" w:rsidRPr="00C513FA" w:rsidRDefault="00574E09" w:rsidP="008A2737">
            <w:pPr>
              <w:snapToGrid w:val="0"/>
              <w:spacing w:line="300" w:lineRule="auto"/>
              <w:ind w:leftChars="47" w:left="536" w:hangingChars="176" w:hanging="423"/>
              <w:jc w:val="both"/>
              <w:rPr>
                <w:rFonts w:ascii="Times New Roman" w:eastAsia="標楷體" w:hAnsi="Times New Roman" w:cs="Times New Roman"/>
                <w:b/>
              </w:rPr>
            </w:pPr>
            <w:r w:rsidRPr="00C513FA">
              <w:rPr>
                <w:rFonts w:ascii="Times New Roman" w:eastAsia="標楷體" w:hAnsi="Times New Roman" w:cs="Times New Roman"/>
                <w:b/>
              </w:rPr>
              <w:t>(</w:t>
            </w:r>
            <w:r w:rsidRPr="00C513FA">
              <w:rPr>
                <w:rFonts w:ascii="Times New Roman" w:eastAsia="標楷體" w:hAnsi="Times New Roman" w:cs="Times New Roman"/>
                <w:b/>
              </w:rPr>
              <w:t>一</w:t>
            </w:r>
            <w:r w:rsidRPr="00C513FA">
              <w:rPr>
                <w:rFonts w:ascii="Times New Roman" w:eastAsia="標楷體" w:hAnsi="Times New Roman" w:cs="Times New Roman"/>
                <w:b/>
              </w:rPr>
              <w:t>)</w:t>
            </w:r>
            <w:r w:rsidRPr="00C513FA">
              <w:rPr>
                <w:rFonts w:ascii="Times New Roman" w:eastAsia="標楷體" w:hAnsi="Times New Roman" w:cs="Times New Roman"/>
                <w:b/>
              </w:rPr>
              <w:tab/>
            </w:r>
            <w:r w:rsidRPr="00C513FA">
              <w:rPr>
                <w:rFonts w:ascii="Times New Roman" w:eastAsia="標楷體" w:hAnsi="Times New Roman" w:cs="Times New Roman"/>
                <w:b/>
              </w:rPr>
              <w:t>承作衍生性金融商品交易經驗達一年以上。</w:t>
            </w:r>
          </w:p>
          <w:p w14:paraId="20B2E74C" w14:textId="77777777" w:rsidR="00574E09" w:rsidRPr="00C513FA" w:rsidRDefault="00574E09" w:rsidP="008A2737">
            <w:pPr>
              <w:snapToGrid w:val="0"/>
              <w:spacing w:line="300" w:lineRule="auto"/>
              <w:ind w:leftChars="47" w:left="536" w:hangingChars="176" w:hanging="423"/>
              <w:jc w:val="both"/>
              <w:rPr>
                <w:rFonts w:ascii="Times New Roman" w:eastAsia="標楷體" w:hAnsi="Times New Roman" w:cs="Times New Roman"/>
                <w:b/>
              </w:rPr>
            </w:pPr>
            <w:r w:rsidRPr="00C513FA">
              <w:rPr>
                <w:rFonts w:ascii="Times New Roman" w:eastAsia="標楷體" w:hAnsi="Times New Roman" w:cs="Times New Roman"/>
                <w:b/>
              </w:rPr>
              <w:t>(</w:t>
            </w:r>
            <w:r w:rsidRPr="00C513FA">
              <w:rPr>
                <w:rFonts w:ascii="Times New Roman" w:eastAsia="標楷體" w:hAnsi="Times New Roman" w:cs="Times New Roman"/>
                <w:b/>
              </w:rPr>
              <w:t>二</w:t>
            </w:r>
            <w:r w:rsidRPr="00C513FA">
              <w:rPr>
                <w:rFonts w:ascii="Times New Roman" w:eastAsia="標楷體" w:hAnsi="Times New Roman" w:cs="Times New Roman"/>
                <w:b/>
              </w:rPr>
              <w:t>)</w:t>
            </w:r>
            <w:r w:rsidRPr="00C513FA">
              <w:rPr>
                <w:rFonts w:ascii="Times New Roman" w:eastAsia="標楷體" w:hAnsi="Times New Roman" w:cs="Times New Roman"/>
                <w:b/>
              </w:rPr>
              <w:tab/>
            </w:r>
            <w:r w:rsidRPr="00C513FA">
              <w:rPr>
                <w:rFonts w:ascii="Times New Roman" w:eastAsia="標楷體" w:hAnsi="Times New Roman" w:cs="Times New Roman"/>
                <w:b/>
              </w:rPr>
              <w:t>最近一年內曾辦理隱含賣出選擇權之非屬結構型商品之衍生性金融商品交易。</w:t>
            </w:r>
          </w:p>
          <w:p w14:paraId="0A601A24" w14:textId="77777777" w:rsidR="00AE6793" w:rsidRPr="00C513FA" w:rsidRDefault="00574E09" w:rsidP="00AE6793">
            <w:pPr>
              <w:snapToGrid w:val="0"/>
              <w:spacing w:line="300" w:lineRule="auto"/>
              <w:ind w:left="538" w:hangingChars="224" w:hanging="538"/>
              <w:jc w:val="both"/>
              <w:rPr>
                <w:rFonts w:ascii="Times New Roman" w:eastAsia="標楷體" w:hAnsi="Times New Roman" w:cs="Times New Roman"/>
                <w:b/>
              </w:rPr>
            </w:pPr>
            <w:r w:rsidRPr="00C513FA">
              <w:rPr>
                <w:rFonts w:ascii="Times New Roman" w:eastAsia="標楷體" w:hAnsi="Times New Roman" w:cs="Times New Roman"/>
                <w:b/>
              </w:rPr>
              <w:t>二、</w:t>
            </w:r>
            <w:r w:rsidRPr="00C513FA">
              <w:rPr>
                <w:rFonts w:ascii="Times New Roman" w:eastAsia="標楷體" w:hAnsi="Times New Roman" w:cs="Times New Roman"/>
                <w:b/>
              </w:rPr>
              <w:tab/>
            </w:r>
            <w:r w:rsidRPr="00C513FA">
              <w:rPr>
                <w:rFonts w:ascii="Times New Roman" w:eastAsia="標楷體" w:hAnsi="Times New Roman" w:cs="Times New Roman"/>
                <w:b/>
              </w:rPr>
              <w:t>證券商應向客戶取得合理可信之交易經驗佐證依據。</w:t>
            </w:r>
          </w:p>
          <w:p w14:paraId="23D78E27" w14:textId="77777777" w:rsidR="00574E09" w:rsidRPr="00C513FA" w:rsidRDefault="00574E09" w:rsidP="00574E09">
            <w:pPr>
              <w:snapToGrid w:val="0"/>
              <w:spacing w:line="300" w:lineRule="auto"/>
              <w:ind w:left="538" w:hangingChars="224" w:hanging="538"/>
              <w:jc w:val="both"/>
              <w:rPr>
                <w:rFonts w:ascii="Times New Roman" w:eastAsia="標楷體" w:hAnsi="Times New Roman" w:cs="Times New Roman"/>
                <w:b/>
              </w:rPr>
            </w:pPr>
            <w:r w:rsidRPr="00C513FA">
              <w:rPr>
                <w:rFonts w:ascii="Times New Roman" w:eastAsia="標楷體" w:hAnsi="Times New Roman" w:cs="Times New Roman"/>
                <w:b/>
              </w:rPr>
              <w:t>三、</w:t>
            </w:r>
            <w:r w:rsidRPr="00C513FA">
              <w:rPr>
                <w:rFonts w:ascii="Times New Roman" w:eastAsia="標楷體" w:hAnsi="Times New Roman" w:cs="Times New Roman"/>
                <w:b/>
              </w:rPr>
              <w:t xml:space="preserve"> </w:t>
            </w:r>
            <w:r w:rsidRPr="008A2737">
              <w:rPr>
                <w:rFonts w:ascii="Times New Roman" w:eastAsia="標楷體" w:hAnsi="Times New Roman" w:cs="Times New Roman"/>
                <w:b/>
              </w:rPr>
              <w:t>證券商與客戶辦理非避險目的之複雜性高風險衍生性金融商品交易前，應留存書面或錄音等紀錄以佐證客戶確認其適合投資該商品。</w:t>
            </w:r>
            <w:r w:rsidRPr="00C513FA">
              <w:rPr>
                <w:rFonts w:ascii="Times New Roman" w:eastAsia="標楷體" w:hAnsi="Times New Roman" w:cs="Times New Roman"/>
                <w:b/>
              </w:rPr>
              <w:tab/>
            </w:r>
          </w:p>
          <w:p w14:paraId="1F75350D" w14:textId="77777777" w:rsidR="00574E09" w:rsidRPr="00C513FA" w:rsidRDefault="00574E09" w:rsidP="00574E09">
            <w:pPr>
              <w:snapToGrid w:val="0"/>
              <w:spacing w:line="300" w:lineRule="auto"/>
              <w:ind w:left="538" w:hangingChars="224" w:hanging="538"/>
              <w:jc w:val="both"/>
              <w:rPr>
                <w:rFonts w:ascii="Times New Roman" w:eastAsia="標楷體" w:hAnsi="Times New Roman" w:cs="Times New Roman"/>
                <w:b/>
              </w:rPr>
            </w:pPr>
            <w:r w:rsidRPr="00C513FA">
              <w:rPr>
                <w:rFonts w:ascii="Times New Roman" w:eastAsia="標楷體" w:hAnsi="Times New Roman" w:cs="Times New Roman"/>
                <w:b/>
              </w:rPr>
              <w:t>四、</w:t>
            </w:r>
            <w:r w:rsidRPr="00C513FA">
              <w:rPr>
                <w:rFonts w:ascii="Times New Roman" w:eastAsia="標楷體" w:hAnsi="Times New Roman" w:cs="Times New Roman"/>
                <w:b/>
              </w:rPr>
              <w:t xml:space="preserve"> </w:t>
            </w:r>
            <w:r w:rsidRPr="00C513FA">
              <w:rPr>
                <w:rFonts w:ascii="Times New Roman" w:eastAsia="標楷體" w:hAnsi="Times New Roman" w:cs="Times New Roman"/>
                <w:b/>
              </w:rPr>
              <w:t>證券商應就非以避險為目的承作之複雜性高風險商品建立客戶風險集中度控管機制，明確訂定客戶投資複雜性高風險商品所使用之未來潛在暴險額（</w:t>
            </w:r>
            <w:r w:rsidRPr="00C513FA">
              <w:rPr>
                <w:rFonts w:ascii="Times New Roman" w:eastAsia="標楷體" w:hAnsi="Times New Roman" w:cs="Times New Roman"/>
                <w:b/>
              </w:rPr>
              <w:t>MLIV</w:t>
            </w:r>
            <w:r w:rsidRPr="00C513FA">
              <w:rPr>
                <w:rFonts w:ascii="Times New Roman" w:eastAsia="標楷體" w:hAnsi="Times New Roman" w:cs="Times New Roman"/>
                <w:b/>
              </w:rPr>
              <w:t>）加計暴險額（</w:t>
            </w:r>
            <w:r w:rsidRPr="00C513FA">
              <w:rPr>
                <w:rFonts w:ascii="Times New Roman" w:eastAsia="標楷體" w:hAnsi="Times New Roman" w:cs="Times New Roman"/>
                <w:b/>
              </w:rPr>
              <w:t>MTM</w:t>
            </w:r>
            <w:r w:rsidRPr="00C513FA">
              <w:rPr>
                <w:rFonts w:ascii="Times New Roman" w:eastAsia="標楷體" w:hAnsi="Times New Roman" w:cs="Times New Roman"/>
                <w:b/>
              </w:rPr>
              <w:t>）之總和占其衍生性商品暴險額度之最高比</w:t>
            </w:r>
            <w:r w:rsidRPr="00C513FA">
              <w:rPr>
                <w:rFonts w:ascii="Times New Roman" w:eastAsia="標楷體" w:hAnsi="Times New Roman" w:cs="Times New Roman"/>
                <w:b/>
              </w:rPr>
              <w:lastRenderedPageBreak/>
              <w:t>重及逾限控管機制。</w:t>
            </w:r>
          </w:p>
          <w:p w14:paraId="6E81071E" w14:textId="77777777" w:rsidR="00574E09" w:rsidRPr="00C513FA" w:rsidRDefault="00574E09" w:rsidP="00574E09">
            <w:pPr>
              <w:snapToGrid w:val="0"/>
              <w:spacing w:line="300" w:lineRule="auto"/>
              <w:ind w:left="538" w:hangingChars="224" w:hanging="538"/>
              <w:jc w:val="both"/>
              <w:rPr>
                <w:rFonts w:ascii="Times New Roman" w:eastAsia="標楷體" w:hAnsi="Times New Roman" w:cs="Times New Roman"/>
                <w:b/>
              </w:rPr>
            </w:pPr>
            <w:r>
              <w:rPr>
                <w:rFonts w:ascii="Times New Roman" w:eastAsia="標楷體" w:hAnsi="Times New Roman" w:cs="Times New Roman"/>
                <w:b/>
              </w:rPr>
              <w:t>五</w:t>
            </w:r>
            <w:r w:rsidRPr="00C513FA">
              <w:rPr>
                <w:rFonts w:ascii="Times New Roman" w:eastAsia="標楷體" w:hAnsi="Times New Roman" w:cs="Times New Roman"/>
                <w:b/>
              </w:rPr>
              <w:t>、</w:t>
            </w:r>
            <w:r w:rsidRPr="00C513FA">
              <w:rPr>
                <w:rFonts w:ascii="Times New Roman" w:eastAsia="標楷體" w:hAnsi="Times New Roman" w:cs="Times New Roman"/>
                <w:b/>
              </w:rPr>
              <w:tab/>
            </w:r>
            <w:r w:rsidRPr="00C513FA">
              <w:rPr>
                <w:rFonts w:ascii="Times New Roman" w:eastAsia="標楷體" w:hAnsi="Times New Roman" w:cs="Times New Roman"/>
                <w:b/>
              </w:rPr>
              <w:t>證券商與客戶承作複雜性高風險商品交易應告知交易條件重要內容及相關風險，除以非臨櫃之自動化通路交易或客戶不予同意之情形外，應以錄音或錄影方式保留紀錄。</w:t>
            </w:r>
          </w:p>
          <w:p w14:paraId="66FAEA1B" w14:textId="77777777" w:rsidR="00574E09" w:rsidRPr="00C513FA" w:rsidRDefault="00574E09" w:rsidP="00574E09">
            <w:pPr>
              <w:snapToGrid w:val="0"/>
              <w:spacing w:line="300" w:lineRule="auto"/>
              <w:ind w:left="538" w:hangingChars="224" w:hanging="538"/>
              <w:jc w:val="both"/>
              <w:rPr>
                <w:rFonts w:ascii="Times New Roman" w:eastAsia="標楷體" w:hAnsi="Times New Roman" w:cs="Times New Roman"/>
                <w:b/>
              </w:rPr>
            </w:pPr>
            <w:r>
              <w:rPr>
                <w:rFonts w:ascii="Times New Roman" w:eastAsia="標楷體" w:hAnsi="Times New Roman" w:cs="Times New Roman"/>
                <w:b/>
              </w:rPr>
              <w:t>六</w:t>
            </w:r>
            <w:r w:rsidRPr="00C513FA">
              <w:rPr>
                <w:rFonts w:ascii="Times New Roman" w:eastAsia="標楷體" w:hAnsi="Times New Roman" w:cs="Times New Roman"/>
                <w:b/>
              </w:rPr>
              <w:t>、</w:t>
            </w:r>
            <w:r w:rsidRPr="00C513FA">
              <w:rPr>
                <w:rFonts w:ascii="Times New Roman" w:eastAsia="標楷體" w:hAnsi="Times New Roman" w:cs="Times New Roman"/>
                <w:b/>
              </w:rPr>
              <w:tab/>
            </w:r>
            <w:r w:rsidRPr="00C513FA">
              <w:rPr>
                <w:rFonts w:ascii="Times New Roman" w:eastAsia="標楷體" w:hAnsi="Times New Roman" w:cs="Times New Roman"/>
                <w:b/>
              </w:rPr>
              <w:t>證券商應落實執行認識客戶及商品適合度制度，與非避險客戶辦理複雜性高風險商品時，所訂定之個別契約最大損失上限應有合理考量基礎。</w:t>
            </w:r>
          </w:p>
          <w:p w14:paraId="42F3F057" w14:textId="77777777" w:rsidR="00574E09" w:rsidRDefault="00574E09" w:rsidP="00574E09">
            <w:pPr>
              <w:snapToGrid w:val="0"/>
              <w:spacing w:line="300" w:lineRule="auto"/>
              <w:ind w:left="538" w:hangingChars="224" w:hanging="538"/>
              <w:jc w:val="both"/>
              <w:rPr>
                <w:rFonts w:ascii="Times New Roman" w:eastAsia="標楷體" w:hAnsi="Times New Roman" w:cs="Times New Roman"/>
                <w:b/>
              </w:rPr>
            </w:pPr>
            <w:r>
              <w:rPr>
                <w:rFonts w:ascii="Times New Roman" w:eastAsia="標楷體" w:hAnsi="Times New Roman" w:cs="Times New Roman"/>
                <w:b/>
              </w:rPr>
              <w:t>七</w:t>
            </w:r>
            <w:r w:rsidRPr="00C513FA">
              <w:rPr>
                <w:rFonts w:ascii="Times New Roman" w:eastAsia="標楷體" w:hAnsi="Times New Roman" w:cs="Times New Roman"/>
                <w:b/>
              </w:rPr>
              <w:t>、</w:t>
            </w:r>
            <w:r w:rsidRPr="00C513FA">
              <w:rPr>
                <w:rFonts w:ascii="Times New Roman" w:eastAsia="標楷體" w:hAnsi="Times New Roman" w:cs="Times New Roman"/>
                <w:b/>
              </w:rPr>
              <w:tab/>
            </w:r>
            <w:r w:rsidRPr="00C513FA">
              <w:rPr>
                <w:rFonts w:ascii="Times New Roman" w:eastAsia="標楷體" w:hAnsi="Times New Roman" w:cs="Times New Roman"/>
                <w:b/>
              </w:rPr>
              <w:t>提供予客戶之交易文件應載明並揭露該筆交易契約之客戶最大損失金額及客戶提前終止交易之應支付金額計算方式等交易條件，並要求客戶於該最大損失金額處及交易條件處簽名或蓋用原留印鑑之方式確認，以提高客戶風險意識，並應提供客戶交易糾紛申訴管道。</w:t>
            </w:r>
          </w:p>
          <w:p w14:paraId="23580DFA" w14:textId="65E34637" w:rsidR="00574E09" w:rsidRPr="00C513FA" w:rsidRDefault="00574E09" w:rsidP="00574E09">
            <w:pPr>
              <w:snapToGrid w:val="0"/>
              <w:spacing w:line="300" w:lineRule="auto"/>
              <w:ind w:left="538" w:hangingChars="224" w:hanging="538"/>
              <w:jc w:val="both"/>
              <w:rPr>
                <w:rFonts w:ascii="Times New Roman" w:eastAsia="標楷體" w:hAnsi="Times New Roman" w:cs="Times New Roman"/>
                <w:b/>
              </w:rPr>
            </w:pPr>
            <w:r>
              <w:rPr>
                <w:rFonts w:ascii="Times New Roman" w:eastAsia="標楷體" w:hAnsi="Times New Roman" w:cs="Times New Roman"/>
                <w:b/>
              </w:rPr>
              <w:t>八、</w:t>
            </w:r>
            <w:r>
              <w:rPr>
                <w:rFonts w:ascii="Times New Roman" w:eastAsia="標楷體" w:hAnsi="Times New Roman" w:cs="Times New Roman" w:hint="eastAsia"/>
                <w:b/>
              </w:rPr>
              <w:t>證券商</w:t>
            </w:r>
            <w:r w:rsidRPr="00C513FA">
              <w:rPr>
                <w:rFonts w:ascii="Times New Roman" w:eastAsia="標楷體" w:hAnsi="Times New Roman" w:cs="Times New Roman" w:hint="eastAsia"/>
                <w:b/>
              </w:rPr>
              <w:t>與客戶承作複雜性高風險衍生性金融商品，如以背對背抛補交易方式進行，應於該筆交易文件揭露銷售利潤率上限。前揭銷售利潤率得以銷售利潤佔總名目本金</w:t>
            </w:r>
            <w:r w:rsidR="00B56D49">
              <w:rPr>
                <w:rFonts w:ascii="Times New Roman" w:eastAsia="標楷體" w:hAnsi="Times New Roman" w:cs="Times New Roman" w:hint="eastAsia"/>
                <w:b/>
              </w:rPr>
              <w:t>（</w:t>
            </w:r>
            <w:r w:rsidRPr="00C513FA">
              <w:rPr>
                <w:rFonts w:ascii="Times New Roman" w:eastAsia="標楷體" w:hAnsi="Times New Roman" w:cs="Times New Roman" w:hint="eastAsia"/>
                <w:b/>
              </w:rPr>
              <w:t>應加計槓桿倍數與比價期數</w:t>
            </w:r>
            <w:r w:rsidR="00B56D49">
              <w:rPr>
                <w:rFonts w:ascii="Times New Roman" w:eastAsia="標楷體" w:hAnsi="Times New Roman" w:cs="Times New Roman" w:hint="eastAsia"/>
                <w:b/>
              </w:rPr>
              <w:t>）</w:t>
            </w:r>
            <w:r w:rsidRPr="00C513FA">
              <w:rPr>
                <w:rFonts w:ascii="Times New Roman" w:eastAsia="標楷體" w:hAnsi="Times New Roman" w:cs="Times New Roman" w:hint="eastAsia"/>
                <w:b/>
              </w:rPr>
              <w:t>百分</w:t>
            </w:r>
            <w:r w:rsidRPr="00C513FA">
              <w:rPr>
                <w:rFonts w:ascii="Times New Roman" w:eastAsia="標楷體" w:hAnsi="Times New Roman" w:cs="Times New Roman" w:hint="eastAsia"/>
                <w:b/>
              </w:rPr>
              <w:lastRenderedPageBreak/>
              <w:t>率或等值金額方式向客戶揭露之。</w:t>
            </w:r>
          </w:p>
          <w:p w14:paraId="041CF788" w14:textId="5B099C12" w:rsidR="00574E09" w:rsidRPr="00C513FA" w:rsidRDefault="00574E09" w:rsidP="00574E09">
            <w:pPr>
              <w:snapToGrid w:val="0"/>
              <w:spacing w:line="300" w:lineRule="auto"/>
              <w:jc w:val="both"/>
              <w:rPr>
                <w:rFonts w:ascii="Times New Roman" w:eastAsia="標楷體" w:hAnsi="Times New Roman" w:cs="Times New Roman"/>
                <w:b/>
              </w:rPr>
            </w:pPr>
            <w:r>
              <w:rPr>
                <w:rFonts w:ascii="Times New Roman" w:eastAsia="標楷體" w:hAnsi="Times New Roman" w:cs="Times New Roman"/>
                <w:b/>
              </w:rPr>
              <w:t xml:space="preserve">　　</w:t>
            </w:r>
            <w:r w:rsidR="00B56D49">
              <w:rPr>
                <w:rFonts w:ascii="Times New Roman" w:eastAsia="標楷體" w:hAnsi="Times New Roman" w:cs="Times New Roman" w:hint="eastAsia"/>
                <w:b/>
              </w:rPr>
              <w:t>前</w:t>
            </w:r>
            <w:r>
              <w:rPr>
                <w:rFonts w:ascii="Times New Roman" w:eastAsia="標楷體" w:hAnsi="Times New Roman" w:cs="Times New Roman"/>
                <w:b/>
              </w:rPr>
              <w:t>項第五</w:t>
            </w:r>
            <w:r w:rsidRPr="00C513FA">
              <w:rPr>
                <w:rFonts w:ascii="Times New Roman" w:eastAsia="標楷體" w:hAnsi="Times New Roman" w:cs="Times New Roman"/>
                <w:b/>
              </w:rPr>
              <w:t>款所稱之交易條件重要內容及相關風險係指下列事項：</w:t>
            </w:r>
          </w:p>
          <w:p w14:paraId="6650C95C" w14:textId="77777777" w:rsidR="00574E09" w:rsidRPr="00C513FA" w:rsidRDefault="00574E09" w:rsidP="00574E09">
            <w:pPr>
              <w:snapToGrid w:val="0"/>
              <w:spacing w:line="300" w:lineRule="auto"/>
              <w:ind w:left="538" w:hangingChars="224" w:hanging="538"/>
              <w:jc w:val="both"/>
              <w:rPr>
                <w:rFonts w:ascii="Times New Roman" w:eastAsia="標楷體" w:hAnsi="Times New Roman" w:cs="Times New Roman"/>
                <w:b/>
              </w:rPr>
            </w:pPr>
            <w:r w:rsidRPr="00C513FA">
              <w:rPr>
                <w:rFonts w:ascii="Times New Roman" w:eastAsia="標楷體" w:hAnsi="Times New Roman" w:cs="Times New Roman"/>
                <w:b/>
              </w:rPr>
              <w:t>一、交易條件及重要內容</w:t>
            </w:r>
          </w:p>
          <w:p w14:paraId="4449CE06" w14:textId="77777777" w:rsidR="00574E09" w:rsidRPr="00C513FA" w:rsidRDefault="00574E09" w:rsidP="00574E09">
            <w:pPr>
              <w:snapToGrid w:val="0"/>
              <w:spacing w:line="300" w:lineRule="auto"/>
              <w:ind w:left="680" w:hangingChars="283" w:hanging="680"/>
              <w:jc w:val="both"/>
              <w:rPr>
                <w:rFonts w:ascii="Times New Roman" w:eastAsia="標楷體" w:hAnsi="Times New Roman" w:cs="Times New Roman"/>
                <w:b/>
              </w:rPr>
            </w:pPr>
            <w:r w:rsidRPr="00C513FA">
              <w:rPr>
                <w:rFonts w:ascii="Times New Roman" w:eastAsia="標楷體" w:hAnsi="Times New Roman" w:cs="Times New Roman"/>
                <w:b/>
              </w:rPr>
              <w:t>（一）計價幣別。</w:t>
            </w:r>
          </w:p>
          <w:p w14:paraId="5E71A2D4" w14:textId="77777777" w:rsidR="00574E09" w:rsidRPr="00C513FA" w:rsidRDefault="00574E09" w:rsidP="00574E09">
            <w:pPr>
              <w:snapToGrid w:val="0"/>
              <w:spacing w:line="300" w:lineRule="auto"/>
              <w:ind w:left="680" w:hangingChars="283" w:hanging="680"/>
              <w:jc w:val="both"/>
              <w:rPr>
                <w:rFonts w:ascii="Times New Roman" w:eastAsia="標楷體" w:hAnsi="Times New Roman" w:cs="Times New Roman"/>
                <w:b/>
              </w:rPr>
            </w:pPr>
            <w:r w:rsidRPr="00C513FA">
              <w:rPr>
                <w:rFonts w:ascii="Times New Roman" w:eastAsia="標楷體" w:hAnsi="Times New Roman" w:cs="Times New Roman"/>
                <w:b/>
              </w:rPr>
              <w:t>（二）交易日</w:t>
            </w:r>
            <w:r w:rsidRPr="00C513FA">
              <w:rPr>
                <w:rFonts w:ascii="Times New Roman" w:eastAsia="標楷體" w:hAnsi="Times New Roman" w:cs="Times New Roman"/>
                <w:b/>
              </w:rPr>
              <w:t>/</w:t>
            </w:r>
            <w:r w:rsidRPr="00C513FA">
              <w:rPr>
                <w:rFonts w:ascii="Times New Roman" w:eastAsia="標楷體" w:hAnsi="Times New Roman" w:cs="Times New Roman"/>
                <w:b/>
              </w:rPr>
              <w:t>生效日</w:t>
            </w:r>
            <w:r w:rsidRPr="00C513FA">
              <w:rPr>
                <w:rFonts w:ascii="Times New Roman" w:eastAsia="標楷體" w:hAnsi="Times New Roman" w:cs="Times New Roman"/>
                <w:b/>
              </w:rPr>
              <w:t>/</w:t>
            </w:r>
            <w:r w:rsidRPr="00C513FA">
              <w:rPr>
                <w:rFonts w:ascii="Times New Roman" w:eastAsia="標楷體" w:hAnsi="Times New Roman" w:cs="Times New Roman"/>
                <w:b/>
              </w:rPr>
              <w:t>到期日及其他依個別商品性質而定之日期。</w:t>
            </w:r>
          </w:p>
          <w:p w14:paraId="48809960" w14:textId="77777777" w:rsidR="00574E09" w:rsidRPr="00C513FA" w:rsidRDefault="00574E09" w:rsidP="00574E09">
            <w:pPr>
              <w:snapToGrid w:val="0"/>
              <w:spacing w:line="300" w:lineRule="auto"/>
              <w:ind w:left="680" w:hangingChars="283" w:hanging="680"/>
              <w:jc w:val="both"/>
              <w:rPr>
                <w:rFonts w:ascii="Times New Roman" w:eastAsia="標楷體" w:hAnsi="Times New Roman" w:cs="Times New Roman"/>
                <w:b/>
              </w:rPr>
            </w:pPr>
            <w:r w:rsidRPr="00C513FA">
              <w:rPr>
                <w:rFonts w:ascii="Times New Roman" w:eastAsia="標楷體" w:hAnsi="Times New Roman" w:cs="Times New Roman"/>
                <w:b/>
              </w:rPr>
              <w:t>（三）連結標的類別或資產。</w:t>
            </w:r>
          </w:p>
          <w:p w14:paraId="0888C31B" w14:textId="77777777" w:rsidR="00574E09" w:rsidRPr="00C513FA" w:rsidRDefault="00574E09" w:rsidP="00574E09">
            <w:pPr>
              <w:snapToGrid w:val="0"/>
              <w:spacing w:line="300" w:lineRule="auto"/>
              <w:ind w:left="680" w:hangingChars="283" w:hanging="680"/>
              <w:jc w:val="both"/>
              <w:rPr>
                <w:rFonts w:ascii="Times New Roman" w:eastAsia="標楷體" w:hAnsi="Times New Roman" w:cs="Times New Roman"/>
                <w:b/>
              </w:rPr>
            </w:pPr>
            <w:r w:rsidRPr="00C513FA">
              <w:rPr>
                <w:rFonts w:ascii="Times New Roman" w:eastAsia="標楷體" w:hAnsi="Times New Roman" w:cs="Times New Roman"/>
                <w:b/>
              </w:rPr>
              <w:t>（四）收益計算給付及其計算方式。</w:t>
            </w:r>
          </w:p>
          <w:p w14:paraId="01B1A460" w14:textId="77777777" w:rsidR="00574E09" w:rsidRPr="00C513FA" w:rsidRDefault="00574E09" w:rsidP="00574E09">
            <w:pPr>
              <w:snapToGrid w:val="0"/>
              <w:spacing w:line="300" w:lineRule="auto"/>
              <w:ind w:left="680" w:hangingChars="283" w:hanging="680"/>
              <w:jc w:val="both"/>
              <w:rPr>
                <w:rFonts w:ascii="Times New Roman" w:eastAsia="標楷體" w:hAnsi="Times New Roman" w:cs="Times New Roman"/>
                <w:b/>
              </w:rPr>
            </w:pPr>
            <w:r w:rsidRPr="00C513FA">
              <w:rPr>
                <w:rFonts w:ascii="Times New Roman" w:eastAsia="標楷體" w:hAnsi="Times New Roman" w:cs="Times New Roman"/>
                <w:b/>
              </w:rPr>
              <w:t>（五）說明交易如有提前到期約定時之條件、結算應付款數額之金額或計算方式。</w:t>
            </w:r>
          </w:p>
          <w:p w14:paraId="16FBA7E2" w14:textId="1AB5548E" w:rsidR="00574E09" w:rsidRPr="00C513FA" w:rsidRDefault="00574E09" w:rsidP="00574E09">
            <w:pPr>
              <w:snapToGrid w:val="0"/>
              <w:spacing w:line="300" w:lineRule="auto"/>
              <w:ind w:left="396" w:hangingChars="165" w:hanging="396"/>
              <w:jc w:val="both"/>
              <w:rPr>
                <w:rFonts w:ascii="Times New Roman" w:eastAsia="標楷體" w:hAnsi="Times New Roman" w:cs="Times New Roman"/>
                <w:b/>
              </w:rPr>
            </w:pPr>
            <w:r w:rsidRPr="00C513FA">
              <w:rPr>
                <w:rFonts w:ascii="Times New Roman" w:eastAsia="標楷體" w:hAnsi="Times New Roman" w:cs="Times New Roman"/>
                <w:b/>
              </w:rPr>
              <w:t>二、相關風險應包含第二十六條第一款至第六款。</w:t>
            </w:r>
          </w:p>
          <w:p w14:paraId="4F6434A3" w14:textId="77777777" w:rsidR="00574E09" w:rsidRPr="00C513FA" w:rsidRDefault="00574E09" w:rsidP="00574E09">
            <w:pPr>
              <w:snapToGrid w:val="0"/>
              <w:spacing w:line="300" w:lineRule="auto"/>
              <w:ind w:leftChars="-12" w:left="-3" w:hangingChars="11" w:hanging="26"/>
              <w:jc w:val="both"/>
              <w:rPr>
                <w:rFonts w:ascii="Times New Roman" w:eastAsia="標楷體" w:hAnsi="Times New Roman" w:cs="Times New Roman"/>
                <w:b/>
              </w:rPr>
            </w:pPr>
            <w:r w:rsidRPr="00C513FA">
              <w:rPr>
                <w:rFonts w:ascii="Times New Roman" w:eastAsia="標楷體" w:hAnsi="Times New Roman" w:cs="Times New Roman"/>
                <w:b/>
              </w:rPr>
              <w:t xml:space="preserve">  </w:t>
            </w:r>
            <w:r>
              <w:rPr>
                <w:rFonts w:ascii="Times New Roman" w:eastAsia="標楷體" w:hAnsi="Times New Roman" w:cs="Times New Roman"/>
                <w:b/>
              </w:rPr>
              <w:t xml:space="preserve">　第一項</w:t>
            </w:r>
            <w:r w:rsidR="008A2737">
              <w:rPr>
                <w:rFonts w:ascii="Times New Roman" w:eastAsia="標楷體" w:hAnsi="Times New Roman" w:cs="Times New Roman"/>
                <w:b/>
              </w:rPr>
              <w:t>第三款及</w:t>
            </w:r>
            <w:r>
              <w:rPr>
                <w:rFonts w:ascii="Times New Roman" w:eastAsia="標楷體" w:hAnsi="Times New Roman" w:cs="Times New Roman"/>
                <w:b/>
              </w:rPr>
              <w:t>第五</w:t>
            </w:r>
            <w:r w:rsidRPr="00C513FA">
              <w:rPr>
                <w:rFonts w:ascii="Times New Roman" w:eastAsia="標楷體" w:hAnsi="Times New Roman" w:cs="Times New Roman"/>
                <w:b/>
              </w:rPr>
              <w:t>款所稱以錄音或錄影方式保留紀錄，或以電子設備留存相關作業程程之軌跡者，其保存期限應不得少於該商品存續期間加計三個月之期間，如未滿五年應至少保存五年以上。惟遇有爭議之交易時，應保留至爭議終結為止。</w:t>
            </w:r>
          </w:p>
          <w:p w14:paraId="52443026" w14:textId="77777777" w:rsidR="00574E09" w:rsidRPr="00C513FA" w:rsidRDefault="00574E09" w:rsidP="00574E09">
            <w:pPr>
              <w:snapToGrid w:val="0"/>
              <w:spacing w:line="300" w:lineRule="auto"/>
              <w:ind w:leftChars="-12" w:left="-29" w:firstLineChars="200" w:firstLine="480"/>
              <w:jc w:val="both"/>
              <w:rPr>
                <w:rFonts w:ascii="Times New Roman" w:eastAsia="標楷體" w:hAnsi="Times New Roman" w:cs="Times New Roman"/>
              </w:rPr>
            </w:pPr>
            <w:r w:rsidRPr="00C513FA">
              <w:rPr>
                <w:rFonts w:ascii="Times New Roman" w:eastAsia="標楷體" w:hAnsi="Times New Roman" w:cs="Times New Roman"/>
                <w:b/>
              </w:rPr>
              <w:t>證券商於前項保存期限內，除資料之提供有妨害證券商或第三人之重大利益外，應配合客戶要求，提供前項紀錄，並得向客戶收取必要成本費用。</w:t>
            </w:r>
          </w:p>
        </w:tc>
        <w:tc>
          <w:tcPr>
            <w:tcW w:w="3355" w:type="dxa"/>
            <w:tcBorders>
              <w:top w:val="single" w:sz="4" w:space="0" w:color="auto"/>
              <w:left w:val="single" w:sz="4" w:space="0" w:color="auto"/>
              <w:bottom w:val="single" w:sz="4" w:space="0" w:color="auto"/>
              <w:right w:val="single" w:sz="4" w:space="0" w:color="auto"/>
            </w:tcBorders>
          </w:tcPr>
          <w:p w14:paraId="1CF800F7" w14:textId="77777777" w:rsidR="00574E09" w:rsidRPr="00C513FA" w:rsidRDefault="00574E09" w:rsidP="00574E09">
            <w:pPr>
              <w:adjustRightInd w:val="0"/>
              <w:snapToGrid w:val="0"/>
              <w:spacing w:line="300" w:lineRule="auto"/>
              <w:jc w:val="both"/>
              <w:rPr>
                <w:rFonts w:ascii="Times New Roman" w:eastAsia="標楷體" w:hAnsi="Times New Roman" w:cs="Times New Roman"/>
                <w:snapToGrid w:val="0"/>
                <w:kern w:val="0"/>
              </w:rPr>
            </w:pPr>
          </w:p>
        </w:tc>
        <w:tc>
          <w:tcPr>
            <w:tcW w:w="3355" w:type="dxa"/>
            <w:tcBorders>
              <w:top w:val="single" w:sz="4" w:space="0" w:color="auto"/>
              <w:left w:val="single" w:sz="4" w:space="0" w:color="auto"/>
              <w:bottom w:val="single" w:sz="4" w:space="0" w:color="auto"/>
              <w:right w:val="single" w:sz="4" w:space="0" w:color="auto"/>
            </w:tcBorders>
          </w:tcPr>
          <w:p w14:paraId="7149D16E" w14:textId="77777777" w:rsidR="00574E09" w:rsidRPr="00C513FA" w:rsidRDefault="00574E09" w:rsidP="00574E09">
            <w:pPr>
              <w:pStyle w:val="a3"/>
              <w:numPr>
                <w:ilvl w:val="0"/>
                <w:numId w:val="1"/>
              </w:numPr>
              <w:spacing w:line="240" w:lineRule="auto"/>
              <w:ind w:leftChars="0"/>
              <w:jc w:val="both"/>
              <w:rPr>
                <w:rFonts w:ascii="Times New Roman" w:eastAsia="標楷體" w:hAnsi="Times New Roman" w:cs="Times New Roman"/>
                <w:color w:val="000000"/>
              </w:rPr>
            </w:pPr>
            <w:r w:rsidRPr="00C513FA">
              <w:rPr>
                <w:rFonts w:ascii="Times New Roman" w:eastAsia="標楷體" w:hAnsi="Times New Roman" w:cs="Times New Roman"/>
                <w:b/>
                <w:color w:val="000000"/>
                <w:u w:val="single"/>
              </w:rPr>
              <w:t>本條新增</w:t>
            </w:r>
            <w:r w:rsidRPr="00C513FA">
              <w:rPr>
                <w:rFonts w:ascii="Times New Roman" w:eastAsia="標楷體" w:hAnsi="Times New Roman" w:cs="Times New Roman"/>
                <w:color w:val="000000"/>
              </w:rPr>
              <w:t>。</w:t>
            </w:r>
          </w:p>
          <w:p w14:paraId="37F450AA" w14:textId="0587F4ED" w:rsidR="00574E09" w:rsidRPr="00C513FA" w:rsidRDefault="00574E09" w:rsidP="00574E09">
            <w:pPr>
              <w:pStyle w:val="a3"/>
              <w:numPr>
                <w:ilvl w:val="0"/>
                <w:numId w:val="1"/>
              </w:numPr>
              <w:spacing w:line="240" w:lineRule="auto"/>
              <w:ind w:leftChars="0"/>
              <w:jc w:val="both"/>
              <w:rPr>
                <w:rFonts w:ascii="Times New Roman" w:eastAsia="標楷體" w:hAnsi="Times New Roman" w:cs="Times New Roman"/>
                <w:color w:val="000000"/>
              </w:rPr>
            </w:pPr>
            <w:r w:rsidRPr="00C513FA">
              <w:rPr>
                <w:rFonts w:ascii="Times New Roman" w:eastAsia="標楷體" w:hAnsi="Times New Roman" w:cs="Times New Roman"/>
                <w:color w:val="000000"/>
              </w:rPr>
              <w:t>參考銀行辦理衍生性金融商品自律規範第二十五之一條，</w:t>
            </w:r>
            <w:r w:rsidR="00B56D49">
              <w:rPr>
                <w:rFonts w:ascii="Times New Roman" w:eastAsia="標楷體" w:hAnsi="Times New Roman" w:cs="Times New Roman" w:hint="eastAsia"/>
                <w:color w:val="000000"/>
              </w:rPr>
              <w:t>明定證券商</w:t>
            </w:r>
            <w:r w:rsidR="00453DD4">
              <w:rPr>
                <w:rFonts w:ascii="Times New Roman" w:eastAsia="標楷體" w:hAnsi="Times New Roman" w:cs="Times New Roman"/>
                <w:color w:val="000000"/>
              </w:rPr>
              <w:t>辦理複雜性高風險商品交易應符合之原則、交易條件重要內容及錄音錄影之規定，</w:t>
            </w:r>
            <w:r w:rsidR="00B56D49">
              <w:rPr>
                <w:rFonts w:ascii="Times New Roman" w:eastAsia="標楷體" w:hAnsi="Times New Roman" w:cs="Times New Roman" w:hint="eastAsia"/>
                <w:color w:val="000000"/>
              </w:rPr>
              <w:t>爰</w:t>
            </w:r>
            <w:r w:rsidRPr="00C513FA">
              <w:rPr>
                <w:rFonts w:ascii="Times New Roman" w:eastAsia="標楷體" w:hAnsi="Times New Roman" w:cs="Times New Roman"/>
                <w:color w:val="000000"/>
              </w:rPr>
              <w:t>增訂第一項至第三項規定。</w:t>
            </w:r>
          </w:p>
          <w:p w14:paraId="32C74C38" w14:textId="68D2AFA1" w:rsidR="00574E09" w:rsidRPr="00C513FA" w:rsidRDefault="00574E09" w:rsidP="00574E09">
            <w:pPr>
              <w:pStyle w:val="a3"/>
              <w:numPr>
                <w:ilvl w:val="0"/>
                <w:numId w:val="1"/>
              </w:numPr>
              <w:spacing w:line="240" w:lineRule="auto"/>
              <w:ind w:leftChars="0"/>
              <w:jc w:val="both"/>
              <w:rPr>
                <w:rFonts w:ascii="Times New Roman" w:eastAsia="標楷體" w:hAnsi="Times New Roman" w:cs="Times New Roman"/>
                <w:color w:val="000000"/>
              </w:rPr>
            </w:pPr>
            <w:r w:rsidRPr="00C513FA">
              <w:rPr>
                <w:rFonts w:ascii="Times New Roman" w:eastAsia="標楷體" w:hAnsi="Times New Roman" w:cs="Times New Roman"/>
                <w:color w:val="000000"/>
              </w:rPr>
              <w:t>參考銀行辦理衍生性金融商品自律規範第二十七條，</w:t>
            </w:r>
            <w:r w:rsidR="00B56D49">
              <w:rPr>
                <w:rFonts w:ascii="Times New Roman" w:eastAsia="標楷體" w:hAnsi="Times New Roman" w:cs="Times New Roman" w:hint="eastAsia"/>
                <w:color w:val="000000"/>
              </w:rPr>
              <w:t>明定</w:t>
            </w:r>
            <w:r w:rsidR="00453DD4">
              <w:rPr>
                <w:rFonts w:ascii="Times New Roman" w:eastAsia="標楷體" w:hAnsi="Times New Roman" w:cs="Times New Roman"/>
                <w:color w:val="000000"/>
              </w:rPr>
              <w:t>客戶於保存期限內調閱個人資料</w:t>
            </w:r>
            <w:r w:rsidR="00B56D49">
              <w:rPr>
                <w:rFonts w:ascii="Times New Roman" w:eastAsia="標楷體" w:hAnsi="Times New Roman" w:cs="Times New Roman" w:hint="eastAsia"/>
                <w:color w:val="000000"/>
              </w:rPr>
              <w:t>時，證券商</w:t>
            </w:r>
            <w:r w:rsidR="00453DD4">
              <w:rPr>
                <w:rFonts w:ascii="Times New Roman" w:eastAsia="標楷體" w:hAnsi="Times New Roman" w:cs="Times New Roman"/>
                <w:color w:val="000000"/>
              </w:rPr>
              <w:t>應配合提供之規定，</w:t>
            </w:r>
            <w:r w:rsidR="00B56D49">
              <w:rPr>
                <w:rFonts w:ascii="Times New Roman" w:eastAsia="標楷體" w:hAnsi="Times New Roman" w:cs="Times New Roman" w:hint="eastAsia"/>
                <w:color w:val="000000"/>
              </w:rPr>
              <w:t>爰</w:t>
            </w:r>
            <w:r w:rsidRPr="00C513FA">
              <w:rPr>
                <w:rFonts w:ascii="Times New Roman" w:eastAsia="標楷體" w:hAnsi="Times New Roman" w:cs="Times New Roman"/>
                <w:color w:val="000000"/>
              </w:rPr>
              <w:t>增訂第四項規定。</w:t>
            </w:r>
          </w:p>
        </w:tc>
      </w:tr>
      <w:tr w:rsidR="007F51D6" w:rsidRPr="00C513FA" w14:paraId="271666DD" w14:textId="77777777" w:rsidTr="00915618">
        <w:trPr>
          <w:trHeight w:val="535"/>
        </w:trPr>
        <w:tc>
          <w:tcPr>
            <w:tcW w:w="3355" w:type="dxa"/>
            <w:tcBorders>
              <w:top w:val="single" w:sz="4" w:space="0" w:color="auto"/>
              <w:left w:val="single" w:sz="4" w:space="0" w:color="auto"/>
              <w:bottom w:val="single" w:sz="4" w:space="0" w:color="auto"/>
              <w:right w:val="single" w:sz="4" w:space="0" w:color="auto"/>
            </w:tcBorders>
          </w:tcPr>
          <w:p w14:paraId="4F3FA71D" w14:textId="77777777" w:rsidR="007F51D6" w:rsidRPr="001E3677" w:rsidRDefault="007F51D6" w:rsidP="007F51D6">
            <w:pPr>
              <w:adjustRightInd w:val="0"/>
              <w:snapToGrid w:val="0"/>
              <w:spacing w:line="300" w:lineRule="auto"/>
              <w:ind w:left="29" w:right="57" w:hangingChars="12" w:hanging="29"/>
              <w:jc w:val="both"/>
              <w:rPr>
                <w:rFonts w:ascii="Times New Roman" w:eastAsia="標楷體" w:hAnsi="Times New Roman" w:cs="Times New Roman"/>
                <w:b/>
                <w:szCs w:val="20"/>
              </w:rPr>
            </w:pPr>
            <w:r w:rsidRPr="001E3677">
              <w:rPr>
                <w:rFonts w:ascii="Times New Roman" w:eastAsia="標楷體" w:hAnsi="Times New Roman" w:cs="Times New Roman"/>
                <w:b/>
                <w:szCs w:val="20"/>
              </w:rPr>
              <w:lastRenderedPageBreak/>
              <w:t>第</w:t>
            </w:r>
            <w:r w:rsidR="008A2737">
              <w:rPr>
                <w:rFonts w:ascii="Times New Roman" w:eastAsia="標楷體" w:hAnsi="Times New Roman" w:cs="Times New Roman"/>
                <w:b/>
                <w:szCs w:val="20"/>
              </w:rPr>
              <w:t>二十五條之四</w:t>
            </w:r>
          </w:p>
          <w:p w14:paraId="57FAF653" w14:textId="77777777" w:rsidR="007F51D6" w:rsidRPr="001E3677" w:rsidRDefault="007F51D6" w:rsidP="007F51D6">
            <w:pPr>
              <w:adjustRightInd w:val="0"/>
              <w:snapToGrid w:val="0"/>
              <w:spacing w:line="300" w:lineRule="auto"/>
              <w:ind w:left="29" w:right="57" w:hangingChars="12" w:hanging="29"/>
              <w:jc w:val="both"/>
              <w:rPr>
                <w:rFonts w:ascii="Times New Roman" w:eastAsia="標楷體" w:hAnsi="Times New Roman" w:cs="Times New Roman"/>
                <w:b/>
                <w:szCs w:val="20"/>
              </w:rPr>
            </w:pPr>
            <w:r w:rsidRPr="001E3677">
              <w:rPr>
                <w:rFonts w:ascii="Times New Roman" w:eastAsia="標楷體" w:hAnsi="Times New Roman" w:cs="Times New Roman" w:hint="eastAsia"/>
                <w:b/>
                <w:szCs w:val="20"/>
              </w:rPr>
              <w:t xml:space="preserve">  </w:t>
            </w:r>
            <w:r w:rsidRPr="001E3677">
              <w:rPr>
                <w:rFonts w:ascii="Times New Roman" w:eastAsia="標楷體" w:hAnsi="Times New Roman" w:cs="Times New Roman"/>
                <w:b/>
                <w:szCs w:val="20"/>
              </w:rPr>
              <w:t xml:space="preserve">  </w:t>
            </w:r>
            <w:r w:rsidRPr="001E3677">
              <w:rPr>
                <w:rFonts w:ascii="Times New Roman" w:eastAsia="標楷體" w:hAnsi="Times New Roman" w:cs="Times New Roman"/>
                <w:b/>
                <w:szCs w:val="20"/>
              </w:rPr>
              <w:t>證券商</w:t>
            </w:r>
            <w:r w:rsidRPr="001E3677">
              <w:rPr>
                <w:rFonts w:ascii="Times New Roman" w:eastAsia="標楷體" w:hAnsi="Times New Roman" w:cs="Times New Roman" w:hint="eastAsia"/>
                <w:b/>
                <w:szCs w:val="20"/>
              </w:rPr>
              <w:t>應管理衍生性金融</w:t>
            </w:r>
            <w:r w:rsidRPr="001E3677">
              <w:rPr>
                <w:rFonts w:ascii="Times New Roman" w:eastAsia="標楷體" w:hAnsi="Times New Roman" w:cs="Times New Roman" w:hint="eastAsia"/>
                <w:b/>
                <w:szCs w:val="20"/>
              </w:rPr>
              <w:lastRenderedPageBreak/>
              <w:t>商品銷售人員之行為，依誠信、審慎之原則執行職務，</w:t>
            </w:r>
            <w:r>
              <w:rPr>
                <w:rFonts w:ascii="Times New Roman" w:eastAsia="標楷體" w:hAnsi="Times New Roman" w:cs="Times New Roman" w:hint="eastAsia"/>
                <w:b/>
                <w:szCs w:val="20"/>
              </w:rPr>
              <w:t>並</w:t>
            </w:r>
            <w:r w:rsidRPr="001E3677">
              <w:rPr>
                <w:rFonts w:ascii="Times New Roman" w:eastAsia="標楷體" w:hAnsi="Times New Roman" w:cs="Times New Roman"/>
                <w:b/>
                <w:szCs w:val="20"/>
              </w:rPr>
              <w:t>訂定</w:t>
            </w:r>
            <w:r w:rsidRPr="001E3677">
              <w:rPr>
                <w:rFonts w:ascii="Times New Roman" w:eastAsia="標楷體" w:hAnsi="Times New Roman" w:cs="Times New Roman" w:hint="eastAsia"/>
                <w:b/>
                <w:szCs w:val="20"/>
              </w:rPr>
              <w:t>行為與操守準則，</w:t>
            </w:r>
            <w:r>
              <w:rPr>
                <w:rFonts w:ascii="Times New Roman" w:eastAsia="標楷體" w:hAnsi="Times New Roman" w:cs="Times New Roman" w:hint="eastAsia"/>
                <w:b/>
                <w:szCs w:val="20"/>
              </w:rPr>
              <w:t>應</w:t>
            </w:r>
            <w:r w:rsidRPr="001E3677">
              <w:rPr>
                <w:rFonts w:ascii="Times New Roman" w:eastAsia="標楷體" w:hAnsi="Times New Roman" w:cs="Times New Roman" w:hint="eastAsia"/>
                <w:b/>
                <w:szCs w:val="20"/>
              </w:rPr>
              <w:t>至少包含下列事項：</w:t>
            </w:r>
          </w:p>
          <w:p w14:paraId="51C8B27B" w14:textId="77777777" w:rsidR="007F51D6" w:rsidRPr="001E3677" w:rsidRDefault="007F51D6" w:rsidP="007F51D6">
            <w:pPr>
              <w:pStyle w:val="a3"/>
              <w:numPr>
                <w:ilvl w:val="0"/>
                <w:numId w:val="28"/>
              </w:numPr>
              <w:adjustRightInd w:val="0"/>
              <w:snapToGrid w:val="0"/>
              <w:spacing w:line="300" w:lineRule="auto"/>
              <w:ind w:leftChars="0" w:left="539" w:right="57" w:hanging="539"/>
              <w:jc w:val="both"/>
              <w:rPr>
                <w:rFonts w:ascii="Times New Roman" w:eastAsia="標楷體" w:hAnsi="Times New Roman" w:cs="Times New Roman"/>
                <w:b/>
                <w:szCs w:val="20"/>
              </w:rPr>
            </w:pPr>
            <w:r w:rsidRPr="001E3677">
              <w:rPr>
                <w:rFonts w:ascii="Times New Roman" w:eastAsia="標楷體" w:hAnsi="Times New Roman" w:cs="Times New Roman" w:hint="eastAsia"/>
                <w:b/>
                <w:szCs w:val="20"/>
              </w:rPr>
              <w:t>不得違背職務、損害</w:t>
            </w:r>
            <w:r>
              <w:rPr>
                <w:rFonts w:ascii="Times New Roman" w:eastAsia="標楷體" w:hAnsi="Times New Roman" w:cs="Times New Roman" w:hint="eastAsia"/>
                <w:b/>
                <w:szCs w:val="20"/>
              </w:rPr>
              <w:t>證券商</w:t>
            </w:r>
            <w:r w:rsidRPr="001E3677">
              <w:rPr>
                <w:rFonts w:ascii="Times New Roman" w:eastAsia="標楷體" w:hAnsi="Times New Roman" w:cs="Times New Roman" w:hint="eastAsia"/>
                <w:b/>
                <w:szCs w:val="20"/>
              </w:rPr>
              <w:t>利益或不法圖利自己或第三人。</w:t>
            </w:r>
          </w:p>
          <w:p w14:paraId="1B73FAD8" w14:textId="77777777" w:rsidR="007F51D6" w:rsidRPr="001E3677" w:rsidRDefault="007F51D6" w:rsidP="007F51D6">
            <w:pPr>
              <w:pStyle w:val="a3"/>
              <w:numPr>
                <w:ilvl w:val="0"/>
                <w:numId w:val="28"/>
              </w:numPr>
              <w:adjustRightInd w:val="0"/>
              <w:snapToGrid w:val="0"/>
              <w:spacing w:line="300" w:lineRule="auto"/>
              <w:ind w:leftChars="0" w:left="539" w:right="57" w:hanging="539"/>
              <w:jc w:val="both"/>
              <w:rPr>
                <w:rFonts w:ascii="Times New Roman" w:eastAsia="標楷體" w:hAnsi="Times New Roman" w:cs="Times New Roman"/>
                <w:b/>
                <w:szCs w:val="20"/>
              </w:rPr>
            </w:pPr>
            <w:r w:rsidRPr="001E3677">
              <w:rPr>
                <w:rFonts w:ascii="Times New Roman" w:eastAsia="標楷體" w:hAnsi="Times New Roman" w:cs="Times New Roman" w:hint="eastAsia"/>
                <w:b/>
                <w:szCs w:val="20"/>
              </w:rPr>
              <w:t>不得與客戶約定投資收益分享或損失分攤之承諾。</w:t>
            </w:r>
          </w:p>
          <w:p w14:paraId="4B6AE1FF" w14:textId="77777777" w:rsidR="007F51D6" w:rsidRPr="001E3677" w:rsidRDefault="007F51D6" w:rsidP="007F51D6">
            <w:pPr>
              <w:pStyle w:val="a3"/>
              <w:numPr>
                <w:ilvl w:val="0"/>
                <w:numId w:val="28"/>
              </w:numPr>
              <w:adjustRightInd w:val="0"/>
              <w:snapToGrid w:val="0"/>
              <w:spacing w:line="300" w:lineRule="auto"/>
              <w:ind w:leftChars="0" w:left="539" w:right="57" w:hanging="539"/>
              <w:jc w:val="both"/>
              <w:rPr>
                <w:rFonts w:ascii="Times New Roman" w:eastAsia="標楷體" w:hAnsi="Times New Roman" w:cs="Times New Roman"/>
                <w:b/>
                <w:szCs w:val="20"/>
              </w:rPr>
            </w:pPr>
            <w:r w:rsidRPr="001E3677">
              <w:rPr>
                <w:rFonts w:ascii="Times New Roman" w:eastAsia="標楷體" w:hAnsi="Times New Roman" w:cs="Times New Roman" w:hint="eastAsia"/>
                <w:b/>
                <w:szCs w:val="20"/>
              </w:rPr>
              <w:t>因職務之關係知悉客戶未公開之訊息，不應擅自為自己或相關人員進行交易以謀取不法利益。</w:t>
            </w:r>
          </w:p>
          <w:p w14:paraId="5E6CCFF2" w14:textId="77777777" w:rsidR="007F51D6" w:rsidRPr="001E3677" w:rsidRDefault="007F51D6" w:rsidP="007F51D6">
            <w:pPr>
              <w:pStyle w:val="a3"/>
              <w:numPr>
                <w:ilvl w:val="0"/>
                <w:numId w:val="28"/>
              </w:numPr>
              <w:adjustRightInd w:val="0"/>
              <w:snapToGrid w:val="0"/>
              <w:spacing w:line="300" w:lineRule="auto"/>
              <w:ind w:leftChars="0" w:left="539" w:right="57" w:hanging="539"/>
              <w:jc w:val="both"/>
              <w:rPr>
                <w:rFonts w:ascii="Times New Roman" w:eastAsia="標楷體" w:hAnsi="Times New Roman" w:cs="Times New Roman"/>
                <w:b/>
                <w:szCs w:val="20"/>
              </w:rPr>
            </w:pPr>
            <w:r w:rsidRPr="001E3677">
              <w:rPr>
                <w:rFonts w:ascii="Times New Roman" w:eastAsia="標楷體" w:hAnsi="Times New Roman" w:cs="Times New Roman" w:hint="eastAsia"/>
                <w:b/>
                <w:szCs w:val="20"/>
              </w:rPr>
              <w:t>不得對客戶運用不實的宣傳方式謀取自身利益。</w:t>
            </w:r>
          </w:p>
          <w:p w14:paraId="0F726EBA" w14:textId="77777777" w:rsidR="007F51D6" w:rsidRPr="001E3677" w:rsidRDefault="007F51D6" w:rsidP="007F51D6">
            <w:pPr>
              <w:pStyle w:val="a3"/>
              <w:numPr>
                <w:ilvl w:val="0"/>
                <w:numId w:val="28"/>
              </w:numPr>
              <w:adjustRightInd w:val="0"/>
              <w:snapToGrid w:val="0"/>
              <w:spacing w:line="300" w:lineRule="auto"/>
              <w:ind w:leftChars="0" w:left="539" w:right="57" w:hanging="539"/>
              <w:jc w:val="both"/>
              <w:rPr>
                <w:rFonts w:ascii="Times New Roman" w:eastAsia="標楷體" w:hAnsi="Times New Roman" w:cs="Times New Roman"/>
                <w:szCs w:val="20"/>
              </w:rPr>
            </w:pPr>
            <w:r w:rsidRPr="001E3677">
              <w:rPr>
                <w:rFonts w:ascii="Times New Roman" w:eastAsia="標楷體" w:hAnsi="Times New Roman" w:cs="Times New Roman" w:hint="eastAsia"/>
                <w:b/>
                <w:szCs w:val="20"/>
              </w:rPr>
              <w:t>規範禁止收受或提供不當報酬或饋贈。</w:t>
            </w:r>
          </w:p>
        </w:tc>
        <w:tc>
          <w:tcPr>
            <w:tcW w:w="3355" w:type="dxa"/>
            <w:tcBorders>
              <w:top w:val="single" w:sz="4" w:space="0" w:color="auto"/>
              <w:left w:val="single" w:sz="4" w:space="0" w:color="auto"/>
              <w:bottom w:val="single" w:sz="4" w:space="0" w:color="auto"/>
              <w:right w:val="single" w:sz="4" w:space="0" w:color="auto"/>
            </w:tcBorders>
          </w:tcPr>
          <w:p w14:paraId="340E9A0E" w14:textId="77777777" w:rsidR="007F51D6" w:rsidRPr="00FC37B9" w:rsidRDefault="007F51D6" w:rsidP="007F51D6">
            <w:pPr>
              <w:adjustRightInd w:val="0"/>
              <w:snapToGrid w:val="0"/>
              <w:spacing w:line="300" w:lineRule="auto"/>
              <w:ind w:left="29" w:right="57" w:hangingChars="12" w:hanging="29"/>
              <w:jc w:val="both"/>
              <w:rPr>
                <w:rFonts w:ascii="Times New Roman" w:eastAsia="標楷體" w:hAnsi="Times New Roman" w:cs="Times New Roman"/>
                <w:szCs w:val="20"/>
              </w:rPr>
            </w:pPr>
          </w:p>
        </w:tc>
        <w:tc>
          <w:tcPr>
            <w:tcW w:w="3355" w:type="dxa"/>
            <w:tcBorders>
              <w:top w:val="single" w:sz="4" w:space="0" w:color="auto"/>
              <w:left w:val="single" w:sz="4" w:space="0" w:color="auto"/>
              <w:bottom w:val="single" w:sz="4" w:space="0" w:color="auto"/>
              <w:right w:val="single" w:sz="4" w:space="0" w:color="auto"/>
            </w:tcBorders>
          </w:tcPr>
          <w:p w14:paraId="2F38E5AD" w14:textId="77777777" w:rsidR="007F51D6" w:rsidRPr="001E3677" w:rsidRDefault="007F51D6" w:rsidP="007F51D6">
            <w:pPr>
              <w:pStyle w:val="a3"/>
              <w:numPr>
                <w:ilvl w:val="0"/>
                <w:numId w:val="29"/>
              </w:numPr>
              <w:adjustRightInd w:val="0"/>
              <w:snapToGrid w:val="0"/>
              <w:spacing w:line="300" w:lineRule="auto"/>
              <w:ind w:leftChars="0"/>
              <w:jc w:val="both"/>
              <w:rPr>
                <w:rFonts w:ascii="Times New Roman" w:eastAsia="標楷體" w:hAnsi="Times New Roman" w:cs="Times New Roman"/>
              </w:rPr>
            </w:pPr>
            <w:r w:rsidRPr="00197F5F">
              <w:rPr>
                <w:rFonts w:ascii="Times New Roman" w:eastAsia="標楷體" w:hAnsi="Times New Roman" w:cs="Times New Roman"/>
                <w:b/>
                <w:u w:val="single"/>
              </w:rPr>
              <w:t>本條新增</w:t>
            </w:r>
            <w:r w:rsidRPr="001E3677">
              <w:rPr>
                <w:rFonts w:ascii="Times New Roman" w:eastAsia="標楷體" w:hAnsi="Times New Roman" w:cs="Times New Roman"/>
              </w:rPr>
              <w:t>。</w:t>
            </w:r>
          </w:p>
          <w:p w14:paraId="34CFE87A" w14:textId="77777777" w:rsidR="007F51D6" w:rsidRPr="001E3677" w:rsidRDefault="007F51D6" w:rsidP="007F51D6">
            <w:pPr>
              <w:pStyle w:val="a3"/>
              <w:numPr>
                <w:ilvl w:val="0"/>
                <w:numId w:val="29"/>
              </w:numPr>
              <w:adjustRightInd w:val="0"/>
              <w:snapToGrid w:val="0"/>
              <w:spacing w:line="300" w:lineRule="auto"/>
              <w:ind w:leftChars="0"/>
              <w:jc w:val="both"/>
              <w:rPr>
                <w:rFonts w:ascii="Times New Roman" w:eastAsia="標楷體" w:hAnsi="Times New Roman" w:cs="Times New Roman"/>
              </w:rPr>
            </w:pPr>
            <w:r>
              <w:rPr>
                <w:rFonts w:ascii="Times New Roman" w:eastAsia="標楷體" w:hAnsi="Times New Roman" w:cs="Times New Roman"/>
              </w:rPr>
              <w:t>參照銀行</w:t>
            </w:r>
            <w:r w:rsidRPr="001E3677">
              <w:rPr>
                <w:rFonts w:ascii="Times New Roman" w:eastAsia="標楷體" w:hAnsi="Times New Roman" w:cs="Times New Roman"/>
              </w:rPr>
              <w:t>辦理衍生性金融</w:t>
            </w:r>
            <w:r w:rsidRPr="001E3677">
              <w:rPr>
                <w:rFonts w:ascii="Times New Roman" w:eastAsia="標楷體" w:hAnsi="Times New Roman" w:cs="Times New Roman"/>
              </w:rPr>
              <w:lastRenderedPageBreak/>
              <w:t>商品自律規範</w:t>
            </w:r>
            <w:r>
              <w:rPr>
                <w:rFonts w:ascii="Times New Roman" w:eastAsia="標楷體" w:hAnsi="Times New Roman" w:cs="Times New Roman"/>
              </w:rPr>
              <w:t>第</w:t>
            </w:r>
            <w:r>
              <w:rPr>
                <w:rFonts w:ascii="Times New Roman" w:eastAsia="標楷體" w:hAnsi="Times New Roman" w:cs="Times New Roman" w:hint="eastAsia"/>
              </w:rPr>
              <w:t>二十八條，增訂證券商應訂定衍生性金融商品銷售人員之行為與操守準則。</w:t>
            </w:r>
          </w:p>
        </w:tc>
      </w:tr>
      <w:bookmarkEnd w:id="0"/>
    </w:tbl>
    <w:p w14:paraId="2174FE42" w14:textId="22D98F02" w:rsidR="00751945" w:rsidRPr="000F7764" w:rsidRDefault="00751945">
      <w:pPr>
        <w:widowControl/>
        <w:adjustRightInd w:val="0"/>
        <w:snapToGrid w:val="0"/>
        <w:spacing w:line="300" w:lineRule="auto"/>
        <w:ind w:leftChars="-354" w:left="-850" w:rightChars="-378" w:right="-907"/>
        <w:rPr>
          <w:rFonts w:ascii="Times New Roman" w:eastAsia="標楷體" w:hAnsi="Times New Roman" w:cs="Times New Roman"/>
          <w:b/>
          <w:bCs/>
          <w:snapToGrid w:val="0"/>
          <w:sz w:val="36"/>
          <w:szCs w:val="24"/>
        </w:rPr>
      </w:pPr>
    </w:p>
    <w:sectPr w:rsidR="00751945" w:rsidRPr="000F7764" w:rsidSect="00026AB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5021F" w14:textId="77777777" w:rsidR="003F7F59" w:rsidRPr="00D52126" w:rsidRDefault="003F7F59" w:rsidP="00F62482">
      <w:pPr>
        <w:spacing w:line="240" w:lineRule="auto"/>
        <w:rPr>
          <w:szCs w:val="24"/>
        </w:rPr>
      </w:pPr>
      <w:r>
        <w:separator/>
      </w:r>
    </w:p>
  </w:endnote>
  <w:endnote w:type="continuationSeparator" w:id="0">
    <w:p w14:paraId="1B17717B" w14:textId="77777777" w:rsidR="003F7F59" w:rsidRPr="00D52126" w:rsidRDefault="003F7F59" w:rsidP="00F62482">
      <w:pPr>
        <w:spacing w:line="240" w:lineRule="auto"/>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5">
    <w:altName w:val="新細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807116"/>
      <w:docPartObj>
        <w:docPartGallery w:val="Page Numbers (Bottom of Page)"/>
        <w:docPartUnique/>
      </w:docPartObj>
    </w:sdtPr>
    <w:sdtEndPr/>
    <w:sdtContent>
      <w:p w14:paraId="2FFF59E3" w14:textId="756FFFD4" w:rsidR="001C29C5" w:rsidRDefault="001C29C5">
        <w:pPr>
          <w:pStyle w:val="a8"/>
          <w:jc w:val="center"/>
        </w:pPr>
        <w:r>
          <w:fldChar w:fldCharType="begin"/>
        </w:r>
        <w:r>
          <w:instrText>PAGE   \* MERGEFORMAT</w:instrText>
        </w:r>
        <w:r>
          <w:fldChar w:fldCharType="separate"/>
        </w:r>
        <w:r w:rsidR="00BC77B0" w:rsidRPr="00BC77B0">
          <w:rPr>
            <w:noProof/>
            <w:lang w:val="zh-TW"/>
          </w:rPr>
          <w:t>1</w:t>
        </w:r>
        <w:r>
          <w:fldChar w:fldCharType="end"/>
        </w:r>
      </w:p>
    </w:sdtContent>
  </w:sdt>
  <w:p w14:paraId="722821C5" w14:textId="77777777" w:rsidR="00AD1D0C" w:rsidRDefault="00AD1D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80C94" w14:textId="77777777" w:rsidR="003F7F59" w:rsidRPr="00D52126" w:rsidRDefault="003F7F59" w:rsidP="00F62482">
      <w:pPr>
        <w:spacing w:line="240" w:lineRule="auto"/>
        <w:rPr>
          <w:szCs w:val="24"/>
        </w:rPr>
      </w:pPr>
      <w:r>
        <w:separator/>
      </w:r>
    </w:p>
  </w:footnote>
  <w:footnote w:type="continuationSeparator" w:id="0">
    <w:p w14:paraId="3A87050D" w14:textId="77777777" w:rsidR="003F7F59" w:rsidRPr="00D52126" w:rsidRDefault="003F7F59" w:rsidP="00F62482">
      <w:pPr>
        <w:spacing w:line="240" w:lineRule="auto"/>
        <w:rPr>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721F"/>
    <w:multiLevelType w:val="hybridMultilevel"/>
    <w:tmpl w:val="612AF53A"/>
    <w:lvl w:ilvl="0" w:tplc="F03A70E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D11DE7"/>
    <w:multiLevelType w:val="hybridMultilevel"/>
    <w:tmpl w:val="CBD08590"/>
    <w:lvl w:ilvl="0" w:tplc="1A74419C">
      <w:start w:val="1"/>
      <w:numFmt w:val="decimal"/>
      <w:lvlText w:val="%1."/>
      <w:lvlJc w:val="left"/>
      <w:pPr>
        <w:ind w:left="480" w:hanging="480"/>
      </w:pPr>
      <w:rPr>
        <w:rFonts w:ascii="細明體" w:hAnsi="細明體" w:cs="Arial"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31469"/>
    <w:multiLevelType w:val="hybridMultilevel"/>
    <w:tmpl w:val="6D9C8140"/>
    <w:lvl w:ilvl="0" w:tplc="16A634B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DB5176"/>
    <w:multiLevelType w:val="hybridMultilevel"/>
    <w:tmpl w:val="A656B304"/>
    <w:lvl w:ilvl="0" w:tplc="29E6A3BC">
      <w:start w:val="1"/>
      <w:numFmt w:val="taiwaneseCountingThousand"/>
      <w:lvlText w:val="%1、"/>
      <w:lvlJc w:val="left"/>
      <w:pPr>
        <w:ind w:left="480" w:hanging="480"/>
      </w:pPr>
      <w:rPr>
        <w:rFonts w:eastAsia="標楷體" w:hint="eastAsia"/>
        <w:b w:val="0"/>
        <w:i w:val="0"/>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29301C"/>
    <w:multiLevelType w:val="hybridMultilevel"/>
    <w:tmpl w:val="F6804710"/>
    <w:lvl w:ilvl="0" w:tplc="6482598E">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7926B97"/>
    <w:multiLevelType w:val="hybridMultilevel"/>
    <w:tmpl w:val="9A3C6598"/>
    <w:lvl w:ilvl="0" w:tplc="2A009450">
      <w:start w:val="3"/>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FA132D"/>
    <w:multiLevelType w:val="hybridMultilevel"/>
    <w:tmpl w:val="71A64A7E"/>
    <w:lvl w:ilvl="0" w:tplc="432AFA2C">
      <w:start w:val="1"/>
      <w:numFmt w:val="taiwaneseCountingThousand"/>
      <w:lvlText w:val="(%1)"/>
      <w:lvlJc w:val="left"/>
      <w:pPr>
        <w:ind w:left="480" w:hanging="480"/>
      </w:pPr>
      <w:rPr>
        <w:rFonts w:eastAsia="標楷體" w:hint="eastAsia"/>
        <w:b w:val="0"/>
        <w:i w:val="0"/>
        <w:sz w:val="24"/>
        <w:szCs w:val="32"/>
      </w:rPr>
    </w:lvl>
    <w:lvl w:ilvl="1" w:tplc="432AFA2C">
      <w:start w:val="1"/>
      <w:numFmt w:val="taiwaneseCountingThousand"/>
      <w:lvlText w:val="(%2)"/>
      <w:lvlJc w:val="left"/>
      <w:pPr>
        <w:ind w:left="960" w:hanging="480"/>
      </w:pPr>
      <w:rPr>
        <w:rFonts w:eastAsia="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C27411"/>
    <w:multiLevelType w:val="hybridMultilevel"/>
    <w:tmpl w:val="F3BE66D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23C72FF6"/>
    <w:multiLevelType w:val="hybridMultilevel"/>
    <w:tmpl w:val="DED648A4"/>
    <w:lvl w:ilvl="0" w:tplc="4C66679A">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AD0E9A"/>
    <w:multiLevelType w:val="hybridMultilevel"/>
    <w:tmpl w:val="A17C92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D876F3"/>
    <w:multiLevelType w:val="hybridMultilevel"/>
    <w:tmpl w:val="A08494DC"/>
    <w:lvl w:ilvl="0" w:tplc="96D4ED2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5F7DE7"/>
    <w:multiLevelType w:val="hybridMultilevel"/>
    <w:tmpl w:val="BF2A5A20"/>
    <w:lvl w:ilvl="0" w:tplc="DB6E98AE">
      <w:start w:val="1"/>
      <w:numFmt w:val="taiwaneseCountingThousand"/>
      <w:lvlText w:val="%1、"/>
      <w:lvlJc w:val="left"/>
      <w:pPr>
        <w:ind w:left="480" w:hanging="480"/>
      </w:pPr>
      <w:rPr>
        <w:rFonts w:eastAsia="標楷體" w:hint="eastAsia"/>
        <w:b/>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C805C5"/>
    <w:multiLevelType w:val="hybridMultilevel"/>
    <w:tmpl w:val="3200AACE"/>
    <w:lvl w:ilvl="0" w:tplc="04090015">
      <w:start w:val="1"/>
      <w:numFmt w:val="taiwaneseCountingThousand"/>
      <w:lvlText w:val="%1、"/>
      <w:lvlJc w:val="left"/>
      <w:pPr>
        <w:ind w:left="2880" w:hanging="480"/>
      </w:pPr>
      <w:rPr>
        <w:rFonts w:hint="default"/>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3" w15:restartNumberingAfterBreak="0">
    <w:nsid w:val="2EB053E5"/>
    <w:multiLevelType w:val="hybridMultilevel"/>
    <w:tmpl w:val="8172978E"/>
    <w:lvl w:ilvl="0" w:tplc="BE6855E0">
      <w:start w:val="1"/>
      <w:numFmt w:val="taiwaneseCountingThousand"/>
      <w:lvlText w:val="(%1)"/>
      <w:lvlJc w:val="left"/>
      <w:pPr>
        <w:ind w:left="480" w:hanging="480"/>
      </w:pPr>
      <w:rPr>
        <w:rFonts w:ascii="標楷體" w:hAns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437B2D"/>
    <w:multiLevelType w:val="hybridMultilevel"/>
    <w:tmpl w:val="5C5CCCB6"/>
    <w:lvl w:ilvl="0" w:tplc="BE6855E0">
      <w:start w:val="1"/>
      <w:numFmt w:val="taiwaneseCountingThousand"/>
      <w:lvlText w:val="(%1)"/>
      <w:lvlJc w:val="left"/>
      <w:pPr>
        <w:ind w:left="480" w:hanging="480"/>
      </w:pPr>
      <w:rPr>
        <w:rFonts w:ascii="標楷體" w:hAns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8A5CE1"/>
    <w:multiLevelType w:val="hybridMultilevel"/>
    <w:tmpl w:val="B9F0D02C"/>
    <w:lvl w:ilvl="0" w:tplc="432AFA2C">
      <w:start w:val="1"/>
      <w:numFmt w:val="taiwaneseCountingThousand"/>
      <w:lvlText w:val="(%1)"/>
      <w:lvlJc w:val="left"/>
      <w:pPr>
        <w:ind w:left="720" w:hanging="480"/>
      </w:pPr>
      <w:rPr>
        <w:rFonts w:eastAsia="標楷體"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9B33767"/>
    <w:multiLevelType w:val="hybridMultilevel"/>
    <w:tmpl w:val="63C263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8545F4"/>
    <w:multiLevelType w:val="hybridMultilevel"/>
    <w:tmpl w:val="87FC4D36"/>
    <w:lvl w:ilvl="0" w:tplc="73C6F9F2">
      <w:start w:val="1"/>
      <w:numFmt w:val="taiwaneseCountingThousand"/>
      <w:lvlText w:val="%1、"/>
      <w:lvlJc w:val="left"/>
      <w:pPr>
        <w:ind w:left="450" w:hanging="450"/>
      </w:pPr>
      <w:rPr>
        <w:rFonts w:hint="eastAsia"/>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1F1E2A"/>
    <w:multiLevelType w:val="hybridMultilevel"/>
    <w:tmpl w:val="CD5AA818"/>
    <w:lvl w:ilvl="0" w:tplc="432AFA2C">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7922DC"/>
    <w:multiLevelType w:val="hybridMultilevel"/>
    <w:tmpl w:val="0824B6F8"/>
    <w:lvl w:ilvl="0" w:tplc="432AFA2C">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4C3E10"/>
    <w:multiLevelType w:val="hybridMultilevel"/>
    <w:tmpl w:val="59BE2A30"/>
    <w:lvl w:ilvl="0" w:tplc="993E7E22">
      <w:start w:val="1"/>
      <w:numFmt w:val="taiwaneseCountingThousand"/>
      <w:lvlText w:val="%1、"/>
      <w:lvlJc w:val="left"/>
      <w:pPr>
        <w:ind w:left="480" w:hanging="480"/>
      </w:pPr>
      <w:rPr>
        <w:rFonts w:eastAsia="標楷體" w:hint="eastAsia"/>
        <w:b w:val="0"/>
        <w:i w:val="0"/>
        <w:sz w:val="24"/>
        <w:szCs w:val="32"/>
      </w:rPr>
    </w:lvl>
    <w:lvl w:ilvl="1" w:tplc="BE6855E0">
      <w:start w:val="1"/>
      <w:numFmt w:val="taiwaneseCountingThousand"/>
      <w:lvlText w:val="(%2)"/>
      <w:lvlJc w:val="left"/>
      <w:pPr>
        <w:ind w:left="960" w:hanging="480"/>
      </w:pPr>
      <w:rPr>
        <w:rFonts w:ascii="標楷體" w:hAnsi="標楷體" w:hint="eastAsia"/>
        <w:u w:val="none"/>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4A6F16"/>
    <w:multiLevelType w:val="hybridMultilevel"/>
    <w:tmpl w:val="624C85FA"/>
    <w:lvl w:ilvl="0" w:tplc="B524BE2A">
      <w:start w:val="1"/>
      <w:numFmt w:val="taiwaneseCountingThousand"/>
      <w:lvlText w:val="%1、"/>
      <w:lvlJc w:val="left"/>
      <w:pPr>
        <w:ind w:left="480" w:hanging="480"/>
      </w:pPr>
      <w:rPr>
        <w:rFonts w:eastAsia="標楷體" w:hint="eastAsia"/>
        <w:b w:val="0"/>
        <w:i w:val="0"/>
        <w:sz w:val="24"/>
        <w:szCs w:val="32"/>
      </w:rPr>
    </w:lvl>
    <w:lvl w:ilvl="1" w:tplc="432AFA2C">
      <w:start w:val="1"/>
      <w:numFmt w:val="taiwaneseCountingThousand"/>
      <w:lvlText w:val="(%2)"/>
      <w:lvlJc w:val="left"/>
      <w:pPr>
        <w:ind w:left="960" w:hanging="480"/>
      </w:pPr>
      <w:rPr>
        <w:rFonts w:eastAsia="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534332"/>
    <w:multiLevelType w:val="hybridMultilevel"/>
    <w:tmpl w:val="87E03B0E"/>
    <w:lvl w:ilvl="0" w:tplc="9FAAEE52">
      <w:start w:val="1"/>
      <w:numFmt w:val="taiwaneseCountingThousand"/>
      <w:lvlText w:val="%1、"/>
      <w:lvlJc w:val="left"/>
      <w:pPr>
        <w:ind w:left="480" w:hanging="480"/>
      </w:pPr>
      <w:rPr>
        <w:rFonts w:hint="eastAsia"/>
        <w:b w:val="0"/>
        <w:i w:val="0"/>
        <w:sz w:val="24"/>
        <w:szCs w:val="32"/>
      </w:rPr>
    </w:lvl>
    <w:lvl w:ilvl="1" w:tplc="54BC1A62">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A80A0C"/>
    <w:multiLevelType w:val="hybridMultilevel"/>
    <w:tmpl w:val="18EA3A26"/>
    <w:lvl w:ilvl="0" w:tplc="432AFA2C">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DB254B"/>
    <w:multiLevelType w:val="hybridMultilevel"/>
    <w:tmpl w:val="BD9A4A6A"/>
    <w:lvl w:ilvl="0" w:tplc="9FAAEE52">
      <w:start w:val="1"/>
      <w:numFmt w:val="taiwaneseCountingThousand"/>
      <w:lvlText w:val="%1、"/>
      <w:lvlJc w:val="left"/>
      <w:pPr>
        <w:ind w:left="480" w:hanging="480"/>
      </w:pPr>
      <w:rPr>
        <w:rFonts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EA5767"/>
    <w:multiLevelType w:val="hybridMultilevel"/>
    <w:tmpl w:val="005C15A0"/>
    <w:lvl w:ilvl="0" w:tplc="4C66679A">
      <w:start w:val="1"/>
      <w:numFmt w:val="taiwaneseCountingThousand"/>
      <w:lvlText w:val="%1、"/>
      <w:lvlJc w:val="left"/>
      <w:pPr>
        <w:ind w:left="480" w:hanging="480"/>
      </w:pPr>
      <w:rPr>
        <w:rFonts w:eastAsia="標楷體" w:hint="eastAsia"/>
        <w:b w:val="0"/>
        <w:i w:val="0"/>
        <w:sz w:val="24"/>
        <w:szCs w:val="32"/>
      </w:rPr>
    </w:lvl>
    <w:lvl w:ilvl="1" w:tplc="432AFA2C">
      <w:start w:val="1"/>
      <w:numFmt w:val="taiwaneseCountingThousand"/>
      <w:lvlText w:val="(%2)"/>
      <w:lvlJc w:val="left"/>
      <w:pPr>
        <w:ind w:left="960" w:hanging="480"/>
      </w:pPr>
      <w:rPr>
        <w:rFonts w:eastAsia="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750352"/>
    <w:multiLevelType w:val="hybridMultilevel"/>
    <w:tmpl w:val="FAEE1720"/>
    <w:lvl w:ilvl="0" w:tplc="9FAAEE52">
      <w:start w:val="1"/>
      <w:numFmt w:val="taiwaneseCountingThousand"/>
      <w:lvlText w:val="%1、"/>
      <w:lvlJc w:val="left"/>
      <w:pPr>
        <w:ind w:left="480" w:hanging="480"/>
      </w:pPr>
      <w:rPr>
        <w:rFonts w:hint="eastAsia"/>
        <w:b w:val="0"/>
        <w:i w:val="0"/>
        <w:sz w:val="24"/>
        <w:szCs w:val="32"/>
      </w:rPr>
    </w:lvl>
    <w:lvl w:ilvl="1" w:tplc="54BC1A62">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EE2228"/>
    <w:multiLevelType w:val="hybridMultilevel"/>
    <w:tmpl w:val="975AD52A"/>
    <w:lvl w:ilvl="0" w:tplc="558C4614">
      <w:start w:val="1"/>
      <w:numFmt w:val="taiwaneseCountingThousand"/>
      <w:lvlText w:val="%1、"/>
      <w:lvlJc w:val="left"/>
      <w:pPr>
        <w:ind w:left="480" w:hanging="480"/>
      </w:pPr>
      <w:rPr>
        <w:rFonts w:eastAsia="標楷體" w:hint="eastAsia"/>
        <w:b w:val="0"/>
        <w:i w:val="0"/>
        <w:sz w:val="24"/>
        <w:szCs w:val="32"/>
        <w:lang w:val="en-US"/>
      </w:rPr>
    </w:lvl>
    <w:lvl w:ilvl="1" w:tplc="BE6855E0">
      <w:start w:val="1"/>
      <w:numFmt w:val="taiwaneseCountingThousand"/>
      <w:lvlText w:val="(%2)"/>
      <w:lvlJc w:val="left"/>
      <w:pPr>
        <w:ind w:left="960" w:hanging="480"/>
      </w:pPr>
      <w:rPr>
        <w:rFonts w:ascii="標楷體" w:hAnsi="標楷體"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A56720"/>
    <w:multiLevelType w:val="hybridMultilevel"/>
    <w:tmpl w:val="6712BE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7A4362"/>
    <w:multiLevelType w:val="hybridMultilevel"/>
    <w:tmpl w:val="76168F6A"/>
    <w:lvl w:ilvl="0" w:tplc="DB6E98AE">
      <w:start w:val="1"/>
      <w:numFmt w:val="taiwaneseCountingThousand"/>
      <w:lvlText w:val="%1、"/>
      <w:lvlJc w:val="left"/>
      <w:pPr>
        <w:ind w:left="480" w:hanging="480"/>
      </w:pPr>
      <w:rPr>
        <w:rFonts w:eastAsia="標楷體" w:hint="eastAsia"/>
        <w:b/>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DE38F8"/>
    <w:multiLevelType w:val="hybridMultilevel"/>
    <w:tmpl w:val="9AF4F464"/>
    <w:lvl w:ilvl="0" w:tplc="432AFA2C">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6424254"/>
    <w:multiLevelType w:val="hybridMultilevel"/>
    <w:tmpl w:val="8A9E521A"/>
    <w:lvl w:ilvl="0" w:tplc="4C66679A">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1B36DB"/>
    <w:multiLevelType w:val="hybridMultilevel"/>
    <w:tmpl w:val="7878F7FC"/>
    <w:lvl w:ilvl="0" w:tplc="87B49064">
      <w:start w:val="3"/>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EC5A9A"/>
    <w:multiLevelType w:val="hybridMultilevel"/>
    <w:tmpl w:val="98CC64AC"/>
    <w:lvl w:ilvl="0" w:tplc="9FAAEE52">
      <w:start w:val="1"/>
      <w:numFmt w:val="taiwaneseCountingThousand"/>
      <w:lvlText w:val="%1、"/>
      <w:lvlJc w:val="left"/>
      <w:pPr>
        <w:ind w:left="480" w:hanging="480"/>
      </w:pPr>
      <w:rPr>
        <w:rFonts w:hint="eastAsia"/>
        <w:b w:val="0"/>
        <w:i w:val="0"/>
        <w:sz w:val="24"/>
        <w:szCs w:val="32"/>
      </w:rPr>
    </w:lvl>
    <w:lvl w:ilvl="1" w:tplc="54BC1A62">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55B7370"/>
    <w:multiLevelType w:val="hybridMultilevel"/>
    <w:tmpl w:val="4CC0D642"/>
    <w:lvl w:ilvl="0" w:tplc="DDC4332A">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62C358F"/>
    <w:multiLevelType w:val="hybridMultilevel"/>
    <w:tmpl w:val="C98A343E"/>
    <w:lvl w:ilvl="0" w:tplc="993E7E22">
      <w:start w:val="1"/>
      <w:numFmt w:val="taiwaneseCountingThousand"/>
      <w:lvlText w:val="%1、"/>
      <w:lvlJc w:val="left"/>
      <w:pPr>
        <w:ind w:left="480" w:hanging="480"/>
      </w:pPr>
      <w:rPr>
        <w:rFonts w:eastAsia="標楷體" w:hint="eastAsia"/>
        <w:b w:val="0"/>
        <w:i w:val="0"/>
        <w:sz w:val="24"/>
        <w:szCs w:val="32"/>
      </w:rPr>
    </w:lvl>
    <w:lvl w:ilvl="1" w:tplc="BE6855E0">
      <w:start w:val="1"/>
      <w:numFmt w:val="taiwaneseCountingThousand"/>
      <w:lvlText w:val="(%2)"/>
      <w:lvlJc w:val="left"/>
      <w:pPr>
        <w:ind w:left="960" w:hanging="480"/>
      </w:pPr>
      <w:rPr>
        <w:rFonts w:ascii="標楷體" w:hAnsi="標楷體" w:hint="eastAsia"/>
        <w:u w:val="none"/>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551142"/>
    <w:multiLevelType w:val="hybridMultilevel"/>
    <w:tmpl w:val="A548658A"/>
    <w:lvl w:ilvl="0" w:tplc="BE6855E0">
      <w:start w:val="1"/>
      <w:numFmt w:val="taiwaneseCountingThousand"/>
      <w:lvlText w:val="(%1)"/>
      <w:lvlJc w:val="left"/>
      <w:pPr>
        <w:ind w:left="480" w:hanging="480"/>
      </w:pPr>
      <w:rPr>
        <w:rFonts w:ascii="標楷體" w:hAnsi="標楷體" w:hint="eastAsia"/>
        <w:b w:val="0"/>
        <w:i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BC6375"/>
    <w:multiLevelType w:val="hybridMultilevel"/>
    <w:tmpl w:val="1A64F8BE"/>
    <w:lvl w:ilvl="0" w:tplc="DB6E98AE">
      <w:start w:val="1"/>
      <w:numFmt w:val="taiwaneseCountingThousand"/>
      <w:lvlText w:val="%1、"/>
      <w:lvlJc w:val="left"/>
      <w:pPr>
        <w:ind w:left="480" w:hanging="480"/>
      </w:pPr>
      <w:rPr>
        <w:rFonts w:eastAsia="標楷體" w:hint="eastAsia"/>
        <w:b/>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D6B41C0"/>
    <w:multiLevelType w:val="hybridMultilevel"/>
    <w:tmpl w:val="4A6EE8CA"/>
    <w:lvl w:ilvl="0" w:tplc="9FAAEE52">
      <w:start w:val="1"/>
      <w:numFmt w:val="taiwaneseCountingThousand"/>
      <w:lvlText w:val="%1、"/>
      <w:lvlJc w:val="left"/>
      <w:pPr>
        <w:ind w:left="480" w:hanging="480"/>
      </w:pPr>
      <w:rPr>
        <w:rFonts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9"/>
  </w:num>
  <w:num w:numId="3">
    <w:abstractNumId w:val="17"/>
  </w:num>
  <w:num w:numId="4">
    <w:abstractNumId w:val="12"/>
  </w:num>
  <w:num w:numId="5">
    <w:abstractNumId w:val="21"/>
  </w:num>
  <w:num w:numId="6">
    <w:abstractNumId w:val="29"/>
  </w:num>
  <w:num w:numId="7">
    <w:abstractNumId w:val="2"/>
  </w:num>
  <w:num w:numId="8">
    <w:abstractNumId w:val="37"/>
  </w:num>
  <w:num w:numId="9">
    <w:abstractNumId w:val="22"/>
  </w:num>
  <w:num w:numId="10">
    <w:abstractNumId w:val="10"/>
  </w:num>
  <w:num w:numId="11">
    <w:abstractNumId w:val="6"/>
  </w:num>
  <w:num w:numId="12">
    <w:abstractNumId w:val="38"/>
  </w:num>
  <w:num w:numId="13">
    <w:abstractNumId w:val="23"/>
  </w:num>
  <w:num w:numId="14">
    <w:abstractNumId w:val="24"/>
  </w:num>
  <w:num w:numId="15">
    <w:abstractNumId w:val="26"/>
  </w:num>
  <w:num w:numId="16">
    <w:abstractNumId w:val="19"/>
  </w:num>
  <w:num w:numId="17">
    <w:abstractNumId w:val="1"/>
  </w:num>
  <w:num w:numId="18">
    <w:abstractNumId w:val="18"/>
  </w:num>
  <w:num w:numId="19">
    <w:abstractNumId w:val="33"/>
  </w:num>
  <w:num w:numId="20">
    <w:abstractNumId w:val="34"/>
  </w:num>
  <w:num w:numId="21">
    <w:abstractNumId w:val="27"/>
  </w:num>
  <w:num w:numId="22">
    <w:abstractNumId w:val="20"/>
  </w:num>
  <w:num w:numId="23">
    <w:abstractNumId w:val="14"/>
  </w:num>
  <w:num w:numId="24">
    <w:abstractNumId w:val="0"/>
  </w:num>
  <w:num w:numId="25">
    <w:abstractNumId w:val="3"/>
  </w:num>
  <w:num w:numId="26">
    <w:abstractNumId w:val="13"/>
  </w:num>
  <w:num w:numId="27">
    <w:abstractNumId w:val="36"/>
  </w:num>
  <w:num w:numId="28">
    <w:abstractNumId w:val="11"/>
  </w:num>
  <w:num w:numId="29">
    <w:abstractNumId w:val="16"/>
  </w:num>
  <w:num w:numId="30">
    <w:abstractNumId w:val="25"/>
  </w:num>
  <w:num w:numId="31">
    <w:abstractNumId w:val="28"/>
  </w:num>
  <w:num w:numId="32">
    <w:abstractNumId w:val="35"/>
  </w:num>
  <w:num w:numId="33">
    <w:abstractNumId w:val="7"/>
  </w:num>
  <w:num w:numId="34">
    <w:abstractNumId w:val="4"/>
  </w:num>
  <w:num w:numId="35">
    <w:abstractNumId w:val="15"/>
  </w:num>
  <w:num w:numId="36">
    <w:abstractNumId w:val="30"/>
  </w:num>
  <w:num w:numId="37">
    <w:abstractNumId w:val="5"/>
  </w:num>
  <w:num w:numId="38">
    <w:abstractNumId w:val="31"/>
  </w:num>
  <w:num w:numId="39">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E1"/>
    <w:rsid w:val="00002AB9"/>
    <w:rsid w:val="000048BE"/>
    <w:rsid w:val="0001073A"/>
    <w:rsid w:val="00010CAE"/>
    <w:rsid w:val="00011759"/>
    <w:rsid w:val="00013ACA"/>
    <w:rsid w:val="00013DC2"/>
    <w:rsid w:val="00015C75"/>
    <w:rsid w:val="00016885"/>
    <w:rsid w:val="0002213C"/>
    <w:rsid w:val="00023D65"/>
    <w:rsid w:val="00024B41"/>
    <w:rsid w:val="000251AF"/>
    <w:rsid w:val="00026ABF"/>
    <w:rsid w:val="00030766"/>
    <w:rsid w:val="00030A28"/>
    <w:rsid w:val="000314C7"/>
    <w:rsid w:val="000317E0"/>
    <w:rsid w:val="000317FC"/>
    <w:rsid w:val="00031BFA"/>
    <w:rsid w:val="00031DA2"/>
    <w:rsid w:val="00032A3D"/>
    <w:rsid w:val="00032BD5"/>
    <w:rsid w:val="00033B87"/>
    <w:rsid w:val="000355BC"/>
    <w:rsid w:val="00037A99"/>
    <w:rsid w:val="00037B38"/>
    <w:rsid w:val="0004095F"/>
    <w:rsid w:val="0004098B"/>
    <w:rsid w:val="000446E7"/>
    <w:rsid w:val="0004621D"/>
    <w:rsid w:val="00047DBD"/>
    <w:rsid w:val="00050481"/>
    <w:rsid w:val="0005117A"/>
    <w:rsid w:val="00055113"/>
    <w:rsid w:val="00060D7A"/>
    <w:rsid w:val="0006177F"/>
    <w:rsid w:val="000628DA"/>
    <w:rsid w:val="00070924"/>
    <w:rsid w:val="00070A71"/>
    <w:rsid w:val="0007305B"/>
    <w:rsid w:val="00074A3A"/>
    <w:rsid w:val="00075261"/>
    <w:rsid w:val="000761BD"/>
    <w:rsid w:val="00077A1B"/>
    <w:rsid w:val="00083A0A"/>
    <w:rsid w:val="00090E7D"/>
    <w:rsid w:val="00090F22"/>
    <w:rsid w:val="000919D5"/>
    <w:rsid w:val="000950F7"/>
    <w:rsid w:val="000956E8"/>
    <w:rsid w:val="000A157D"/>
    <w:rsid w:val="000A1C46"/>
    <w:rsid w:val="000A3373"/>
    <w:rsid w:val="000A3678"/>
    <w:rsid w:val="000A5387"/>
    <w:rsid w:val="000A5683"/>
    <w:rsid w:val="000A7222"/>
    <w:rsid w:val="000B1889"/>
    <w:rsid w:val="000B3166"/>
    <w:rsid w:val="000B373B"/>
    <w:rsid w:val="000B427E"/>
    <w:rsid w:val="000B77D1"/>
    <w:rsid w:val="000C06B9"/>
    <w:rsid w:val="000C0EFE"/>
    <w:rsid w:val="000C1CB0"/>
    <w:rsid w:val="000C24A6"/>
    <w:rsid w:val="000C2868"/>
    <w:rsid w:val="000C2B16"/>
    <w:rsid w:val="000C5F50"/>
    <w:rsid w:val="000C60FA"/>
    <w:rsid w:val="000D09E6"/>
    <w:rsid w:val="000D1199"/>
    <w:rsid w:val="000D1F65"/>
    <w:rsid w:val="000D26FD"/>
    <w:rsid w:val="000D2CB6"/>
    <w:rsid w:val="000D4336"/>
    <w:rsid w:val="000D4603"/>
    <w:rsid w:val="000D517A"/>
    <w:rsid w:val="000D6063"/>
    <w:rsid w:val="000D65FF"/>
    <w:rsid w:val="000E11E0"/>
    <w:rsid w:val="000E121D"/>
    <w:rsid w:val="000E1BA0"/>
    <w:rsid w:val="000E1EBD"/>
    <w:rsid w:val="000E39CE"/>
    <w:rsid w:val="000E487A"/>
    <w:rsid w:val="000E5608"/>
    <w:rsid w:val="000E5673"/>
    <w:rsid w:val="000E5739"/>
    <w:rsid w:val="000E5A74"/>
    <w:rsid w:val="000E5F1F"/>
    <w:rsid w:val="000F34E5"/>
    <w:rsid w:val="000F5565"/>
    <w:rsid w:val="000F5E35"/>
    <w:rsid w:val="000F5E41"/>
    <w:rsid w:val="000F7764"/>
    <w:rsid w:val="001007ED"/>
    <w:rsid w:val="001016FE"/>
    <w:rsid w:val="001021E1"/>
    <w:rsid w:val="00103F91"/>
    <w:rsid w:val="001053CE"/>
    <w:rsid w:val="00105918"/>
    <w:rsid w:val="001112DC"/>
    <w:rsid w:val="00112CCA"/>
    <w:rsid w:val="0011368D"/>
    <w:rsid w:val="00117C02"/>
    <w:rsid w:val="00121577"/>
    <w:rsid w:val="00123A3D"/>
    <w:rsid w:val="001252FC"/>
    <w:rsid w:val="00131007"/>
    <w:rsid w:val="00133123"/>
    <w:rsid w:val="0013328E"/>
    <w:rsid w:val="001374F3"/>
    <w:rsid w:val="001378D9"/>
    <w:rsid w:val="00140476"/>
    <w:rsid w:val="001412EF"/>
    <w:rsid w:val="001424FB"/>
    <w:rsid w:val="001451AA"/>
    <w:rsid w:val="00146C58"/>
    <w:rsid w:val="00146DA6"/>
    <w:rsid w:val="00147089"/>
    <w:rsid w:val="001476B7"/>
    <w:rsid w:val="00150452"/>
    <w:rsid w:val="001512B0"/>
    <w:rsid w:val="00153611"/>
    <w:rsid w:val="00153849"/>
    <w:rsid w:val="0015433A"/>
    <w:rsid w:val="00155F35"/>
    <w:rsid w:val="001576D9"/>
    <w:rsid w:val="00157D6E"/>
    <w:rsid w:val="00162066"/>
    <w:rsid w:val="00163950"/>
    <w:rsid w:val="00164A65"/>
    <w:rsid w:val="0017387B"/>
    <w:rsid w:val="001837B6"/>
    <w:rsid w:val="0018457F"/>
    <w:rsid w:val="00184BBC"/>
    <w:rsid w:val="00197C3B"/>
    <w:rsid w:val="00197F5F"/>
    <w:rsid w:val="001A129E"/>
    <w:rsid w:val="001A1FC2"/>
    <w:rsid w:val="001A229E"/>
    <w:rsid w:val="001A2ABE"/>
    <w:rsid w:val="001A4447"/>
    <w:rsid w:val="001A45D7"/>
    <w:rsid w:val="001A4ABB"/>
    <w:rsid w:val="001A5BAA"/>
    <w:rsid w:val="001A608D"/>
    <w:rsid w:val="001A6B19"/>
    <w:rsid w:val="001A725C"/>
    <w:rsid w:val="001A7D52"/>
    <w:rsid w:val="001B03D0"/>
    <w:rsid w:val="001B09A9"/>
    <w:rsid w:val="001B1F23"/>
    <w:rsid w:val="001B260E"/>
    <w:rsid w:val="001B26F7"/>
    <w:rsid w:val="001B27C2"/>
    <w:rsid w:val="001B6DE4"/>
    <w:rsid w:val="001B700D"/>
    <w:rsid w:val="001C13C8"/>
    <w:rsid w:val="001C2167"/>
    <w:rsid w:val="001C29C5"/>
    <w:rsid w:val="001C55DA"/>
    <w:rsid w:val="001C7F74"/>
    <w:rsid w:val="001D042A"/>
    <w:rsid w:val="001D0DE4"/>
    <w:rsid w:val="001D1B03"/>
    <w:rsid w:val="001D26A7"/>
    <w:rsid w:val="001D34D8"/>
    <w:rsid w:val="001D6FE0"/>
    <w:rsid w:val="001D71ED"/>
    <w:rsid w:val="001D7DD9"/>
    <w:rsid w:val="001E2693"/>
    <w:rsid w:val="001E38BC"/>
    <w:rsid w:val="001E733B"/>
    <w:rsid w:val="001F5B85"/>
    <w:rsid w:val="001F6F19"/>
    <w:rsid w:val="001F7290"/>
    <w:rsid w:val="00200D09"/>
    <w:rsid w:val="002018B0"/>
    <w:rsid w:val="00206018"/>
    <w:rsid w:val="002067F3"/>
    <w:rsid w:val="00214518"/>
    <w:rsid w:val="00220BC5"/>
    <w:rsid w:val="00223019"/>
    <w:rsid w:val="00223214"/>
    <w:rsid w:val="00223873"/>
    <w:rsid w:val="00225FAF"/>
    <w:rsid w:val="002273CC"/>
    <w:rsid w:val="00231726"/>
    <w:rsid w:val="00231899"/>
    <w:rsid w:val="0023372F"/>
    <w:rsid w:val="00234AD5"/>
    <w:rsid w:val="00235A70"/>
    <w:rsid w:val="002400B6"/>
    <w:rsid w:val="00240506"/>
    <w:rsid w:val="00245FD8"/>
    <w:rsid w:val="002460DC"/>
    <w:rsid w:val="002465E3"/>
    <w:rsid w:val="002475F6"/>
    <w:rsid w:val="00251494"/>
    <w:rsid w:val="0025255E"/>
    <w:rsid w:val="00253B3B"/>
    <w:rsid w:val="00257D0E"/>
    <w:rsid w:val="00260C60"/>
    <w:rsid w:val="00261C84"/>
    <w:rsid w:val="002620FD"/>
    <w:rsid w:val="002631D0"/>
    <w:rsid w:val="00263B33"/>
    <w:rsid w:val="002642D5"/>
    <w:rsid w:val="0026467F"/>
    <w:rsid w:val="00264C3A"/>
    <w:rsid w:val="0026505C"/>
    <w:rsid w:val="00265A90"/>
    <w:rsid w:val="00265B50"/>
    <w:rsid w:val="00265E17"/>
    <w:rsid w:val="00270C4C"/>
    <w:rsid w:val="002752A6"/>
    <w:rsid w:val="00276A22"/>
    <w:rsid w:val="002806F9"/>
    <w:rsid w:val="0028413C"/>
    <w:rsid w:val="00284F52"/>
    <w:rsid w:val="002869F2"/>
    <w:rsid w:val="00287939"/>
    <w:rsid w:val="00290EEC"/>
    <w:rsid w:val="00291681"/>
    <w:rsid w:val="002923BA"/>
    <w:rsid w:val="00294AB1"/>
    <w:rsid w:val="00295503"/>
    <w:rsid w:val="00295BC0"/>
    <w:rsid w:val="002978B6"/>
    <w:rsid w:val="002A3550"/>
    <w:rsid w:val="002A4AD5"/>
    <w:rsid w:val="002A5060"/>
    <w:rsid w:val="002A7A4D"/>
    <w:rsid w:val="002A7CD1"/>
    <w:rsid w:val="002B00F6"/>
    <w:rsid w:val="002B12F1"/>
    <w:rsid w:val="002B1ECA"/>
    <w:rsid w:val="002B22C3"/>
    <w:rsid w:val="002B39F0"/>
    <w:rsid w:val="002B3CEC"/>
    <w:rsid w:val="002B465E"/>
    <w:rsid w:val="002C0009"/>
    <w:rsid w:val="002C06BF"/>
    <w:rsid w:val="002C105C"/>
    <w:rsid w:val="002C241D"/>
    <w:rsid w:val="002C4121"/>
    <w:rsid w:val="002C5191"/>
    <w:rsid w:val="002D07D9"/>
    <w:rsid w:val="002D1C72"/>
    <w:rsid w:val="002D3263"/>
    <w:rsid w:val="002D5437"/>
    <w:rsid w:val="002D5835"/>
    <w:rsid w:val="002D68ED"/>
    <w:rsid w:val="002D71D8"/>
    <w:rsid w:val="002E0E57"/>
    <w:rsid w:val="002E1302"/>
    <w:rsid w:val="002E2378"/>
    <w:rsid w:val="002E24E7"/>
    <w:rsid w:val="002E2503"/>
    <w:rsid w:val="002E3416"/>
    <w:rsid w:val="002E3711"/>
    <w:rsid w:val="002E5947"/>
    <w:rsid w:val="002E635F"/>
    <w:rsid w:val="002E661F"/>
    <w:rsid w:val="002E75B7"/>
    <w:rsid w:val="002E7822"/>
    <w:rsid w:val="002E7C02"/>
    <w:rsid w:val="002F075B"/>
    <w:rsid w:val="002F14C0"/>
    <w:rsid w:val="002F2D80"/>
    <w:rsid w:val="00300B33"/>
    <w:rsid w:val="0030307F"/>
    <w:rsid w:val="003038A7"/>
    <w:rsid w:val="003067B7"/>
    <w:rsid w:val="003070EB"/>
    <w:rsid w:val="00307889"/>
    <w:rsid w:val="00311400"/>
    <w:rsid w:val="0031250E"/>
    <w:rsid w:val="00312CDC"/>
    <w:rsid w:val="00314AA4"/>
    <w:rsid w:val="003161F8"/>
    <w:rsid w:val="00317293"/>
    <w:rsid w:val="00317F43"/>
    <w:rsid w:val="00324A5F"/>
    <w:rsid w:val="00326DB1"/>
    <w:rsid w:val="003278F1"/>
    <w:rsid w:val="00334005"/>
    <w:rsid w:val="003342C0"/>
    <w:rsid w:val="003347CF"/>
    <w:rsid w:val="00335E05"/>
    <w:rsid w:val="00336B75"/>
    <w:rsid w:val="00340373"/>
    <w:rsid w:val="00343BCA"/>
    <w:rsid w:val="003450D0"/>
    <w:rsid w:val="00346391"/>
    <w:rsid w:val="0034696E"/>
    <w:rsid w:val="00347603"/>
    <w:rsid w:val="00350312"/>
    <w:rsid w:val="003513C1"/>
    <w:rsid w:val="003573AC"/>
    <w:rsid w:val="0035751D"/>
    <w:rsid w:val="00362150"/>
    <w:rsid w:val="00362A61"/>
    <w:rsid w:val="00370D75"/>
    <w:rsid w:val="0037307D"/>
    <w:rsid w:val="003733B8"/>
    <w:rsid w:val="00376457"/>
    <w:rsid w:val="00376CFE"/>
    <w:rsid w:val="00380B59"/>
    <w:rsid w:val="0038100F"/>
    <w:rsid w:val="003812B5"/>
    <w:rsid w:val="00381B87"/>
    <w:rsid w:val="00381C7A"/>
    <w:rsid w:val="003865CC"/>
    <w:rsid w:val="00387052"/>
    <w:rsid w:val="00390667"/>
    <w:rsid w:val="00391575"/>
    <w:rsid w:val="00392BE5"/>
    <w:rsid w:val="00393459"/>
    <w:rsid w:val="0039371A"/>
    <w:rsid w:val="0039454A"/>
    <w:rsid w:val="003952EF"/>
    <w:rsid w:val="00395ABB"/>
    <w:rsid w:val="003978F4"/>
    <w:rsid w:val="003A09BA"/>
    <w:rsid w:val="003A121C"/>
    <w:rsid w:val="003A2D9A"/>
    <w:rsid w:val="003B3305"/>
    <w:rsid w:val="003B457B"/>
    <w:rsid w:val="003B4A8A"/>
    <w:rsid w:val="003B75A0"/>
    <w:rsid w:val="003C1600"/>
    <w:rsid w:val="003C2AF2"/>
    <w:rsid w:val="003C4FBE"/>
    <w:rsid w:val="003D0321"/>
    <w:rsid w:val="003E0839"/>
    <w:rsid w:val="003E20C0"/>
    <w:rsid w:val="003E25FA"/>
    <w:rsid w:val="003E2EB8"/>
    <w:rsid w:val="003F4EA8"/>
    <w:rsid w:val="003F6543"/>
    <w:rsid w:val="003F6A8A"/>
    <w:rsid w:val="003F6D93"/>
    <w:rsid w:val="003F7F59"/>
    <w:rsid w:val="00400092"/>
    <w:rsid w:val="00403387"/>
    <w:rsid w:val="004047DC"/>
    <w:rsid w:val="00410C10"/>
    <w:rsid w:val="00411AC7"/>
    <w:rsid w:val="004127AF"/>
    <w:rsid w:val="00413D9A"/>
    <w:rsid w:val="00417378"/>
    <w:rsid w:val="0041761C"/>
    <w:rsid w:val="00417F9C"/>
    <w:rsid w:val="00420F95"/>
    <w:rsid w:val="00421E15"/>
    <w:rsid w:val="0042309A"/>
    <w:rsid w:val="0042557D"/>
    <w:rsid w:val="00426608"/>
    <w:rsid w:val="00430FFD"/>
    <w:rsid w:val="00436B79"/>
    <w:rsid w:val="00437BDF"/>
    <w:rsid w:val="004411A4"/>
    <w:rsid w:val="00444078"/>
    <w:rsid w:val="00445A87"/>
    <w:rsid w:val="004477AB"/>
    <w:rsid w:val="004477B1"/>
    <w:rsid w:val="004510B9"/>
    <w:rsid w:val="004516C1"/>
    <w:rsid w:val="00453DD4"/>
    <w:rsid w:val="00454ABF"/>
    <w:rsid w:val="00456218"/>
    <w:rsid w:val="004603DA"/>
    <w:rsid w:val="0046200B"/>
    <w:rsid w:val="004637E3"/>
    <w:rsid w:val="004646BA"/>
    <w:rsid w:val="00464B34"/>
    <w:rsid w:val="00471DD6"/>
    <w:rsid w:val="00473365"/>
    <w:rsid w:val="00474A83"/>
    <w:rsid w:val="00481CB4"/>
    <w:rsid w:val="0049160A"/>
    <w:rsid w:val="0049288A"/>
    <w:rsid w:val="004949A7"/>
    <w:rsid w:val="00494F2B"/>
    <w:rsid w:val="00495222"/>
    <w:rsid w:val="00496C91"/>
    <w:rsid w:val="00497344"/>
    <w:rsid w:val="00497C03"/>
    <w:rsid w:val="00497D92"/>
    <w:rsid w:val="004A0FC9"/>
    <w:rsid w:val="004A12E4"/>
    <w:rsid w:val="004A64A1"/>
    <w:rsid w:val="004A67F1"/>
    <w:rsid w:val="004A6B91"/>
    <w:rsid w:val="004A7A1F"/>
    <w:rsid w:val="004B164F"/>
    <w:rsid w:val="004B211E"/>
    <w:rsid w:val="004B57FC"/>
    <w:rsid w:val="004B7632"/>
    <w:rsid w:val="004C1686"/>
    <w:rsid w:val="004C1A1E"/>
    <w:rsid w:val="004C2C04"/>
    <w:rsid w:val="004C2FE6"/>
    <w:rsid w:val="004C35CC"/>
    <w:rsid w:val="004C52D8"/>
    <w:rsid w:val="004C7786"/>
    <w:rsid w:val="004D2546"/>
    <w:rsid w:val="004D2728"/>
    <w:rsid w:val="004D3A3B"/>
    <w:rsid w:val="004E065D"/>
    <w:rsid w:val="004E06C5"/>
    <w:rsid w:val="004E0768"/>
    <w:rsid w:val="004E24F2"/>
    <w:rsid w:val="004E2904"/>
    <w:rsid w:val="004E3244"/>
    <w:rsid w:val="004E4086"/>
    <w:rsid w:val="004E522F"/>
    <w:rsid w:val="004E5D1B"/>
    <w:rsid w:val="004E5E18"/>
    <w:rsid w:val="004F09FD"/>
    <w:rsid w:val="004F0F2A"/>
    <w:rsid w:val="004F2127"/>
    <w:rsid w:val="004F21C7"/>
    <w:rsid w:val="004F3E7F"/>
    <w:rsid w:val="004F5B67"/>
    <w:rsid w:val="004F7E93"/>
    <w:rsid w:val="005006AF"/>
    <w:rsid w:val="00501170"/>
    <w:rsid w:val="00506790"/>
    <w:rsid w:val="005079B5"/>
    <w:rsid w:val="00507F4E"/>
    <w:rsid w:val="00511891"/>
    <w:rsid w:val="00511A95"/>
    <w:rsid w:val="00513914"/>
    <w:rsid w:val="005203B7"/>
    <w:rsid w:val="00522C42"/>
    <w:rsid w:val="0052337E"/>
    <w:rsid w:val="00523662"/>
    <w:rsid w:val="00523A04"/>
    <w:rsid w:val="005242AF"/>
    <w:rsid w:val="00524F99"/>
    <w:rsid w:val="00525E18"/>
    <w:rsid w:val="00526011"/>
    <w:rsid w:val="00527543"/>
    <w:rsid w:val="005310D6"/>
    <w:rsid w:val="0053469A"/>
    <w:rsid w:val="00535017"/>
    <w:rsid w:val="0053524A"/>
    <w:rsid w:val="0053561F"/>
    <w:rsid w:val="00537044"/>
    <w:rsid w:val="00537418"/>
    <w:rsid w:val="0054036A"/>
    <w:rsid w:val="00543007"/>
    <w:rsid w:val="005431AD"/>
    <w:rsid w:val="00544E36"/>
    <w:rsid w:val="00550F87"/>
    <w:rsid w:val="00552425"/>
    <w:rsid w:val="00554E02"/>
    <w:rsid w:val="00555B29"/>
    <w:rsid w:val="0055736B"/>
    <w:rsid w:val="00557BD9"/>
    <w:rsid w:val="00564451"/>
    <w:rsid w:val="00564A2C"/>
    <w:rsid w:val="00564E6F"/>
    <w:rsid w:val="00564FEA"/>
    <w:rsid w:val="00567C8F"/>
    <w:rsid w:val="00571F50"/>
    <w:rsid w:val="00572C6C"/>
    <w:rsid w:val="0057362F"/>
    <w:rsid w:val="00573F67"/>
    <w:rsid w:val="00574E09"/>
    <w:rsid w:val="00575566"/>
    <w:rsid w:val="005812A1"/>
    <w:rsid w:val="00583DE1"/>
    <w:rsid w:val="005911A3"/>
    <w:rsid w:val="00592152"/>
    <w:rsid w:val="005A3407"/>
    <w:rsid w:val="005A4A72"/>
    <w:rsid w:val="005A753B"/>
    <w:rsid w:val="005A786C"/>
    <w:rsid w:val="005B010C"/>
    <w:rsid w:val="005B3AB1"/>
    <w:rsid w:val="005B3ACF"/>
    <w:rsid w:val="005B433C"/>
    <w:rsid w:val="005B5486"/>
    <w:rsid w:val="005B7784"/>
    <w:rsid w:val="005C0C07"/>
    <w:rsid w:val="005C27E5"/>
    <w:rsid w:val="005C5F27"/>
    <w:rsid w:val="005C6CF7"/>
    <w:rsid w:val="005C6F42"/>
    <w:rsid w:val="005C7FFD"/>
    <w:rsid w:val="005D02A1"/>
    <w:rsid w:val="005D0A7F"/>
    <w:rsid w:val="005D1F2C"/>
    <w:rsid w:val="005D2C92"/>
    <w:rsid w:val="005D386E"/>
    <w:rsid w:val="005D419B"/>
    <w:rsid w:val="005D45C7"/>
    <w:rsid w:val="005D5A11"/>
    <w:rsid w:val="005E1173"/>
    <w:rsid w:val="005E613D"/>
    <w:rsid w:val="005E7AA5"/>
    <w:rsid w:val="005F1A01"/>
    <w:rsid w:val="005F416C"/>
    <w:rsid w:val="005F6A6D"/>
    <w:rsid w:val="00601F9A"/>
    <w:rsid w:val="00602D1E"/>
    <w:rsid w:val="00602FC2"/>
    <w:rsid w:val="006036C2"/>
    <w:rsid w:val="00603EA6"/>
    <w:rsid w:val="00610001"/>
    <w:rsid w:val="00611346"/>
    <w:rsid w:val="0061179D"/>
    <w:rsid w:val="0061196C"/>
    <w:rsid w:val="00613F7A"/>
    <w:rsid w:val="00614D9B"/>
    <w:rsid w:val="00617278"/>
    <w:rsid w:val="006173BB"/>
    <w:rsid w:val="006177BF"/>
    <w:rsid w:val="006216A9"/>
    <w:rsid w:val="00622184"/>
    <w:rsid w:val="00625F60"/>
    <w:rsid w:val="00626119"/>
    <w:rsid w:val="00626811"/>
    <w:rsid w:val="006271CA"/>
    <w:rsid w:val="006274E6"/>
    <w:rsid w:val="006303AC"/>
    <w:rsid w:val="00630619"/>
    <w:rsid w:val="00631956"/>
    <w:rsid w:val="006347C7"/>
    <w:rsid w:val="00634D23"/>
    <w:rsid w:val="00635AA1"/>
    <w:rsid w:val="00641877"/>
    <w:rsid w:val="00643681"/>
    <w:rsid w:val="0064385F"/>
    <w:rsid w:val="00643918"/>
    <w:rsid w:val="00656149"/>
    <w:rsid w:val="006568BE"/>
    <w:rsid w:val="006572AB"/>
    <w:rsid w:val="00657318"/>
    <w:rsid w:val="006621E5"/>
    <w:rsid w:val="006646E0"/>
    <w:rsid w:val="006701E9"/>
    <w:rsid w:val="006711FE"/>
    <w:rsid w:val="0067285F"/>
    <w:rsid w:val="00674847"/>
    <w:rsid w:val="00674CB6"/>
    <w:rsid w:val="00677296"/>
    <w:rsid w:val="00677D2C"/>
    <w:rsid w:val="00680921"/>
    <w:rsid w:val="0068104D"/>
    <w:rsid w:val="006847FF"/>
    <w:rsid w:val="006866D8"/>
    <w:rsid w:val="00690C79"/>
    <w:rsid w:val="006910A2"/>
    <w:rsid w:val="006910B5"/>
    <w:rsid w:val="00693A33"/>
    <w:rsid w:val="006A02B4"/>
    <w:rsid w:val="006A0C47"/>
    <w:rsid w:val="006A53DB"/>
    <w:rsid w:val="006A5511"/>
    <w:rsid w:val="006A724A"/>
    <w:rsid w:val="006B026F"/>
    <w:rsid w:val="006B34C3"/>
    <w:rsid w:val="006B3523"/>
    <w:rsid w:val="006B3974"/>
    <w:rsid w:val="006B636B"/>
    <w:rsid w:val="006B6D81"/>
    <w:rsid w:val="006B71C2"/>
    <w:rsid w:val="006B7560"/>
    <w:rsid w:val="006B798B"/>
    <w:rsid w:val="006C303B"/>
    <w:rsid w:val="006C5E74"/>
    <w:rsid w:val="006C5E94"/>
    <w:rsid w:val="006C5F7A"/>
    <w:rsid w:val="006C6180"/>
    <w:rsid w:val="006C7506"/>
    <w:rsid w:val="006D54D4"/>
    <w:rsid w:val="006D7660"/>
    <w:rsid w:val="006E041A"/>
    <w:rsid w:val="006E1B56"/>
    <w:rsid w:val="006E3E9F"/>
    <w:rsid w:val="006E63F8"/>
    <w:rsid w:val="006E7D03"/>
    <w:rsid w:val="006F0A8B"/>
    <w:rsid w:val="006F0BA4"/>
    <w:rsid w:val="006F1311"/>
    <w:rsid w:val="006F137E"/>
    <w:rsid w:val="006F1D0B"/>
    <w:rsid w:val="006F36BB"/>
    <w:rsid w:val="007011EE"/>
    <w:rsid w:val="007013FF"/>
    <w:rsid w:val="007055F0"/>
    <w:rsid w:val="007077FE"/>
    <w:rsid w:val="00710E7C"/>
    <w:rsid w:val="00711FDA"/>
    <w:rsid w:val="00712E78"/>
    <w:rsid w:val="00714DFD"/>
    <w:rsid w:val="00716444"/>
    <w:rsid w:val="00717454"/>
    <w:rsid w:val="007205F5"/>
    <w:rsid w:val="00720897"/>
    <w:rsid w:val="007216C0"/>
    <w:rsid w:val="00721B9E"/>
    <w:rsid w:val="00723818"/>
    <w:rsid w:val="00731FC3"/>
    <w:rsid w:val="00733E3E"/>
    <w:rsid w:val="00736E4C"/>
    <w:rsid w:val="007371A2"/>
    <w:rsid w:val="007377F5"/>
    <w:rsid w:val="00737B32"/>
    <w:rsid w:val="00740F96"/>
    <w:rsid w:val="00742CBC"/>
    <w:rsid w:val="00742ED6"/>
    <w:rsid w:val="007447E2"/>
    <w:rsid w:val="00747D3C"/>
    <w:rsid w:val="007513EE"/>
    <w:rsid w:val="0075167E"/>
    <w:rsid w:val="00751945"/>
    <w:rsid w:val="00757593"/>
    <w:rsid w:val="0077530C"/>
    <w:rsid w:val="00775CC4"/>
    <w:rsid w:val="0077678C"/>
    <w:rsid w:val="0077745C"/>
    <w:rsid w:val="00780BBC"/>
    <w:rsid w:val="00780DEF"/>
    <w:rsid w:val="00781EFC"/>
    <w:rsid w:val="00784E2B"/>
    <w:rsid w:val="00785624"/>
    <w:rsid w:val="00787DF2"/>
    <w:rsid w:val="00791129"/>
    <w:rsid w:val="007A0704"/>
    <w:rsid w:val="007A3BCB"/>
    <w:rsid w:val="007A5A8F"/>
    <w:rsid w:val="007A5B78"/>
    <w:rsid w:val="007A73A5"/>
    <w:rsid w:val="007A79A9"/>
    <w:rsid w:val="007B176D"/>
    <w:rsid w:val="007B18F8"/>
    <w:rsid w:val="007B1FD2"/>
    <w:rsid w:val="007B57A5"/>
    <w:rsid w:val="007C00E2"/>
    <w:rsid w:val="007C0567"/>
    <w:rsid w:val="007C1C6D"/>
    <w:rsid w:val="007C5B28"/>
    <w:rsid w:val="007C7189"/>
    <w:rsid w:val="007D2D4B"/>
    <w:rsid w:val="007D40CA"/>
    <w:rsid w:val="007D50BE"/>
    <w:rsid w:val="007E0E41"/>
    <w:rsid w:val="007E1114"/>
    <w:rsid w:val="007E20D5"/>
    <w:rsid w:val="007E429C"/>
    <w:rsid w:val="007E5184"/>
    <w:rsid w:val="007E5562"/>
    <w:rsid w:val="007E718E"/>
    <w:rsid w:val="007E7290"/>
    <w:rsid w:val="007F04B5"/>
    <w:rsid w:val="007F4036"/>
    <w:rsid w:val="007F4DB0"/>
    <w:rsid w:val="007F51D6"/>
    <w:rsid w:val="007F536F"/>
    <w:rsid w:val="007F729A"/>
    <w:rsid w:val="008021CA"/>
    <w:rsid w:val="00802E30"/>
    <w:rsid w:val="00803DE8"/>
    <w:rsid w:val="00804427"/>
    <w:rsid w:val="00804738"/>
    <w:rsid w:val="00805586"/>
    <w:rsid w:val="0080645F"/>
    <w:rsid w:val="00806B7F"/>
    <w:rsid w:val="00812805"/>
    <w:rsid w:val="00814909"/>
    <w:rsid w:val="00815DF4"/>
    <w:rsid w:val="008164D9"/>
    <w:rsid w:val="00817B40"/>
    <w:rsid w:val="00820554"/>
    <w:rsid w:val="00821F2E"/>
    <w:rsid w:val="00822BB2"/>
    <w:rsid w:val="00825155"/>
    <w:rsid w:val="00825257"/>
    <w:rsid w:val="00827405"/>
    <w:rsid w:val="00827B0C"/>
    <w:rsid w:val="00827D63"/>
    <w:rsid w:val="00827FB6"/>
    <w:rsid w:val="008340BD"/>
    <w:rsid w:val="0083543A"/>
    <w:rsid w:val="008370A5"/>
    <w:rsid w:val="0083715F"/>
    <w:rsid w:val="00843C55"/>
    <w:rsid w:val="0084436D"/>
    <w:rsid w:val="0084693A"/>
    <w:rsid w:val="008476D2"/>
    <w:rsid w:val="00856736"/>
    <w:rsid w:val="00863064"/>
    <w:rsid w:val="00864EEC"/>
    <w:rsid w:val="008662DD"/>
    <w:rsid w:val="008667B2"/>
    <w:rsid w:val="008724BB"/>
    <w:rsid w:val="00872A99"/>
    <w:rsid w:val="00874C6F"/>
    <w:rsid w:val="00875B75"/>
    <w:rsid w:val="00876B93"/>
    <w:rsid w:val="00876ECE"/>
    <w:rsid w:val="0088030D"/>
    <w:rsid w:val="00882210"/>
    <w:rsid w:val="008827D4"/>
    <w:rsid w:val="0088533A"/>
    <w:rsid w:val="008867C8"/>
    <w:rsid w:val="008901C6"/>
    <w:rsid w:val="008921B2"/>
    <w:rsid w:val="0089226E"/>
    <w:rsid w:val="008948F7"/>
    <w:rsid w:val="00895E1F"/>
    <w:rsid w:val="00897A7E"/>
    <w:rsid w:val="00897BF5"/>
    <w:rsid w:val="008A0400"/>
    <w:rsid w:val="008A077E"/>
    <w:rsid w:val="008A0F3F"/>
    <w:rsid w:val="008A1BEF"/>
    <w:rsid w:val="008A2737"/>
    <w:rsid w:val="008A28E2"/>
    <w:rsid w:val="008A50F8"/>
    <w:rsid w:val="008A6E20"/>
    <w:rsid w:val="008B040A"/>
    <w:rsid w:val="008B1A9B"/>
    <w:rsid w:val="008B23B4"/>
    <w:rsid w:val="008B2600"/>
    <w:rsid w:val="008B2BA4"/>
    <w:rsid w:val="008B3078"/>
    <w:rsid w:val="008B3EB0"/>
    <w:rsid w:val="008B4A05"/>
    <w:rsid w:val="008C3335"/>
    <w:rsid w:val="008D003D"/>
    <w:rsid w:val="008D035A"/>
    <w:rsid w:val="008D1708"/>
    <w:rsid w:val="008D1FAE"/>
    <w:rsid w:val="008D3269"/>
    <w:rsid w:val="008E3B8C"/>
    <w:rsid w:val="008E5418"/>
    <w:rsid w:val="008F0B9D"/>
    <w:rsid w:val="008F3C1A"/>
    <w:rsid w:val="008F4198"/>
    <w:rsid w:val="008F6765"/>
    <w:rsid w:val="00901A1A"/>
    <w:rsid w:val="00905C0D"/>
    <w:rsid w:val="00907EBB"/>
    <w:rsid w:val="00912E55"/>
    <w:rsid w:val="009130FF"/>
    <w:rsid w:val="00914D61"/>
    <w:rsid w:val="00914D80"/>
    <w:rsid w:val="00915618"/>
    <w:rsid w:val="0091573B"/>
    <w:rsid w:val="0091660B"/>
    <w:rsid w:val="00916EEB"/>
    <w:rsid w:val="009179F8"/>
    <w:rsid w:val="00917E70"/>
    <w:rsid w:val="009204CA"/>
    <w:rsid w:val="00920F1E"/>
    <w:rsid w:val="00921D29"/>
    <w:rsid w:val="00922219"/>
    <w:rsid w:val="009222B8"/>
    <w:rsid w:val="00922EE2"/>
    <w:rsid w:val="0092392F"/>
    <w:rsid w:val="00924DA6"/>
    <w:rsid w:val="00924F54"/>
    <w:rsid w:val="00930B34"/>
    <w:rsid w:val="00931627"/>
    <w:rsid w:val="00933292"/>
    <w:rsid w:val="0093793F"/>
    <w:rsid w:val="00940D00"/>
    <w:rsid w:val="0094251D"/>
    <w:rsid w:val="0094267F"/>
    <w:rsid w:val="00942846"/>
    <w:rsid w:val="009428EE"/>
    <w:rsid w:val="00945CF0"/>
    <w:rsid w:val="00946A9D"/>
    <w:rsid w:val="00950BAD"/>
    <w:rsid w:val="0095588D"/>
    <w:rsid w:val="00955C01"/>
    <w:rsid w:val="00956E74"/>
    <w:rsid w:val="00957992"/>
    <w:rsid w:val="009644CD"/>
    <w:rsid w:val="00965B84"/>
    <w:rsid w:val="00965E6F"/>
    <w:rsid w:val="009666DD"/>
    <w:rsid w:val="00967EDB"/>
    <w:rsid w:val="009728C3"/>
    <w:rsid w:val="00972B4B"/>
    <w:rsid w:val="009759EA"/>
    <w:rsid w:val="009774E2"/>
    <w:rsid w:val="009778C9"/>
    <w:rsid w:val="009807EC"/>
    <w:rsid w:val="00982225"/>
    <w:rsid w:val="00982DA8"/>
    <w:rsid w:val="009833D0"/>
    <w:rsid w:val="0098348B"/>
    <w:rsid w:val="00985F45"/>
    <w:rsid w:val="00987F52"/>
    <w:rsid w:val="00992144"/>
    <w:rsid w:val="009924B2"/>
    <w:rsid w:val="00992EEE"/>
    <w:rsid w:val="009938B7"/>
    <w:rsid w:val="0099513F"/>
    <w:rsid w:val="0099608C"/>
    <w:rsid w:val="0099670A"/>
    <w:rsid w:val="0099786A"/>
    <w:rsid w:val="009A26D9"/>
    <w:rsid w:val="009A2EC6"/>
    <w:rsid w:val="009A4A7B"/>
    <w:rsid w:val="009A6026"/>
    <w:rsid w:val="009A6A09"/>
    <w:rsid w:val="009B048C"/>
    <w:rsid w:val="009B1565"/>
    <w:rsid w:val="009B2EC4"/>
    <w:rsid w:val="009B458B"/>
    <w:rsid w:val="009B76E2"/>
    <w:rsid w:val="009C1D0C"/>
    <w:rsid w:val="009C2996"/>
    <w:rsid w:val="009C6647"/>
    <w:rsid w:val="009C68D5"/>
    <w:rsid w:val="009D16B7"/>
    <w:rsid w:val="009D18BF"/>
    <w:rsid w:val="009D4DB7"/>
    <w:rsid w:val="009D58CC"/>
    <w:rsid w:val="009D68EB"/>
    <w:rsid w:val="009D6ADD"/>
    <w:rsid w:val="009E2C3D"/>
    <w:rsid w:val="009E59FA"/>
    <w:rsid w:val="009E6D77"/>
    <w:rsid w:val="009E719B"/>
    <w:rsid w:val="009E772E"/>
    <w:rsid w:val="009F07BF"/>
    <w:rsid w:val="009F0B86"/>
    <w:rsid w:val="009F1B8D"/>
    <w:rsid w:val="009F2D50"/>
    <w:rsid w:val="009F2DA5"/>
    <w:rsid w:val="009F68F0"/>
    <w:rsid w:val="00A00C2E"/>
    <w:rsid w:val="00A01779"/>
    <w:rsid w:val="00A01858"/>
    <w:rsid w:val="00A034CF"/>
    <w:rsid w:val="00A037A5"/>
    <w:rsid w:val="00A06008"/>
    <w:rsid w:val="00A12442"/>
    <w:rsid w:val="00A15568"/>
    <w:rsid w:val="00A156C8"/>
    <w:rsid w:val="00A20520"/>
    <w:rsid w:val="00A22B24"/>
    <w:rsid w:val="00A234A2"/>
    <w:rsid w:val="00A279CB"/>
    <w:rsid w:val="00A27D8E"/>
    <w:rsid w:val="00A30318"/>
    <w:rsid w:val="00A30628"/>
    <w:rsid w:val="00A31073"/>
    <w:rsid w:val="00A32157"/>
    <w:rsid w:val="00A33F3E"/>
    <w:rsid w:val="00A36BC4"/>
    <w:rsid w:val="00A37700"/>
    <w:rsid w:val="00A40345"/>
    <w:rsid w:val="00A45B85"/>
    <w:rsid w:val="00A45BE1"/>
    <w:rsid w:val="00A45D88"/>
    <w:rsid w:val="00A45F41"/>
    <w:rsid w:val="00A47CB9"/>
    <w:rsid w:val="00A519D9"/>
    <w:rsid w:val="00A52BEB"/>
    <w:rsid w:val="00A52C0A"/>
    <w:rsid w:val="00A538ED"/>
    <w:rsid w:val="00A53DEF"/>
    <w:rsid w:val="00A55DD1"/>
    <w:rsid w:val="00A55FB8"/>
    <w:rsid w:val="00A60ED8"/>
    <w:rsid w:val="00A61383"/>
    <w:rsid w:val="00A62A19"/>
    <w:rsid w:val="00A6464E"/>
    <w:rsid w:val="00A64B19"/>
    <w:rsid w:val="00A64C60"/>
    <w:rsid w:val="00A65658"/>
    <w:rsid w:val="00A65A7E"/>
    <w:rsid w:val="00A70946"/>
    <w:rsid w:val="00A70BAB"/>
    <w:rsid w:val="00A736F1"/>
    <w:rsid w:val="00A73747"/>
    <w:rsid w:val="00A74493"/>
    <w:rsid w:val="00A76A32"/>
    <w:rsid w:val="00A770EF"/>
    <w:rsid w:val="00A8181C"/>
    <w:rsid w:val="00A830E0"/>
    <w:rsid w:val="00A8326A"/>
    <w:rsid w:val="00A841F3"/>
    <w:rsid w:val="00A84C54"/>
    <w:rsid w:val="00A8773F"/>
    <w:rsid w:val="00A87F92"/>
    <w:rsid w:val="00A97311"/>
    <w:rsid w:val="00A9779F"/>
    <w:rsid w:val="00AA0171"/>
    <w:rsid w:val="00AA084A"/>
    <w:rsid w:val="00AB213B"/>
    <w:rsid w:val="00AB4A35"/>
    <w:rsid w:val="00AB52F9"/>
    <w:rsid w:val="00AC1FA7"/>
    <w:rsid w:val="00AC5B0E"/>
    <w:rsid w:val="00AC5C1D"/>
    <w:rsid w:val="00AD0570"/>
    <w:rsid w:val="00AD1D0C"/>
    <w:rsid w:val="00AD228E"/>
    <w:rsid w:val="00AD2EE9"/>
    <w:rsid w:val="00AD6587"/>
    <w:rsid w:val="00AD6C20"/>
    <w:rsid w:val="00AD77BD"/>
    <w:rsid w:val="00AD7F7B"/>
    <w:rsid w:val="00AE09AC"/>
    <w:rsid w:val="00AE2220"/>
    <w:rsid w:val="00AE2C45"/>
    <w:rsid w:val="00AE47DC"/>
    <w:rsid w:val="00AE5FAE"/>
    <w:rsid w:val="00AE6793"/>
    <w:rsid w:val="00AE69E9"/>
    <w:rsid w:val="00AE783E"/>
    <w:rsid w:val="00AE7883"/>
    <w:rsid w:val="00AF0710"/>
    <w:rsid w:val="00AF3B99"/>
    <w:rsid w:val="00AF6089"/>
    <w:rsid w:val="00B015BF"/>
    <w:rsid w:val="00B02311"/>
    <w:rsid w:val="00B04419"/>
    <w:rsid w:val="00B044D5"/>
    <w:rsid w:val="00B0672A"/>
    <w:rsid w:val="00B06894"/>
    <w:rsid w:val="00B071F0"/>
    <w:rsid w:val="00B0737C"/>
    <w:rsid w:val="00B073CF"/>
    <w:rsid w:val="00B07A8E"/>
    <w:rsid w:val="00B1173F"/>
    <w:rsid w:val="00B120E5"/>
    <w:rsid w:val="00B16C1C"/>
    <w:rsid w:val="00B25524"/>
    <w:rsid w:val="00B305F2"/>
    <w:rsid w:val="00B30B67"/>
    <w:rsid w:val="00B31F19"/>
    <w:rsid w:val="00B32DC0"/>
    <w:rsid w:val="00B32E1B"/>
    <w:rsid w:val="00B36343"/>
    <w:rsid w:val="00B36694"/>
    <w:rsid w:val="00B405D3"/>
    <w:rsid w:val="00B41A60"/>
    <w:rsid w:val="00B425D5"/>
    <w:rsid w:val="00B43D25"/>
    <w:rsid w:val="00B46327"/>
    <w:rsid w:val="00B506A1"/>
    <w:rsid w:val="00B50E9E"/>
    <w:rsid w:val="00B56D49"/>
    <w:rsid w:val="00B624D3"/>
    <w:rsid w:val="00B6763C"/>
    <w:rsid w:val="00B74E40"/>
    <w:rsid w:val="00B7700C"/>
    <w:rsid w:val="00B775D5"/>
    <w:rsid w:val="00B77681"/>
    <w:rsid w:val="00B77F3C"/>
    <w:rsid w:val="00B80CF8"/>
    <w:rsid w:val="00B868FF"/>
    <w:rsid w:val="00B91308"/>
    <w:rsid w:val="00B93653"/>
    <w:rsid w:val="00B95ABE"/>
    <w:rsid w:val="00B961FD"/>
    <w:rsid w:val="00BA1C6B"/>
    <w:rsid w:val="00BA2A6D"/>
    <w:rsid w:val="00BA4CE0"/>
    <w:rsid w:val="00BA7B13"/>
    <w:rsid w:val="00BB28E6"/>
    <w:rsid w:val="00BB3DE7"/>
    <w:rsid w:val="00BC3508"/>
    <w:rsid w:val="00BC4A0A"/>
    <w:rsid w:val="00BC513F"/>
    <w:rsid w:val="00BC6600"/>
    <w:rsid w:val="00BC77B0"/>
    <w:rsid w:val="00BC7E17"/>
    <w:rsid w:val="00BC7EC8"/>
    <w:rsid w:val="00BD0BBC"/>
    <w:rsid w:val="00BD4A08"/>
    <w:rsid w:val="00BD611A"/>
    <w:rsid w:val="00BE05F1"/>
    <w:rsid w:val="00BE0FEC"/>
    <w:rsid w:val="00BE1D5F"/>
    <w:rsid w:val="00BE71FE"/>
    <w:rsid w:val="00BF07D7"/>
    <w:rsid w:val="00BF2289"/>
    <w:rsid w:val="00BF257A"/>
    <w:rsid w:val="00BF4175"/>
    <w:rsid w:val="00BF49BD"/>
    <w:rsid w:val="00BF4B5A"/>
    <w:rsid w:val="00BF6D20"/>
    <w:rsid w:val="00BF7E85"/>
    <w:rsid w:val="00C03A36"/>
    <w:rsid w:val="00C04D10"/>
    <w:rsid w:val="00C06B1E"/>
    <w:rsid w:val="00C06ED2"/>
    <w:rsid w:val="00C075CE"/>
    <w:rsid w:val="00C1096D"/>
    <w:rsid w:val="00C12A59"/>
    <w:rsid w:val="00C137FE"/>
    <w:rsid w:val="00C1445F"/>
    <w:rsid w:val="00C150EF"/>
    <w:rsid w:val="00C15A7A"/>
    <w:rsid w:val="00C15C14"/>
    <w:rsid w:val="00C1693C"/>
    <w:rsid w:val="00C21AAE"/>
    <w:rsid w:val="00C24542"/>
    <w:rsid w:val="00C27427"/>
    <w:rsid w:val="00C27E4B"/>
    <w:rsid w:val="00C32192"/>
    <w:rsid w:val="00C3478D"/>
    <w:rsid w:val="00C402F3"/>
    <w:rsid w:val="00C4122F"/>
    <w:rsid w:val="00C43AB5"/>
    <w:rsid w:val="00C440B3"/>
    <w:rsid w:val="00C45677"/>
    <w:rsid w:val="00C47563"/>
    <w:rsid w:val="00C47EDA"/>
    <w:rsid w:val="00C513FA"/>
    <w:rsid w:val="00C517AD"/>
    <w:rsid w:val="00C522B6"/>
    <w:rsid w:val="00C5452A"/>
    <w:rsid w:val="00C55841"/>
    <w:rsid w:val="00C56037"/>
    <w:rsid w:val="00C5655F"/>
    <w:rsid w:val="00C603EA"/>
    <w:rsid w:val="00C644E8"/>
    <w:rsid w:val="00C6476F"/>
    <w:rsid w:val="00C65922"/>
    <w:rsid w:val="00C67287"/>
    <w:rsid w:val="00C71F25"/>
    <w:rsid w:val="00C73891"/>
    <w:rsid w:val="00C73E17"/>
    <w:rsid w:val="00C7475B"/>
    <w:rsid w:val="00C75ED1"/>
    <w:rsid w:val="00C7663B"/>
    <w:rsid w:val="00C77807"/>
    <w:rsid w:val="00C8264A"/>
    <w:rsid w:val="00C830D3"/>
    <w:rsid w:val="00C8349C"/>
    <w:rsid w:val="00C83765"/>
    <w:rsid w:val="00C84B65"/>
    <w:rsid w:val="00C85F60"/>
    <w:rsid w:val="00C864BA"/>
    <w:rsid w:val="00C86C6D"/>
    <w:rsid w:val="00C87817"/>
    <w:rsid w:val="00C87B2E"/>
    <w:rsid w:val="00C90284"/>
    <w:rsid w:val="00C918FF"/>
    <w:rsid w:val="00C967DB"/>
    <w:rsid w:val="00CA3996"/>
    <w:rsid w:val="00CA425B"/>
    <w:rsid w:val="00CA4DCA"/>
    <w:rsid w:val="00CA78FF"/>
    <w:rsid w:val="00CA7BEA"/>
    <w:rsid w:val="00CB2958"/>
    <w:rsid w:val="00CB2A81"/>
    <w:rsid w:val="00CB3525"/>
    <w:rsid w:val="00CB38C7"/>
    <w:rsid w:val="00CB3B0C"/>
    <w:rsid w:val="00CB41FA"/>
    <w:rsid w:val="00CB5CE1"/>
    <w:rsid w:val="00CC04B4"/>
    <w:rsid w:val="00CC2E25"/>
    <w:rsid w:val="00CC353C"/>
    <w:rsid w:val="00CC46CD"/>
    <w:rsid w:val="00CC4CE8"/>
    <w:rsid w:val="00CC67F4"/>
    <w:rsid w:val="00CC6F02"/>
    <w:rsid w:val="00CC7E05"/>
    <w:rsid w:val="00CD017F"/>
    <w:rsid w:val="00CD0D9E"/>
    <w:rsid w:val="00CD1A8B"/>
    <w:rsid w:val="00CD2815"/>
    <w:rsid w:val="00CD306F"/>
    <w:rsid w:val="00CD3611"/>
    <w:rsid w:val="00CD7C65"/>
    <w:rsid w:val="00CE17B9"/>
    <w:rsid w:val="00CE1D51"/>
    <w:rsid w:val="00CE24AE"/>
    <w:rsid w:val="00CE35A1"/>
    <w:rsid w:val="00CE3E5D"/>
    <w:rsid w:val="00CE43A7"/>
    <w:rsid w:val="00CE6099"/>
    <w:rsid w:val="00CE6416"/>
    <w:rsid w:val="00CE73C7"/>
    <w:rsid w:val="00CF0804"/>
    <w:rsid w:val="00CF5053"/>
    <w:rsid w:val="00CF7D9C"/>
    <w:rsid w:val="00D02FD3"/>
    <w:rsid w:val="00D04A3A"/>
    <w:rsid w:val="00D05B05"/>
    <w:rsid w:val="00D125A7"/>
    <w:rsid w:val="00D129DE"/>
    <w:rsid w:val="00D15187"/>
    <w:rsid w:val="00D17B8B"/>
    <w:rsid w:val="00D205B7"/>
    <w:rsid w:val="00D211E8"/>
    <w:rsid w:val="00D21458"/>
    <w:rsid w:val="00D21C8C"/>
    <w:rsid w:val="00D2281A"/>
    <w:rsid w:val="00D22E85"/>
    <w:rsid w:val="00D23F81"/>
    <w:rsid w:val="00D3140A"/>
    <w:rsid w:val="00D3382B"/>
    <w:rsid w:val="00D35026"/>
    <w:rsid w:val="00D3615D"/>
    <w:rsid w:val="00D3772B"/>
    <w:rsid w:val="00D37E83"/>
    <w:rsid w:val="00D40C69"/>
    <w:rsid w:val="00D4177B"/>
    <w:rsid w:val="00D427F3"/>
    <w:rsid w:val="00D42AC9"/>
    <w:rsid w:val="00D43617"/>
    <w:rsid w:val="00D43D5D"/>
    <w:rsid w:val="00D50309"/>
    <w:rsid w:val="00D50702"/>
    <w:rsid w:val="00D50F9A"/>
    <w:rsid w:val="00D52F07"/>
    <w:rsid w:val="00D55218"/>
    <w:rsid w:val="00D55DF2"/>
    <w:rsid w:val="00D56BEA"/>
    <w:rsid w:val="00D61776"/>
    <w:rsid w:val="00D65D57"/>
    <w:rsid w:val="00D70CE0"/>
    <w:rsid w:val="00D7489B"/>
    <w:rsid w:val="00D748AD"/>
    <w:rsid w:val="00D76C19"/>
    <w:rsid w:val="00D8032C"/>
    <w:rsid w:val="00D8218C"/>
    <w:rsid w:val="00D82327"/>
    <w:rsid w:val="00D837E8"/>
    <w:rsid w:val="00D862B5"/>
    <w:rsid w:val="00D916B8"/>
    <w:rsid w:val="00D917E2"/>
    <w:rsid w:val="00D921BD"/>
    <w:rsid w:val="00D9515D"/>
    <w:rsid w:val="00D97E80"/>
    <w:rsid w:val="00D97EC5"/>
    <w:rsid w:val="00DA6B1B"/>
    <w:rsid w:val="00DA7459"/>
    <w:rsid w:val="00DB1362"/>
    <w:rsid w:val="00DB2CF1"/>
    <w:rsid w:val="00DB3735"/>
    <w:rsid w:val="00DB3F55"/>
    <w:rsid w:val="00DB41E0"/>
    <w:rsid w:val="00DC091A"/>
    <w:rsid w:val="00DC143B"/>
    <w:rsid w:val="00DC6C42"/>
    <w:rsid w:val="00DC71ED"/>
    <w:rsid w:val="00DD17BB"/>
    <w:rsid w:val="00DD2C6A"/>
    <w:rsid w:val="00DD2D30"/>
    <w:rsid w:val="00DD7A89"/>
    <w:rsid w:val="00DE0429"/>
    <w:rsid w:val="00DE2244"/>
    <w:rsid w:val="00DE61B6"/>
    <w:rsid w:val="00DE66B5"/>
    <w:rsid w:val="00DE6B2D"/>
    <w:rsid w:val="00DF306C"/>
    <w:rsid w:val="00DF5005"/>
    <w:rsid w:val="00DF58F8"/>
    <w:rsid w:val="00DF6742"/>
    <w:rsid w:val="00E06314"/>
    <w:rsid w:val="00E11CCA"/>
    <w:rsid w:val="00E1399C"/>
    <w:rsid w:val="00E147AA"/>
    <w:rsid w:val="00E148D1"/>
    <w:rsid w:val="00E20621"/>
    <w:rsid w:val="00E2355A"/>
    <w:rsid w:val="00E24E57"/>
    <w:rsid w:val="00E26C7A"/>
    <w:rsid w:val="00E30CF9"/>
    <w:rsid w:val="00E31DF2"/>
    <w:rsid w:val="00E33EC2"/>
    <w:rsid w:val="00E3530C"/>
    <w:rsid w:val="00E376CB"/>
    <w:rsid w:val="00E421A7"/>
    <w:rsid w:val="00E44A94"/>
    <w:rsid w:val="00E46003"/>
    <w:rsid w:val="00E4789D"/>
    <w:rsid w:val="00E47F61"/>
    <w:rsid w:val="00E5077E"/>
    <w:rsid w:val="00E507EA"/>
    <w:rsid w:val="00E526A7"/>
    <w:rsid w:val="00E53A84"/>
    <w:rsid w:val="00E53D08"/>
    <w:rsid w:val="00E543A2"/>
    <w:rsid w:val="00E54407"/>
    <w:rsid w:val="00E565EB"/>
    <w:rsid w:val="00E57088"/>
    <w:rsid w:val="00E60C61"/>
    <w:rsid w:val="00E666EC"/>
    <w:rsid w:val="00E67710"/>
    <w:rsid w:val="00E6781D"/>
    <w:rsid w:val="00E70628"/>
    <w:rsid w:val="00E70AA2"/>
    <w:rsid w:val="00E713E3"/>
    <w:rsid w:val="00E719A8"/>
    <w:rsid w:val="00E74335"/>
    <w:rsid w:val="00E76EC2"/>
    <w:rsid w:val="00E81E57"/>
    <w:rsid w:val="00E82C99"/>
    <w:rsid w:val="00E874DA"/>
    <w:rsid w:val="00E87F4D"/>
    <w:rsid w:val="00E90B82"/>
    <w:rsid w:val="00E9163C"/>
    <w:rsid w:val="00E92A0B"/>
    <w:rsid w:val="00E92DA5"/>
    <w:rsid w:val="00E963E1"/>
    <w:rsid w:val="00E97989"/>
    <w:rsid w:val="00EA2B9B"/>
    <w:rsid w:val="00EA7116"/>
    <w:rsid w:val="00EA7152"/>
    <w:rsid w:val="00EB0D92"/>
    <w:rsid w:val="00EB16BF"/>
    <w:rsid w:val="00EB36BA"/>
    <w:rsid w:val="00EB67C7"/>
    <w:rsid w:val="00EC0B86"/>
    <w:rsid w:val="00EC0F5B"/>
    <w:rsid w:val="00EC4FDA"/>
    <w:rsid w:val="00EC57A6"/>
    <w:rsid w:val="00EC5843"/>
    <w:rsid w:val="00EC6AD2"/>
    <w:rsid w:val="00EC730D"/>
    <w:rsid w:val="00ED0895"/>
    <w:rsid w:val="00ED3E98"/>
    <w:rsid w:val="00ED4DBE"/>
    <w:rsid w:val="00ED60E9"/>
    <w:rsid w:val="00ED66EE"/>
    <w:rsid w:val="00ED7DC5"/>
    <w:rsid w:val="00EE002F"/>
    <w:rsid w:val="00EE19CE"/>
    <w:rsid w:val="00EE20DD"/>
    <w:rsid w:val="00EE3113"/>
    <w:rsid w:val="00EE4C16"/>
    <w:rsid w:val="00EE6CFF"/>
    <w:rsid w:val="00EE7265"/>
    <w:rsid w:val="00EF29C8"/>
    <w:rsid w:val="00EF2B15"/>
    <w:rsid w:val="00EF3F22"/>
    <w:rsid w:val="00EF4D36"/>
    <w:rsid w:val="00EF648A"/>
    <w:rsid w:val="00EF6BEC"/>
    <w:rsid w:val="00EF7A06"/>
    <w:rsid w:val="00EF7B93"/>
    <w:rsid w:val="00F00BCC"/>
    <w:rsid w:val="00F01188"/>
    <w:rsid w:val="00F04A2A"/>
    <w:rsid w:val="00F04B86"/>
    <w:rsid w:val="00F06211"/>
    <w:rsid w:val="00F0653B"/>
    <w:rsid w:val="00F074E4"/>
    <w:rsid w:val="00F105CF"/>
    <w:rsid w:val="00F11A52"/>
    <w:rsid w:val="00F1213F"/>
    <w:rsid w:val="00F12F33"/>
    <w:rsid w:val="00F136C4"/>
    <w:rsid w:val="00F14FB7"/>
    <w:rsid w:val="00F15693"/>
    <w:rsid w:val="00F20130"/>
    <w:rsid w:val="00F2095A"/>
    <w:rsid w:val="00F24188"/>
    <w:rsid w:val="00F25654"/>
    <w:rsid w:val="00F27943"/>
    <w:rsid w:val="00F27D29"/>
    <w:rsid w:val="00F31225"/>
    <w:rsid w:val="00F32C8D"/>
    <w:rsid w:val="00F334C1"/>
    <w:rsid w:val="00F340F3"/>
    <w:rsid w:val="00F35DDE"/>
    <w:rsid w:val="00F36D6D"/>
    <w:rsid w:val="00F4038E"/>
    <w:rsid w:val="00F40BA8"/>
    <w:rsid w:val="00F42413"/>
    <w:rsid w:val="00F427B1"/>
    <w:rsid w:val="00F55451"/>
    <w:rsid w:val="00F57AEB"/>
    <w:rsid w:val="00F61556"/>
    <w:rsid w:val="00F61ABC"/>
    <w:rsid w:val="00F62482"/>
    <w:rsid w:val="00F624FF"/>
    <w:rsid w:val="00F63CEC"/>
    <w:rsid w:val="00F64E2D"/>
    <w:rsid w:val="00F65630"/>
    <w:rsid w:val="00F66AB4"/>
    <w:rsid w:val="00F714CE"/>
    <w:rsid w:val="00F71E79"/>
    <w:rsid w:val="00F74790"/>
    <w:rsid w:val="00F76FDF"/>
    <w:rsid w:val="00F77252"/>
    <w:rsid w:val="00F81A31"/>
    <w:rsid w:val="00F81A91"/>
    <w:rsid w:val="00F8213E"/>
    <w:rsid w:val="00F83774"/>
    <w:rsid w:val="00F85DAD"/>
    <w:rsid w:val="00F873BA"/>
    <w:rsid w:val="00F902E7"/>
    <w:rsid w:val="00F90435"/>
    <w:rsid w:val="00F9166F"/>
    <w:rsid w:val="00F93A5E"/>
    <w:rsid w:val="00F94395"/>
    <w:rsid w:val="00F94D05"/>
    <w:rsid w:val="00FA0006"/>
    <w:rsid w:val="00FA5F00"/>
    <w:rsid w:val="00FA6BD3"/>
    <w:rsid w:val="00FA6E4A"/>
    <w:rsid w:val="00FB0EB7"/>
    <w:rsid w:val="00FB3A2F"/>
    <w:rsid w:val="00FB74D0"/>
    <w:rsid w:val="00FC3FD7"/>
    <w:rsid w:val="00FC6E95"/>
    <w:rsid w:val="00FD17B2"/>
    <w:rsid w:val="00FD2797"/>
    <w:rsid w:val="00FD2FA8"/>
    <w:rsid w:val="00FD6643"/>
    <w:rsid w:val="00FD666A"/>
    <w:rsid w:val="00FD75AE"/>
    <w:rsid w:val="00FE03DE"/>
    <w:rsid w:val="00FE1569"/>
    <w:rsid w:val="00FE233F"/>
    <w:rsid w:val="00FE27DE"/>
    <w:rsid w:val="00FE2F31"/>
    <w:rsid w:val="00FE77A0"/>
    <w:rsid w:val="00FF07E0"/>
    <w:rsid w:val="00FF401F"/>
    <w:rsid w:val="00FF4489"/>
    <w:rsid w:val="00FF47EC"/>
    <w:rsid w:val="00FF54BE"/>
    <w:rsid w:val="00FF6137"/>
    <w:rsid w:val="00FF6992"/>
    <w:rsid w:val="00FF6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5B708"/>
  <w15:docId w15:val="{1B1482C4-72DF-44E6-803E-773A95B7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1E1"/>
    <w:pPr>
      <w:ind w:leftChars="200" w:left="480"/>
    </w:pPr>
  </w:style>
  <w:style w:type="paragraph" w:styleId="3">
    <w:name w:val="Body Text 3"/>
    <w:basedOn w:val="a"/>
    <w:link w:val="30"/>
    <w:semiHidden/>
    <w:rsid w:val="001021E1"/>
    <w:pPr>
      <w:spacing w:line="240" w:lineRule="auto"/>
      <w:jc w:val="both"/>
    </w:pPr>
    <w:rPr>
      <w:rFonts w:ascii="Times New Roman" w:eastAsia="標楷體" w:hAnsi="Times New Roman" w:cs="Times New Roman"/>
      <w:snapToGrid w:val="0"/>
      <w:szCs w:val="24"/>
    </w:rPr>
  </w:style>
  <w:style w:type="character" w:customStyle="1" w:styleId="30">
    <w:name w:val="本文 3 字元"/>
    <w:basedOn w:val="a0"/>
    <w:link w:val="3"/>
    <w:semiHidden/>
    <w:rsid w:val="001021E1"/>
    <w:rPr>
      <w:rFonts w:ascii="Times New Roman" w:eastAsia="標楷體" w:hAnsi="Times New Roman" w:cs="Times New Roman"/>
      <w:snapToGrid w:val="0"/>
      <w:szCs w:val="24"/>
    </w:rPr>
  </w:style>
  <w:style w:type="paragraph" w:customStyle="1" w:styleId="a4">
    <w:name w:val="公文(後續段落)"/>
    <w:basedOn w:val="a"/>
    <w:rsid w:val="001021E1"/>
    <w:pPr>
      <w:spacing w:line="500" w:lineRule="exact"/>
      <w:ind w:left="317"/>
    </w:pPr>
    <w:rPr>
      <w:rFonts w:ascii="Times New Roman" w:eastAsia="標楷體" w:hAnsi="Times New Roman" w:cs="Times New Roman"/>
      <w:sz w:val="32"/>
      <w:szCs w:val="24"/>
    </w:rPr>
  </w:style>
  <w:style w:type="character" w:styleId="a5">
    <w:name w:val="Hyperlink"/>
    <w:basedOn w:val="a0"/>
    <w:uiPriority w:val="99"/>
    <w:unhideWhenUsed/>
    <w:rsid w:val="001021E1"/>
    <w:rPr>
      <w:color w:val="0000FF" w:themeColor="hyperlink"/>
      <w:u w:val="single"/>
    </w:rPr>
  </w:style>
  <w:style w:type="paragraph" w:styleId="a6">
    <w:name w:val="header"/>
    <w:basedOn w:val="a"/>
    <w:link w:val="a7"/>
    <w:uiPriority w:val="99"/>
    <w:unhideWhenUsed/>
    <w:rsid w:val="00F62482"/>
    <w:pPr>
      <w:tabs>
        <w:tab w:val="center" w:pos="4153"/>
        <w:tab w:val="right" w:pos="8306"/>
      </w:tabs>
      <w:snapToGrid w:val="0"/>
    </w:pPr>
    <w:rPr>
      <w:sz w:val="20"/>
      <w:szCs w:val="20"/>
    </w:rPr>
  </w:style>
  <w:style w:type="character" w:customStyle="1" w:styleId="a7">
    <w:name w:val="頁首 字元"/>
    <w:basedOn w:val="a0"/>
    <w:link w:val="a6"/>
    <w:uiPriority w:val="99"/>
    <w:rsid w:val="00F62482"/>
    <w:rPr>
      <w:sz w:val="20"/>
      <w:szCs w:val="20"/>
    </w:rPr>
  </w:style>
  <w:style w:type="paragraph" w:styleId="a8">
    <w:name w:val="footer"/>
    <w:basedOn w:val="a"/>
    <w:link w:val="a9"/>
    <w:uiPriority w:val="99"/>
    <w:unhideWhenUsed/>
    <w:rsid w:val="00F62482"/>
    <w:pPr>
      <w:tabs>
        <w:tab w:val="center" w:pos="4153"/>
        <w:tab w:val="right" w:pos="8306"/>
      </w:tabs>
      <w:snapToGrid w:val="0"/>
    </w:pPr>
    <w:rPr>
      <w:sz w:val="20"/>
      <w:szCs w:val="20"/>
    </w:rPr>
  </w:style>
  <w:style w:type="character" w:customStyle="1" w:styleId="a9">
    <w:name w:val="頁尾 字元"/>
    <w:basedOn w:val="a0"/>
    <w:link w:val="a8"/>
    <w:uiPriority w:val="99"/>
    <w:rsid w:val="00F62482"/>
    <w:rPr>
      <w:sz w:val="20"/>
      <w:szCs w:val="20"/>
    </w:rPr>
  </w:style>
  <w:style w:type="paragraph" w:styleId="HTML">
    <w:name w:val="HTML Preformatted"/>
    <w:basedOn w:val="a"/>
    <w:link w:val="HTML0"/>
    <w:rsid w:val="001D2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rsid w:val="001D26A7"/>
    <w:rPr>
      <w:rFonts w:ascii="Arial Unicode MS" w:eastAsia="Arial Unicode MS" w:hAnsi="Arial Unicode MS" w:cs="Arial Unicode MS"/>
      <w:color w:val="333333"/>
      <w:kern w:val="0"/>
      <w:sz w:val="20"/>
      <w:szCs w:val="20"/>
    </w:rPr>
  </w:style>
  <w:style w:type="paragraph" w:customStyle="1" w:styleId="aa">
    <w:name w:val="第一條(條)"/>
    <w:basedOn w:val="a"/>
    <w:rsid w:val="001D26A7"/>
    <w:pPr>
      <w:spacing w:line="480" w:lineRule="exact"/>
      <w:ind w:left="500" w:hangingChars="500" w:hanging="500"/>
      <w:jc w:val="both"/>
    </w:pPr>
    <w:rPr>
      <w:rFonts w:ascii="Times New Roman" w:eastAsia="華康楷書體W5" w:hAnsi="Times New Roman" w:cs="Times New Roman"/>
      <w:sz w:val="28"/>
      <w:szCs w:val="24"/>
    </w:rPr>
  </w:style>
  <w:style w:type="paragraph" w:customStyle="1" w:styleId="ab">
    <w:name w:val="第一條、一、(款)"/>
    <w:basedOn w:val="a"/>
    <w:rsid w:val="001D26A7"/>
    <w:pPr>
      <w:spacing w:line="480" w:lineRule="exact"/>
      <w:ind w:leftChars="700" w:left="900" w:hangingChars="200" w:hanging="200"/>
      <w:jc w:val="both"/>
    </w:pPr>
    <w:rPr>
      <w:rFonts w:ascii="Times New Roman" w:eastAsia="華康楷書體W5" w:hAnsi="Times New Roman" w:cs="Times New Roman"/>
      <w:sz w:val="28"/>
      <w:szCs w:val="24"/>
    </w:rPr>
  </w:style>
  <w:style w:type="paragraph" w:styleId="ac">
    <w:name w:val="Balloon Text"/>
    <w:basedOn w:val="a"/>
    <w:link w:val="ad"/>
    <w:uiPriority w:val="99"/>
    <w:semiHidden/>
    <w:unhideWhenUsed/>
    <w:rsid w:val="00223019"/>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3019"/>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55736B"/>
    <w:pPr>
      <w:spacing w:after="120"/>
    </w:pPr>
  </w:style>
  <w:style w:type="character" w:customStyle="1" w:styleId="af">
    <w:name w:val="本文 字元"/>
    <w:basedOn w:val="a0"/>
    <w:link w:val="ae"/>
    <w:uiPriority w:val="99"/>
    <w:semiHidden/>
    <w:rsid w:val="0055736B"/>
  </w:style>
  <w:style w:type="character" w:styleId="af0">
    <w:name w:val="page number"/>
    <w:basedOn w:val="a0"/>
    <w:semiHidden/>
    <w:rsid w:val="0055736B"/>
  </w:style>
  <w:style w:type="character" w:styleId="af1">
    <w:name w:val="annotation reference"/>
    <w:basedOn w:val="a0"/>
    <w:uiPriority w:val="99"/>
    <w:semiHidden/>
    <w:unhideWhenUsed/>
    <w:rsid w:val="00D76C19"/>
    <w:rPr>
      <w:sz w:val="18"/>
      <w:szCs w:val="18"/>
    </w:rPr>
  </w:style>
  <w:style w:type="paragraph" w:styleId="af2">
    <w:name w:val="annotation text"/>
    <w:basedOn w:val="a"/>
    <w:link w:val="af3"/>
    <w:uiPriority w:val="99"/>
    <w:semiHidden/>
    <w:unhideWhenUsed/>
    <w:rsid w:val="00D76C19"/>
  </w:style>
  <w:style w:type="character" w:customStyle="1" w:styleId="af3">
    <w:name w:val="註解文字 字元"/>
    <w:basedOn w:val="a0"/>
    <w:link w:val="af2"/>
    <w:uiPriority w:val="99"/>
    <w:semiHidden/>
    <w:rsid w:val="00D76C19"/>
  </w:style>
  <w:style w:type="paragraph" w:styleId="af4">
    <w:name w:val="annotation subject"/>
    <w:basedOn w:val="af2"/>
    <w:next w:val="af2"/>
    <w:link w:val="af5"/>
    <w:uiPriority w:val="99"/>
    <w:semiHidden/>
    <w:unhideWhenUsed/>
    <w:rsid w:val="00D76C19"/>
    <w:rPr>
      <w:b/>
      <w:bCs/>
    </w:rPr>
  </w:style>
  <w:style w:type="character" w:customStyle="1" w:styleId="af5">
    <w:name w:val="註解主旨 字元"/>
    <w:basedOn w:val="af3"/>
    <w:link w:val="af4"/>
    <w:uiPriority w:val="99"/>
    <w:semiHidden/>
    <w:rsid w:val="00D76C19"/>
    <w:rPr>
      <w:b/>
      <w:bCs/>
    </w:rPr>
  </w:style>
  <w:style w:type="paragraph" w:styleId="af6">
    <w:name w:val="Revision"/>
    <w:hidden/>
    <w:uiPriority w:val="99"/>
    <w:semiHidden/>
    <w:rsid w:val="00EE19C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AAC22-E704-4011-9F06-44B46A1E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鄧淑芬</cp:lastModifiedBy>
  <cp:revision>6</cp:revision>
  <cp:lastPrinted>2018-04-17T12:11:00Z</cp:lastPrinted>
  <dcterms:created xsi:type="dcterms:W3CDTF">2018-04-17T11:08:00Z</dcterms:created>
  <dcterms:modified xsi:type="dcterms:W3CDTF">2018-04-17T12:14:00Z</dcterms:modified>
</cp:coreProperties>
</file>