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AE" w:rsidRDefault="00FA72AE" w:rsidP="001A08B2">
      <w:pPr>
        <w:pStyle w:val="HTML"/>
        <w:spacing w:line="500" w:lineRule="exact"/>
        <w:ind w:left="320" w:hangingChars="100" w:hanging="320"/>
        <w:jc w:val="center"/>
        <w:rPr>
          <w:rFonts w:ascii="標楷體" w:eastAsia="標楷體" w:hAnsi="標楷體" w:cs="Times New Roman"/>
          <w:b/>
          <w:bCs/>
          <w:color w:val="000000"/>
          <w:kern w:val="2"/>
          <w:sz w:val="32"/>
          <w:szCs w:val="32"/>
        </w:rPr>
      </w:pPr>
      <w:r w:rsidRPr="00BF28F6">
        <w:rPr>
          <w:rFonts w:ascii="標楷體" w:eastAsia="標楷體" w:hAnsi="標楷體" w:cs="Times New Roman" w:hint="eastAsia"/>
          <w:b/>
          <w:bCs/>
          <w:color w:val="000000"/>
          <w:kern w:val="2"/>
          <w:sz w:val="32"/>
          <w:szCs w:val="32"/>
        </w:rPr>
        <w:t>財團法人中華民國證券櫃檯買賣中心</w:t>
      </w:r>
    </w:p>
    <w:p w:rsidR="001642D6" w:rsidRPr="00BF28F6" w:rsidRDefault="001A08B2" w:rsidP="001A08B2">
      <w:pPr>
        <w:pStyle w:val="HTML"/>
        <w:spacing w:afterLines="50" w:after="180" w:line="500" w:lineRule="exact"/>
        <w:ind w:left="320" w:hangingChars="100" w:hanging="320"/>
        <w:jc w:val="center"/>
        <w:rPr>
          <w:rFonts w:ascii="標楷體" w:eastAsia="標楷體" w:hAnsi="標楷體"/>
          <w:b/>
          <w:bCs/>
          <w:color w:val="000000"/>
          <w:sz w:val="32"/>
          <w:szCs w:val="32"/>
        </w:rPr>
      </w:pPr>
      <w:r w:rsidRPr="001A08B2">
        <w:rPr>
          <w:rFonts w:ascii="標楷體" w:eastAsia="標楷體" w:hAnsi="標楷體" w:cs="Times New Roman" w:hint="eastAsia"/>
          <w:b/>
          <w:bCs/>
          <w:color w:val="000000"/>
          <w:kern w:val="2"/>
          <w:sz w:val="32"/>
          <w:szCs w:val="32"/>
        </w:rPr>
        <w:t>認購（售）權證流動量提供者作業要點</w:t>
      </w:r>
      <w:r w:rsidR="00BA78DE">
        <w:rPr>
          <w:rFonts w:ascii="標楷體" w:eastAsia="標楷體" w:hAnsi="標楷體" w:cs="Times New Roman" w:hint="eastAsia"/>
          <w:b/>
          <w:bCs/>
          <w:color w:val="000000"/>
          <w:kern w:val="2"/>
          <w:sz w:val="32"/>
          <w:szCs w:val="32"/>
        </w:rPr>
        <w:t>第</w:t>
      </w:r>
      <w:r>
        <w:rPr>
          <w:rFonts w:ascii="標楷體" w:eastAsia="標楷體" w:hAnsi="標楷體" w:cs="Times New Roman" w:hint="eastAsia"/>
          <w:b/>
          <w:bCs/>
          <w:color w:val="000000"/>
          <w:kern w:val="2"/>
          <w:sz w:val="32"/>
          <w:szCs w:val="32"/>
        </w:rPr>
        <w:t>七點</w:t>
      </w:r>
      <w:r w:rsidR="00FA72AE" w:rsidRPr="00CF7ACA">
        <w:rPr>
          <w:rFonts w:ascii="標楷體" w:eastAsia="標楷體" w:hAnsi="標楷體" w:hint="eastAsia"/>
          <w:b/>
          <w:bCs/>
          <w:color w:val="000000"/>
          <w:sz w:val="32"/>
          <w:szCs w:val="32"/>
        </w:rPr>
        <w:t>修正條文對照表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5"/>
        <w:gridCol w:w="3317"/>
        <w:gridCol w:w="3332"/>
      </w:tblGrid>
      <w:tr w:rsidR="00EB459D" w:rsidRPr="00853B22" w:rsidTr="000E3E68">
        <w:trPr>
          <w:trHeight w:val="454"/>
          <w:tblHeader/>
          <w:jc w:val="center"/>
        </w:trPr>
        <w:tc>
          <w:tcPr>
            <w:tcW w:w="3325" w:type="dxa"/>
            <w:vAlign w:val="center"/>
          </w:tcPr>
          <w:p w:rsidR="00EB459D" w:rsidRPr="00853B22" w:rsidRDefault="00EB459D" w:rsidP="000E3E68">
            <w:pPr>
              <w:jc w:val="center"/>
              <w:rPr>
                <w:rFonts w:ascii="標楷體" w:eastAsia="標楷體" w:hAnsi="標楷體"/>
                <w:bCs/>
                <w:color w:val="000000"/>
                <w:szCs w:val="24"/>
              </w:rPr>
            </w:pPr>
            <w:r w:rsidRPr="00853B22">
              <w:rPr>
                <w:rFonts w:ascii="標楷體" w:eastAsia="標楷體" w:hAnsi="標楷體" w:hint="eastAsia"/>
                <w:bCs/>
                <w:color w:val="000000"/>
                <w:szCs w:val="24"/>
              </w:rPr>
              <w:t>修　　正　　條　　文</w:t>
            </w:r>
          </w:p>
        </w:tc>
        <w:tc>
          <w:tcPr>
            <w:tcW w:w="3317" w:type="dxa"/>
            <w:vAlign w:val="center"/>
          </w:tcPr>
          <w:p w:rsidR="00EB459D" w:rsidRPr="00853B22" w:rsidRDefault="00EB459D" w:rsidP="000E3E68">
            <w:pPr>
              <w:jc w:val="center"/>
              <w:rPr>
                <w:rFonts w:ascii="標楷體" w:eastAsia="標楷體" w:hAnsi="標楷體"/>
                <w:bCs/>
                <w:color w:val="000000"/>
                <w:szCs w:val="24"/>
              </w:rPr>
            </w:pPr>
            <w:r w:rsidRPr="00853B22">
              <w:rPr>
                <w:rFonts w:ascii="標楷體" w:eastAsia="標楷體" w:hAnsi="標楷體" w:hint="eastAsia"/>
                <w:bCs/>
                <w:color w:val="000000"/>
                <w:szCs w:val="24"/>
              </w:rPr>
              <w:t>現　　行　　條　　文</w:t>
            </w:r>
          </w:p>
        </w:tc>
        <w:tc>
          <w:tcPr>
            <w:tcW w:w="3332" w:type="dxa"/>
            <w:vAlign w:val="center"/>
          </w:tcPr>
          <w:p w:rsidR="00EB459D" w:rsidRPr="00853B22" w:rsidRDefault="00EB459D" w:rsidP="000E3E68">
            <w:pPr>
              <w:jc w:val="center"/>
              <w:rPr>
                <w:rFonts w:ascii="標楷體" w:eastAsia="標楷體" w:hAnsi="標楷體"/>
                <w:bCs/>
                <w:color w:val="000000"/>
                <w:szCs w:val="24"/>
              </w:rPr>
            </w:pPr>
            <w:r w:rsidRPr="00853B22">
              <w:rPr>
                <w:rFonts w:ascii="標楷體" w:eastAsia="標楷體" w:hAnsi="標楷體" w:hint="eastAsia"/>
                <w:bCs/>
                <w:color w:val="000000"/>
                <w:szCs w:val="24"/>
              </w:rPr>
              <w:t>說　　　　　　明</w:t>
            </w:r>
          </w:p>
        </w:tc>
      </w:tr>
      <w:tr w:rsidR="001A08B2" w:rsidRPr="00853B22" w:rsidTr="005833D3">
        <w:trPr>
          <w:jc w:val="center"/>
        </w:trPr>
        <w:tc>
          <w:tcPr>
            <w:tcW w:w="3325" w:type="dxa"/>
          </w:tcPr>
          <w:p w:rsidR="001A08B2" w:rsidRPr="001A08B2" w:rsidRDefault="001A08B2" w:rsidP="001A08B2">
            <w:pPr>
              <w:pStyle w:val="HTML"/>
              <w:spacing w:line="360" w:lineRule="exact"/>
              <w:ind w:left="386" w:hangingChars="161" w:hanging="386"/>
              <w:jc w:val="both"/>
              <w:textAlignment w:val="center"/>
              <w:rPr>
                <w:rFonts w:ascii="標楷體" w:eastAsia="標楷體" w:hAnsi="標楷體"/>
                <w:sz w:val="24"/>
                <w:szCs w:val="24"/>
              </w:rPr>
            </w:pPr>
            <w:r w:rsidRPr="001A08B2">
              <w:rPr>
                <w:rFonts w:ascii="標楷體" w:eastAsia="標楷體" w:hAnsi="標楷體" w:hint="eastAsia"/>
                <w:sz w:val="24"/>
                <w:szCs w:val="24"/>
              </w:rPr>
              <w:t>七、流動量提供者於下列時機得不提供報價：</w:t>
            </w:r>
          </w:p>
          <w:p w:rsidR="001A08B2" w:rsidRPr="001A08B2" w:rsidRDefault="001A08B2" w:rsidP="001A08B2">
            <w:pPr>
              <w:pStyle w:val="HTML"/>
              <w:spacing w:line="360" w:lineRule="exact"/>
              <w:ind w:leftChars="86" w:left="876" w:hangingChars="279" w:hanging="670"/>
              <w:jc w:val="both"/>
              <w:textAlignment w:val="center"/>
              <w:rPr>
                <w:rFonts w:ascii="標楷體" w:eastAsia="標楷體" w:hAnsi="標楷體"/>
                <w:sz w:val="24"/>
                <w:szCs w:val="24"/>
              </w:rPr>
            </w:pPr>
            <w:r w:rsidRPr="001A08B2">
              <w:rPr>
                <w:rFonts w:ascii="標楷體" w:eastAsia="標楷體" w:hAnsi="標楷體" w:hint="eastAsia"/>
                <w:sz w:val="24"/>
                <w:szCs w:val="24"/>
              </w:rPr>
              <w:t>（一）櫃檯買賣交易市場開盤後五分鐘內。</w:t>
            </w:r>
          </w:p>
          <w:p w:rsidR="001A08B2" w:rsidRPr="001A08B2" w:rsidRDefault="001A08B2" w:rsidP="001A08B2">
            <w:pPr>
              <w:pStyle w:val="HTML"/>
              <w:spacing w:line="360" w:lineRule="exact"/>
              <w:ind w:leftChars="86" w:left="876" w:hangingChars="279" w:hanging="670"/>
              <w:jc w:val="both"/>
              <w:textAlignment w:val="center"/>
              <w:rPr>
                <w:rFonts w:ascii="標楷體" w:eastAsia="標楷體" w:hAnsi="標楷體"/>
                <w:sz w:val="24"/>
                <w:szCs w:val="24"/>
              </w:rPr>
            </w:pPr>
            <w:r w:rsidRPr="001A08B2">
              <w:rPr>
                <w:rFonts w:ascii="標楷體" w:eastAsia="標楷體" w:hAnsi="標楷體" w:hint="eastAsia"/>
                <w:sz w:val="24"/>
                <w:szCs w:val="24"/>
              </w:rPr>
              <w:t>（二）權證之連結標的暫停交易。</w:t>
            </w:r>
          </w:p>
          <w:p w:rsidR="001A08B2" w:rsidRDefault="001A08B2" w:rsidP="001A08B2">
            <w:pPr>
              <w:pStyle w:val="HTML"/>
              <w:spacing w:line="360" w:lineRule="exact"/>
              <w:ind w:leftChars="86" w:left="876" w:hangingChars="279" w:hanging="670"/>
              <w:jc w:val="both"/>
              <w:textAlignment w:val="center"/>
              <w:rPr>
                <w:rFonts w:ascii="標楷體" w:eastAsia="標楷體" w:hAnsi="標楷體"/>
                <w:sz w:val="24"/>
                <w:szCs w:val="24"/>
              </w:rPr>
            </w:pPr>
            <w:r w:rsidRPr="001A08B2">
              <w:rPr>
                <w:rFonts w:ascii="標楷體" w:eastAsia="標楷體" w:hAnsi="標楷體" w:hint="eastAsia"/>
                <w:sz w:val="24"/>
                <w:szCs w:val="24"/>
              </w:rPr>
              <w:t>（三）當流動量提供者專戶內之權證數量無法滿足每筆報價最低賣出單位時，流動量提供者得僅申報買進。</w:t>
            </w:r>
          </w:p>
          <w:p w:rsidR="00A50449" w:rsidRPr="00A50449" w:rsidRDefault="00A50449" w:rsidP="001A08B2">
            <w:pPr>
              <w:pStyle w:val="HTML"/>
              <w:spacing w:line="360" w:lineRule="exact"/>
              <w:ind w:leftChars="86" w:left="876" w:hangingChars="279" w:hanging="670"/>
              <w:jc w:val="both"/>
              <w:textAlignment w:val="center"/>
              <w:rPr>
                <w:rFonts w:ascii="標楷體" w:eastAsia="標楷體" w:hAnsi="標楷體"/>
                <w:sz w:val="24"/>
                <w:szCs w:val="24"/>
                <w:u w:val="single"/>
              </w:rPr>
            </w:pPr>
            <w:r w:rsidRPr="00A50449">
              <w:rPr>
                <w:rFonts w:ascii="標楷體" w:eastAsia="標楷體" w:hAnsi="標楷體" w:hint="eastAsia"/>
                <w:sz w:val="24"/>
                <w:szCs w:val="24"/>
                <w:u w:val="single"/>
              </w:rPr>
              <w:t>（四）</w:t>
            </w:r>
            <w:r w:rsidR="00A01214">
              <w:rPr>
                <w:rFonts w:ascii="標楷體" w:eastAsia="標楷體" w:hAnsi="標楷體" w:hint="eastAsia"/>
                <w:sz w:val="24"/>
                <w:szCs w:val="24"/>
                <w:u w:val="single"/>
              </w:rPr>
              <w:t>權</w:t>
            </w:r>
            <w:r w:rsidRPr="00A50449">
              <w:rPr>
                <w:rFonts w:ascii="標楷體" w:eastAsia="標楷體" w:hAnsi="標楷體" w:hint="eastAsia"/>
                <w:sz w:val="24"/>
                <w:szCs w:val="24"/>
                <w:u w:val="single"/>
              </w:rPr>
              <w:t>證距到期日十五個交易日以內，流動量提供者得僅申報買進。</w:t>
            </w:r>
          </w:p>
          <w:p w:rsidR="001A08B2" w:rsidRPr="000E3E68" w:rsidRDefault="001A08B2" w:rsidP="00A50449">
            <w:pPr>
              <w:pStyle w:val="HTML"/>
              <w:spacing w:line="360" w:lineRule="exact"/>
              <w:ind w:leftChars="86" w:left="876" w:hangingChars="279" w:hanging="670"/>
              <w:textAlignment w:val="center"/>
              <w:rPr>
                <w:rFonts w:ascii="標楷體" w:eastAsia="標楷體" w:hAnsi="標楷體"/>
                <w:color w:val="auto"/>
                <w:sz w:val="24"/>
              </w:rPr>
            </w:pPr>
            <w:r w:rsidRPr="00A50449">
              <w:rPr>
                <w:rFonts w:ascii="標楷體" w:eastAsia="標楷體" w:hAnsi="標楷體" w:hint="eastAsia"/>
                <w:sz w:val="24"/>
                <w:szCs w:val="24"/>
                <w:u w:val="single"/>
              </w:rPr>
              <w:t>（</w:t>
            </w:r>
            <w:r w:rsidR="00A50449" w:rsidRPr="00A50449">
              <w:rPr>
                <w:rFonts w:ascii="標楷體" w:eastAsia="標楷體" w:hAnsi="標楷體" w:hint="eastAsia"/>
                <w:sz w:val="24"/>
                <w:szCs w:val="24"/>
                <w:u w:val="single"/>
              </w:rPr>
              <w:t>五</w:t>
            </w:r>
            <w:r w:rsidRPr="00A50449">
              <w:rPr>
                <w:rFonts w:ascii="標楷體" w:eastAsia="標楷體" w:hAnsi="標楷體" w:hint="eastAsia"/>
                <w:sz w:val="24"/>
                <w:szCs w:val="24"/>
                <w:u w:val="single"/>
              </w:rPr>
              <w:t>）</w:t>
            </w:r>
            <w:r w:rsidRPr="001A08B2">
              <w:rPr>
                <w:rFonts w:ascii="標楷體" w:eastAsia="標楷體" w:hAnsi="標楷體" w:hint="eastAsia"/>
                <w:sz w:val="24"/>
                <w:szCs w:val="24"/>
              </w:rPr>
              <w:t>發行人自行訂定之其他時機。</w:t>
            </w:r>
          </w:p>
        </w:tc>
        <w:tc>
          <w:tcPr>
            <w:tcW w:w="3317" w:type="dxa"/>
          </w:tcPr>
          <w:p w:rsidR="001A08B2" w:rsidRPr="001A08B2" w:rsidRDefault="001A08B2" w:rsidP="001A08B2">
            <w:pPr>
              <w:pStyle w:val="HTML"/>
              <w:spacing w:line="360" w:lineRule="exact"/>
              <w:ind w:left="386" w:hangingChars="161" w:hanging="386"/>
              <w:jc w:val="both"/>
              <w:textAlignment w:val="center"/>
              <w:rPr>
                <w:rFonts w:ascii="標楷體" w:eastAsia="標楷體" w:hAnsi="標楷體"/>
                <w:sz w:val="24"/>
                <w:szCs w:val="24"/>
              </w:rPr>
            </w:pPr>
            <w:r w:rsidRPr="001A08B2">
              <w:rPr>
                <w:rFonts w:ascii="標楷體" w:eastAsia="標楷體" w:hAnsi="標楷體" w:hint="eastAsia"/>
                <w:sz w:val="24"/>
                <w:szCs w:val="24"/>
              </w:rPr>
              <w:t>七、流動量提供者於下列時機得不提供報價：</w:t>
            </w:r>
          </w:p>
          <w:p w:rsidR="001A08B2" w:rsidRPr="001A08B2" w:rsidRDefault="001A08B2" w:rsidP="001A08B2">
            <w:pPr>
              <w:pStyle w:val="HTML"/>
              <w:spacing w:line="360" w:lineRule="exact"/>
              <w:ind w:leftChars="86" w:left="876" w:hangingChars="279" w:hanging="670"/>
              <w:jc w:val="both"/>
              <w:textAlignment w:val="center"/>
              <w:rPr>
                <w:rFonts w:ascii="標楷體" w:eastAsia="標楷體" w:hAnsi="標楷體"/>
                <w:sz w:val="24"/>
                <w:szCs w:val="24"/>
              </w:rPr>
            </w:pPr>
            <w:r w:rsidRPr="001A08B2">
              <w:rPr>
                <w:rFonts w:ascii="標楷體" w:eastAsia="標楷體" w:hAnsi="標楷體" w:hint="eastAsia"/>
                <w:sz w:val="24"/>
                <w:szCs w:val="24"/>
              </w:rPr>
              <w:t>（一）櫃檯買賣交易市場開盤後五分鐘內。</w:t>
            </w:r>
          </w:p>
          <w:p w:rsidR="001A08B2" w:rsidRPr="001A08B2" w:rsidRDefault="001A08B2" w:rsidP="001A08B2">
            <w:pPr>
              <w:pStyle w:val="HTML"/>
              <w:spacing w:line="360" w:lineRule="exact"/>
              <w:ind w:leftChars="86" w:left="876" w:hangingChars="279" w:hanging="670"/>
              <w:jc w:val="both"/>
              <w:textAlignment w:val="center"/>
              <w:rPr>
                <w:rFonts w:ascii="標楷體" w:eastAsia="標楷體" w:hAnsi="標楷體"/>
                <w:sz w:val="24"/>
                <w:szCs w:val="24"/>
              </w:rPr>
            </w:pPr>
            <w:r w:rsidRPr="001A08B2">
              <w:rPr>
                <w:rFonts w:ascii="標楷體" w:eastAsia="標楷體" w:hAnsi="標楷體" w:hint="eastAsia"/>
                <w:sz w:val="24"/>
                <w:szCs w:val="24"/>
              </w:rPr>
              <w:t>（二）權證之連結標的暫停交易。</w:t>
            </w:r>
          </w:p>
          <w:p w:rsidR="001A08B2" w:rsidRPr="001A08B2" w:rsidRDefault="001A08B2" w:rsidP="001A08B2">
            <w:pPr>
              <w:pStyle w:val="HTML"/>
              <w:spacing w:line="360" w:lineRule="exact"/>
              <w:ind w:leftChars="86" w:left="876" w:hangingChars="279" w:hanging="670"/>
              <w:jc w:val="both"/>
              <w:textAlignment w:val="center"/>
              <w:rPr>
                <w:rFonts w:ascii="標楷體" w:eastAsia="標楷體" w:hAnsi="標楷體"/>
                <w:sz w:val="24"/>
                <w:szCs w:val="24"/>
              </w:rPr>
            </w:pPr>
            <w:r w:rsidRPr="001A08B2">
              <w:rPr>
                <w:rFonts w:ascii="標楷體" w:eastAsia="標楷體" w:hAnsi="標楷體" w:hint="eastAsia"/>
                <w:sz w:val="24"/>
                <w:szCs w:val="24"/>
              </w:rPr>
              <w:t>（三）當流動量提供者專戶內之權證數量無法滿足每筆報價最低賣出單位時，流動量提供者得僅申報買進。</w:t>
            </w:r>
          </w:p>
          <w:p w:rsidR="00A50449" w:rsidRDefault="00A50449" w:rsidP="001A08B2">
            <w:pPr>
              <w:pStyle w:val="HTML"/>
              <w:spacing w:line="360" w:lineRule="exact"/>
              <w:ind w:leftChars="86" w:left="876" w:hangingChars="279" w:hanging="670"/>
              <w:textAlignment w:val="center"/>
              <w:rPr>
                <w:rFonts w:ascii="標楷體" w:eastAsia="標楷體" w:hAnsi="標楷體"/>
                <w:sz w:val="24"/>
                <w:szCs w:val="24"/>
              </w:rPr>
            </w:pPr>
          </w:p>
          <w:p w:rsidR="00A50449" w:rsidRDefault="00A50449" w:rsidP="001A08B2">
            <w:pPr>
              <w:pStyle w:val="HTML"/>
              <w:spacing w:line="360" w:lineRule="exact"/>
              <w:ind w:leftChars="86" w:left="876" w:hangingChars="279" w:hanging="670"/>
              <w:textAlignment w:val="center"/>
              <w:rPr>
                <w:rFonts w:ascii="標楷體" w:eastAsia="標楷體" w:hAnsi="標楷體"/>
                <w:sz w:val="24"/>
                <w:szCs w:val="24"/>
              </w:rPr>
            </w:pPr>
          </w:p>
          <w:p w:rsidR="00A50449" w:rsidRDefault="00A50449" w:rsidP="001A08B2">
            <w:pPr>
              <w:pStyle w:val="HTML"/>
              <w:spacing w:line="360" w:lineRule="exact"/>
              <w:ind w:leftChars="86" w:left="876" w:hangingChars="279" w:hanging="670"/>
              <w:textAlignment w:val="center"/>
              <w:rPr>
                <w:rFonts w:ascii="標楷體" w:eastAsia="標楷體" w:hAnsi="標楷體"/>
                <w:sz w:val="24"/>
                <w:szCs w:val="24"/>
              </w:rPr>
            </w:pPr>
          </w:p>
          <w:p w:rsidR="001A08B2" w:rsidRPr="000E3E68" w:rsidRDefault="001A08B2" w:rsidP="00A50449">
            <w:pPr>
              <w:pStyle w:val="HTML"/>
              <w:spacing w:line="360" w:lineRule="exact"/>
              <w:ind w:leftChars="86" w:left="876" w:hangingChars="279" w:hanging="670"/>
              <w:textAlignment w:val="center"/>
              <w:rPr>
                <w:rFonts w:ascii="標楷體" w:eastAsia="標楷體" w:hAnsi="標楷體"/>
                <w:color w:val="auto"/>
                <w:sz w:val="24"/>
              </w:rPr>
            </w:pPr>
            <w:r w:rsidRPr="00A50449">
              <w:rPr>
                <w:rFonts w:ascii="標楷體" w:eastAsia="標楷體" w:hAnsi="標楷體" w:hint="eastAsia"/>
                <w:sz w:val="24"/>
                <w:szCs w:val="24"/>
                <w:u w:val="single"/>
              </w:rPr>
              <w:t>（四）</w:t>
            </w:r>
            <w:r w:rsidRPr="001A08B2">
              <w:rPr>
                <w:rFonts w:ascii="標楷體" w:eastAsia="標楷體" w:hAnsi="標楷體" w:hint="eastAsia"/>
                <w:sz w:val="24"/>
                <w:szCs w:val="24"/>
              </w:rPr>
              <w:t>發行人自行訂定之其他時機。</w:t>
            </w:r>
          </w:p>
        </w:tc>
        <w:tc>
          <w:tcPr>
            <w:tcW w:w="3332" w:type="dxa"/>
          </w:tcPr>
          <w:p w:rsidR="001A08B2" w:rsidRPr="00175A16" w:rsidRDefault="00A50449" w:rsidP="001A08B2">
            <w:pPr>
              <w:spacing w:line="360" w:lineRule="exact"/>
              <w:ind w:firstLineChars="216" w:firstLine="518"/>
              <w:jc w:val="both"/>
              <w:textAlignment w:val="center"/>
              <w:rPr>
                <w:rFonts w:ascii="標楷體" w:eastAsia="標楷體" w:hAnsi="標楷體"/>
                <w:bCs/>
                <w:color w:val="000000"/>
                <w:szCs w:val="24"/>
              </w:rPr>
            </w:pPr>
            <w:r w:rsidRPr="00A50449">
              <w:rPr>
                <w:rFonts w:ascii="標楷體" w:eastAsia="標楷體" w:hAnsi="標楷體" w:hint="eastAsia"/>
                <w:color w:val="000000"/>
                <w:szCs w:val="24"/>
              </w:rPr>
              <w:t>為使權證流動量提供者將報價資源集中於符合市場需求之權證商品，爰增訂第四款得不報價時機相關規定，至原第四款依序調整為第五款。</w:t>
            </w:r>
          </w:p>
        </w:tc>
      </w:tr>
    </w:tbl>
    <w:p w:rsidR="00A50449" w:rsidRDefault="00A50449" w:rsidP="00A20AB3">
      <w:pPr>
        <w:rPr>
          <w:rFonts w:ascii="標楷體" w:eastAsia="標楷體" w:hAnsi="標楷體"/>
          <w:bCs/>
          <w:color w:val="000000"/>
          <w:sz w:val="28"/>
        </w:rPr>
      </w:pPr>
    </w:p>
    <w:p w:rsidR="00A50449" w:rsidRDefault="00A50449">
      <w:pPr>
        <w:widowControl/>
        <w:rPr>
          <w:rFonts w:ascii="標楷體" w:eastAsia="標楷體" w:hAnsi="標楷體"/>
          <w:bCs/>
          <w:color w:val="000000"/>
          <w:sz w:val="28"/>
        </w:rPr>
      </w:pPr>
      <w:r>
        <w:rPr>
          <w:rFonts w:ascii="標楷體" w:eastAsia="標楷體" w:hAnsi="標楷體"/>
          <w:bCs/>
          <w:color w:val="000000"/>
          <w:sz w:val="28"/>
        </w:rPr>
        <w:br w:type="page"/>
      </w:r>
    </w:p>
    <w:p w:rsidR="00A50449" w:rsidRDefault="00A50449" w:rsidP="00A50449">
      <w:pPr>
        <w:pStyle w:val="HTML"/>
        <w:spacing w:line="500" w:lineRule="exact"/>
        <w:ind w:left="320" w:hangingChars="100" w:hanging="320"/>
        <w:jc w:val="center"/>
        <w:rPr>
          <w:rFonts w:ascii="標楷體" w:eastAsia="標楷體" w:hAnsi="標楷體" w:cs="Times New Roman"/>
          <w:b/>
          <w:bCs/>
          <w:color w:val="000000"/>
          <w:kern w:val="2"/>
          <w:sz w:val="32"/>
          <w:szCs w:val="32"/>
        </w:rPr>
      </w:pPr>
      <w:r w:rsidRPr="00BF28F6">
        <w:rPr>
          <w:rFonts w:ascii="標楷體" w:eastAsia="標楷體" w:hAnsi="標楷體" w:cs="Times New Roman" w:hint="eastAsia"/>
          <w:b/>
          <w:bCs/>
          <w:color w:val="000000"/>
          <w:kern w:val="2"/>
          <w:sz w:val="32"/>
          <w:szCs w:val="32"/>
        </w:rPr>
        <w:lastRenderedPageBreak/>
        <w:t>財團法人中華民國證券櫃檯買賣中心</w:t>
      </w:r>
    </w:p>
    <w:p w:rsidR="00A50449" w:rsidRPr="00BF28F6" w:rsidRDefault="00A50449" w:rsidP="00A50449">
      <w:pPr>
        <w:pStyle w:val="HTML"/>
        <w:spacing w:afterLines="50" w:after="180" w:line="500" w:lineRule="exact"/>
        <w:ind w:left="320" w:hangingChars="100" w:hanging="320"/>
        <w:jc w:val="center"/>
        <w:rPr>
          <w:rFonts w:ascii="標楷體" w:eastAsia="標楷體" w:hAnsi="標楷體"/>
          <w:b/>
          <w:bCs/>
          <w:color w:val="000000"/>
          <w:sz w:val="32"/>
          <w:szCs w:val="32"/>
        </w:rPr>
      </w:pPr>
      <w:r w:rsidRPr="00A50449">
        <w:rPr>
          <w:rFonts w:ascii="標楷體" w:eastAsia="標楷體" w:hAnsi="標楷體" w:cs="Times New Roman" w:hint="eastAsia"/>
          <w:b/>
          <w:bCs/>
          <w:color w:val="000000"/>
          <w:kern w:val="2"/>
          <w:sz w:val="32"/>
          <w:szCs w:val="32"/>
        </w:rPr>
        <w:t>審查認購（售）權證作業程序</w:t>
      </w:r>
      <w:r>
        <w:rPr>
          <w:rFonts w:ascii="標楷體" w:eastAsia="標楷體" w:hAnsi="標楷體" w:cs="Times New Roman" w:hint="eastAsia"/>
          <w:b/>
          <w:bCs/>
          <w:color w:val="000000"/>
          <w:kern w:val="2"/>
          <w:sz w:val="32"/>
          <w:szCs w:val="32"/>
        </w:rPr>
        <w:t>第八點</w:t>
      </w:r>
      <w:r w:rsidRPr="00CF7ACA">
        <w:rPr>
          <w:rFonts w:ascii="標楷體" w:eastAsia="標楷體" w:hAnsi="標楷體" w:hint="eastAsia"/>
          <w:b/>
          <w:bCs/>
          <w:color w:val="000000"/>
          <w:sz w:val="32"/>
          <w:szCs w:val="32"/>
        </w:rPr>
        <w:t>修正條文對照表</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5"/>
        <w:gridCol w:w="3317"/>
        <w:gridCol w:w="3332"/>
      </w:tblGrid>
      <w:tr w:rsidR="00A50449" w:rsidRPr="00853B22" w:rsidTr="002B16BF">
        <w:trPr>
          <w:trHeight w:val="454"/>
          <w:tblHeader/>
          <w:jc w:val="center"/>
        </w:trPr>
        <w:tc>
          <w:tcPr>
            <w:tcW w:w="3325" w:type="dxa"/>
            <w:vAlign w:val="center"/>
          </w:tcPr>
          <w:p w:rsidR="00A50449" w:rsidRPr="00853B22" w:rsidRDefault="00A50449" w:rsidP="002B16BF">
            <w:pPr>
              <w:jc w:val="center"/>
              <w:rPr>
                <w:rFonts w:ascii="標楷體" w:eastAsia="標楷體" w:hAnsi="標楷體"/>
                <w:bCs/>
                <w:color w:val="000000"/>
                <w:szCs w:val="24"/>
              </w:rPr>
            </w:pPr>
            <w:r w:rsidRPr="00853B22">
              <w:rPr>
                <w:rFonts w:ascii="標楷體" w:eastAsia="標楷體" w:hAnsi="標楷體" w:hint="eastAsia"/>
                <w:bCs/>
                <w:color w:val="000000"/>
                <w:szCs w:val="24"/>
              </w:rPr>
              <w:t>修　　正　　條　　文</w:t>
            </w:r>
          </w:p>
        </w:tc>
        <w:tc>
          <w:tcPr>
            <w:tcW w:w="3317" w:type="dxa"/>
            <w:vAlign w:val="center"/>
          </w:tcPr>
          <w:p w:rsidR="00A50449" w:rsidRPr="00853B22" w:rsidRDefault="00A50449" w:rsidP="002B16BF">
            <w:pPr>
              <w:jc w:val="center"/>
              <w:rPr>
                <w:rFonts w:ascii="標楷體" w:eastAsia="標楷體" w:hAnsi="標楷體"/>
                <w:bCs/>
                <w:color w:val="000000"/>
                <w:szCs w:val="24"/>
              </w:rPr>
            </w:pPr>
            <w:r w:rsidRPr="00853B22">
              <w:rPr>
                <w:rFonts w:ascii="標楷體" w:eastAsia="標楷體" w:hAnsi="標楷體" w:hint="eastAsia"/>
                <w:bCs/>
                <w:color w:val="000000"/>
                <w:szCs w:val="24"/>
              </w:rPr>
              <w:t>現　　行　　條　　文</w:t>
            </w:r>
          </w:p>
        </w:tc>
        <w:tc>
          <w:tcPr>
            <w:tcW w:w="3332" w:type="dxa"/>
            <w:vAlign w:val="center"/>
          </w:tcPr>
          <w:p w:rsidR="00A50449" w:rsidRPr="00853B22" w:rsidRDefault="00A50449" w:rsidP="002B16BF">
            <w:pPr>
              <w:jc w:val="center"/>
              <w:rPr>
                <w:rFonts w:ascii="標楷體" w:eastAsia="標楷體" w:hAnsi="標楷體"/>
                <w:bCs/>
                <w:color w:val="000000"/>
                <w:szCs w:val="24"/>
              </w:rPr>
            </w:pPr>
            <w:r w:rsidRPr="00853B22">
              <w:rPr>
                <w:rFonts w:ascii="標楷體" w:eastAsia="標楷體" w:hAnsi="標楷體" w:hint="eastAsia"/>
                <w:bCs/>
                <w:color w:val="000000"/>
                <w:szCs w:val="24"/>
              </w:rPr>
              <w:t>說　　　　　　明</w:t>
            </w:r>
          </w:p>
        </w:tc>
      </w:tr>
      <w:tr w:rsidR="00A50449" w:rsidRPr="00853B22" w:rsidTr="002B16BF">
        <w:trPr>
          <w:jc w:val="center"/>
        </w:trPr>
        <w:tc>
          <w:tcPr>
            <w:tcW w:w="3325" w:type="dxa"/>
          </w:tcPr>
          <w:p w:rsidR="00A50449" w:rsidRDefault="00A50449" w:rsidP="00A50449">
            <w:pPr>
              <w:pStyle w:val="HTML"/>
              <w:spacing w:line="360" w:lineRule="exact"/>
              <w:ind w:left="386" w:hangingChars="161" w:hanging="386"/>
              <w:jc w:val="both"/>
              <w:textAlignment w:val="center"/>
              <w:rPr>
                <w:rFonts w:ascii="標楷體" w:eastAsia="標楷體" w:hAnsi="標楷體"/>
                <w:sz w:val="24"/>
                <w:szCs w:val="24"/>
              </w:rPr>
            </w:pPr>
            <w:r w:rsidRPr="00A50449">
              <w:rPr>
                <w:rFonts w:ascii="標楷體" w:eastAsia="標楷體" w:hAnsi="標楷體" w:hint="eastAsia"/>
                <w:sz w:val="24"/>
                <w:szCs w:val="24"/>
              </w:rPr>
              <w:t>八、證券商發行認購（售）權證上櫃者，應依下列規定辦理並檢送相關資料予本中心：</w:t>
            </w:r>
          </w:p>
          <w:p w:rsidR="00A50449" w:rsidRDefault="00A50449" w:rsidP="00A50449">
            <w:pPr>
              <w:pStyle w:val="HTML"/>
              <w:spacing w:beforeLines="50" w:before="180" w:afterLines="50" w:after="180" w:line="360" w:lineRule="exact"/>
              <w:ind w:left="386" w:hangingChars="161" w:hanging="386"/>
              <w:jc w:val="center"/>
              <w:textAlignment w:val="center"/>
              <w:rPr>
                <w:rFonts w:ascii="標楷體" w:eastAsia="標楷體" w:hAnsi="標楷體"/>
                <w:sz w:val="24"/>
                <w:szCs w:val="24"/>
              </w:rPr>
            </w:pPr>
            <w:r w:rsidRPr="001A08B2">
              <w:rPr>
                <w:rFonts w:ascii="標楷體" w:eastAsia="標楷體" w:hAnsi="標楷體" w:hint="eastAsia"/>
                <w:sz w:val="24"/>
                <w:szCs w:val="24"/>
              </w:rPr>
              <w:t>（</w:t>
            </w:r>
            <w:r>
              <w:rPr>
                <w:rFonts w:ascii="標楷體" w:eastAsia="標楷體" w:hAnsi="標楷體" w:hint="eastAsia"/>
                <w:sz w:val="24"/>
                <w:szCs w:val="24"/>
              </w:rPr>
              <w:t>第一款及第二款略</w:t>
            </w:r>
            <w:r w:rsidRPr="001A08B2">
              <w:rPr>
                <w:rFonts w:ascii="標楷體" w:eastAsia="標楷體" w:hAnsi="標楷體" w:hint="eastAsia"/>
                <w:sz w:val="24"/>
                <w:szCs w:val="24"/>
              </w:rPr>
              <w:t>）</w:t>
            </w:r>
          </w:p>
          <w:p w:rsidR="00A50449" w:rsidRPr="00A50449" w:rsidRDefault="00A50449" w:rsidP="00A50449">
            <w:pPr>
              <w:pStyle w:val="HTML"/>
              <w:spacing w:line="360" w:lineRule="exact"/>
              <w:ind w:leftChars="86" w:left="876" w:hangingChars="279" w:hanging="670"/>
              <w:jc w:val="both"/>
              <w:textAlignment w:val="center"/>
              <w:rPr>
                <w:rFonts w:ascii="標楷體" w:eastAsia="標楷體" w:hAnsi="標楷體"/>
                <w:sz w:val="24"/>
                <w:szCs w:val="24"/>
              </w:rPr>
            </w:pPr>
            <w:r w:rsidRPr="00A50449">
              <w:rPr>
                <w:rFonts w:ascii="標楷體" w:eastAsia="標楷體" w:hAnsi="標楷體" w:hint="eastAsia"/>
                <w:sz w:val="24"/>
                <w:szCs w:val="24"/>
              </w:rPr>
              <w:t>（三）發行人就其所發行可展延下限型認購權證（牛證）及上限型認售權證（熊證），應辦理下列事項：</w:t>
            </w:r>
          </w:p>
          <w:p w:rsidR="00A50449" w:rsidRDefault="00A50449" w:rsidP="00A50449">
            <w:pPr>
              <w:pStyle w:val="HTML"/>
              <w:tabs>
                <w:tab w:val="clear" w:pos="916"/>
                <w:tab w:val="left" w:pos="1136"/>
              </w:tabs>
              <w:spacing w:line="360" w:lineRule="exact"/>
              <w:ind w:leftChars="354" w:left="1121" w:hangingChars="113" w:hanging="271"/>
              <w:jc w:val="both"/>
              <w:textAlignment w:val="center"/>
              <w:rPr>
                <w:rFonts w:ascii="標楷體" w:eastAsia="標楷體" w:hAnsi="標楷體"/>
                <w:sz w:val="24"/>
                <w:szCs w:val="24"/>
              </w:rPr>
            </w:pPr>
            <w:r w:rsidRPr="00A50449">
              <w:rPr>
                <w:rFonts w:ascii="標楷體" w:eastAsia="標楷體" w:hAnsi="標楷體" w:hint="eastAsia"/>
                <w:sz w:val="24"/>
                <w:szCs w:val="24"/>
              </w:rPr>
              <w:t>1.權證存續期間屆滿前二十個營業日，除因</w:t>
            </w:r>
            <w:r w:rsidRPr="00A50449">
              <w:rPr>
                <w:rFonts w:ascii="標楷體" w:eastAsia="標楷體" w:hAnsi="標楷體" w:hint="eastAsia"/>
                <w:sz w:val="24"/>
                <w:szCs w:val="24"/>
                <w:u w:val="single"/>
              </w:rPr>
              <w:t>流通在外單位低於十萬單位，或有</w:t>
            </w:r>
            <w:r w:rsidRPr="00A50449">
              <w:rPr>
                <w:rFonts w:ascii="標楷體" w:eastAsia="標楷體" w:hAnsi="標楷體" w:hint="eastAsia"/>
                <w:sz w:val="24"/>
                <w:szCs w:val="24"/>
              </w:rPr>
              <w:t>特殊情事並經本中心同意外，應向本中心申請展延權證存續期間，並將相關事項輸入本中心指定之網際網路資訊申報系統。</w:t>
            </w:r>
          </w:p>
          <w:p w:rsidR="00A50449" w:rsidRPr="000E3E68" w:rsidRDefault="00A50449" w:rsidP="00A50449">
            <w:pPr>
              <w:pStyle w:val="HTML"/>
              <w:spacing w:beforeLines="50" w:before="180" w:afterLines="50" w:after="180" w:line="360" w:lineRule="exact"/>
              <w:ind w:left="386" w:hangingChars="161" w:hanging="386"/>
              <w:jc w:val="center"/>
              <w:textAlignment w:val="center"/>
              <w:rPr>
                <w:rFonts w:ascii="標楷體" w:eastAsia="標楷體" w:hAnsi="標楷體"/>
                <w:color w:val="auto"/>
                <w:sz w:val="24"/>
              </w:rPr>
            </w:pPr>
            <w:r w:rsidRPr="001A08B2">
              <w:rPr>
                <w:rFonts w:ascii="標楷體" w:eastAsia="標楷體" w:hAnsi="標楷體" w:hint="eastAsia"/>
                <w:sz w:val="24"/>
                <w:szCs w:val="24"/>
              </w:rPr>
              <w:t>（</w:t>
            </w:r>
            <w:r>
              <w:rPr>
                <w:rFonts w:ascii="標楷體" w:eastAsia="標楷體" w:hAnsi="標楷體" w:hint="eastAsia"/>
                <w:sz w:val="24"/>
                <w:szCs w:val="24"/>
              </w:rPr>
              <w:t>第二目及第三目略</w:t>
            </w:r>
            <w:r w:rsidRPr="001A08B2">
              <w:rPr>
                <w:rFonts w:ascii="標楷體" w:eastAsia="標楷體" w:hAnsi="標楷體" w:hint="eastAsia"/>
                <w:sz w:val="24"/>
                <w:szCs w:val="24"/>
              </w:rPr>
              <w:t>）</w:t>
            </w:r>
          </w:p>
        </w:tc>
        <w:tc>
          <w:tcPr>
            <w:tcW w:w="3317" w:type="dxa"/>
          </w:tcPr>
          <w:p w:rsidR="00A50449" w:rsidRDefault="00A50449" w:rsidP="00A50449">
            <w:pPr>
              <w:pStyle w:val="HTML"/>
              <w:spacing w:line="360" w:lineRule="exact"/>
              <w:ind w:left="386" w:hangingChars="161" w:hanging="386"/>
              <w:jc w:val="both"/>
              <w:textAlignment w:val="center"/>
              <w:rPr>
                <w:rFonts w:ascii="標楷體" w:eastAsia="標楷體" w:hAnsi="標楷體"/>
                <w:sz w:val="24"/>
                <w:szCs w:val="24"/>
              </w:rPr>
            </w:pPr>
            <w:r w:rsidRPr="00A50449">
              <w:rPr>
                <w:rFonts w:ascii="標楷體" w:eastAsia="標楷體" w:hAnsi="標楷體" w:hint="eastAsia"/>
                <w:sz w:val="24"/>
                <w:szCs w:val="24"/>
              </w:rPr>
              <w:t>八、證券商發行認購（售）權證上櫃者，應依下列規定辦理並檢送相關資料予本中心：</w:t>
            </w:r>
          </w:p>
          <w:p w:rsidR="00A50449" w:rsidRDefault="00A50449" w:rsidP="00A50449">
            <w:pPr>
              <w:pStyle w:val="HTML"/>
              <w:spacing w:beforeLines="50" w:before="180" w:afterLines="50" w:after="180" w:line="360" w:lineRule="exact"/>
              <w:ind w:left="386" w:hangingChars="161" w:hanging="386"/>
              <w:jc w:val="center"/>
              <w:textAlignment w:val="center"/>
              <w:rPr>
                <w:rFonts w:ascii="標楷體" w:eastAsia="標楷體" w:hAnsi="標楷體"/>
                <w:sz w:val="24"/>
                <w:szCs w:val="24"/>
              </w:rPr>
            </w:pPr>
            <w:r w:rsidRPr="001A08B2">
              <w:rPr>
                <w:rFonts w:ascii="標楷體" w:eastAsia="標楷體" w:hAnsi="標楷體" w:hint="eastAsia"/>
                <w:sz w:val="24"/>
                <w:szCs w:val="24"/>
              </w:rPr>
              <w:t>（</w:t>
            </w:r>
            <w:r>
              <w:rPr>
                <w:rFonts w:ascii="標楷體" w:eastAsia="標楷體" w:hAnsi="標楷體" w:hint="eastAsia"/>
                <w:sz w:val="24"/>
                <w:szCs w:val="24"/>
              </w:rPr>
              <w:t>第一款及第二款略</w:t>
            </w:r>
            <w:r w:rsidRPr="001A08B2">
              <w:rPr>
                <w:rFonts w:ascii="標楷體" w:eastAsia="標楷體" w:hAnsi="標楷體" w:hint="eastAsia"/>
                <w:sz w:val="24"/>
                <w:szCs w:val="24"/>
              </w:rPr>
              <w:t>）</w:t>
            </w:r>
          </w:p>
          <w:p w:rsidR="00A50449" w:rsidRPr="00A50449" w:rsidRDefault="00A50449" w:rsidP="00A50449">
            <w:pPr>
              <w:pStyle w:val="HTML"/>
              <w:spacing w:line="360" w:lineRule="exact"/>
              <w:ind w:leftChars="86" w:left="876" w:hangingChars="279" w:hanging="670"/>
              <w:jc w:val="both"/>
              <w:textAlignment w:val="center"/>
              <w:rPr>
                <w:rFonts w:ascii="標楷體" w:eastAsia="標楷體" w:hAnsi="標楷體"/>
                <w:sz w:val="24"/>
                <w:szCs w:val="24"/>
              </w:rPr>
            </w:pPr>
            <w:r w:rsidRPr="00A50449">
              <w:rPr>
                <w:rFonts w:ascii="標楷體" w:eastAsia="標楷體" w:hAnsi="標楷體" w:hint="eastAsia"/>
                <w:sz w:val="24"/>
                <w:szCs w:val="24"/>
              </w:rPr>
              <w:t>（三）發行人就其所發行可展延下限型認購權證（牛證）及上限型認售權證（熊證），應辦理下列事項：</w:t>
            </w:r>
          </w:p>
          <w:p w:rsidR="00A50449" w:rsidRDefault="00A50449" w:rsidP="00A50449">
            <w:pPr>
              <w:pStyle w:val="HTML"/>
              <w:tabs>
                <w:tab w:val="clear" w:pos="916"/>
                <w:tab w:val="left" w:pos="1136"/>
              </w:tabs>
              <w:spacing w:line="360" w:lineRule="exact"/>
              <w:ind w:leftChars="354" w:left="1121" w:hangingChars="113" w:hanging="271"/>
              <w:jc w:val="both"/>
              <w:textAlignment w:val="center"/>
              <w:rPr>
                <w:rFonts w:ascii="標楷體" w:eastAsia="標楷體" w:hAnsi="標楷體"/>
                <w:sz w:val="24"/>
                <w:szCs w:val="24"/>
              </w:rPr>
            </w:pPr>
            <w:r w:rsidRPr="00A50449">
              <w:rPr>
                <w:rFonts w:ascii="標楷體" w:eastAsia="標楷體" w:hAnsi="標楷體" w:hint="eastAsia"/>
                <w:sz w:val="24"/>
                <w:szCs w:val="24"/>
              </w:rPr>
              <w:t>1.權證存續期間屆滿前二十個營業日，除因特殊情事並經本中心同意外，應向本中心申請展延權證存續期間，並將相關事項輸入本中心指定之網際網路資訊申報系統。</w:t>
            </w:r>
          </w:p>
          <w:p w:rsidR="00A50449" w:rsidRDefault="00A50449" w:rsidP="00A50449">
            <w:pPr>
              <w:pStyle w:val="HTML"/>
              <w:tabs>
                <w:tab w:val="clear" w:pos="916"/>
                <w:tab w:val="left" w:pos="1136"/>
              </w:tabs>
              <w:spacing w:line="360" w:lineRule="exact"/>
              <w:ind w:leftChars="354" w:left="1121" w:hangingChars="113" w:hanging="271"/>
              <w:jc w:val="both"/>
              <w:textAlignment w:val="center"/>
              <w:rPr>
                <w:rFonts w:ascii="標楷體" w:eastAsia="標楷體" w:hAnsi="標楷體"/>
                <w:sz w:val="24"/>
                <w:szCs w:val="24"/>
              </w:rPr>
            </w:pPr>
          </w:p>
          <w:p w:rsidR="00A50449" w:rsidRDefault="00A50449" w:rsidP="00A50449">
            <w:pPr>
              <w:pStyle w:val="HTML"/>
              <w:tabs>
                <w:tab w:val="clear" w:pos="916"/>
                <w:tab w:val="left" w:pos="1136"/>
              </w:tabs>
              <w:spacing w:line="360" w:lineRule="exact"/>
              <w:ind w:leftChars="354" w:left="1121" w:hangingChars="113" w:hanging="271"/>
              <w:jc w:val="both"/>
              <w:textAlignment w:val="center"/>
              <w:rPr>
                <w:rFonts w:ascii="標楷體" w:eastAsia="標楷體" w:hAnsi="標楷體"/>
                <w:sz w:val="24"/>
                <w:szCs w:val="24"/>
              </w:rPr>
            </w:pPr>
          </w:p>
          <w:p w:rsidR="00A50449" w:rsidRPr="000E3E68" w:rsidRDefault="00A50449" w:rsidP="00A50449">
            <w:pPr>
              <w:pStyle w:val="HTML"/>
              <w:spacing w:beforeLines="50" w:before="180" w:afterLines="50" w:after="180" w:line="360" w:lineRule="exact"/>
              <w:ind w:left="386" w:hangingChars="161" w:hanging="386"/>
              <w:jc w:val="center"/>
              <w:textAlignment w:val="center"/>
              <w:rPr>
                <w:rFonts w:ascii="標楷體" w:eastAsia="標楷體" w:hAnsi="標楷體"/>
                <w:color w:val="auto"/>
                <w:sz w:val="24"/>
              </w:rPr>
            </w:pPr>
            <w:r w:rsidRPr="001A08B2">
              <w:rPr>
                <w:rFonts w:ascii="標楷體" w:eastAsia="標楷體" w:hAnsi="標楷體" w:hint="eastAsia"/>
                <w:sz w:val="24"/>
                <w:szCs w:val="24"/>
              </w:rPr>
              <w:t>（</w:t>
            </w:r>
            <w:r>
              <w:rPr>
                <w:rFonts w:ascii="標楷體" w:eastAsia="標楷體" w:hAnsi="標楷體" w:hint="eastAsia"/>
                <w:sz w:val="24"/>
                <w:szCs w:val="24"/>
              </w:rPr>
              <w:t>第二目及第三目略</w:t>
            </w:r>
            <w:r w:rsidRPr="001A08B2">
              <w:rPr>
                <w:rFonts w:ascii="標楷體" w:eastAsia="標楷體" w:hAnsi="標楷體" w:hint="eastAsia"/>
                <w:sz w:val="24"/>
                <w:szCs w:val="24"/>
              </w:rPr>
              <w:t>）</w:t>
            </w:r>
          </w:p>
        </w:tc>
        <w:tc>
          <w:tcPr>
            <w:tcW w:w="3332" w:type="dxa"/>
          </w:tcPr>
          <w:p w:rsidR="00A50449" w:rsidRPr="00175A16" w:rsidRDefault="00A50449" w:rsidP="00A50449">
            <w:pPr>
              <w:spacing w:line="360" w:lineRule="exact"/>
              <w:ind w:firstLineChars="216" w:firstLine="518"/>
              <w:jc w:val="both"/>
              <w:textAlignment w:val="center"/>
              <w:rPr>
                <w:rFonts w:ascii="標楷體" w:eastAsia="標楷體" w:hAnsi="標楷體"/>
                <w:bCs/>
                <w:color w:val="000000"/>
                <w:szCs w:val="24"/>
              </w:rPr>
            </w:pPr>
            <w:r w:rsidRPr="00886F7F">
              <w:rPr>
                <w:rFonts w:ascii="標楷體" w:eastAsia="標楷體" w:hAnsi="標楷體" w:hint="eastAsia"/>
                <w:szCs w:val="24"/>
              </w:rPr>
              <w:t>鑒於</w:t>
            </w:r>
            <w:r w:rsidR="00C46496">
              <w:rPr>
                <w:rFonts w:ascii="標楷體" w:eastAsia="標楷體" w:hAnsi="標楷體" w:hint="eastAsia"/>
                <w:szCs w:val="24"/>
              </w:rPr>
              <w:t>部分流通在外數量較少之</w:t>
            </w:r>
            <w:r>
              <w:rPr>
                <w:rFonts w:ascii="標楷體" w:eastAsia="標楷體" w:hAnsi="標楷體" w:cs="細明體" w:hint="eastAsia"/>
                <w:color w:val="000000"/>
                <w:kern w:val="0"/>
                <w:szCs w:val="24"/>
              </w:rPr>
              <w:t>展延型權證缺乏</w:t>
            </w:r>
            <w:r w:rsidR="00C46496">
              <w:rPr>
                <w:rFonts w:ascii="標楷體" w:eastAsia="標楷體" w:hAnsi="標楷體" w:cs="細明體" w:hint="eastAsia"/>
                <w:color w:val="000000"/>
                <w:kern w:val="0"/>
                <w:szCs w:val="24"/>
              </w:rPr>
              <w:t>明確</w:t>
            </w:r>
            <w:r w:rsidR="00FC19F0">
              <w:rPr>
                <w:rFonts w:ascii="標楷體" w:eastAsia="標楷體" w:hAnsi="標楷體" w:cs="細明體" w:hint="eastAsia"/>
                <w:color w:val="000000"/>
                <w:kern w:val="0"/>
                <w:szCs w:val="24"/>
              </w:rPr>
              <w:t>之</w:t>
            </w:r>
            <w:bookmarkStart w:id="0" w:name="_GoBack"/>
            <w:bookmarkEnd w:id="0"/>
            <w:r>
              <w:rPr>
                <w:rFonts w:ascii="標楷體" w:eastAsia="標楷體" w:hAnsi="標楷體" w:cs="細明體" w:hint="eastAsia"/>
                <w:color w:val="000000"/>
                <w:kern w:val="0"/>
                <w:szCs w:val="24"/>
              </w:rPr>
              <w:t>退場機制，爰就</w:t>
            </w:r>
            <w:r w:rsidRPr="00CC6236">
              <w:rPr>
                <w:rFonts w:ascii="標楷體" w:eastAsia="標楷體" w:hAnsi="標楷體" w:cs="細明體" w:hint="eastAsia"/>
                <w:color w:val="000000"/>
                <w:kern w:val="0"/>
                <w:szCs w:val="24"/>
              </w:rPr>
              <w:t>流通在外發行單位</w:t>
            </w:r>
            <w:r>
              <w:rPr>
                <w:rFonts w:ascii="標楷體" w:eastAsia="標楷體" w:hAnsi="標楷體" w:cs="細明體" w:hint="eastAsia"/>
                <w:color w:val="000000"/>
                <w:kern w:val="0"/>
                <w:szCs w:val="24"/>
              </w:rPr>
              <w:t>較少者，增訂得不申請展延</w:t>
            </w:r>
            <w:r w:rsidRPr="00EA5D49">
              <w:rPr>
                <w:rFonts w:ascii="標楷體" w:eastAsia="標楷體" w:hAnsi="標楷體" w:cs="細明體" w:hint="eastAsia"/>
                <w:color w:val="000000"/>
                <w:kern w:val="0"/>
                <w:szCs w:val="24"/>
              </w:rPr>
              <w:t>存續期間</w:t>
            </w:r>
            <w:r>
              <w:rPr>
                <w:rFonts w:ascii="標楷體" w:eastAsia="標楷體" w:hAnsi="標楷體" w:cs="細明體" w:hint="eastAsia"/>
                <w:color w:val="000000"/>
                <w:kern w:val="0"/>
                <w:szCs w:val="24"/>
              </w:rPr>
              <w:t>之條件</w:t>
            </w:r>
            <w:r w:rsidRPr="00CC7EB6">
              <w:rPr>
                <w:rFonts w:ascii="標楷體" w:eastAsia="標楷體" w:hAnsi="標楷體" w:cs="細明體" w:hint="eastAsia"/>
                <w:color w:val="000000"/>
                <w:kern w:val="0"/>
                <w:szCs w:val="24"/>
              </w:rPr>
              <w:t>。</w:t>
            </w:r>
          </w:p>
        </w:tc>
      </w:tr>
    </w:tbl>
    <w:p w:rsidR="001642D6" w:rsidRPr="00A50449" w:rsidRDefault="001642D6" w:rsidP="00A20AB3">
      <w:pPr>
        <w:rPr>
          <w:rFonts w:ascii="標楷體" w:eastAsia="標楷體" w:hAnsi="標楷體"/>
          <w:bCs/>
          <w:color w:val="000000"/>
          <w:sz w:val="28"/>
        </w:rPr>
      </w:pPr>
    </w:p>
    <w:sectPr w:rsidR="001642D6" w:rsidRPr="00A50449">
      <w:footerReference w:type="even" r:id="rId8"/>
      <w:footerReference w:type="default" r:id="rId9"/>
      <w:pgSz w:w="11907" w:h="16840" w:code="9"/>
      <w:pgMar w:top="1418"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EC0" w:rsidRDefault="00AE2EC0">
      <w:r>
        <w:separator/>
      </w:r>
    </w:p>
  </w:endnote>
  <w:endnote w:type="continuationSeparator" w:id="0">
    <w:p w:rsidR="00AE2EC0" w:rsidRDefault="00AE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研澤楷書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CF" w:rsidRDefault="00AF55CF">
    <w:pPr>
      <w:pStyle w:val="a7"/>
      <w:framePr w:wrap="around" w:vAnchor="text" w:hAnchor="margin" w:xAlign="center" w:y="1"/>
      <w:textDirection w:val="btLr"/>
      <w:rPr>
        <w:rStyle w:val="a9"/>
      </w:rPr>
    </w:pPr>
    <w:r>
      <w:rPr>
        <w:rStyle w:val="a9"/>
      </w:rPr>
      <w:fldChar w:fldCharType="begin"/>
    </w:r>
    <w:r>
      <w:rPr>
        <w:rStyle w:val="a9"/>
      </w:rPr>
      <w:instrText xml:space="preserve">PAGE  </w:instrText>
    </w:r>
    <w:r>
      <w:rPr>
        <w:rStyle w:val="a9"/>
      </w:rPr>
      <w:fldChar w:fldCharType="end"/>
    </w:r>
  </w:p>
  <w:p w:rsidR="00AF55CF" w:rsidRDefault="00AF55C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CF" w:rsidRDefault="00AF55C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C19F0">
      <w:rPr>
        <w:rStyle w:val="a9"/>
        <w:noProof/>
      </w:rPr>
      <w:t>1</w:t>
    </w:r>
    <w:r>
      <w:rPr>
        <w:rStyle w:val="a9"/>
      </w:rPr>
      <w:fldChar w:fldCharType="end"/>
    </w:r>
  </w:p>
  <w:p w:rsidR="00AF55CF" w:rsidRDefault="00AF55C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EC0" w:rsidRDefault="00AE2EC0">
      <w:r>
        <w:separator/>
      </w:r>
    </w:p>
  </w:footnote>
  <w:footnote w:type="continuationSeparator" w:id="0">
    <w:p w:rsidR="00AE2EC0" w:rsidRDefault="00AE2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A19E9"/>
    <w:multiLevelType w:val="hybridMultilevel"/>
    <w:tmpl w:val="29F4F7DA"/>
    <w:lvl w:ilvl="0" w:tplc="98544FF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A04EC"/>
    <w:multiLevelType w:val="hybridMultilevel"/>
    <w:tmpl w:val="A6DA7CBE"/>
    <w:lvl w:ilvl="0" w:tplc="7C2C2638">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4" w15:restartNumberingAfterBreak="0">
    <w:nsid w:val="05651BEE"/>
    <w:multiLevelType w:val="hybridMultilevel"/>
    <w:tmpl w:val="4CB2D4C2"/>
    <w:lvl w:ilvl="0" w:tplc="14F8B5C6">
      <w:start w:val="1"/>
      <w:numFmt w:val="taiwaneseCountingThousand"/>
      <w:lvlText w:val="（%1）"/>
      <w:lvlJc w:val="left"/>
      <w:pPr>
        <w:tabs>
          <w:tab w:val="num" w:pos="720"/>
        </w:tabs>
        <w:ind w:left="720" w:hanging="720"/>
      </w:pPr>
      <w:rPr>
        <w:rFonts w:hint="default"/>
      </w:rPr>
    </w:lvl>
    <w:lvl w:ilvl="1" w:tplc="9EB6242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67026C1"/>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07253921"/>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7" w15:restartNumberingAfterBreak="0">
    <w:nsid w:val="0CB35C76"/>
    <w:multiLevelType w:val="singleLevel"/>
    <w:tmpl w:val="541AD562"/>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8" w15:restartNumberingAfterBreak="0">
    <w:nsid w:val="0F30552D"/>
    <w:multiLevelType w:val="hybridMultilevel"/>
    <w:tmpl w:val="BFF2361E"/>
    <w:lvl w:ilvl="0" w:tplc="24647A7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24916"/>
    <w:multiLevelType w:val="singleLevel"/>
    <w:tmpl w:val="5358B214"/>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0" w15:restartNumberingAfterBreak="0">
    <w:nsid w:val="181A4B88"/>
    <w:multiLevelType w:val="singleLevel"/>
    <w:tmpl w:val="CD7A7542"/>
    <w:lvl w:ilvl="0">
      <w:start w:val="1"/>
      <w:numFmt w:val="taiwaneseCountingThousand"/>
      <w:lvlText w:val="第%1條"/>
      <w:lvlJc w:val="left"/>
      <w:pPr>
        <w:tabs>
          <w:tab w:val="num" w:pos="1920"/>
        </w:tabs>
        <w:ind w:left="1920" w:hanging="1920"/>
      </w:pPr>
      <w:rPr>
        <w:rFonts w:hint="eastAsia"/>
      </w:rPr>
    </w:lvl>
  </w:abstractNum>
  <w:abstractNum w:abstractNumId="11" w15:restartNumberingAfterBreak="0">
    <w:nsid w:val="26A550D7"/>
    <w:multiLevelType w:val="hybridMultilevel"/>
    <w:tmpl w:val="B628B60A"/>
    <w:lvl w:ilvl="0" w:tplc="26FA9200">
      <w:start w:val="6"/>
      <w:numFmt w:val="taiwaneseCountingThousand"/>
      <w:lvlText w:val="(%1)"/>
      <w:lvlJc w:val="left"/>
      <w:pPr>
        <w:tabs>
          <w:tab w:val="num" w:pos="960"/>
        </w:tabs>
        <w:ind w:left="960" w:hanging="720"/>
      </w:pPr>
      <w:rPr>
        <w:rFonts w:hint="eastAsia"/>
        <w:color w:val="FF0000"/>
        <w:u w:val="singl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277E4D12"/>
    <w:multiLevelType w:val="hybridMultilevel"/>
    <w:tmpl w:val="6A14EAFA"/>
    <w:lvl w:ilvl="0" w:tplc="624A42CC">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914A19"/>
    <w:multiLevelType w:val="hybridMultilevel"/>
    <w:tmpl w:val="6A14EAFA"/>
    <w:lvl w:ilvl="0" w:tplc="624A42CC">
      <w:start w:val="1"/>
      <w:numFmt w:val="decimal"/>
      <w:lvlText w:val="%1."/>
      <w:lvlJc w:val="left"/>
      <w:pPr>
        <w:ind w:left="135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FF5A9A"/>
    <w:multiLevelType w:val="singleLevel"/>
    <w:tmpl w:val="3BFCA17A"/>
    <w:lvl w:ilvl="0">
      <w:start w:val="1"/>
      <w:numFmt w:val="taiwaneseCountingThousand"/>
      <w:lvlText w:val="%1、"/>
      <w:lvlJc w:val="left"/>
      <w:pPr>
        <w:tabs>
          <w:tab w:val="num" w:pos="737"/>
        </w:tabs>
        <w:ind w:left="737" w:hanging="737"/>
      </w:pPr>
      <w:rPr>
        <w:rFonts w:hint="eastAsia"/>
        <w:color w:val="auto"/>
      </w:rPr>
    </w:lvl>
  </w:abstractNum>
  <w:abstractNum w:abstractNumId="15" w15:restartNumberingAfterBreak="0">
    <w:nsid w:val="2EE535E4"/>
    <w:multiLevelType w:val="singleLevel"/>
    <w:tmpl w:val="4002041C"/>
    <w:lvl w:ilvl="0">
      <w:start w:val="1"/>
      <w:numFmt w:val="taiwaneseCountingThousand"/>
      <w:lvlText w:val="%1、"/>
      <w:lvlJc w:val="left"/>
      <w:pPr>
        <w:tabs>
          <w:tab w:val="num" w:pos="465"/>
        </w:tabs>
        <w:ind w:left="465" w:hanging="465"/>
      </w:pPr>
      <w:rPr>
        <w:rFonts w:ascii="Times New Roman" w:hint="eastAsia"/>
      </w:rPr>
    </w:lvl>
  </w:abstractNum>
  <w:abstractNum w:abstractNumId="16" w15:restartNumberingAfterBreak="0">
    <w:nsid w:val="2F837251"/>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17" w15:restartNumberingAfterBreak="0">
    <w:nsid w:val="33DF41F0"/>
    <w:multiLevelType w:val="hybridMultilevel"/>
    <w:tmpl w:val="70CA5448"/>
    <w:lvl w:ilvl="0" w:tplc="E876B9D2">
      <w:start w:val="1"/>
      <w:numFmt w:val="taiwaneseCountingThousand"/>
      <w:lvlText w:val="%1、"/>
      <w:lvlJc w:val="left"/>
      <w:pPr>
        <w:ind w:left="720" w:hanging="720"/>
      </w:pPr>
      <w:rPr>
        <w:rFonts w:ascii="標楷體" w:eastAsia="標楷體" w:hAnsi="標楷體" w:cs="細明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C368C7"/>
    <w:multiLevelType w:val="singleLevel"/>
    <w:tmpl w:val="618824EA"/>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19" w15:restartNumberingAfterBreak="0">
    <w:nsid w:val="36C97990"/>
    <w:multiLevelType w:val="singleLevel"/>
    <w:tmpl w:val="9502058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0" w15:restartNumberingAfterBreak="0">
    <w:nsid w:val="3A6B538C"/>
    <w:multiLevelType w:val="hybridMultilevel"/>
    <w:tmpl w:val="58FC1CAE"/>
    <w:lvl w:ilvl="0" w:tplc="A972F71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58726D"/>
    <w:multiLevelType w:val="singleLevel"/>
    <w:tmpl w:val="0409000F"/>
    <w:lvl w:ilvl="0">
      <w:start w:val="1"/>
      <w:numFmt w:val="decimal"/>
      <w:lvlText w:val="%1."/>
      <w:legacy w:legacy="1" w:legacySpace="0" w:legacyIndent="425"/>
      <w:lvlJc w:val="left"/>
      <w:pPr>
        <w:ind w:left="425" w:hanging="425"/>
      </w:pPr>
    </w:lvl>
  </w:abstractNum>
  <w:abstractNum w:abstractNumId="22" w15:restartNumberingAfterBreak="0">
    <w:nsid w:val="46863E4F"/>
    <w:multiLevelType w:val="hybridMultilevel"/>
    <w:tmpl w:val="24645BE4"/>
    <w:lvl w:ilvl="0" w:tplc="3990C75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3" w15:restartNumberingAfterBreak="0">
    <w:nsid w:val="474B41C1"/>
    <w:multiLevelType w:val="singleLevel"/>
    <w:tmpl w:val="2710087C"/>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4" w15:restartNumberingAfterBreak="0">
    <w:nsid w:val="4C983A5D"/>
    <w:multiLevelType w:val="singleLevel"/>
    <w:tmpl w:val="35B60028"/>
    <w:lvl w:ilvl="0">
      <w:start w:val="1"/>
      <w:numFmt w:val="taiwaneseCountingThousand"/>
      <w:lvlText w:val="%1、"/>
      <w:lvlJc w:val="left"/>
      <w:pPr>
        <w:tabs>
          <w:tab w:val="num" w:pos="408"/>
        </w:tabs>
        <w:ind w:left="408" w:hanging="408"/>
      </w:pPr>
      <w:rPr>
        <w:rFonts w:hint="eastAsia"/>
        <w:sz w:val="16"/>
      </w:rPr>
    </w:lvl>
  </w:abstractNum>
  <w:abstractNum w:abstractNumId="25" w15:restartNumberingAfterBreak="0">
    <w:nsid w:val="4CCD0739"/>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26" w15:restartNumberingAfterBreak="0">
    <w:nsid w:val="58127FC8"/>
    <w:multiLevelType w:val="hybridMultilevel"/>
    <w:tmpl w:val="BE82F60E"/>
    <w:lvl w:ilvl="0" w:tplc="47F4B0A2">
      <w:start w:val="1"/>
      <w:numFmt w:val="decimal"/>
      <w:lvlText w:val="%1."/>
      <w:lvlJc w:val="left"/>
      <w:pPr>
        <w:tabs>
          <w:tab w:val="num" w:pos="362"/>
        </w:tabs>
        <w:ind w:left="362" w:hanging="36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27" w15:restartNumberingAfterBreak="0">
    <w:nsid w:val="59BD6304"/>
    <w:multiLevelType w:val="singleLevel"/>
    <w:tmpl w:val="523E68D2"/>
    <w:lvl w:ilvl="0">
      <w:start w:val="1"/>
      <w:numFmt w:val="decimal"/>
      <w:lvlText w:val="%1."/>
      <w:legacy w:legacy="1" w:legacySpace="0" w:legacyIndent="240"/>
      <w:lvlJc w:val="left"/>
      <w:pPr>
        <w:ind w:left="720" w:hanging="240"/>
      </w:pPr>
      <w:rPr>
        <w:rFonts w:ascii="標楷體" w:eastAsia="標楷體" w:hint="eastAsia"/>
        <w:b w:val="0"/>
        <w:i w:val="0"/>
        <w:sz w:val="24"/>
        <w:u w:val="none"/>
      </w:rPr>
    </w:lvl>
  </w:abstractNum>
  <w:abstractNum w:abstractNumId="28" w15:restartNumberingAfterBreak="0">
    <w:nsid w:val="5C4F0D20"/>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29" w15:restartNumberingAfterBreak="0">
    <w:nsid w:val="5C9C291C"/>
    <w:multiLevelType w:val="singleLevel"/>
    <w:tmpl w:val="0409000F"/>
    <w:lvl w:ilvl="0">
      <w:start w:val="1"/>
      <w:numFmt w:val="decimal"/>
      <w:lvlText w:val="%1."/>
      <w:lvlJc w:val="left"/>
      <w:pPr>
        <w:tabs>
          <w:tab w:val="num" w:pos="425"/>
        </w:tabs>
        <w:ind w:left="425" w:hanging="425"/>
      </w:pPr>
    </w:lvl>
  </w:abstractNum>
  <w:abstractNum w:abstractNumId="30" w15:restartNumberingAfterBreak="0">
    <w:nsid w:val="60101B4E"/>
    <w:multiLevelType w:val="hybridMultilevel"/>
    <w:tmpl w:val="6A14EAFA"/>
    <w:lvl w:ilvl="0" w:tplc="624A42CC">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047495F"/>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32" w15:restartNumberingAfterBreak="0">
    <w:nsid w:val="61665A4B"/>
    <w:multiLevelType w:val="singleLevel"/>
    <w:tmpl w:val="523E68D2"/>
    <w:lvl w:ilvl="0">
      <w:start w:val="1"/>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33" w15:restartNumberingAfterBreak="0">
    <w:nsid w:val="66162594"/>
    <w:multiLevelType w:val="singleLevel"/>
    <w:tmpl w:val="C07AB2D2"/>
    <w:lvl w:ilvl="0">
      <w:start w:val="1"/>
      <w:numFmt w:val="decimal"/>
      <w:lvlText w:val="%1."/>
      <w:lvlJc w:val="left"/>
      <w:pPr>
        <w:tabs>
          <w:tab w:val="num" w:pos="240"/>
        </w:tabs>
        <w:ind w:left="240" w:hanging="240"/>
      </w:pPr>
      <w:rPr>
        <w:rFonts w:hint="eastAsia"/>
      </w:rPr>
    </w:lvl>
  </w:abstractNum>
  <w:abstractNum w:abstractNumId="34" w15:restartNumberingAfterBreak="0">
    <w:nsid w:val="68043074"/>
    <w:multiLevelType w:val="singleLevel"/>
    <w:tmpl w:val="2A2EA43C"/>
    <w:lvl w:ilvl="0">
      <w:start w:val="1"/>
      <w:numFmt w:val="decimal"/>
      <w:lvlText w:val="%1."/>
      <w:legacy w:legacy="1" w:legacySpace="0" w:legacyIndent="204"/>
      <w:lvlJc w:val="left"/>
      <w:pPr>
        <w:ind w:left="204" w:hanging="204"/>
      </w:pPr>
      <w:rPr>
        <w:rFonts w:ascii="標楷體" w:eastAsia="標楷體" w:hint="eastAsia"/>
        <w:b w:val="0"/>
        <w:i w:val="0"/>
        <w:sz w:val="20"/>
        <w:u w:val="none"/>
      </w:rPr>
    </w:lvl>
  </w:abstractNum>
  <w:abstractNum w:abstractNumId="35" w15:restartNumberingAfterBreak="0">
    <w:nsid w:val="6DE715DC"/>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36" w15:restartNumberingAfterBreak="0">
    <w:nsid w:val="701D5789"/>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37" w15:restartNumberingAfterBreak="0">
    <w:nsid w:val="720450E3"/>
    <w:multiLevelType w:val="hybridMultilevel"/>
    <w:tmpl w:val="32C64104"/>
    <w:lvl w:ilvl="0" w:tplc="3EC43DF4">
      <w:start w:val="1"/>
      <w:numFmt w:val="decimal"/>
      <w:lvlText w:val="%1."/>
      <w:lvlJc w:val="left"/>
      <w:pPr>
        <w:tabs>
          <w:tab w:val="num" w:pos="362"/>
        </w:tabs>
        <w:ind w:left="362" w:hanging="36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8" w15:restartNumberingAfterBreak="0">
    <w:nsid w:val="72625EE0"/>
    <w:multiLevelType w:val="singleLevel"/>
    <w:tmpl w:val="35B60028"/>
    <w:lvl w:ilvl="0">
      <w:start w:val="1"/>
      <w:numFmt w:val="taiwaneseCountingThousand"/>
      <w:lvlText w:val="%1、"/>
      <w:lvlJc w:val="left"/>
      <w:pPr>
        <w:tabs>
          <w:tab w:val="num" w:pos="408"/>
        </w:tabs>
        <w:ind w:left="408" w:hanging="408"/>
      </w:pPr>
      <w:rPr>
        <w:rFonts w:hint="eastAsia"/>
        <w:sz w:val="16"/>
      </w:rPr>
    </w:lvl>
  </w:abstractNum>
  <w:abstractNum w:abstractNumId="39" w15:restartNumberingAfterBreak="0">
    <w:nsid w:val="77803291"/>
    <w:multiLevelType w:val="singleLevel"/>
    <w:tmpl w:val="5358B214"/>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40" w15:restartNumberingAfterBreak="0">
    <w:nsid w:val="78511845"/>
    <w:multiLevelType w:val="singleLevel"/>
    <w:tmpl w:val="8410C768"/>
    <w:lvl w:ilvl="0">
      <w:start w:val="1"/>
      <w:numFmt w:val="taiwaneseCountingThousand"/>
      <w:lvlText w:val="%1、"/>
      <w:legacy w:legacy="1" w:legacySpace="0" w:legacyIndent="567"/>
      <w:lvlJc w:val="left"/>
      <w:pPr>
        <w:ind w:left="567" w:hanging="567"/>
      </w:pPr>
    </w:lvl>
  </w:abstractNum>
  <w:abstractNum w:abstractNumId="41" w15:restartNumberingAfterBreak="0">
    <w:nsid w:val="7E584E93"/>
    <w:multiLevelType w:val="singleLevel"/>
    <w:tmpl w:val="3BFCA17A"/>
    <w:lvl w:ilvl="0">
      <w:start w:val="1"/>
      <w:numFmt w:val="taiwaneseCountingThousand"/>
      <w:lvlText w:val="%1、"/>
      <w:lvlJc w:val="left"/>
      <w:pPr>
        <w:tabs>
          <w:tab w:val="num" w:pos="737"/>
        </w:tabs>
        <w:ind w:left="737" w:hanging="737"/>
      </w:pPr>
      <w:rPr>
        <w:rFonts w:hint="eastAsia"/>
        <w:color w:val="auto"/>
      </w:rPr>
    </w:lvl>
  </w:abstractNum>
  <w:abstractNum w:abstractNumId="42" w15:restartNumberingAfterBreak="0">
    <w:nsid w:val="7EF439F6"/>
    <w:multiLevelType w:val="hybridMultilevel"/>
    <w:tmpl w:val="6A14EAFA"/>
    <w:lvl w:ilvl="0" w:tplc="624A42CC">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6"/>
  </w:num>
  <w:num w:numId="3">
    <w:abstractNumId w:val="28"/>
  </w:num>
  <w:num w:numId="4">
    <w:abstractNumId w:val="16"/>
  </w:num>
  <w:num w:numId="5">
    <w:abstractNumId w:val="36"/>
  </w:num>
  <w:num w:numId="6">
    <w:abstractNumId w:val="25"/>
  </w:num>
  <w:num w:numId="7">
    <w:abstractNumId w:val="5"/>
  </w:num>
  <w:num w:numId="8">
    <w:abstractNumId w:val="35"/>
  </w:num>
  <w:num w:numId="9">
    <w:abstractNumId w:val="15"/>
  </w:num>
  <w:num w:numId="10">
    <w:abstractNumId w:val="4"/>
  </w:num>
  <w:num w:numId="11">
    <w:abstractNumId w:val="22"/>
  </w:num>
  <w:num w:numId="12">
    <w:abstractNumId w:val="37"/>
  </w:num>
  <w:num w:numId="13">
    <w:abstractNumId w:val="26"/>
  </w:num>
  <w:num w:numId="14">
    <w:abstractNumId w:val="2"/>
  </w:num>
  <w:num w:numId="15">
    <w:abstractNumId w:val="11"/>
  </w:num>
  <w:num w:numId="16">
    <w:abstractNumId w:val="20"/>
  </w:num>
  <w:num w:numId="17">
    <w:abstractNumId w:val="1"/>
  </w:num>
  <w:num w:numId="18">
    <w:abstractNumId w:val="8"/>
  </w:num>
  <w:num w:numId="19">
    <w:abstractNumId w:val="19"/>
  </w:num>
  <w:num w:numId="20">
    <w:abstractNumId w:val="9"/>
  </w:num>
  <w:num w:numId="21">
    <w:abstractNumId w:val="39"/>
  </w:num>
  <w:num w:numId="22">
    <w:abstractNumId w:val="27"/>
  </w:num>
  <w:num w:numId="23">
    <w:abstractNumId w:val="32"/>
  </w:num>
  <w:num w:numId="24">
    <w:abstractNumId w:val="10"/>
  </w:num>
  <w:num w:numId="25">
    <w:abstractNumId w:val="14"/>
  </w:num>
  <w:num w:numId="26">
    <w:abstractNumId w:val="38"/>
  </w:num>
  <w:num w:numId="27">
    <w:abstractNumId w:val="17"/>
  </w:num>
  <w:num w:numId="28">
    <w:abstractNumId w:val="29"/>
  </w:num>
  <w:num w:numId="29">
    <w:abstractNumId w:val="21"/>
  </w:num>
  <w:num w:numId="30">
    <w:abstractNumId w:val="21"/>
    <w:lvlOverride w:ilvl="0">
      <w:lvl w:ilvl="0">
        <w:start w:val="1"/>
        <w:numFmt w:val="decimal"/>
        <w:lvlText w:val="%1."/>
        <w:legacy w:legacy="1" w:legacySpace="0" w:legacyIndent="425"/>
        <w:lvlJc w:val="left"/>
        <w:pPr>
          <w:ind w:left="425" w:hanging="425"/>
        </w:pPr>
      </w:lvl>
    </w:lvlOverride>
  </w:num>
  <w:num w:numId="31">
    <w:abstractNumId w:val="21"/>
    <w:lvlOverride w:ilvl="0">
      <w:lvl w:ilvl="0">
        <w:start w:val="6"/>
        <w:numFmt w:val="decimal"/>
        <w:lvlText w:val="%1."/>
        <w:lvlJc w:val="left"/>
        <w:pPr>
          <w:tabs>
            <w:tab w:val="num" w:pos="360"/>
          </w:tabs>
          <w:ind w:left="240" w:hanging="240"/>
        </w:pPr>
        <w:rPr>
          <w:rFonts w:ascii="標楷體" w:eastAsia="標楷體" w:hint="eastAsia"/>
          <w:b w:val="0"/>
          <w:i w:val="0"/>
          <w:sz w:val="24"/>
          <w:u w:val="none"/>
        </w:rPr>
      </w:lvl>
    </w:lvlOverride>
  </w:num>
  <w:num w:numId="32">
    <w:abstractNumId w:val="0"/>
    <w:lvlOverride w:ilvl="0">
      <w:lvl w:ilvl="0">
        <w:start w:val="1"/>
        <w:numFmt w:val="bullet"/>
        <w:lvlText w:val="☆"/>
        <w:legacy w:legacy="1" w:legacySpace="0" w:legacyIndent="240"/>
        <w:lvlJc w:val="left"/>
        <w:pPr>
          <w:ind w:left="240" w:hanging="240"/>
        </w:pPr>
        <w:rPr>
          <w:rFonts w:ascii="標楷體" w:eastAsia="標楷體" w:hint="eastAsia"/>
          <w:b w:val="0"/>
          <w:i w:val="0"/>
          <w:sz w:val="24"/>
          <w:u w:val="none"/>
        </w:rPr>
      </w:lvl>
    </w:lvlOverride>
  </w:num>
  <w:num w:numId="33">
    <w:abstractNumId w:val="40"/>
    <w:lvlOverride w:ilvl="0">
      <w:lvl w:ilvl="0">
        <w:start w:val="5"/>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34">
    <w:abstractNumId w:val="34"/>
  </w:num>
  <w:num w:numId="35">
    <w:abstractNumId w:val="18"/>
  </w:num>
  <w:num w:numId="36">
    <w:abstractNumId w:val="7"/>
    <w:lvlOverride w:ilvl="0">
      <w:lvl w:ilvl="0">
        <w:start w:val="4"/>
        <w:numFmt w:val="taiwaneseCountingThousand"/>
        <w:lvlText w:val="%1、"/>
        <w:legacy w:legacy="1" w:legacySpace="0" w:legacyIndent="480"/>
        <w:lvlJc w:val="left"/>
        <w:pPr>
          <w:ind w:left="484" w:hanging="480"/>
        </w:pPr>
        <w:rPr>
          <w:rFonts w:ascii="標楷體" w:eastAsia="標楷體" w:hint="eastAsia"/>
          <w:b w:val="0"/>
          <w:i w:val="0"/>
          <w:sz w:val="24"/>
          <w:u w:val="none"/>
        </w:rPr>
      </w:lvl>
    </w:lvlOverride>
  </w:num>
  <w:num w:numId="37">
    <w:abstractNumId w:val="23"/>
  </w:num>
  <w:num w:numId="38">
    <w:abstractNumId w:val="33"/>
  </w:num>
  <w:num w:numId="39">
    <w:abstractNumId w:val="41"/>
  </w:num>
  <w:num w:numId="40">
    <w:abstractNumId w:val="3"/>
  </w:num>
  <w:num w:numId="41">
    <w:abstractNumId w:val="30"/>
  </w:num>
  <w:num w:numId="42">
    <w:abstractNumId w:val="42"/>
  </w:num>
  <w:num w:numId="43">
    <w:abstractNumId w:val="12"/>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4B"/>
    <w:rsid w:val="00000326"/>
    <w:rsid w:val="0000566B"/>
    <w:rsid w:val="00010B4E"/>
    <w:rsid w:val="00011C69"/>
    <w:rsid w:val="00011D6D"/>
    <w:rsid w:val="00011D7B"/>
    <w:rsid w:val="0001386F"/>
    <w:rsid w:val="00022111"/>
    <w:rsid w:val="00034C92"/>
    <w:rsid w:val="00037B3B"/>
    <w:rsid w:val="00044D03"/>
    <w:rsid w:val="000452B3"/>
    <w:rsid w:val="00051858"/>
    <w:rsid w:val="0005360E"/>
    <w:rsid w:val="00056C98"/>
    <w:rsid w:val="00063628"/>
    <w:rsid w:val="00065706"/>
    <w:rsid w:val="000731DC"/>
    <w:rsid w:val="00076ED0"/>
    <w:rsid w:val="00084013"/>
    <w:rsid w:val="00091D4B"/>
    <w:rsid w:val="00092E8A"/>
    <w:rsid w:val="00093955"/>
    <w:rsid w:val="000961C3"/>
    <w:rsid w:val="00096285"/>
    <w:rsid w:val="000A52B3"/>
    <w:rsid w:val="000A6174"/>
    <w:rsid w:val="000B275A"/>
    <w:rsid w:val="000C038A"/>
    <w:rsid w:val="000C097B"/>
    <w:rsid w:val="000C280B"/>
    <w:rsid w:val="000C36FA"/>
    <w:rsid w:val="000C4FA4"/>
    <w:rsid w:val="000D6F1A"/>
    <w:rsid w:val="000E199E"/>
    <w:rsid w:val="000E1DA0"/>
    <w:rsid w:val="000E26B1"/>
    <w:rsid w:val="000E3E68"/>
    <w:rsid w:val="000F05E0"/>
    <w:rsid w:val="00107DEF"/>
    <w:rsid w:val="00111C28"/>
    <w:rsid w:val="00112CFB"/>
    <w:rsid w:val="00134816"/>
    <w:rsid w:val="00137BDE"/>
    <w:rsid w:val="00137F49"/>
    <w:rsid w:val="00142A9A"/>
    <w:rsid w:val="0014402F"/>
    <w:rsid w:val="0014494C"/>
    <w:rsid w:val="00154CA1"/>
    <w:rsid w:val="001642D6"/>
    <w:rsid w:val="001716F0"/>
    <w:rsid w:val="00171BA4"/>
    <w:rsid w:val="001720CD"/>
    <w:rsid w:val="001746D6"/>
    <w:rsid w:val="001755FA"/>
    <w:rsid w:val="00175A16"/>
    <w:rsid w:val="001834BE"/>
    <w:rsid w:val="00184EC3"/>
    <w:rsid w:val="0019272A"/>
    <w:rsid w:val="00194FBB"/>
    <w:rsid w:val="001A08B2"/>
    <w:rsid w:val="001A29E7"/>
    <w:rsid w:val="001A38C4"/>
    <w:rsid w:val="001A5EED"/>
    <w:rsid w:val="001A6513"/>
    <w:rsid w:val="001B0869"/>
    <w:rsid w:val="001B1604"/>
    <w:rsid w:val="001B39F0"/>
    <w:rsid w:val="001C102E"/>
    <w:rsid w:val="001D2225"/>
    <w:rsid w:val="001D3C31"/>
    <w:rsid w:val="001D5303"/>
    <w:rsid w:val="001E29E5"/>
    <w:rsid w:val="001E4DC7"/>
    <w:rsid w:val="001E5881"/>
    <w:rsid w:val="001E6CB1"/>
    <w:rsid w:val="001E6F44"/>
    <w:rsid w:val="001F109F"/>
    <w:rsid w:val="00211555"/>
    <w:rsid w:val="00212B84"/>
    <w:rsid w:val="00216ACC"/>
    <w:rsid w:val="00220D4E"/>
    <w:rsid w:val="002241E3"/>
    <w:rsid w:val="00226FC8"/>
    <w:rsid w:val="0023200E"/>
    <w:rsid w:val="00241B0F"/>
    <w:rsid w:val="00241D61"/>
    <w:rsid w:val="002448C5"/>
    <w:rsid w:val="00244E89"/>
    <w:rsid w:val="00247AAD"/>
    <w:rsid w:val="00255E5B"/>
    <w:rsid w:val="0026366B"/>
    <w:rsid w:val="002638DB"/>
    <w:rsid w:val="002678D9"/>
    <w:rsid w:val="00272BE4"/>
    <w:rsid w:val="00273F3F"/>
    <w:rsid w:val="0029034D"/>
    <w:rsid w:val="00291F8C"/>
    <w:rsid w:val="002924EA"/>
    <w:rsid w:val="002934B1"/>
    <w:rsid w:val="00295D52"/>
    <w:rsid w:val="00297320"/>
    <w:rsid w:val="002A68AD"/>
    <w:rsid w:val="002B2192"/>
    <w:rsid w:val="002B3874"/>
    <w:rsid w:val="002B391D"/>
    <w:rsid w:val="002C1FFF"/>
    <w:rsid w:val="002C3321"/>
    <w:rsid w:val="002D34BB"/>
    <w:rsid w:val="002D38BF"/>
    <w:rsid w:val="002D4827"/>
    <w:rsid w:val="002D7AFD"/>
    <w:rsid w:val="002E0B59"/>
    <w:rsid w:val="002E32AB"/>
    <w:rsid w:val="002E5BF0"/>
    <w:rsid w:val="002E72CF"/>
    <w:rsid w:val="002F65F6"/>
    <w:rsid w:val="00300C15"/>
    <w:rsid w:val="00323F3E"/>
    <w:rsid w:val="003313D3"/>
    <w:rsid w:val="003317B3"/>
    <w:rsid w:val="0033197C"/>
    <w:rsid w:val="00334A44"/>
    <w:rsid w:val="00335B09"/>
    <w:rsid w:val="00347702"/>
    <w:rsid w:val="00352FC4"/>
    <w:rsid w:val="003553E6"/>
    <w:rsid w:val="00355970"/>
    <w:rsid w:val="00367B64"/>
    <w:rsid w:val="00373758"/>
    <w:rsid w:val="00381151"/>
    <w:rsid w:val="003834BA"/>
    <w:rsid w:val="00384FC2"/>
    <w:rsid w:val="0038590A"/>
    <w:rsid w:val="003873C5"/>
    <w:rsid w:val="003A0684"/>
    <w:rsid w:val="003A1285"/>
    <w:rsid w:val="003A1FA8"/>
    <w:rsid w:val="003A2359"/>
    <w:rsid w:val="003A3BD5"/>
    <w:rsid w:val="003A4092"/>
    <w:rsid w:val="003A4E20"/>
    <w:rsid w:val="003A527B"/>
    <w:rsid w:val="003A56F4"/>
    <w:rsid w:val="003A5D44"/>
    <w:rsid w:val="003B59E0"/>
    <w:rsid w:val="003B6594"/>
    <w:rsid w:val="003B6672"/>
    <w:rsid w:val="003C0D7E"/>
    <w:rsid w:val="003C2490"/>
    <w:rsid w:val="003D31C0"/>
    <w:rsid w:val="003D50F2"/>
    <w:rsid w:val="003D6A4D"/>
    <w:rsid w:val="003E415D"/>
    <w:rsid w:val="003E5B9D"/>
    <w:rsid w:val="003E63E1"/>
    <w:rsid w:val="003F27EE"/>
    <w:rsid w:val="003F3A87"/>
    <w:rsid w:val="003F3BF6"/>
    <w:rsid w:val="003F5BAD"/>
    <w:rsid w:val="003F7145"/>
    <w:rsid w:val="003F7347"/>
    <w:rsid w:val="00401F6A"/>
    <w:rsid w:val="00402A3D"/>
    <w:rsid w:val="00404AE6"/>
    <w:rsid w:val="00407693"/>
    <w:rsid w:val="004100BB"/>
    <w:rsid w:val="00410B6D"/>
    <w:rsid w:val="00410CEE"/>
    <w:rsid w:val="00412D78"/>
    <w:rsid w:val="0041300D"/>
    <w:rsid w:val="00413929"/>
    <w:rsid w:val="00415B66"/>
    <w:rsid w:val="004174DE"/>
    <w:rsid w:val="004176F0"/>
    <w:rsid w:val="0042182A"/>
    <w:rsid w:val="004243AC"/>
    <w:rsid w:val="00425581"/>
    <w:rsid w:val="004311D2"/>
    <w:rsid w:val="00432684"/>
    <w:rsid w:val="00434224"/>
    <w:rsid w:val="004401CE"/>
    <w:rsid w:val="00443538"/>
    <w:rsid w:val="0044398E"/>
    <w:rsid w:val="0045449A"/>
    <w:rsid w:val="004548EF"/>
    <w:rsid w:val="004563BD"/>
    <w:rsid w:val="00460A19"/>
    <w:rsid w:val="0046609B"/>
    <w:rsid w:val="00466C19"/>
    <w:rsid w:val="00466CAC"/>
    <w:rsid w:val="00466D60"/>
    <w:rsid w:val="00470929"/>
    <w:rsid w:val="00472383"/>
    <w:rsid w:val="0047508A"/>
    <w:rsid w:val="004801BE"/>
    <w:rsid w:val="004801FD"/>
    <w:rsid w:val="004872B8"/>
    <w:rsid w:val="0049091E"/>
    <w:rsid w:val="004969EB"/>
    <w:rsid w:val="004A105A"/>
    <w:rsid w:val="004A18FB"/>
    <w:rsid w:val="004A3CCF"/>
    <w:rsid w:val="004A6217"/>
    <w:rsid w:val="004B4913"/>
    <w:rsid w:val="004B619F"/>
    <w:rsid w:val="004B6746"/>
    <w:rsid w:val="004B7F76"/>
    <w:rsid w:val="004C5068"/>
    <w:rsid w:val="004D3CEE"/>
    <w:rsid w:val="004D3F80"/>
    <w:rsid w:val="004E20D0"/>
    <w:rsid w:val="004E7FC2"/>
    <w:rsid w:val="004F3743"/>
    <w:rsid w:val="004F4E80"/>
    <w:rsid w:val="004F59C4"/>
    <w:rsid w:val="00501D1C"/>
    <w:rsid w:val="00502E47"/>
    <w:rsid w:val="00515C48"/>
    <w:rsid w:val="0052498A"/>
    <w:rsid w:val="00525D43"/>
    <w:rsid w:val="00526A2B"/>
    <w:rsid w:val="00527272"/>
    <w:rsid w:val="00532A7D"/>
    <w:rsid w:val="00533012"/>
    <w:rsid w:val="005401CF"/>
    <w:rsid w:val="00540A27"/>
    <w:rsid w:val="005416D2"/>
    <w:rsid w:val="00543C2A"/>
    <w:rsid w:val="00543CBC"/>
    <w:rsid w:val="00543D33"/>
    <w:rsid w:val="00546FEA"/>
    <w:rsid w:val="00547541"/>
    <w:rsid w:val="00554B0B"/>
    <w:rsid w:val="0055557E"/>
    <w:rsid w:val="0055669D"/>
    <w:rsid w:val="00556B1A"/>
    <w:rsid w:val="0056131B"/>
    <w:rsid w:val="00567235"/>
    <w:rsid w:val="0056726B"/>
    <w:rsid w:val="0057399E"/>
    <w:rsid w:val="00574425"/>
    <w:rsid w:val="005833D3"/>
    <w:rsid w:val="00590AA4"/>
    <w:rsid w:val="00596232"/>
    <w:rsid w:val="005A0E69"/>
    <w:rsid w:val="005A72A8"/>
    <w:rsid w:val="005B4F07"/>
    <w:rsid w:val="005B63C7"/>
    <w:rsid w:val="005C144A"/>
    <w:rsid w:val="005C4423"/>
    <w:rsid w:val="005C6805"/>
    <w:rsid w:val="005C6D04"/>
    <w:rsid w:val="005D5553"/>
    <w:rsid w:val="005D6D5B"/>
    <w:rsid w:val="005E1CB0"/>
    <w:rsid w:val="005E2DF5"/>
    <w:rsid w:val="005F0038"/>
    <w:rsid w:val="005F414D"/>
    <w:rsid w:val="005F485F"/>
    <w:rsid w:val="005F52F8"/>
    <w:rsid w:val="006137DD"/>
    <w:rsid w:val="006164BB"/>
    <w:rsid w:val="00623B7F"/>
    <w:rsid w:val="00626BD3"/>
    <w:rsid w:val="00633354"/>
    <w:rsid w:val="00634825"/>
    <w:rsid w:val="00651D73"/>
    <w:rsid w:val="00652F6F"/>
    <w:rsid w:val="0065318C"/>
    <w:rsid w:val="00655CD6"/>
    <w:rsid w:val="0066002E"/>
    <w:rsid w:val="00664538"/>
    <w:rsid w:val="00665DD3"/>
    <w:rsid w:val="00666445"/>
    <w:rsid w:val="006666B5"/>
    <w:rsid w:val="00675942"/>
    <w:rsid w:val="00677F3E"/>
    <w:rsid w:val="006919A0"/>
    <w:rsid w:val="006962E8"/>
    <w:rsid w:val="00696AB2"/>
    <w:rsid w:val="00697F80"/>
    <w:rsid w:val="006A7AA0"/>
    <w:rsid w:val="006B3122"/>
    <w:rsid w:val="006B7C93"/>
    <w:rsid w:val="006C0A90"/>
    <w:rsid w:val="006C12EE"/>
    <w:rsid w:val="006C3005"/>
    <w:rsid w:val="006C418F"/>
    <w:rsid w:val="006C4322"/>
    <w:rsid w:val="006C6D24"/>
    <w:rsid w:val="006D013F"/>
    <w:rsid w:val="006D1E2D"/>
    <w:rsid w:val="006D232C"/>
    <w:rsid w:val="006E02D3"/>
    <w:rsid w:val="006E1AF3"/>
    <w:rsid w:val="006E2CBC"/>
    <w:rsid w:val="006E3187"/>
    <w:rsid w:val="006E55F8"/>
    <w:rsid w:val="006F4771"/>
    <w:rsid w:val="006F78FD"/>
    <w:rsid w:val="00701049"/>
    <w:rsid w:val="007051E1"/>
    <w:rsid w:val="00706A25"/>
    <w:rsid w:val="00715CA9"/>
    <w:rsid w:val="00723866"/>
    <w:rsid w:val="0072722B"/>
    <w:rsid w:val="007274BB"/>
    <w:rsid w:val="00730B14"/>
    <w:rsid w:val="007333EE"/>
    <w:rsid w:val="00733A1D"/>
    <w:rsid w:val="0073698D"/>
    <w:rsid w:val="0073704F"/>
    <w:rsid w:val="007401CA"/>
    <w:rsid w:val="00740866"/>
    <w:rsid w:val="0074099E"/>
    <w:rsid w:val="00741297"/>
    <w:rsid w:val="0074343C"/>
    <w:rsid w:val="00762103"/>
    <w:rsid w:val="007657F2"/>
    <w:rsid w:val="00766062"/>
    <w:rsid w:val="00767FFE"/>
    <w:rsid w:val="007713EB"/>
    <w:rsid w:val="00771AFE"/>
    <w:rsid w:val="00773590"/>
    <w:rsid w:val="00785385"/>
    <w:rsid w:val="00785FCE"/>
    <w:rsid w:val="00786274"/>
    <w:rsid w:val="00786B59"/>
    <w:rsid w:val="00791886"/>
    <w:rsid w:val="007A34AC"/>
    <w:rsid w:val="007A4D74"/>
    <w:rsid w:val="007A5116"/>
    <w:rsid w:val="007B2B18"/>
    <w:rsid w:val="007B4BA2"/>
    <w:rsid w:val="007D0B35"/>
    <w:rsid w:val="007D1D09"/>
    <w:rsid w:val="007D61F1"/>
    <w:rsid w:val="007E3927"/>
    <w:rsid w:val="007F3B3A"/>
    <w:rsid w:val="00800630"/>
    <w:rsid w:val="00803074"/>
    <w:rsid w:val="00803B72"/>
    <w:rsid w:val="00806023"/>
    <w:rsid w:val="00807525"/>
    <w:rsid w:val="00812B8A"/>
    <w:rsid w:val="00813226"/>
    <w:rsid w:val="008134A2"/>
    <w:rsid w:val="00817479"/>
    <w:rsid w:val="0082201F"/>
    <w:rsid w:val="008274A0"/>
    <w:rsid w:val="008328E6"/>
    <w:rsid w:val="00833BFF"/>
    <w:rsid w:val="008360F1"/>
    <w:rsid w:val="008472F2"/>
    <w:rsid w:val="0084757D"/>
    <w:rsid w:val="00850705"/>
    <w:rsid w:val="00853B22"/>
    <w:rsid w:val="008565D3"/>
    <w:rsid w:val="00857CEA"/>
    <w:rsid w:val="00861423"/>
    <w:rsid w:val="00863041"/>
    <w:rsid w:val="008668DB"/>
    <w:rsid w:val="00870552"/>
    <w:rsid w:val="00870A02"/>
    <w:rsid w:val="00874FBE"/>
    <w:rsid w:val="00876836"/>
    <w:rsid w:val="00883253"/>
    <w:rsid w:val="008857E8"/>
    <w:rsid w:val="008930BC"/>
    <w:rsid w:val="00893587"/>
    <w:rsid w:val="00895760"/>
    <w:rsid w:val="008964BF"/>
    <w:rsid w:val="008A0CA5"/>
    <w:rsid w:val="008A3A4A"/>
    <w:rsid w:val="008A4B7E"/>
    <w:rsid w:val="008B0272"/>
    <w:rsid w:val="008B1EA7"/>
    <w:rsid w:val="008B65CA"/>
    <w:rsid w:val="008B6B81"/>
    <w:rsid w:val="008B77AD"/>
    <w:rsid w:val="008C019A"/>
    <w:rsid w:val="008C40AB"/>
    <w:rsid w:val="008C68D6"/>
    <w:rsid w:val="008C6BEF"/>
    <w:rsid w:val="008D2558"/>
    <w:rsid w:val="008D6983"/>
    <w:rsid w:val="008E1D70"/>
    <w:rsid w:val="008E33D8"/>
    <w:rsid w:val="008E3860"/>
    <w:rsid w:val="008E5D9C"/>
    <w:rsid w:val="008F60E5"/>
    <w:rsid w:val="008F6BD3"/>
    <w:rsid w:val="00910DCA"/>
    <w:rsid w:val="00912243"/>
    <w:rsid w:val="00912326"/>
    <w:rsid w:val="00915CEF"/>
    <w:rsid w:val="00916DC4"/>
    <w:rsid w:val="009230E4"/>
    <w:rsid w:val="009304C5"/>
    <w:rsid w:val="00933994"/>
    <w:rsid w:val="00935171"/>
    <w:rsid w:val="0094033B"/>
    <w:rsid w:val="009475D0"/>
    <w:rsid w:val="009516F9"/>
    <w:rsid w:val="00962EC3"/>
    <w:rsid w:val="009639DE"/>
    <w:rsid w:val="00966202"/>
    <w:rsid w:val="0097031D"/>
    <w:rsid w:val="00973569"/>
    <w:rsid w:val="009754DE"/>
    <w:rsid w:val="00977F2E"/>
    <w:rsid w:val="00981161"/>
    <w:rsid w:val="00982FAF"/>
    <w:rsid w:val="00991DA0"/>
    <w:rsid w:val="00992C16"/>
    <w:rsid w:val="00997432"/>
    <w:rsid w:val="009A08FD"/>
    <w:rsid w:val="009A1B49"/>
    <w:rsid w:val="009A3D68"/>
    <w:rsid w:val="009A6CC4"/>
    <w:rsid w:val="009C3840"/>
    <w:rsid w:val="009C6D99"/>
    <w:rsid w:val="009C72C4"/>
    <w:rsid w:val="009C7A7B"/>
    <w:rsid w:val="009D3C67"/>
    <w:rsid w:val="009D3CA7"/>
    <w:rsid w:val="009D484B"/>
    <w:rsid w:val="009E1B8B"/>
    <w:rsid w:val="009E4BB0"/>
    <w:rsid w:val="009F0555"/>
    <w:rsid w:val="009F1645"/>
    <w:rsid w:val="009F2E18"/>
    <w:rsid w:val="009F32EE"/>
    <w:rsid w:val="009F7310"/>
    <w:rsid w:val="00A00188"/>
    <w:rsid w:val="00A00390"/>
    <w:rsid w:val="00A01214"/>
    <w:rsid w:val="00A02CB7"/>
    <w:rsid w:val="00A118B6"/>
    <w:rsid w:val="00A20AB3"/>
    <w:rsid w:val="00A23785"/>
    <w:rsid w:val="00A31394"/>
    <w:rsid w:val="00A405BF"/>
    <w:rsid w:val="00A41002"/>
    <w:rsid w:val="00A420CF"/>
    <w:rsid w:val="00A45CD5"/>
    <w:rsid w:val="00A50449"/>
    <w:rsid w:val="00A520D9"/>
    <w:rsid w:val="00A57160"/>
    <w:rsid w:val="00A64845"/>
    <w:rsid w:val="00A65F5B"/>
    <w:rsid w:val="00A734C1"/>
    <w:rsid w:val="00A741E1"/>
    <w:rsid w:val="00A74D49"/>
    <w:rsid w:val="00A7678A"/>
    <w:rsid w:val="00A814FE"/>
    <w:rsid w:val="00A94FE2"/>
    <w:rsid w:val="00A958FF"/>
    <w:rsid w:val="00A97092"/>
    <w:rsid w:val="00AA03FE"/>
    <w:rsid w:val="00AA14DC"/>
    <w:rsid w:val="00AA1C5B"/>
    <w:rsid w:val="00AA2527"/>
    <w:rsid w:val="00AA39FA"/>
    <w:rsid w:val="00AA476F"/>
    <w:rsid w:val="00AB080C"/>
    <w:rsid w:val="00AB4664"/>
    <w:rsid w:val="00AB644A"/>
    <w:rsid w:val="00AB6787"/>
    <w:rsid w:val="00AB6868"/>
    <w:rsid w:val="00AB7B62"/>
    <w:rsid w:val="00AC1142"/>
    <w:rsid w:val="00AC375E"/>
    <w:rsid w:val="00AC3EBC"/>
    <w:rsid w:val="00AC4CD5"/>
    <w:rsid w:val="00AD07F4"/>
    <w:rsid w:val="00AD3A98"/>
    <w:rsid w:val="00AD5594"/>
    <w:rsid w:val="00AD5A6B"/>
    <w:rsid w:val="00AE013E"/>
    <w:rsid w:val="00AE2806"/>
    <w:rsid w:val="00AE2EC0"/>
    <w:rsid w:val="00AF1D34"/>
    <w:rsid w:val="00AF2351"/>
    <w:rsid w:val="00AF390A"/>
    <w:rsid w:val="00AF44F1"/>
    <w:rsid w:val="00AF55CF"/>
    <w:rsid w:val="00AF6783"/>
    <w:rsid w:val="00AF6C30"/>
    <w:rsid w:val="00B12F3E"/>
    <w:rsid w:val="00B171A5"/>
    <w:rsid w:val="00B20296"/>
    <w:rsid w:val="00B21B8D"/>
    <w:rsid w:val="00B223C4"/>
    <w:rsid w:val="00B260F2"/>
    <w:rsid w:val="00B404B6"/>
    <w:rsid w:val="00B40B72"/>
    <w:rsid w:val="00B45DE3"/>
    <w:rsid w:val="00B5046D"/>
    <w:rsid w:val="00B65696"/>
    <w:rsid w:val="00B859D9"/>
    <w:rsid w:val="00B86D94"/>
    <w:rsid w:val="00B92CA4"/>
    <w:rsid w:val="00B9524D"/>
    <w:rsid w:val="00B954FC"/>
    <w:rsid w:val="00B97262"/>
    <w:rsid w:val="00B97E45"/>
    <w:rsid w:val="00BA2344"/>
    <w:rsid w:val="00BA3E7C"/>
    <w:rsid w:val="00BA60D9"/>
    <w:rsid w:val="00BA78DE"/>
    <w:rsid w:val="00BB2EC2"/>
    <w:rsid w:val="00BB3F48"/>
    <w:rsid w:val="00BD20B5"/>
    <w:rsid w:val="00BD3CE8"/>
    <w:rsid w:val="00BD3E3F"/>
    <w:rsid w:val="00BD5625"/>
    <w:rsid w:val="00BE2F94"/>
    <w:rsid w:val="00BE3185"/>
    <w:rsid w:val="00BE352F"/>
    <w:rsid w:val="00BE50E8"/>
    <w:rsid w:val="00BE5B9B"/>
    <w:rsid w:val="00BF28F6"/>
    <w:rsid w:val="00BF2BBE"/>
    <w:rsid w:val="00BF3407"/>
    <w:rsid w:val="00BF6281"/>
    <w:rsid w:val="00BF66AA"/>
    <w:rsid w:val="00C00CFE"/>
    <w:rsid w:val="00C04068"/>
    <w:rsid w:val="00C13A15"/>
    <w:rsid w:val="00C175F3"/>
    <w:rsid w:val="00C2277D"/>
    <w:rsid w:val="00C24258"/>
    <w:rsid w:val="00C31D1C"/>
    <w:rsid w:val="00C32611"/>
    <w:rsid w:val="00C32E4B"/>
    <w:rsid w:val="00C33808"/>
    <w:rsid w:val="00C34C01"/>
    <w:rsid w:val="00C3732E"/>
    <w:rsid w:val="00C46496"/>
    <w:rsid w:val="00C542FA"/>
    <w:rsid w:val="00C543F2"/>
    <w:rsid w:val="00C544B2"/>
    <w:rsid w:val="00C649A7"/>
    <w:rsid w:val="00C72A08"/>
    <w:rsid w:val="00C73E7E"/>
    <w:rsid w:val="00C779E3"/>
    <w:rsid w:val="00C9302C"/>
    <w:rsid w:val="00C94896"/>
    <w:rsid w:val="00C9550E"/>
    <w:rsid w:val="00C95BB3"/>
    <w:rsid w:val="00CA64A6"/>
    <w:rsid w:val="00CA776D"/>
    <w:rsid w:val="00CB0B35"/>
    <w:rsid w:val="00CB117E"/>
    <w:rsid w:val="00CC32E7"/>
    <w:rsid w:val="00CC7104"/>
    <w:rsid w:val="00CC7910"/>
    <w:rsid w:val="00CC7E54"/>
    <w:rsid w:val="00CD27DB"/>
    <w:rsid w:val="00CD4330"/>
    <w:rsid w:val="00CD4E8F"/>
    <w:rsid w:val="00CD522C"/>
    <w:rsid w:val="00CD7AE5"/>
    <w:rsid w:val="00CD7DB6"/>
    <w:rsid w:val="00CE1DF3"/>
    <w:rsid w:val="00CE2AF7"/>
    <w:rsid w:val="00CE42BF"/>
    <w:rsid w:val="00CE5823"/>
    <w:rsid w:val="00CE7F5B"/>
    <w:rsid w:val="00CF239C"/>
    <w:rsid w:val="00CF26C8"/>
    <w:rsid w:val="00D0180F"/>
    <w:rsid w:val="00D02F00"/>
    <w:rsid w:val="00D07413"/>
    <w:rsid w:val="00D17223"/>
    <w:rsid w:val="00D26252"/>
    <w:rsid w:val="00D27D93"/>
    <w:rsid w:val="00D30BB0"/>
    <w:rsid w:val="00D313C7"/>
    <w:rsid w:val="00D328AA"/>
    <w:rsid w:val="00D32C1A"/>
    <w:rsid w:val="00D336DC"/>
    <w:rsid w:val="00D356A3"/>
    <w:rsid w:val="00D36693"/>
    <w:rsid w:val="00D452EE"/>
    <w:rsid w:val="00D51047"/>
    <w:rsid w:val="00D5149C"/>
    <w:rsid w:val="00D5151F"/>
    <w:rsid w:val="00D612D7"/>
    <w:rsid w:val="00D623EB"/>
    <w:rsid w:val="00D62CBF"/>
    <w:rsid w:val="00D65A1C"/>
    <w:rsid w:val="00D70362"/>
    <w:rsid w:val="00D74907"/>
    <w:rsid w:val="00D75FC5"/>
    <w:rsid w:val="00D87D17"/>
    <w:rsid w:val="00D90CA2"/>
    <w:rsid w:val="00D91001"/>
    <w:rsid w:val="00D933D4"/>
    <w:rsid w:val="00DA4504"/>
    <w:rsid w:val="00DB2D0A"/>
    <w:rsid w:val="00DB68CA"/>
    <w:rsid w:val="00DC3F3F"/>
    <w:rsid w:val="00DC4EEA"/>
    <w:rsid w:val="00DC5FFE"/>
    <w:rsid w:val="00DC65A9"/>
    <w:rsid w:val="00DE2B76"/>
    <w:rsid w:val="00DE6AD6"/>
    <w:rsid w:val="00DF5E83"/>
    <w:rsid w:val="00E026B5"/>
    <w:rsid w:val="00E03C9B"/>
    <w:rsid w:val="00E05941"/>
    <w:rsid w:val="00E07BBE"/>
    <w:rsid w:val="00E10DDF"/>
    <w:rsid w:val="00E134A3"/>
    <w:rsid w:val="00E142C6"/>
    <w:rsid w:val="00E20D1E"/>
    <w:rsid w:val="00E21D08"/>
    <w:rsid w:val="00E220F7"/>
    <w:rsid w:val="00E22772"/>
    <w:rsid w:val="00E245D2"/>
    <w:rsid w:val="00E26191"/>
    <w:rsid w:val="00E302FD"/>
    <w:rsid w:val="00E33709"/>
    <w:rsid w:val="00E34D0A"/>
    <w:rsid w:val="00E359F8"/>
    <w:rsid w:val="00E35B65"/>
    <w:rsid w:val="00E46987"/>
    <w:rsid w:val="00E476E5"/>
    <w:rsid w:val="00E5136D"/>
    <w:rsid w:val="00E52514"/>
    <w:rsid w:val="00E61359"/>
    <w:rsid w:val="00E674E3"/>
    <w:rsid w:val="00E67EE8"/>
    <w:rsid w:val="00E70B6A"/>
    <w:rsid w:val="00E71A8C"/>
    <w:rsid w:val="00E733FE"/>
    <w:rsid w:val="00E80DEA"/>
    <w:rsid w:val="00E84E27"/>
    <w:rsid w:val="00E9053F"/>
    <w:rsid w:val="00E90775"/>
    <w:rsid w:val="00E94BE5"/>
    <w:rsid w:val="00EA2D5C"/>
    <w:rsid w:val="00EA5972"/>
    <w:rsid w:val="00EB2053"/>
    <w:rsid w:val="00EB2561"/>
    <w:rsid w:val="00EB2AB3"/>
    <w:rsid w:val="00EB2C39"/>
    <w:rsid w:val="00EB459D"/>
    <w:rsid w:val="00EB5762"/>
    <w:rsid w:val="00ED413D"/>
    <w:rsid w:val="00ED637E"/>
    <w:rsid w:val="00EE1A10"/>
    <w:rsid w:val="00EE1A3B"/>
    <w:rsid w:val="00EE31D6"/>
    <w:rsid w:val="00EF48F1"/>
    <w:rsid w:val="00EF6200"/>
    <w:rsid w:val="00F00DBA"/>
    <w:rsid w:val="00F10B5B"/>
    <w:rsid w:val="00F1105C"/>
    <w:rsid w:val="00F12644"/>
    <w:rsid w:val="00F21C2C"/>
    <w:rsid w:val="00F225A0"/>
    <w:rsid w:val="00F237D7"/>
    <w:rsid w:val="00F257A8"/>
    <w:rsid w:val="00F323F1"/>
    <w:rsid w:val="00F341EF"/>
    <w:rsid w:val="00F357CA"/>
    <w:rsid w:val="00F360B7"/>
    <w:rsid w:val="00F41ADA"/>
    <w:rsid w:val="00F4218F"/>
    <w:rsid w:val="00F51356"/>
    <w:rsid w:val="00F5460B"/>
    <w:rsid w:val="00F57235"/>
    <w:rsid w:val="00F632E2"/>
    <w:rsid w:val="00F71732"/>
    <w:rsid w:val="00F72ACC"/>
    <w:rsid w:val="00F739D7"/>
    <w:rsid w:val="00F7576A"/>
    <w:rsid w:val="00F818A6"/>
    <w:rsid w:val="00F83CE1"/>
    <w:rsid w:val="00F8575A"/>
    <w:rsid w:val="00F85C58"/>
    <w:rsid w:val="00F91911"/>
    <w:rsid w:val="00F95E6C"/>
    <w:rsid w:val="00F97E87"/>
    <w:rsid w:val="00FA36BA"/>
    <w:rsid w:val="00FA4565"/>
    <w:rsid w:val="00FA471B"/>
    <w:rsid w:val="00FA5F03"/>
    <w:rsid w:val="00FA6365"/>
    <w:rsid w:val="00FA72AE"/>
    <w:rsid w:val="00FB1B83"/>
    <w:rsid w:val="00FB43B0"/>
    <w:rsid w:val="00FB7859"/>
    <w:rsid w:val="00FC074D"/>
    <w:rsid w:val="00FC19F0"/>
    <w:rsid w:val="00FC2AEB"/>
    <w:rsid w:val="00FC2F48"/>
    <w:rsid w:val="00FC4450"/>
    <w:rsid w:val="00FC5052"/>
    <w:rsid w:val="00FC66EA"/>
    <w:rsid w:val="00FD0373"/>
    <w:rsid w:val="00FD1B57"/>
    <w:rsid w:val="00FD5294"/>
    <w:rsid w:val="00FD58D5"/>
    <w:rsid w:val="00FE09BF"/>
    <w:rsid w:val="00FE7D8C"/>
    <w:rsid w:val="00FF2560"/>
    <w:rsid w:val="00FF2B58"/>
    <w:rsid w:val="00FF4442"/>
    <w:rsid w:val="00FF51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D9F57E-D0B5-4CF8-BB6A-E5945289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E5"/>
    <w:pPr>
      <w:widowControl w:val="0"/>
    </w:pPr>
    <w:rPr>
      <w:kern w:val="2"/>
      <w:sz w:val="24"/>
    </w:rPr>
  </w:style>
  <w:style w:type="paragraph" w:styleId="1">
    <w:name w:val="heading 1"/>
    <w:basedOn w:val="a"/>
    <w:next w:val="a"/>
    <w:link w:val="10"/>
    <w:qFormat/>
    <w:rsid w:val="00EB459D"/>
    <w:pPr>
      <w:keepNext/>
      <w:adjustRightInd w:val="0"/>
      <w:spacing w:afterLines="25" w:after="90" w:line="360" w:lineRule="exact"/>
      <w:jc w:val="center"/>
      <w:textAlignment w:val="baseline"/>
      <w:outlineLvl w:val="0"/>
    </w:pPr>
    <w:rPr>
      <w:rFonts w:eastAsia="標楷體" w:hAnsi="Arial"/>
      <w:b/>
      <w:bCs/>
      <w:w w:val="67"/>
      <w:kern w:val="0"/>
      <w:sz w:val="32"/>
      <w:szCs w:val="32"/>
      <w:fitText w:val="10319" w:id="-3807749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sz w:val="28"/>
    </w:rPr>
  </w:style>
  <w:style w:type="paragraph" w:styleId="a5">
    <w:name w:val="Body Text Indent"/>
    <w:basedOn w:val="a"/>
    <w:link w:val="a6"/>
    <w:semiHidden/>
    <w:pPr>
      <w:ind w:left="648" w:hanging="648"/>
    </w:pPr>
    <w:rPr>
      <w:rFonts w:ascii="標楷體" w:eastAsia="標楷體"/>
      <w:sz w:val="28"/>
    </w:rPr>
  </w:style>
  <w:style w:type="paragraph" w:styleId="2">
    <w:name w:val="Body Text Indent 2"/>
    <w:basedOn w:val="a"/>
    <w:link w:val="20"/>
    <w:uiPriority w:val="99"/>
    <w:semiHidden/>
    <w:pPr>
      <w:ind w:firstLine="482"/>
    </w:pPr>
    <w:rPr>
      <w:rFonts w:ascii="標楷體" w:eastAsia="標楷體"/>
      <w:b/>
      <w:sz w:val="28"/>
      <w:u w:val="single"/>
    </w:rPr>
  </w:style>
  <w:style w:type="paragraph" w:styleId="3">
    <w:name w:val="Body Text Indent 3"/>
    <w:basedOn w:val="a"/>
    <w:link w:val="30"/>
    <w:semiHidden/>
    <w:pPr>
      <w:ind w:left="528" w:hanging="528"/>
    </w:pPr>
    <w:rPr>
      <w:rFonts w:ascii="新細明體"/>
    </w:rPr>
  </w:style>
  <w:style w:type="paragraph" w:styleId="a7">
    <w:name w:val="footer"/>
    <w:basedOn w:val="a"/>
    <w:link w:val="a8"/>
    <w:pPr>
      <w:tabs>
        <w:tab w:val="center" w:pos="4153"/>
        <w:tab w:val="right" w:pos="8306"/>
      </w:tabs>
      <w:snapToGrid w:val="0"/>
    </w:pPr>
    <w:rPr>
      <w:sz w:val="20"/>
    </w:rPr>
  </w:style>
  <w:style w:type="character" w:styleId="a9">
    <w:name w:val="page number"/>
    <w:basedOn w:val="a0"/>
    <w:semiHidden/>
  </w:style>
  <w:style w:type="paragraph" w:styleId="21">
    <w:name w:val="Body Text 2"/>
    <w:basedOn w:val="a"/>
    <w:link w:val="22"/>
    <w:semiHidden/>
    <w:rPr>
      <w:rFonts w:ascii="新細明體"/>
      <w:b/>
      <w:color w:val="000000"/>
      <w:sz w:val="4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paragraph" w:styleId="31">
    <w:name w:val="Body Text 3"/>
    <w:basedOn w:val="a"/>
    <w:semiHidden/>
    <w:pPr>
      <w:jc w:val="both"/>
    </w:pPr>
    <w:rPr>
      <w:rFonts w:ascii="新細明體" w:hAnsi="新細明體"/>
      <w:bCs/>
    </w:rPr>
  </w:style>
  <w:style w:type="paragraph" w:styleId="aa">
    <w:name w:val="header"/>
    <w:basedOn w:val="a"/>
    <w:link w:val="ab"/>
    <w:uiPriority w:val="99"/>
    <w:pPr>
      <w:tabs>
        <w:tab w:val="center" w:pos="4153"/>
        <w:tab w:val="right" w:pos="8306"/>
      </w:tabs>
      <w:snapToGrid w:val="0"/>
    </w:pPr>
    <w:rPr>
      <w:sz w:val="20"/>
    </w:rPr>
  </w:style>
  <w:style w:type="character" w:customStyle="1" w:styleId="HTML0">
    <w:name w:val="HTML 預設格式 字元"/>
    <w:link w:val="HTML"/>
    <w:uiPriority w:val="99"/>
    <w:rsid w:val="00DB2D0A"/>
    <w:rPr>
      <w:rFonts w:ascii="Arial Unicode MS" w:eastAsia="Arial Unicode MS" w:hAnsi="Arial Unicode MS" w:cs="Arial Unicode MS"/>
      <w:color w:val="333333"/>
    </w:rPr>
  </w:style>
  <w:style w:type="paragraph" w:customStyle="1" w:styleId="Char">
    <w:name w:val="字元 字元 Char"/>
    <w:basedOn w:val="a"/>
    <w:rsid w:val="006A7AA0"/>
    <w:pPr>
      <w:widowControl/>
      <w:spacing w:after="160" w:line="240" w:lineRule="exact"/>
    </w:pPr>
    <w:rPr>
      <w:rFonts w:ascii="Arial" w:eastAsia="Times New Roman" w:hAnsi="Arial" w:cs="Arial"/>
      <w:kern w:val="0"/>
      <w:sz w:val="20"/>
      <w:lang w:eastAsia="en-US"/>
    </w:rPr>
  </w:style>
  <w:style w:type="paragraph" w:styleId="ac">
    <w:name w:val="Balloon Text"/>
    <w:basedOn w:val="a"/>
    <w:link w:val="ad"/>
    <w:uiPriority w:val="99"/>
    <w:semiHidden/>
    <w:unhideWhenUsed/>
    <w:rsid w:val="001C102E"/>
    <w:rPr>
      <w:rFonts w:ascii="Cambria" w:hAnsi="Cambria"/>
      <w:sz w:val="18"/>
      <w:szCs w:val="18"/>
    </w:rPr>
  </w:style>
  <w:style w:type="character" w:customStyle="1" w:styleId="ad">
    <w:name w:val="註解方塊文字 字元"/>
    <w:link w:val="ac"/>
    <w:uiPriority w:val="99"/>
    <w:semiHidden/>
    <w:rsid w:val="001C102E"/>
    <w:rPr>
      <w:rFonts w:ascii="Cambria" w:eastAsia="新細明體" w:hAnsi="Cambria" w:cs="Times New Roman"/>
      <w:kern w:val="2"/>
      <w:sz w:val="18"/>
      <w:szCs w:val="18"/>
    </w:rPr>
  </w:style>
  <w:style w:type="character" w:customStyle="1" w:styleId="10">
    <w:name w:val="標題 1 字元"/>
    <w:link w:val="1"/>
    <w:rsid w:val="00EB459D"/>
    <w:rPr>
      <w:rFonts w:eastAsia="標楷體" w:hAnsi="Arial"/>
      <w:b/>
      <w:bCs/>
      <w:w w:val="67"/>
      <w:sz w:val="32"/>
      <w:szCs w:val="32"/>
      <w:fitText w:val="10319" w:id="-380774912"/>
    </w:rPr>
  </w:style>
  <w:style w:type="character" w:customStyle="1" w:styleId="ab">
    <w:name w:val="頁首 字元"/>
    <w:link w:val="aa"/>
    <w:uiPriority w:val="99"/>
    <w:rsid w:val="00EB459D"/>
    <w:rPr>
      <w:kern w:val="2"/>
    </w:rPr>
  </w:style>
  <w:style w:type="character" w:customStyle="1" w:styleId="a8">
    <w:name w:val="頁尾 字元"/>
    <w:link w:val="a7"/>
    <w:rsid w:val="00EB459D"/>
    <w:rPr>
      <w:kern w:val="2"/>
    </w:rPr>
  </w:style>
  <w:style w:type="paragraph" w:styleId="Web">
    <w:name w:val="Normal (Web)"/>
    <w:basedOn w:val="a"/>
    <w:semiHidden/>
    <w:rsid w:val="00EB459D"/>
    <w:pPr>
      <w:widowControl/>
      <w:spacing w:before="100" w:beforeAutospacing="1" w:after="100" w:afterAutospacing="1"/>
    </w:pPr>
    <w:rPr>
      <w:rFonts w:ascii="新細明體" w:hAnsi="新細明體"/>
      <w:kern w:val="0"/>
      <w:szCs w:val="24"/>
    </w:rPr>
  </w:style>
  <w:style w:type="character" w:styleId="ae">
    <w:name w:val="Hyperlink"/>
    <w:uiPriority w:val="99"/>
    <w:unhideWhenUsed/>
    <w:rsid w:val="00EB459D"/>
    <w:rPr>
      <w:color w:val="003366"/>
      <w:u w:val="single"/>
    </w:rPr>
  </w:style>
  <w:style w:type="paragraph" w:styleId="af">
    <w:name w:val="List Paragraph"/>
    <w:basedOn w:val="a"/>
    <w:uiPriority w:val="34"/>
    <w:qFormat/>
    <w:rsid w:val="00EB459D"/>
    <w:pPr>
      <w:ind w:leftChars="200" w:left="480"/>
    </w:pPr>
    <w:rPr>
      <w:rFonts w:ascii="Calibri" w:hAnsi="Calibri"/>
      <w:szCs w:val="22"/>
    </w:rPr>
  </w:style>
  <w:style w:type="table" w:styleId="af0">
    <w:name w:val="Table Grid"/>
    <w:basedOn w:val="a1"/>
    <w:uiPriority w:val="59"/>
    <w:rsid w:val="00EB45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本文縮排 3 字元"/>
    <w:link w:val="3"/>
    <w:semiHidden/>
    <w:rsid w:val="00EB459D"/>
    <w:rPr>
      <w:rFonts w:ascii="新細明體"/>
      <w:kern w:val="2"/>
      <w:sz w:val="24"/>
    </w:rPr>
  </w:style>
  <w:style w:type="character" w:customStyle="1" w:styleId="a6">
    <w:name w:val="本文縮排 字元"/>
    <w:link w:val="a5"/>
    <w:semiHidden/>
    <w:rsid w:val="00EB459D"/>
    <w:rPr>
      <w:rFonts w:ascii="標楷體" w:eastAsia="標楷體"/>
      <w:kern w:val="2"/>
      <w:sz w:val="28"/>
    </w:rPr>
  </w:style>
  <w:style w:type="character" w:customStyle="1" w:styleId="22">
    <w:name w:val="本文 2 字元"/>
    <w:link w:val="21"/>
    <w:semiHidden/>
    <w:rsid w:val="00EB459D"/>
    <w:rPr>
      <w:rFonts w:ascii="新細明體"/>
      <w:b/>
      <w:color w:val="000000"/>
      <w:kern w:val="2"/>
      <w:sz w:val="40"/>
    </w:rPr>
  </w:style>
  <w:style w:type="paragraph" w:styleId="af1">
    <w:name w:val="endnote text"/>
    <w:basedOn w:val="a"/>
    <w:link w:val="af2"/>
    <w:uiPriority w:val="99"/>
    <w:semiHidden/>
    <w:unhideWhenUsed/>
    <w:rsid w:val="00EB459D"/>
    <w:pPr>
      <w:snapToGrid w:val="0"/>
    </w:pPr>
    <w:rPr>
      <w:rFonts w:ascii="Calibri" w:hAnsi="Calibri"/>
      <w:szCs w:val="22"/>
    </w:rPr>
  </w:style>
  <w:style w:type="character" w:customStyle="1" w:styleId="af2">
    <w:name w:val="章節附註文字 字元"/>
    <w:link w:val="af1"/>
    <w:uiPriority w:val="99"/>
    <w:semiHidden/>
    <w:rsid w:val="00EB459D"/>
    <w:rPr>
      <w:rFonts w:ascii="Calibri" w:hAnsi="Calibri"/>
      <w:kern w:val="2"/>
      <w:sz w:val="24"/>
      <w:szCs w:val="22"/>
    </w:rPr>
  </w:style>
  <w:style w:type="character" w:styleId="af3">
    <w:name w:val="endnote reference"/>
    <w:uiPriority w:val="99"/>
    <w:semiHidden/>
    <w:unhideWhenUsed/>
    <w:rsid w:val="00EB459D"/>
    <w:rPr>
      <w:vertAlign w:val="superscript"/>
    </w:rPr>
  </w:style>
  <w:style w:type="paragraph" w:styleId="af4">
    <w:name w:val="TOC Heading"/>
    <w:basedOn w:val="1"/>
    <w:next w:val="a"/>
    <w:uiPriority w:val="39"/>
    <w:qFormat/>
    <w:rsid w:val="00EB459D"/>
    <w:pPr>
      <w:keepLines/>
      <w:widowControl/>
      <w:adjustRightInd/>
      <w:spacing w:before="480" w:afterLines="0" w:after="0" w:line="276" w:lineRule="auto"/>
      <w:jc w:val="left"/>
      <w:textAlignment w:val="auto"/>
      <w:outlineLvl w:val="9"/>
    </w:pPr>
    <w:rPr>
      <w:rFonts w:ascii="Cambria" w:eastAsia="新細明體" w:hAnsi="Cambria"/>
      <w:color w:val="365F91"/>
      <w:w w:val="100"/>
      <w:sz w:val="28"/>
      <w:szCs w:val="28"/>
    </w:rPr>
  </w:style>
  <w:style w:type="paragraph" w:styleId="11">
    <w:name w:val="toc 1"/>
    <w:basedOn w:val="a"/>
    <w:next w:val="a"/>
    <w:autoRedefine/>
    <w:uiPriority w:val="39"/>
    <w:unhideWhenUsed/>
    <w:rsid w:val="00EB459D"/>
    <w:pPr>
      <w:tabs>
        <w:tab w:val="right" w:leader="dot" w:pos="10206"/>
      </w:tabs>
      <w:spacing w:afterLines="70" w:after="252" w:line="440" w:lineRule="exact"/>
      <w:ind w:left="1013" w:rightChars="259" w:right="622" w:hangingChars="281" w:hanging="1013"/>
    </w:pPr>
    <w:rPr>
      <w:rFonts w:ascii="標楷體" w:eastAsia="標楷體" w:hAnsi="標楷體"/>
      <w:b/>
      <w:noProof/>
      <w:sz w:val="28"/>
      <w:szCs w:val="28"/>
    </w:rPr>
  </w:style>
  <w:style w:type="paragraph" w:styleId="af5">
    <w:name w:val="Block Text"/>
    <w:basedOn w:val="a"/>
    <w:rsid w:val="00EB459D"/>
    <w:pPr>
      <w:spacing w:line="360" w:lineRule="atLeast"/>
      <w:ind w:left="1140" w:right="57" w:hanging="480"/>
      <w:jc w:val="both"/>
      <w:textAlignment w:val="center"/>
    </w:pPr>
    <w:rPr>
      <w:rFonts w:eastAsia="標楷體"/>
      <w:bCs/>
    </w:rPr>
  </w:style>
  <w:style w:type="character" w:customStyle="1" w:styleId="20">
    <w:name w:val="本文縮排 2 字元"/>
    <w:link w:val="2"/>
    <w:uiPriority w:val="99"/>
    <w:semiHidden/>
    <w:rsid w:val="00EB459D"/>
    <w:rPr>
      <w:rFonts w:ascii="標楷體" w:eastAsia="標楷體"/>
      <w:b/>
      <w:kern w:val="2"/>
      <w:sz w:val="28"/>
      <w:u w:val="single"/>
    </w:rPr>
  </w:style>
  <w:style w:type="character" w:customStyle="1" w:styleId="a4">
    <w:name w:val="本文 字元"/>
    <w:link w:val="a3"/>
    <w:uiPriority w:val="99"/>
    <w:semiHidden/>
    <w:rsid w:val="00EB459D"/>
    <w:rPr>
      <w:kern w:val="2"/>
      <w:sz w:val="28"/>
    </w:rPr>
  </w:style>
  <w:style w:type="paragraph" w:customStyle="1" w:styleId="af6">
    <w:name w:val="條文二十一之一、"/>
    <w:basedOn w:val="a"/>
    <w:rsid w:val="00EB459D"/>
    <w:pPr>
      <w:kinsoku w:val="0"/>
      <w:adjustRightInd w:val="0"/>
      <w:spacing w:line="500" w:lineRule="atLeast"/>
      <w:ind w:left="2552" w:hanging="567"/>
      <w:jc w:val="both"/>
      <w:textAlignment w:val="baseline"/>
    </w:pPr>
    <w:rPr>
      <w:rFonts w:eastAsia="研澤楷書體"/>
      <w:spacing w:val="20"/>
      <w:kern w:val="0"/>
      <w:sz w:val="28"/>
    </w:rPr>
  </w:style>
  <w:style w:type="paragraph" w:customStyle="1" w:styleId="12">
    <w:name w:val="標題1"/>
    <w:basedOn w:val="a"/>
    <w:link w:val="13"/>
    <w:qFormat/>
    <w:rsid w:val="00EB459D"/>
    <w:pPr>
      <w:keepNext/>
      <w:spacing w:line="400" w:lineRule="exact"/>
      <w:jc w:val="center"/>
      <w:outlineLvl w:val="0"/>
    </w:pPr>
    <w:rPr>
      <w:rFonts w:ascii="標楷體" w:eastAsia="標楷體" w:hAnsi="標楷體"/>
      <w:b/>
      <w:bCs/>
      <w:kern w:val="52"/>
      <w:sz w:val="32"/>
      <w:szCs w:val="32"/>
      <w:lang w:val="x-none" w:eastAsia="x-none"/>
    </w:rPr>
  </w:style>
  <w:style w:type="character" w:customStyle="1" w:styleId="13">
    <w:name w:val="標題1 字元"/>
    <w:link w:val="12"/>
    <w:rsid w:val="00EB459D"/>
    <w:rPr>
      <w:rFonts w:ascii="標楷體" w:eastAsia="標楷體" w:hAnsi="標楷體"/>
      <w:b/>
      <w:bCs/>
      <w:kern w:val="5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7733-0045-4546-A8CE-A5B0E08E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799</Characters>
  <Application>Microsoft Office Word</Application>
  <DocSecurity>0</DocSecurity>
  <Lines>6</Lines>
  <Paragraphs>1</Paragraphs>
  <ScaleCrop>false</ScaleCrop>
  <Company>tsec</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證券商辦理有價證券買賣融資融券業務操作辦法</dc:title>
  <dc:subject/>
  <dc:creator>tsec</dc:creator>
  <cp:keywords/>
  <cp:lastModifiedBy>賴沼曄</cp:lastModifiedBy>
  <cp:revision>4</cp:revision>
  <cp:lastPrinted>2018-07-18T08:12:00Z</cp:lastPrinted>
  <dcterms:created xsi:type="dcterms:W3CDTF">2018-07-16T08:31:00Z</dcterms:created>
  <dcterms:modified xsi:type="dcterms:W3CDTF">2018-07-18T08:15:00Z</dcterms:modified>
</cp:coreProperties>
</file>