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4" w:rsidRDefault="00AE235F" w:rsidP="0046058C">
      <w:pPr>
        <w:ind w:leftChars="-177" w:left="123" w:hangingChars="152" w:hanging="548"/>
        <w:jc w:val="center"/>
        <w:rPr>
          <w:rFonts w:ascii="標楷體" w:eastAsia="標楷體" w:hAnsi="標楷體"/>
          <w:b/>
          <w:sz w:val="36"/>
        </w:rPr>
      </w:pPr>
      <w:r w:rsidRPr="00A23E8A">
        <w:rPr>
          <w:rFonts w:ascii="標楷體" w:eastAsia="標楷體" w:hAnsi="標楷體" w:hint="eastAsia"/>
          <w:b/>
          <w:sz w:val="36"/>
        </w:rPr>
        <w:t>證券商受託辦理定期定額買賣有價證券作業辦法</w:t>
      </w:r>
    </w:p>
    <w:p w:rsidR="00AE235F" w:rsidRPr="00A23E8A" w:rsidRDefault="00052092" w:rsidP="0046058C">
      <w:pPr>
        <w:ind w:leftChars="-177" w:left="123" w:hangingChars="152" w:hanging="548"/>
        <w:jc w:val="center"/>
        <w:rPr>
          <w:rFonts w:ascii="標楷體" w:eastAsia="標楷體" w:hAnsi="標楷體"/>
          <w:b/>
          <w:sz w:val="36"/>
        </w:rPr>
      </w:pPr>
      <w:r w:rsidRPr="00A23E8A">
        <w:rPr>
          <w:rFonts w:ascii="標楷體" w:eastAsia="標楷體" w:hAnsi="標楷體" w:hint="eastAsia"/>
          <w:b/>
          <w:sz w:val="36"/>
        </w:rPr>
        <w:t>第六條</w:t>
      </w:r>
      <w:r w:rsidR="00B71CFD" w:rsidRPr="00A23E8A">
        <w:rPr>
          <w:rFonts w:ascii="標楷體" w:eastAsia="標楷體" w:hAnsi="標楷體" w:hint="eastAsia"/>
          <w:b/>
          <w:sz w:val="36"/>
        </w:rPr>
        <w:t>及第九條</w:t>
      </w:r>
      <w:r w:rsidR="00AE235F" w:rsidRPr="00A23E8A">
        <w:rPr>
          <w:rFonts w:ascii="標楷體" w:eastAsia="標楷體" w:hAnsi="標楷體" w:hint="eastAsia"/>
          <w:b/>
          <w:sz w:val="36"/>
        </w:rPr>
        <w:t>修正</w:t>
      </w:r>
      <w:r w:rsidR="0046058C" w:rsidRPr="00A23E8A">
        <w:rPr>
          <w:rFonts w:ascii="標楷體" w:eastAsia="標楷體" w:hAnsi="標楷體" w:hint="eastAsia"/>
          <w:b/>
          <w:sz w:val="36"/>
        </w:rPr>
        <w:t>條文</w:t>
      </w:r>
      <w:r w:rsidR="003564A3" w:rsidRPr="00A23E8A">
        <w:rPr>
          <w:rFonts w:ascii="標楷體" w:eastAsia="標楷體" w:hAnsi="標楷體" w:hint="eastAsia"/>
          <w:b/>
          <w:sz w:val="36"/>
        </w:rPr>
        <w:t>對照表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3827"/>
        <w:gridCol w:w="2835"/>
      </w:tblGrid>
      <w:tr w:rsidR="00AE235F" w:rsidRPr="000865F7" w:rsidTr="00E45316">
        <w:tc>
          <w:tcPr>
            <w:tcW w:w="3828" w:type="dxa"/>
          </w:tcPr>
          <w:p w:rsidR="00AE235F" w:rsidRPr="000865F7" w:rsidRDefault="00AE235F" w:rsidP="009A54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3827" w:type="dxa"/>
          </w:tcPr>
          <w:p w:rsidR="00AE235F" w:rsidRPr="000865F7" w:rsidRDefault="00AE235F" w:rsidP="009A54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2835" w:type="dxa"/>
          </w:tcPr>
          <w:p w:rsidR="00AE235F" w:rsidRDefault="00D64A06" w:rsidP="009A54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745B7" w:rsidRPr="00C161B6" w:rsidTr="00E45316">
        <w:trPr>
          <w:trHeight w:val="1270"/>
        </w:trPr>
        <w:tc>
          <w:tcPr>
            <w:tcW w:w="3828" w:type="dxa"/>
          </w:tcPr>
          <w:p w:rsidR="00D745B7" w:rsidRDefault="00D745B7" w:rsidP="000B34CE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</w:p>
          <w:p w:rsidR="00D745B7" w:rsidRPr="000865F7" w:rsidRDefault="00D745B7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證券商辦理定期定額業務應與客戶訂定契約，契約應記載下列事項：</w:t>
            </w:r>
          </w:p>
          <w:p w:rsidR="00D745B7" w:rsidRPr="000865F7" w:rsidRDefault="00D745B7" w:rsidP="000B34CE">
            <w:pPr>
              <w:spacing w:line="440" w:lineRule="exact"/>
              <w:ind w:leftChars="21" w:left="89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一、投資標的。</w:t>
            </w:r>
          </w:p>
          <w:p w:rsidR="00D745B7" w:rsidRPr="000865F7" w:rsidRDefault="00D745B7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二、證券商依第三條規定之辦理方式。</w:t>
            </w:r>
          </w:p>
          <w:p w:rsidR="00D745B7" w:rsidRPr="000865F7" w:rsidRDefault="00D745B7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三、扣款日期、扣款方式及扣款金額之計算。</w:t>
            </w:r>
          </w:p>
          <w:p w:rsidR="00D745B7" w:rsidRPr="000865F7" w:rsidRDefault="00D745B7" w:rsidP="000B34CE">
            <w:pPr>
              <w:spacing w:line="440" w:lineRule="exact"/>
              <w:ind w:leftChars="21" w:left="89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四、客戶應負擔之費用。</w:t>
            </w:r>
          </w:p>
          <w:p w:rsidR="00D745B7" w:rsidRPr="000865F7" w:rsidRDefault="00D745B7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五、證券商買進</w:t>
            </w:r>
            <w:proofErr w:type="gramStart"/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足額之處理方式。</w:t>
            </w:r>
          </w:p>
          <w:p w:rsidR="00D745B7" w:rsidRPr="000865F7" w:rsidRDefault="00D745B7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六、契約之生效日期、契約變更與終止之處理方式。</w:t>
            </w:r>
          </w:p>
          <w:p w:rsidR="00D745B7" w:rsidRPr="000865F7" w:rsidRDefault="00D745B7" w:rsidP="000B34CE">
            <w:pPr>
              <w:spacing w:line="440" w:lineRule="exact"/>
              <w:ind w:leftChars="21" w:left="89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七、爭議事項之處理。</w:t>
            </w:r>
          </w:p>
          <w:p w:rsidR="00D745B7" w:rsidRDefault="00D745B7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證券商以經紀業務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辦理定期定額業務者，其契約範本由券商公會訂定；以財富管理業務方式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者，相關約定事項由證券商自行訂定。</w:t>
            </w:r>
          </w:p>
          <w:p w:rsidR="00B71CFD" w:rsidRPr="000B34CE" w:rsidRDefault="00C103CB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證券商之</w:t>
            </w:r>
            <w:r w:rsidR="0011014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客戶為</w:t>
            </w:r>
            <w:r w:rsidR="00F224A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證券投資信託事業</w:t>
            </w:r>
            <w:r w:rsidR="0011014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者，</w:t>
            </w:r>
            <w:r w:rsidR="00957C04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得</w:t>
            </w: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自行</w:t>
            </w:r>
            <w:r w:rsidR="0011014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訂</w:t>
            </w: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定</w:t>
            </w:r>
            <w:r w:rsidR="0011014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契約</w:t>
            </w: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11014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</w:t>
            </w:r>
            <w:r w:rsidR="00F224A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約定事項不受第一項</w:t>
            </w:r>
            <w:r w:rsidR="0011014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契約應記載事項及第二項契約範本內容關於定期定額</w:t>
            </w:r>
            <w:r w:rsidR="00F224A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之限制。</w:t>
            </w:r>
          </w:p>
          <w:p w:rsidR="000B34CE" w:rsidRDefault="000B34CE" w:rsidP="000B34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6724E" w:rsidRDefault="00D6724E" w:rsidP="000B34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4511" w:rsidRDefault="003A4816" w:rsidP="000B34CE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  <w:p w:rsidR="00294511" w:rsidRPr="00B831FD" w:rsidRDefault="00294511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56FDC">
              <w:rPr>
                <w:rFonts w:ascii="標楷體" w:eastAsia="標楷體" w:hAnsi="標楷體" w:cs="細明體" w:hint="eastAsia"/>
                <w:kern w:val="0"/>
                <w:sz w:val="28"/>
                <w:szCs w:val="24"/>
              </w:rPr>
              <w:t>證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券商辦理定期定額業務，得於其總公司開立調節專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戶，調節以定期定額綜合交易帳戶買進成交之有價證券數量。</w:t>
            </w:r>
          </w:p>
          <w:p w:rsidR="00294511" w:rsidRPr="00B831FD" w:rsidRDefault="00294511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證券商不得以前項調節專戶申報買進有價證券，僅得以定期定額綜合交易帳戶成交後申報分配買進有價證券。</w:t>
            </w:r>
          </w:p>
          <w:p w:rsidR="00294511" w:rsidRPr="00B831FD" w:rsidRDefault="00294511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證券商以定期定額綜合交易帳戶買進成交後，於分配同種類有價證券至調節專戶之數量僅得為零股，超逾數量應於成交日後次二營業日前以調節專戶進行轉賣。</w:t>
            </w:r>
          </w:p>
          <w:p w:rsidR="00294511" w:rsidRPr="00B831FD" w:rsidRDefault="00294511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證券商同時以經紀業務及財富管理業務方式辦理定期定額業務者，得分別開立調節專戶。</w:t>
            </w:r>
          </w:p>
          <w:p w:rsidR="00951913" w:rsidRPr="000B34CE" w:rsidRDefault="00957C04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34CE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證券商</w:t>
            </w:r>
            <w:r w:rsidR="00CB7677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依第六條第三項</w:t>
            </w:r>
            <w:r w:rsidR="00C103CB" w:rsidRPr="000B34CE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與</w:t>
            </w:r>
            <w:r w:rsidR="00C103CB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證券投資信託事業</w:t>
            </w:r>
            <w:r w:rsidR="00BA33BD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簽</w:t>
            </w:r>
            <w:r w:rsidR="002D0795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訂</w:t>
            </w:r>
            <w:r w:rsidR="00951913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契約</w:t>
            </w:r>
            <w:r w:rsidR="00CB7677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</w:t>
            </w:r>
            <w:r w:rsidR="00951913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，於</w:t>
            </w:r>
            <w:r w:rsidR="00BA33BD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受</w:t>
            </w: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託買賣</w:t>
            </w:r>
            <w:r w:rsidR="00BA33BD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客戶</w:t>
            </w:r>
            <w:r w:rsidR="00CB7677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自行</w:t>
            </w: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發行之指數股票型基金受益憑證時，</w:t>
            </w:r>
            <w:r w:rsidR="00CB7677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其得</w:t>
            </w:r>
            <w:r w:rsidR="00951913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調節</w:t>
            </w:r>
            <w:r w:rsidR="00CB7677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該有價證券</w:t>
            </w:r>
            <w:r w:rsidR="00951913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買進</w:t>
            </w:r>
            <w:r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成交數量至整數交易單位</w:t>
            </w:r>
            <w:r w:rsidR="00BA33BD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，不受定額之限制</w:t>
            </w:r>
            <w:r w:rsidR="00951913" w:rsidRPr="000B34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294511" w:rsidRPr="00294511" w:rsidRDefault="00294511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本國證券商總公司調節專戶之證券買賣帳號為</w:t>
            </w:r>
            <w:r w:rsidR="00B71CF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9899XX-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檢查碼；外國證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券商在</w:t>
            </w:r>
            <w:proofErr w:type="gramStart"/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分公司調節專戶之證券買賣帳號為</w:t>
            </w:r>
            <w:r w:rsidR="00B71C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99899X-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檢查碼。</w:t>
            </w:r>
          </w:p>
        </w:tc>
        <w:tc>
          <w:tcPr>
            <w:tcW w:w="3827" w:type="dxa"/>
          </w:tcPr>
          <w:p w:rsidR="00A50715" w:rsidRDefault="00A50715" w:rsidP="000B34CE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第六條</w:t>
            </w:r>
          </w:p>
          <w:p w:rsidR="00A50715" w:rsidRPr="000865F7" w:rsidRDefault="00A50715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證券商辦理定期定額業務應與客戶訂定契約，契約應記載下列事項：</w:t>
            </w:r>
          </w:p>
          <w:p w:rsidR="00A50715" w:rsidRPr="000865F7" w:rsidRDefault="00A50715" w:rsidP="000B34CE">
            <w:pPr>
              <w:spacing w:line="440" w:lineRule="exact"/>
              <w:ind w:leftChars="21" w:left="89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一、投資標的。</w:t>
            </w:r>
          </w:p>
          <w:p w:rsidR="00A50715" w:rsidRPr="000865F7" w:rsidRDefault="00A50715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二、證券商依第三條規定之辦理方式。</w:t>
            </w:r>
          </w:p>
          <w:p w:rsidR="00A50715" w:rsidRPr="000865F7" w:rsidRDefault="00A50715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三、扣款日期、扣款方式及扣款金額之計算。</w:t>
            </w:r>
          </w:p>
          <w:p w:rsidR="00A50715" w:rsidRPr="000865F7" w:rsidRDefault="00A50715" w:rsidP="000B34CE">
            <w:pPr>
              <w:spacing w:line="440" w:lineRule="exact"/>
              <w:ind w:leftChars="21" w:left="89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四、客戶應負擔之費用。</w:t>
            </w:r>
          </w:p>
          <w:p w:rsidR="00A50715" w:rsidRPr="000865F7" w:rsidRDefault="00A50715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五、證券商買進</w:t>
            </w:r>
            <w:proofErr w:type="gramStart"/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足額之處理方式。</w:t>
            </w:r>
          </w:p>
          <w:p w:rsidR="00A50715" w:rsidRPr="000865F7" w:rsidRDefault="00A50715" w:rsidP="000B34CE">
            <w:pPr>
              <w:spacing w:line="440" w:lineRule="exact"/>
              <w:ind w:leftChars="21" w:left="61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六、契約之生效日期、契約變更與終止之處理方式。</w:t>
            </w:r>
          </w:p>
          <w:p w:rsidR="00A50715" w:rsidRPr="000865F7" w:rsidRDefault="00A50715" w:rsidP="000B34CE">
            <w:pPr>
              <w:spacing w:line="440" w:lineRule="exact"/>
              <w:ind w:leftChars="21" w:left="89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七、爭議事項之處理。</w:t>
            </w:r>
          </w:p>
          <w:p w:rsidR="00D745B7" w:rsidRDefault="00A50715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證券商以經紀業務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辦理定期定額業務者，其契約範本由券商公會訂定；以財富管理業務方式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0865F7">
              <w:rPr>
                <w:rFonts w:ascii="標楷體" w:eastAsia="標楷體" w:hAnsi="標楷體" w:hint="eastAsia"/>
                <w:sz w:val="28"/>
                <w:szCs w:val="28"/>
              </w:rPr>
              <w:t>者，相關約定事項由證券商自行訂定。</w:t>
            </w:r>
          </w:p>
          <w:p w:rsidR="00656FDC" w:rsidRDefault="00656FDC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56FDC" w:rsidRDefault="00656FDC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71CFD" w:rsidRDefault="00B71CFD" w:rsidP="000B34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B34CE" w:rsidRDefault="000B34CE" w:rsidP="000B34CE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6724E" w:rsidRDefault="00D6724E" w:rsidP="000B34CE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656FDC" w:rsidRDefault="00656FDC" w:rsidP="000B34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  <w:p w:rsidR="00656FDC" w:rsidRPr="00B831FD" w:rsidRDefault="00656FDC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56FDC">
              <w:rPr>
                <w:rFonts w:ascii="標楷體" w:eastAsia="標楷體" w:hAnsi="標楷體" w:cs="細明體" w:hint="eastAsia"/>
                <w:kern w:val="0"/>
                <w:sz w:val="28"/>
                <w:szCs w:val="24"/>
              </w:rPr>
              <w:t>證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券商辦理定期定額業務，得於其總公司開立調節專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戶，調節以定期定額綜合交易帳戶買進成交之有價證券數量。</w:t>
            </w:r>
          </w:p>
          <w:p w:rsidR="00656FDC" w:rsidRPr="00B831FD" w:rsidRDefault="00656FDC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證券商不得以前項調節專戶申報買進有價證券，僅得以定期定額綜合交易帳戶成交後申報分配買進有價證券。</w:t>
            </w:r>
          </w:p>
          <w:p w:rsidR="00656FDC" w:rsidRPr="00B831FD" w:rsidRDefault="00656FDC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證券商以定期定額綜合交易帳戶買進成交後，於分配同種類有價證券至調節專戶之數量僅得為零股，超逾數量應於成交日後次二營業日前以調節專戶進行轉賣。</w:t>
            </w:r>
          </w:p>
          <w:p w:rsidR="00656FDC" w:rsidRPr="00B831FD" w:rsidRDefault="00656FDC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證券商同時以經紀業務及財富管理業務方式辦理定期定額業務者，得分別開立調節專戶。</w:t>
            </w:r>
          </w:p>
          <w:p w:rsidR="00656FDC" w:rsidRDefault="00656FDC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3A4816" w:rsidRDefault="003A4816" w:rsidP="000B3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</w:p>
          <w:p w:rsidR="00656FDC" w:rsidRPr="000865F7" w:rsidRDefault="00656FDC" w:rsidP="000B34CE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本國證券商總公司調節專戶之證券買賣帳號為</w:t>
            </w:r>
            <w:r w:rsidR="00B71CF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9899XX-</w:t>
            </w:r>
            <w:r w:rsidRPr="00B831F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檢查碼；外國證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券商在</w:t>
            </w:r>
            <w:proofErr w:type="gramStart"/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分公司調節專戶之證券買賣帳號為</w:t>
            </w:r>
            <w:r w:rsidRPr="00B831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9989</w:t>
            </w:r>
            <w:r w:rsidR="00B71CF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9X-</w:t>
            </w:r>
            <w:r w:rsidRPr="00B831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檢查碼。</w:t>
            </w:r>
          </w:p>
        </w:tc>
        <w:tc>
          <w:tcPr>
            <w:tcW w:w="2835" w:type="dxa"/>
          </w:tcPr>
          <w:p w:rsidR="00D745B7" w:rsidRDefault="00BD5133" w:rsidP="000B34CE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="00B831FD">
              <w:rPr>
                <w:rFonts w:ascii="標楷體" w:eastAsia="標楷體" w:hAnsi="標楷體" w:hint="eastAsia"/>
                <w:sz w:val="28"/>
                <w:szCs w:val="28"/>
              </w:rPr>
              <w:t>參照</w:t>
            </w:r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金融監督管理委員會106年</w:t>
            </w:r>
            <w:r w:rsidR="0046694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6694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日金</w:t>
            </w:r>
            <w:proofErr w:type="gramStart"/>
            <w:r w:rsidR="00EA1C3D">
              <w:rPr>
                <w:rFonts w:ascii="標楷體" w:eastAsia="標楷體" w:hAnsi="標楷體" w:hint="eastAsia"/>
                <w:sz w:val="28"/>
                <w:szCs w:val="28"/>
              </w:rPr>
              <w:t>管證投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proofErr w:type="gramEnd"/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第10600</w:t>
            </w:r>
            <w:r w:rsidR="0046694C">
              <w:rPr>
                <w:rFonts w:ascii="標楷體" w:eastAsia="標楷體" w:hAnsi="標楷體"/>
                <w:sz w:val="28"/>
                <w:szCs w:val="28"/>
              </w:rPr>
              <w:t>48788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號令</w:t>
            </w:r>
            <w:r w:rsidR="00B831FD">
              <w:rPr>
                <w:rFonts w:ascii="標楷體" w:eastAsia="標楷體" w:hAnsi="標楷體" w:hint="eastAsia"/>
                <w:sz w:val="28"/>
                <w:szCs w:val="28"/>
              </w:rPr>
              <w:t>意旨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04D09" w:rsidRPr="00904D09">
              <w:rPr>
                <w:rFonts w:ascii="標楷體" w:eastAsia="標楷體" w:hAnsi="標楷體" w:hint="eastAsia"/>
                <w:sz w:val="28"/>
                <w:szCs w:val="28"/>
              </w:rPr>
              <w:t>證券投資信託事業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得以其自有資金購買其發行之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904D09">
              <w:rPr>
                <w:rFonts w:ascii="標楷體" w:eastAsia="標楷體" w:hAnsi="標楷體" w:hint="eastAsia"/>
                <w:sz w:val="28"/>
                <w:szCs w:val="28"/>
              </w:rPr>
              <w:t>ETF作為</w:t>
            </w:r>
            <w:r w:rsidR="005809FC">
              <w:rPr>
                <w:rFonts w:ascii="標楷體" w:eastAsia="標楷體" w:hAnsi="標楷體" w:hint="eastAsia"/>
                <w:sz w:val="28"/>
                <w:szCs w:val="28"/>
              </w:rPr>
              <w:t>證券商辦理定期定額業務之零股調節。</w:t>
            </w:r>
          </w:p>
          <w:p w:rsidR="00FB32B9" w:rsidRDefault="00FB32B9" w:rsidP="000B34CE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二、前揭</w:t>
            </w:r>
            <w:r w:rsidR="00BB00A0">
              <w:rPr>
                <w:rFonts w:ascii="標楷體" w:eastAsia="標楷體" w:hAnsi="標楷體" w:hint="eastAsia"/>
                <w:sz w:val="28"/>
                <w:szCs w:val="28"/>
              </w:rPr>
              <w:t>零股調節</w:t>
            </w:r>
            <w:r w:rsidR="00F224A5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BB00A0" w:rsidRPr="00904D09">
              <w:rPr>
                <w:rFonts w:ascii="標楷體" w:eastAsia="標楷體" w:hAnsi="標楷體" w:hint="eastAsia"/>
                <w:sz w:val="28"/>
                <w:szCs w:val="28"/>
              </w:rPr>
              <w:t>證券投資信託事業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與證券商訂定契約，惟</w:t>
            </w:r>
            <w:r w:rsidR="00667F0C" w:rsidRPr="00904D09">
              <w:rPr>
                <w:rFonts w:ascii="標楷體" w:eastAsia="標楷體" w:hAnsi="標楷體" w:hint="eastAsia"/>
                <w:sz w:val="28"/>
                <w:szCs w:val="28"/>
              </w:rPr>
              <w:t>證券投資信託事業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每次購買</w:t>
            </w:r>
            <w:r w:rsidR="00C31B25" w:rsidRPr="00B71CFD">
              <w:rPr>
                <w:rFonts w:ascii="標楷體" w:eastAsia="標楷體" w:hAnsi="標楷體" w:hint="eastAsia"/>
                <w:sz w:val="28"/>
                <w:szCs w:val="28"/>
              </w:rPr>
              <w:t>指數股票型基金受益憑證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數量依證券商</w:t>
            </w:r>
            <w:r w:rsidR="004C063D">
              <w:rPr>
                <w:rFonts w:ascii="標楷體" w:eastAsia="標楷體" w:hAnsi="標楷體" w:hint="eastAsia"/>
                <w:sz w:val="28"/>
              </w:rPr>
              <w:t>受託辦理</w:t>
            </w:r>
            <w:r w:rsidR="00667F0C">
              <w:rPr>
                <w:rFonts w:ascii="標楷體" w:eastAsia="標楷體" w:hAnsi="標楷體" w:hint="eastAsia"/>
                <w:sz w:val="28"/>
                <w:szCs w:val="28"/>
              </w:rPr>
              <w:t>定期定額業務買進數量而異，契約之扣款金額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或購買股數非</w:t>
            </w:r>
            <w:proofErr w:type="gramStart"/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固定數額，</w:t>
            </w:r>
            <w:proofErr w:type="gramStart"/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增修</w:t>
            </w:r>
            <w:r w:rsidR="00C161B6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第三項</w:t>
            </w:r>
            <w:r w:rsidR="00C161B6">
              <w:rPr>
                <w:rFonts w:ascii="標楷體" w:eastAsia="標楷體" w:hAnsi="標楷體" w:hint="eastAsia"/>
                <w:sz w:val="28"/>
                <w:szCs w:val="28"/>
              </w:rPr>
              <w:t>及第九條</w:t>
            </w:r>
            <w:r w:rsidR="00B70E84">
              <w:rPr>
                <w:rFonts w:ascii="標楷體" w:eastAsia="標楷體" w:hAnsi="標楷體" w:hint="eastAsia"/>
                <w:sz w:val="28"/>
                <w:szCs w:val="28"/>
              </w:rPr>
              <w:t>第五項</w:t>
            </w:r>
            <w:r w:rsidR="000227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A54C8" w:rsidRPr="00AE235F" w:rsidRDefault="009A54C8"/>
    <w:sectPr w:rsidR="009A54C8" w:rsidRPr="00AE235F" w:rsidSect="00B71CFD">
      <w:footerReference w:type="default" r:id="rId7"/>
      <w:pgSz w:w="11906" w:h="16838"/>
      <w:pgMar w:top="709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09" w:rsidRDefault="00097A09" w:rsidP="00D745B7">
      <w:r>
        <w:separator/>
      </w:r>
    </w:p>
  </w:endnote>
  <w:endnote w:type="continuationSeparator" w:id="0">
    <w:p w:rsidR="00097A09" w:rsidRDefault="00097A09" w:rsidP="00D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491213"/>
      <w:docPartObj>
        <w:docPartGallery w:val="Page Numbers (Bottom of Page)"/>
        <w:docPartUnique/>
      </w:docPartObj>
    </w:sdtPr>
    <w:sdtContent>
      <w:p w:rsidR="00D6724E" w:rsidRDefault="00D672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724E">
          <w:rPr>
            <w:noProof/>
            <w:lang w:val="zh-TW"/>
          </w:rPr>
          <w:t>3</w:t>
        </w:r>
        <w:r>
          <w:fldChar w:fldCharType="end"/>
        </w:r>
      </w:p>
    </w:sdtContent>
  </w:sdt>
  <w:p w:rsidR="00D6724E" w:rsidRDefault="00D672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09" w:rsidRDefault="00097A09" w:rsidP="00D745B7">
      <w:r>
        <w:separator/>
      </w:r>
    </w:p>
  </w:footnote>
  <w:footnote w:type="continuationSeparator" w:id="0">
    <w:p w:rsidR="00097A09" w:rsidRDefault="00097A09" w:rsidP="00D7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F"/>
    <w:rsid w:val="0002277B"/>
    <w:rsid w:val="00052092"/>
    <w:rsid w:val="00097A09"/>
    <w:rsid w:val="000A6B4A"/>
    <w:rsid w:val="000B34CE"/>
    <w:rsid w:val="00110145"/>
    <w:rsid w:val="001516B8"/>
    <w:rsid w:val="001E098F"/>
    <w:rsid w:val="00215201"/>
    <w:rsid w:val="00294511"/>
    <w:rsid w:val="002D0795"/>
    <w:rsid w:val="002D0E4B"/>
    <w:rsid w:val="003564A3"/>
    <w:rsid w:val="003577D9"/>
    <w:rsid w:val="003A4816"/>
    <w:rsid w:val="003D3FDF"/>
    <w:rsid w:val="0044543F"/>
    <w:rsid w:val="00447AA1"/>
    <w:rsid w:val="004574FF"/>
    <w:rsid w:val="0046058C"/>
    <w:rsid w:val="0046694C"/>
    <w:rsid w:val="004B70DE"/>
    <w:rsid w:val="004C063D"/>
    <w:rsid w:val="004C7D17"/>
    <w:rsid w:val="0056613E"/>
    <w:rsid w:val="005809FC"/>
    <w:rsid w:val="00586CA8"/>
    <w:rsid w:val="00656FDC"/>
    <w:rsid w:val="00662E27"/>
    <w:rsid w:val="00667F0C"/>
    <w:rsid w:val="006B2D28"/>
    <w:rsid w:val="006C2AE4"/>
    <w:rsid w:val="006C6D57"/>
    <w:rsid w:val="0074237A"/>
    <w:rsid w:val="00782CC4"/>
    <w:rsid w:val="00793574"/>
    <w:rsid w:val="007B6C54"/>
    <w:rsid w:val="007C2530"/>
    <w:rsid w:val="008704D6"/>
    <w:rsid w:val="00883684"/>
    <w:rsid w:val="00904D09"/>
    <w:rsid w:val="00911F84"/>
    <w:rsid w:val="0093792D"/>
    <w:rsid w:val="00951913"/>
    <w:rsid w:val="00957C04"/>
    <w:rsid w:val="009A54C8"/>
    <w:rsid w:val="00A07410"/>
    <w:rsid w:val="00A23E8A"/>
    <w:rsid w:val="00A50715"/>
    <w:rsid w:val="00A74C41"/>
    <w:rsid w:val="00AD3350"/>
    <w:rsid w:val="00AD3B76"/>
    <w:rsid w:val="00AE235F"/>
    <w:rsid w:val="00B01224"/>
    <w:rsid w:val="00B10225"/>
    <w:rsid w:val="00B70E84"/>
    <w:rsid w:val="00B71CFD"/>
    <w:rsid w:val="00B831FD"/>
    <w:rsid w:val="00BA33BD"/>
    <w:rsid w:val="00BB00A0"/>
    <w:rsid w:val="00BD5133"/>
    <w:rsid w:val="00BE01B8"/>
    <w:rsid w:val="00BE0625"/>
    <w:rsid w:val="00BF0CF4"/>
    <w:rsid w:val="00C103CB"/>
    <w:rsid w:val="00C161B6"/>
    <w:rsid w:val="00C31B25"/>
    <w:rsid w:val="00C916B4"/>
    <w:rsid w:val="00CA39E7"/>
    <w:rsid w:val="00CB7677"/>
    <w:rsid w:val="00CD3A78"/>
    <w:rsid w:val="00D379FC"/>
    <w:rsid w:val="00D64A06"/>
    <w:rsid w:val="00D6724E"/>
    <w:rsid w:val="00D745B7"/>
    <w:rsid w:val="00DB7E15"/>
    <w:rsid w:val="00DC0861"/>
    <w:rsid w:val="00E2797D"/>
    <w:rsid w:val="00E45316"/>
    <w:rsid w:val="00E53ABA"/>
    <w:rsid w:val="00EA1C3D"/>
    <w:rsid w:val="00ED4378"/>
    <w:rsid w:val="00F01146"/>
    <w:rsid w:val="00F224A5"/>
    <w:rsid w:val="00F7527A"/>
    <w:rsid w:val="00FB32B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5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7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5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7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207</Words>
  <Characters>1186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劉貞佑</dc:creator>
  <cp:lastModifiedBy>張翠蘭</cp:lastModifiedBy>
  <cp:revision>4</cp:revision>
  <cp:lastPrinted>2018-05-17T03:01:00Z</cp:lastPrinted>
  <dcterms:created xsi:type="dcterms:W3CDTF">2018-08-07T05:49:00Z</dcterms:created>
  <dcterms:modified xsi:type="dcterms:W3CDTF">2018-08-07T06:23:00Z</dcterms:modified>
</cp:coreProperties>
</file>