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6A" w:rsidRDefault="00BA4AF2" w:rsidP="00CD3D6A">
      <w:pPr>
        <w:pStyle w:val="2"/>
        <w:spacing w:after="54"/>
        <w:jc w:val="center"/>
        <w:rPr>
          <w:rFonts w:hAnsi="Times New Roman"/>
        </w:rPr>
      </w:pPr>
      <w:bookmarkStart w:id="0" w:name="_Toc502152742"/>
      <w:bookmarkStart w:id="1" w:name="_Toc517811085"/>
      <w:r w:rsidRPr="0066205F">
        <w:rPr>
          <w:rFonts w:hAnsi="Times New Roman"/>
        </w:rPr>
        <w:t>財團法人中華民國證券櫃檯買賣中心</w:t>
      </w:r>
      <w:bookmarkEnd w:id="0"/>
      <w:bookmarkEnd w:id="1"/>
      <w:r w:rsidRPr="00BA4AF2">
        <w:rPr>
          <w:rFonts w:hAnsi="Times New Roman"/>
        </w:rPr>
        <w:t>外國債券發行資訊</w:t>
      </w:r>
    </w:p>
    <w:p w:rsidR="00BA4AF2" w:rsidRDefault="00BA4AF2" w:rsidP="00CD3D6A">
      <w:pPr>
        <w:pStyle w:val="2"/>
        <w:spacing w:after="54"/>
        <w:jc w:val="center"/>
        <w:rPr>
          <w:rFonts w:hAnsi="Times New Roman"/>
        </w:rPr>
      </w:pPr>
      <w:r w:rsidRPr="00BA4AF2">
        <w:rPr>
          <w:rFonts w:hAnsi="Times New Roman"/>
        </w:rPr>
        <w:t>登錄與揭示系統收費標準</w:t>
      </w:r>
      <w:r w:rsidR="00CD3D6A">
        <w:rPr>
          <w:rFonts w:hAnsi="Times New Roman"/>
        </w:rPr>
        <w:t>總</w:t>
      </w:r>
      <w:r w:rsidR="00EF3E8E">
        <w:rPr>
          <w:rFonts w:hAnsi="Times New Roman"/>
        </w:rPr>
        <w:t>說明</w:t>
      </w:r>
    </w:p>
    <w:tbl>
      <w:tblPr>
        <w:tblStyle w:val="a3"/>
        <w:tblW w:w="8160" w:type="dxa"/>
        <w:tblInd w:w="57" w:type="dxa"/>
        <w:tblLayout w:type="fixed"/>
        <w:tblCellMar>
          <w:top w:w="11" w:type="dxa"/>
          <w:left w:w="57" w:type="dxa"/>
          <w:bottom w:w="11" w:type="dxa"/>
          <w:right w:w="57" w:type="dxa"/>
        </w:tblCellMar>
        <w:tblLook w:val="04A0" w:firstRow="1" w:lastRow="0" w:firstColumn="1" w:lastColumn="0" w:noHBand="0" w:noVBand="1"/>
      </w:tblPr>
      <w:tblGrid>
        <w:gridCol w:w="4678"/>
        <w:gridCol w:w="3482"/>
      </w:tblGrid>
      <w:tr w:rsidR="00BA4AF2" w:rsidRPr="0066205F" w:rsidTr="00BA4AF2">
        <w:tc>
          <w:tcPr>
            <w:tcW w:w="4678" w:type="dxa"/>
          </w:tcPr>
          <w:p w:rsidR="00BA4AF2" w:rsidRPr="0066205F" w:rsidRDefault="00BA4AF2" w:rsidP="00097CC2">
            <w:pPr>
              <w:autoSpaceDE w:val="0"/>
              <w:jc w:val="center"/>
              <w:rPr>
                <w:rFonts w:ascii="Times New Roman" w:eastAsia="標楷體" w:hAnsi="Times New Roman"/>
              </w:rPr>
            </w:pPr>
            <w:r w:rsidRPr="0066205F">
              <w:rPr>
                <w:rFonts w:ascii="Times New Roman" w:eastAsia="標楷體" w:hAnsi="Times New Roman"/>
                <w:szCs w:val="24"/>
                <w:lang w:val="zh-TW"/>
              </w:rPr>
              <w:t>條文</w:t>
            </w:r>
          </w:p>
        </w:tc>
        <w:tc>
          <w:tcPr>
            <w:tcW w:w="3482" w:type="dxa"/>
          </w:tcPr>
          <w:p w:rsidR="00BA4AF2" w:rsidRPr="0066205F" w:rsidRDefault="00BA4AF2" w:rsidP="00097CC2">
            <w:pPr>
              <w:autoSpaceDE w:val="0"/>
              <w:jc w:val="center"/>
              <w:rPr>
                <w:rFonts w:ascii="Times New Roman" w:eastAsia="標楷體" w:hAnsi="Times New Roman"/>
                <w:szCs w:val="24"/>
              </w:rPr>
            </w:pPr>
            <w:r w:rsidRPr="0066205F">
              <w:rPr>
                <w:rFonts w:ascii="Times New Roman" w:eastAsia="標楷體" w:hAnsi="Times New Roman"/>
                <w:szCs w:val="24"/>
              </w:rPr>
              <w:t>說明</w:t>
            </w:r>
          </w:p>
        </w:tc>
      </w:tr>
      <w:tr w:rsidR="00BA4AF2" w:rsidRPr="0066205F" w:rsidTr="00BA4AF2">
        <w:tc>
          <w:tcPr>
            <w:tcW w:w="4678" w:type="dxa"/>
          </w:tcPr>
          <w:p w:rsidR="00BA4AF2" w:rsidRPr="0071186F" w:rsidRDefault="00BA4AF2" w:rsidP="001621DD">
            <w:pPr>
              <w:ind w:left="482" w:rightChars="2" w:right="5" w:hangingChars="201" w:hanging="482"/>
              <w:jc w:val="both"/>
              <w:rPr>
                <w:rFonts w:ascii="Times New Roman" w:eastAsia="標楷體" w:hAnsi="Times New Roman"/>
                <w:kern w:val="3"/>
                <w:szCs w:val="24"/>
              </w:rPr>
            </w:pPr>
            <w:r w:rsidRPr="0071186F">
              <w:rPr>
                <w:rFonts w:ascii="Times New Roman" w:eastAsia="標楷體" w:hAnsi="Times New Roman" w:hint="eastAsia"/>
                <w:szCs w:val="24"/>
              </w:rPr>
              <w:t>一、</w:t>
            </w:r>
            <w:r w:rsidR="0071186F" w:rsidRPr="0071186F">
              <w:rPr>
                <w:rFonts w:ascii="Times New Roman" w:eastAsia="標楷體" w:hAnsi="Times New Roman"/>
                <w:szCs w:val="24"/>
              </w:rPr>
              <w:t>本收費標準依本中心證券商自行買賣外國債券交易辦法</w:t>
            </w:r>
            <w:r w:rsidR="0071186F" w:rsidRPr="0071186F">
              <w:rPr>
                <w:rFonts w:ascii="Times New Roman" w:eastAsia="標楷體" w:hAnsi="Times New Roman" w:hint="eastAsia"/>
                <w:szCs w:val="24"/>
              </w:rPr>
              <w:t>(</w:t>
            </w:r>
            <w:r w:rsidR="0071186F" w:rsidRPr="0071186F">
              <w:rPr>
                <w:rFonts w:ascii="Times New Roman" w:eastAsia="標楷體" w:hAnsi="Times New Roman" w:hint="eastAsia"/>
                <w:szCs w:val="24"/>
              </w:rPr>
              <w:t>以下簡稱本交易辦法</w:t>
            </w:r>
            <w:r w:rsidR="0071186F" w:rsidRPr="0071186F">
              <w:rPr>
                <w:rFonts w:ascii="Times New Roman" w:eastAsia="標楷體" w:hAnsi="Times New Roman" w:hint="eastAsia"/>
                <w:szCs w:val="24"/>
              </w:rPr>
              <w:t>)</w:t>
            </w:r>
            <w:r w:rsidR="0071186F" w:rsidRPr="0071186F">
              <w:rPr>
                <w:rFonts w:ascii="Times New Roman" w:eastAsia="標楷體" w:hAnsi="Times New Roman"/>
                <w:szCs w:val="24"/>
              </w:rPr>
              <w:t>第</w:t>
            </w:r>
            <w:r w:rsidR="0071186F" w:rsidRPr="0071186F">
              <w:rPr>
                <w:rFonts w:ascii="Times New Roman" w:eastAsia="標楷體" w:hAnsi="Times New Roman" w:hint="eastAsia"/>
                <w:szCs w:val="24"/>
              </w:rPr>
              <w:t>十</w:t>
            </w:r>
            <w:r w:rsidR="0071186F" w:rsidRPr="0071186F">
              <w:rPr>
                <w:rFonts w:ascii="Times New Roman" w:eastAsia="標楷體" w:hAnsi="Times New Roman"/>
                <w:szCs w:val="24"/>
              </w:rPr>
              <w:t>六條之一規定訂定</w:t>
            </w:r>
            <w:r w:rsidR="0071186F" w:rsidRPr="0071186F">
              <w:rPr>
                <w:rFonts w:ascii="Times New Roman" w:eastAsia="標楷體" w:hAnsi="Times New Roman" w:hint="eastAsia"/>
                <w:szCs w:val="24"/>
              </w:rPr>
              <w:t>之</w:t>
            </w:r>
            <w:r w:rsidR="0071186F" w:rsidRPr="0071186F">
              <w:rPr>
                <w:rFonts w:ascii="Times New Roman" w:eastAsia="標楷體" w:hAnsi="Times New Roman"/>
                <w:szCs w:val="24"/>
              </w:rPr>
              <w:t>。</w:t>
            </w:r>
          </w:p>
        </w:tc>
        <w:tc>
          <w:tcPr>
            <w:tcW w:w="3482" w:type="dxa"/>
          </w:tcPr>
          <w:p w:rsidR="00BA4AF2" w:rsidRPr="0066205F" w:rsidRDefault="00BA4AF2" w:rsidP="00097CC2">
            <w:pPr>
              <w:widowControl/>
              <w:autoSpaceDN w:val="0"/>
              <w:jc w:val="both"/>
              <w:rPr>
                <w:rFonts w:ascii="Times New Roman" w:eastAsia="標楷體" w:hAnsi="Times New Roman"/>
                <w:kern w:val="3"/>
              </w:rPr>
            </w:pPr>
            <w:r w:rsidRPr="0066205F">
              <w:rPr>
                <w:rFonts w:ascii="Times New Roman" w:eastAsia="標楷體" w:hAnsi="Times New Roman" w:hint="eastAsia"/>
                <w:kern w:val="0"/>
                <w:szCs w:val="24"/>
                <w:lang w:val="zh-TW"/>
              </w:rPr>
              <w:t>明定本</w:t>
            </w:r>
            <w:r w:rsidR="001170DD" w:rsidRPr="0071186F">
              <w:rPr>
                <w:rFonts w:ascii="Times New Roman" w:eastAsia="標楷體" w:hAnsi="Times New Roman"/>
                <w:szCs w:val="24"/>
              </w:rPr>
              <w:t>收費標準</w:t>
            </w:r>
            <w:r w:rsidR="001170DD">
              <w:rPr>
                <w:rFonts w:ascii="Times New Roman" w:eastAsia="標楷體" w:hAnsi="Times New Roman"/>
                <w:szCs w:val="24"/>
              </w:rPr>
              <w:t>之法源</w:t>
            </w:r>
            <w:r w:rsidRPr="0066205F">
              <w:rPr>
                <w:rFonts w:ascii="Times New Roman" w:eastAsia="標楷體" w:hAnsi="Times New Roman" w:hint="eastAsia"/>
                <w:kern w:val="0"/>
                <w:szCs w:val="24"/>
                <w:lang w:val="zh-TW"/>
              </w:rPr>
              <w:t>依據。</w:t>
            </w:r>
          </w:p>
        </w:tc>
      </w:tr>
      <w:tr w:rsidR="00BA4AF2" w:rsidRPr="0066205F" w:rsidTr="00BA4AF2">
        <w:tc>
          <w:tcPr>
            <w:tcW w:w="4678" w:type="dxa"/>
          </w:tcPr>
          <w:p w:rsidR="00BA4AF2" w:rsidRPr="0066205F" w:rsidRDefault="00BA4AF2" w:rsidP="004374C3">
            <w:pPr>
              <w:ind w:leftChars="10" w:left="509" w:hangingChars="202" w:hanging="485"/>
              <w:jc w:val="both"/>
              <w:rPr>
                <w:rFonts w:ascii="Times New Roman" w:eastAsia="標楷體" w:hAnsi="Times New Roman"/>
                <w:kern w:val="3"/>
              </w:rPr>
            </w:pPr>
            <w:r w:rsidRPr="001170DD">
              <w:rPr>
                <w:rFonts w:ascii="Times New Roman" w:eastAsia="標楷體" w:hAnsi="Times New Roman" w:hint="eastAsia"/>
                <w:szCs w:val="24"/>
              </w:rPr>
              <w:t>二、</w:t>
            </w:r>
            <w:r w:rsidR="001170DD" w:rsidRPr="001170DD">
              <w:rPr>
                <w:rFonts w:ascii="Times New Roman" w:eastAsia="標楷體" w:hAnsi="Times New Roman" w:hint="eastAsia"/>
                <w:szCs w:val="24"/>
              </w:rPr>
              <w:t>證券商</w:t>
            </w:r>
            <w:r w:rsidR="001170DD" w:rsidRPr="001170DD">
              <w:rPr>
                <w:rFonts w:ascii="Times New Roman" w:eastAsia="標楷體" w:hAnsi="Times New Roman"/>
                <w:szCs w:val="24"/>
              </w:rPr>
              <w:t>從事</w:t>
            </w:r>
            <w:r w:rsidR="001170DD" w:rsidRPr="001170DD">
              <w:rPr>
                <w:rFonts w:ascii="Times New Roman" w:eastAsia="標楷體" w:hAnsi="Times New Roman" w:hint="eastAsia"/>
                <w:szCs w:val="24"/>
              </w:rPr>
              <w:t>自行買賣外國債券交易，依本交易辦法第六條第二項規定應先向本中心辦理外國債券登錄之證券商</w:t>
            </w:r>
            <w:r w:rsidR="001170DD" w:rsidRPr="001170DD">
              <w:rPr>
                <w:rFonts w:ascii="Times New Roman" w:eastAsia="標楷體" w:hAnsi="Times New Roman" w:hint="eastAsia"/>
                <w:szCs w:val="24"/>
              </w:rPr>
              <w:t xml:space="preserve"> (</w:t>
            </w:r>
            <w:r w:rsidR="001170DD" w:rsidRPr="001170DD">
              <w:rPr>
                <w:rFonts w:ascii="Times New Roman" w:eastAsia="標楷體" w:hAnsi="Times New Roman" w:hint="eastAsia"/>
                <w:szCs w:val="24"/>
              </w:rPr>
              <w:t>以下簡稱登錄證券商</w:t>
            </w:r>
            <w:r w:rsidR="001170DD" w:rsidRPr="001170DD">
              <w:rPr>
                <w:rFonts w:ascii="Times New Roman" w:eastAsia="標楷體" w:hAnsi="Times New Roman" w:hint="eastAsia"/>
                <w:szCs w:val="24"/>
              </w:rPr>
              <w:t>)</w:t>
            </w:r>
            <w:r w:rsidR="001170DD" w:rsidRPr="001170DD">
              <w:rPr>
                <w:rFonts w:ascii="Times New Roman" w:eastAsia="標楷體" w:hAnsi="Times New Roman" w:hint="eastAsia"/>
                <w:szCs w:val="24"/>
              </w:rPr>
              <w:t>，</w:t>
            </w:r>
            <w:r w:rsidR="002B2D32">
              <w:rPr>
                <w:rFonts w:ascii="Times New Roman" w:eastAsia="標楷體" w:hAnsi="Times New Roman" w:hint="eastAsia"/>
                <w:szCs w:val="24"/>
              </w:rPr>
              <w:t>及</w:t>
            </w:r>
            <w:r w:rsidR="001170DD" w:rsidRPr="001170DD">
              <w:rPr>
                <w:rFonts w:ascii="Times New Roman" w:eastAsia="標楷體" w:hAnsi="Times New Roman" w:hint="eastAsia"/>
                <w:szCs w:val="24"/>
              </w:rPr>
              <w:t>買賣已登錄外國債券之證券商</w:t>
            </w:r>
            <w:r w:rsidR="001170DD" w:rsidRPr="001170DD">
              <w:rPr>
                <w:rFonts w:ascii="Times New Roman" w:eastAsia="標楷體" w:hAnsi="Times New Roman" w:hint="eastAsia"/>
                <w:szCs w:val="24"/>
              </w:rPr>
              <w:t>(</w:t>
            </w:r>
            <w:r w:rsidR="001170DD" w:rsidRPr="001170DD">
              <w:rPr>
                <w:rFonts w:ascii="Times New Roman" w:eastAsia="標楷體" w:hAnsi="Times New Roman" w:hint="eastAsia"/>
                <w:szCs w:val="24"/>
              </w:rPr>
              <w:t>以下簡稱買賣證券商</w:t>
            </w:r>
            <w:r w:rsidR="001170DD" w:rsidRPr="001170DD">
              <w:rPr>
                <w:rFonts w:ascii="Times New Roman" w:eastAsia="標楷體" w:hAnsi="Times New Roman" w:hint="eastAsia"/>
                <w:szCs w:val="24"/>
              </w:rPr>
              <w:t>)</w:t>
            </w:r>
            <w:r w:rsidR="001170DD" w:rsidRPr="001170DD">
              <w:rPr>
                <w:rFonts w:ascii="Times New Roman" w:eastAsia="標楷體" w:hAnsi="Times New Roman" w:hint="eastAsia"/>
                <w:szCs w:val="24"/>
              </w:rPr>
              <w:t>，應依本</w:t>
            </w:r>
            <w:r w:rsidR="001170DD" w:rsidRPr="001170DD">
              <w:rPr>
                <w:rFonts w:ascii="Times New Roman" w:eastAsia="標楷體" w:hAnsi="Times New Roman"/>
                <w:szCs w:val="24"/>
              </w:rPr>
              <w:t>收費</w:t>
            </w:r>
            <w:r w:rsidR="001170DD" w:rsidRPr="001170DD">
              <w:rPr>
                <w:rFonts w:ascii="Times New Roman" w:eastAsia="標楷體" w:hAnsi="Times New Roman" w:hint="eastAsia"/>
                <w:szCs w:val="24"/>
              </w:rPr>
              <w:t>標準向本中心</w:t>
            </w:r>
            <w:r w:rsidR="001170DD" w:rsidRPr="001170DD">
              <w:rPr>
                <w:rFonts w:ascii="Times New Roman" w:eastAsia="標楷體" w:hAnsi="Times New Roman"/>
                <w:szCs w:val="24"/>
              </w:rPr>
              <w:t>繳付外國債券發行資訊登錄與揭示系統費用</w:t>
            </w:r>
            <w:r w:rsidR="001170DD" w:rsidRPr="001170DD">
              <w:rPr>
                <w:rFonts w:ascii="Times New Roman" w:eastAsia="標楷體" w:hAnsi="Times New Roman" w:hint="eastAsia"/>
                <w:szCs w:val="24"/>
              </w:rPr>
              <w:t>(</w:t>
            </w:r>
            <w:r w:rsidR="001170DD" w:rsidRPr="001170DD">
              <w:rPr>
                <w:rFonts w:ascii="Times New Roman" w:eastAsia="標楷體" w:hAnsi="Times New Roman" w:hint="eastAsia"/>
                <w:szCs w:val="24"/>
              </w:rPr>
              <w:t>以下簡稱登錄費用</w:t>
            </w:r>
            <w:r w:rsidR="001170DD" w:rsidRPr="001170DD">
              <w:rPr>
                <w:rFonts w:ascii="Times New Roman" w:eastAsia="標楷體" w:hAnsi="Times New Roman" w:hint="eastAsia"/>
                <w:szCs w:val="24"/>
              </w:rPr>
              <w:t>)</w:t>
            </w:r>
            <w:r w:rsidR="001170DD" w:rsidRPr="001170DD">
              <w:rPr>
                <w:rFonts w:ascii="Times New Roman" w:eastAsia="標楷體" w:hAnsi="Times New Roman"/>
                <w:szCs w:val="24"/>
              </w:rPr>
              <w:t>。</w:t>
            </w:r>
          </w:p>
        </w:tc>
        <w:tc>
          <w:tcPr>
            <w:tcW w:w="3482" w:type="dxa"/>
          </w:tcPr>
          <w:p w:rsidR="00BA4AF2" w:rsidRPr="0066205F" w:rsidRDefault="00BA4AF2" w:rsidP="00097CC2">
            <w:pPr>
              <w:widowControl/>
              <w:autoSpaceDN w:val="0"/>
              <w:jc w:val="both"/>
              <w:rPr>
                <w:rFonts w:ascii="Times New Roman" w:eastAsia="標楷體" w:hAnsi="Times New Roman"/>
                <w:kern w:val="3"/>
              </w:rPr>
            </w:pPr>
            <w:r w:rsidRPr="0066205F">
              <w:rPr>
                <w:rFonts w:ascii="Times New Roman" w:eastAsia="標楷體" w:hAnsi="Times New Roman" w:hint="eastAsia"/>
                <w:kern w:val="0"/>
                <w:szCs w:val="24"/>
                <w:lang w:val="zh-TW"/>
              </w:rPr>
              <w:t>明定</w:t>
            </w:r>
            <w:r w:rsidRPr="0066205F">
              <w:rPr>
                <w:rFonts w:ascii="Times New Roman" w:eastAsia="標楷體" w:hAnsi="Times New Roman" w:hint="eastAsia"/>
                <w:szCs w:val="24"/>
              </w:rPr>
              <w:t>本</w:t>
            </w:r>
            <w:r w:rsidR="00155324" w:rsidRPr="0071186F">
              <w:rPr>
                <w:rFonts w:ascii="Times New Roman" w:eastAsia="標楷體" w:hAnsi="Times New Roman"/>
                <w:szCs w:val="24"/>
              </w:rPr>
              <w:t>收費標準</w:t>
            </w:r>
            <w:r w:rsidRPr="0066205F">
              <w:rPr>
                <w:rFonts w:ascii="Times New Roman" w:eastAsia="標楷體" w:hAnsi="Times New Roman" w:hint="eastAsia"/>
                <w:kern w:val="0"/>
                <w:szCs w:val="24"/>
                <w:lang w:val="zh-TW"/>
              </w:rPr>
              <w:t>之</w:t>
            </w:r>
            <w:r w:rsidR="00155324">
              <w:rPr>
                <w:rFonts w:ascii="Times New Roman" w:eastAsia="標楷體" w:hAnsi="Times New Roman" w:hint="eastAsia"/>
                <w:kern w:val="0"/>
                <w:szCs w:val="24"/>
                <w:lang w:val="zh-TW"/>
              </w:rPr>
              <w:t>適用對</w:t>
            </w:r>
            <w:r w:rsidR="00155324">
              <w:rPr>
                <w:rFonts w:ascii="Times New Roman" w:eastAsia="標楷體" w:hAnsi="Times New Roman"/>
                <w:kern w:val="0"/>
                <w:szCs w:val="24"/>
                <w:lang w:val="zh-TW"/>
              </w:rPr>
              <w:t>象</w:t>
            </w:r>
            <w:r w:rsidRPr="0066205F">
              <w:rPr>
                <w:rFonts w:ascii="Times New Roman" w:eastAsia="標楷體" w:hAnsi="Times New Roman" w:hint="eastAsia"/>
                <w:kern w:val="0"/>
                <w:szCs w:val="24"/>
                <w:lang w:val="zh-TW"/>
              </w:rPr>
              <w:t>。</w:t>
            </w:r>
          </w:p>
        </w:tc>
      </w:tr>
      <w:tr w:rsidR="008C6EB1" w:rsidRPr="0066205F" w:rsidTr="00BA4AF2">
        <w:tc>
          <w:tcPr>
            <w:tcW w:w="4678" w:type="dxa"/>
          </w:tcPr>
          <w:p w:rsidR="008C6EB1" w:rsidRPr="00B06576" w:rsidRDefault="00B06576" w:rsidP="00B06576">
            <w:pPr>
              <w:ind w:rightChars="35" w:right="84"/>
              <w:jc w:val="both"/>
              <w:rPr>
                <w:rFonts w:ascii="Times New Roman" w:eastAsia="標楷體" w:hAnsi="Times New Roman"/>
                <w:szCs w:val="24"/>
              </w:rPr>
            </w:pPr>
            <w:r>
              <w:rPr>
                <w:rFonts w:ascii="Times New Roman" w:eastAsia="標楷體" w:hAnsi="Times New Roman"/>
                <w:szCs w:val="24"/>
              </w:rPr>
              <w:t>三、</w:t>
            </w:r>
            <w:r w:rsidR="008C6EB1" w:rsidRPr="00B06576">
              <w:rPr>
                <w:rFonts w:ascii="Times New Roman" w:eastAsia="標楷體" w:hAnsi="Times New Roman"/>
                <w:szCs w:val="24"/>
              </w:rPr>
              <w:t>證券商應依下列規定繳付登錄費用：</w:t>
            </w:r>
          </w:p>
          <w:p w:rsidR="008C6EB1" w:rsidRPr="00B06576" w:rsidRDefault="008C6EB1" w:rsidP="001621DD">
            <w:pPr>
              <w:pStyle w:val="a4"/>
              <w:numPr>
                <w:ilvl w:val="0"/>
                <w:numId w:val="5"/>
              </w:numPr>
              <w:ind w:leftChars="0" w:rightChars="-2" w:right="-5"/>
              <w:jc w:val="both"/>
              <w:rPr>
                <w:rFonts w:ascii="Times New Roman" w:eastAsia="標楷體" w:hAnsi="Times New Roman"/>
                <w:szCs w:val="24"/>
              </w:rPr>
            </w:pPr>
            <w:r w:rsidRPr="00B06576">
              <w:rPr>
                <w:rFonts w:ascii="Times New Roman" w:eastAsia="標楷體" w:hAnsi="Times New Roman"/>
                <w:szCs w:val="24"/>
              </w:rPr>
              <w:t>登錄證券商應</w:t>
            </w:r>
            <w:r w:rsidRPr="00B06576">
              <w:rPr>
                <w:rFonts w:ascii="Times New Roman" w:eastAsia="標楷體" w:hAnsi="Times New Roman" w:hint="eastAsia"/>
                <w:szCs w:val="24"/>
              </w:rPr>
              <w:t>自</w:t>
            </w:r>
            <w:r w:rsidRPr="00B06576">
              <w:rPr>
                <w:rFonts w:ascii="Times New Roman" w:eastAsia="標楷體" w:hAnsi="Times New Roman"/>
                <w:szCs w:val="24"/>
              </w:rPr>
              <w:t>外國</w:t>
            </w:r>
            <w:r w:rsidRPr="00B06576">
              <w:rPr>
                <w:rFonts w:ascii="Times New Roman" w:eastAsia="標楷體" w:hAnsi="Times New Roman" w:hint="eastAsia"/>
                <w:szCs w:val="24"/>
              </w:rPr>
              <w:t>債券登錄日起，於該債券存續期間內，按月繳付新</w:t>
            </w:r>
            <w:r w:rsidRPr="00B06576">
              <w:rPr>
                <w:rFonts w:ascii="Times New Roman" w:eastAsia="標楷體" w:hAnsi="Times New Roman"/>
                <w:szCs w:val="24"/>
              </w:rPr>
              <w:t>臺幣</w:t>
            </w:r>
            <w:r w:rsidR="00ED5E29">
              <w:rPr>
                <w:rFonts w:ascii="Times New Roman" w:eastAsia="標楷體" w:hAnsi="Times New Roman"/>
                <w:szCs w:val="24"/>
              </w:rPr>
              <w:t>一千</w:t>
            </w:r>
            <w:r w:rsidRPr="00B06576">
              <w:rPr>
                <w:rFonts w:ascii="Times New Roman" w:eastAsia="標楷體" w:hAnsi="Times New Roman" w:hint="eastAsia"/>
                <w:szCs w:val="24"/>
              </w:rPr>
              <w:t>元之登錄費用，並以連續繳付</w:t>
            </w:r>
            <w:r w:rsidR="00ED5E29">
              <w:rPr>
                <w:rFonts w:ascii="Times New Roman" w:eastAsia="標楷體" w:hAnsi="Times New Roman" w:hint="eastAsia"/>
                <w:szCs w:val="24"/>
              </w:rPr>
              <w:t>十二</w:t>
            </w:r>
            <w:r w:rsidRPr="00B06576">
              <w:rPr>
                <w:rFonts w:ascii="Times New Roman" w:eastAsia="標楷體" w:hAnsi="Times New Roman" w:hint="eastAsia"/>
                <w:szCs w:val="24"/>
              </w:rPr>
              <w:t>個月為上限。</w:t>
            </w:r>
          </w:p>
          <w:p w:rsidR="008C6EB1" w:rsidRDefault="00D83B24" w:rsidP="001621DD">
            <w:pPr>
              <w:pStyle w:val="a4"/>
              <w:numPr>
                <w:ilvl w:val="0"/>
                <w:numId w:val="5"/>
              </w:numPr>
              <w:ind w:leftChars="0" w:rightChars="8" w:right="19"/>
              <w:jc w:val="both"/>
              <w:rPr>
                <w:rFonts w:ascii="Times New Roman" w:eastAsia="標楷體" w:hAnsi="Times New Roman"/>
                <w:szCs w:val="24"/>
              </w:rPr>
            </w:pPr>
            <w:r w:rsidRPr="00B06576">
              <w:rPr>
                <w:rFonts w:ascii="Times New Roman" w:eastAsia="標楷體" w:hAnsi="Times New Roman"/>
                <w:szCs w:val="24"/>
              </w:rPr>
              <w:t>登錄證券商</w:t>
            </w:r>
            <w:r>
              <w:rPr>
                <w:rFonts w:ascii="Times New Roman" w:eastAsia="標楷體" w:hAnsi="Times New Roman"/>
                <w:szCs w:val="24"/>
              </w:rPr>
              <w:t>以外之</w:t>
            </w:r>
            <w:r w:rsidR="008C6EB1" w:rsidRPr="00B06576">
              <w:rPr>
                <w:rFonts w:ascii="Times New Roman" w:eastAsia="標楷體" w:hAnsi="Times New Roman" w:hint="eastAsia"/>
                <w:szCs w:val="24"/>
              </w:rPr>
              <w:t>買賣</w:t>
            </w:r>
            <w:r w:rsidR="008C6EB1" w:rsidRPr="00B06576">
              <w:rPr>
                <w:rFonts w:ascii="Times New Roman" w:eastAsia="標楷體" w:hAnsi="Times New Roman"/>
                <w:szCs w:val="24"/>
              </w:rPr>
              <w:t>證券商於前款登錄費用繳付期間，買賣已登錄之外國債券者，應自買賣日起至前款登錄費用繳付期滿為止，按月與登錄證券商平均分攤</w:t>
            </w:r>
            <w:r w:rsidR="008C6EB1" w:rsidRPr="00B06576">
              <w:rPr>
                <w:rFonts w:ascii="Times New Roman" w:eastAsia="標楷體" w:hAnsi="Times New Roman" w:hint="eastAsia"/>
                <w:szCs w:val="24"/>
              </w:rPr>
              <w:t>該債券</w:t>
            </w:r>
            <w:r w:rsidR="008C6EB1" w:rsidRPr="00B06576">
              <w:rPr>
                <w:rFonts w:ascii="Times New Roman" w:eastAsia="標楷體" w:hAnsi="Times New Roman"/>
                <w:szCs w:val="24"/>
              </w:rPr>
              <w:t>每月之登錄費用。但證券商僅與</w:t>
            </w:r>
            <w:r w:rsidR="008C6EB1" w:rsidRPr="00B06576">
              <w:rPr>
                <w:rFonts w:ascii="Times New Roman" w:eastAsia="標楷體" w:hAnsi="Times New Roman" w:hint="eastAsia"/>
                <w:szCs w:val="24"/>
              </w:rPr>
              <w:t>境外</w:t>
            </w:r>
            <w:r w:rsidR="008C6EB1" w:rsidRPr="00B06576">
              <w:rPr>
                <w:rFonts w:ascii="Times New Roman" w:eastAsia="標楷體" w:hAnsi="Times New Roman"/>
                <w:szCs w:val="24"/>
              </w:rPr>
              <w:t>經當地主管機關核准經營業務之金融機構買賣已登錄之外國債券者，得免與登錄證券商分攤</w:t>
            </w:r>
            <w:r w:rsidR="008C6EB1" w:rsidRPr="00B06576">
              <w:rPr>
                <w:rFonts w:ascii="Times New Roman" w:eastAsia="標楷體" w:hAnsi="Times New Roman" w:hint="eastAsia"/>
                <w:szCs w:val="24"/>
              </w:rPr>
              <w:t>該債券</w:t>
            </w:r>
            <w:r w:rsidR="008C6EB1" w:rsidRPr="00B06576">
              <w:rPr>
                <w:rFonts w:ascii="Times New Roman" w:eastAsia="標楷體" w:hAnsi="Times New Roman"/>
                <w:szCs w:val="24"/>
              </w:rPr>
              <w:t>登錄費用。</w:t>
            </w:r>
          </w:p>
          <w:p w:rsidR="008C6EB1" w:rsidRPr="001170DD" w:rsidRDefault="008C6EB1" w:rsidP="001621DD">
            <w:pPr>
              <w:pStyle w:val="a4"/>
              <w:numPr>
                <w:ilvl w:val="0"/>
                <w:numId w:val="5"/>
              </w:numPr>
              <w:ind w:leftChars="0" w:rightChars="8" w:right="19"/>
              <w:jc w:val="both"/>
              <w:rPr>
                <w:rFonts w:ascii="Times New Roman" w:eastAsia="標楷體" w:hAnsi="Times New Roman"/>
                <w:szCs w:val="24"/>
              </w:rPr>
            </w:pPr>
            <w:r w:rsidRPr="00B06576">
              <w:rPr>
                <w:rFonts w:ascii="Times New Roman" w:eastAsia="標楷體" w:hAnsi="Times New Roman"/>
                <w:szCs w:val="24"/>
              </w:rPr>
              <w:t>前二款自登錄日或買賣日起算之期間，不足整月者以整月計算；債券到期日不足整月者，亦同。</w:t>
            </w:r>
          </w:p>
        </w:tc>
        <w:tc>
          <w:tcPr>
            <w:tcW w:w="3482" w:type="dxa"/>
          </w:tcPr>
          <w:p w:rsidR="008C6EB1" w:rsidRPr="00C853C2" w:rsidRDefault="00C853C2" w:rsidP="00C853C2">
            <w:pPr>
              <w:pStyle w:val="a4"/>
              <w:widowControl/>
              <w:numPr>
                <w:ilvl w:val="0"/>
                <w:numId w:val="8"/>
              </w:numPr>
              <w:autoSpaceDN w:val="0"/>
              <w:ind w:leftChars="0"/>
              <w:jc w:val="both"/>
              <w:rPr>
                <w:rFonts w:ascii="Times New Roman" w:eastAsia="標楷體" w:hAnsi="Times New Roman"/>
                <w:szCs w:val="24"/>
              </w:rPr>
            </w:pPr>
            <w:r w:rsidRPr="00C853C2">
              <w:rPr>
                <w:rFonts w:ascii="Times New Roman" w:eastAsia="標楷體" w:hAnsi="Times New Roman" w:hint="eastAsia"/>
                <w:kern w:val="0"/>
                <w:szCs w:val="24"/>
                <w:lang w:val="zh-TW"/>
              </w:rPr>
              <w:t>明定</w:t>
            </w:r>
            <w:r>
              <w:rPr>
                <w:rFonts w:ascii="Times New Roman" w:eastAsia="標楷體" w:hAnsi="Times New Roman" w:hint="eastAsia"/>
                <w:kern w:val="0"/>
                <w:szCs w:val="24"/>
                <w:lang w:val="zh-TW"/>
              </w:rPr>
              <w:t>每檔外國債券</w:t>
            </w:r>
            <w:r w:rsidRPr="00C853C2">
              <w:rPr>
                <w:rFonts w:ascii="Times New Roman" w:eastAsia="標楷體" w:hAnsi="Times New Roman" w:hint="eastAsia"/>
                <w:szCs w:val="24"/>
              </w:rPr>
              <w:t>登錄費用之</w:t>
            </w:r>
            <w:r>
              <w:rPr>
                <w:rFonts w:ascii="Times New Roman" w:eastAsia="標楷體" w:hAnsi="Times New Roman" w:hint="eastAsia"/>
                <w:szCs w:val="24"/>
              </w:rPr>
              <w:t>每月</w:t>
            </w:r>
            <w:r w:rsidRPr="00C853C2">
              <w:rPr>
                <w:rFonts w:ascii="Times New Roman" w:eastAsia="標楷體" w:hAnsi="Times New Roman" w:hint="eastAsia"/>
                <w:szCs w:val="24"/>
              </w:rPr>
              <w:t>費率及繳付上限。</w:t>
            </w:r>
          </w:p>
          <w:p w:rsidR="00C853C2" w:rsidRPr="005C73D6" w:rsidRDefault="00FC2A5F" w:rsidP="00C853C2">
            <w:pPr>
              <w:pStyle w:val="a4"/>
              <w:widowControl/>
              <w:numPr>
                <w:ilvl w:val="0"/>
                <w:numId w:val="8"/>
              </w:numPr>
              <w:autoSpaceDN w:val="0"/>
              <w:ind w:leftChars="0"/>
              <w:jc w:val="both"/>
              <w:rPr>
                <w:rFonts w:ascii="Times New Roman" w:eastAsia="標楷體" w:hAnsi="Times New Roman"/>
                <w:kern w:val="0"/>
                <w:szCs w:val="24"/>
                <w:lang w:val="zh-TW"/>
              </w:rPr>
            </w:pPr>
            <w:r>
              <w:rPr>
                <w:rFonts w:ascii="Times New Roman" w:eastAsia="標楷體" w:hAnsi="Times New Roman" w:hint="eastAsia"/>
                <w:kern w:val="0"/>
                <w:szCs w:val="24"/>
              </w:rPr>
              <w:t>為符公平原則，</w:t>
            </w:r>
            <w:r w:rsidRPr="00B06576">
              <w:rPr>
                <w:rFonts w:ascii="Times New Roman" w:eastAsia="標楷體" w:hAnsi="Times New Roman"/>
                <w:szCs w:val="24"/>
              </w:rPr>
              <w:t>證券商買賣已登錄之外國債券</w:t>
            </w:r>
            <w:r>
              <w:rPr>
                <w:rFonts w:ascii="Times New Roman" w:eastAsia="標楷體" w:hAnsi="Times New Roman" w:hint="eastAsia"/>
                <w:kern w:val="0"/>
                <w:szCs w:val="24"/>
              </w:rPr>
              <w:t>，應</w:t>
            </w:r>
            <w:r w:rsidRPr="00B06576">
              <w:rPr>
                <w:rFonts w:ascii="Times New Roman" w:eastAsia="標楷體" w:hAnsi="Times New Roman"/>
                <w:szCs w:val="24"/>
              </w:rPr>
              <w:t>自買賣日起至</w:t>
            </w:r>
            <w:r>
              <w:rPr>
                <w:rFonts w:ascii="Times New Roman" w:eastAsia="標楷體" w:hAnsi="Times New Roman"/>
                <w:szCs w:val="24"/>
              </w:rPr>
              <w:t>本條第一</w:t>
            </w:r>
            <w:r w:rsidRPr="00B06576">
              <w:rPr>
                <w:rFonts w:ascii="Times New Roman" w:eastAsia="標楷體" w:hAnsi="Times New Roman"/>
                <w:szCs w:val="24"/>
              </w:rPr>
              <w:t>款登錄費用繳付期滿為止，</w:t>
            </w:r>
            <w:r>
              <w:rPr>
                <w:rFonts w:ascii="Times New Roman" w:eastAsia="標楷體" w:hAnsi="Times New Roman" w:hint="eastAsia"/>
                <w:kern w:val="0"/>
                <w:szCs w:val="24"/>
              </w:rPr>
              <w:t>與</w:t>
            </w:r>
            <w:r w:rsidRPr="00B06576">
              <w:rPr>
                <w:rFonts w:ascii="Times New Roman" w:eastAsia="標楷體" w:hAnsi="Times New Roman"/>
                <w:szCs w:val="24"/>
              </w:rPr>
              <w:t>登錄證券商分攤</w:t>
            </w:r>
            <w:r w:rsidRPr="00B06576">
              <w:rPr>
                <w:rFonts w:ascii="Times New Roman" w:eastAsia="標楷體" w:hAnsi="Times New Roman" w:hint="eastAsia"/>
                <w:szCs w:val="24"/>
              </w:rPr>
              <w:t>該債券</w:t>
            </w:r>
            <w:r w:rsidRPr="00B06576">
              <w:rPr>
                <w:rFonts w:ascii="Times New Roman" w:eastAsia="標楷體" w:hAnsi="Times New Roman"/>
                <w:szCs w:val="24"/>
              </w:rPr>
              <w:t>登錄費用。</w:t>
            </w:r>
          </w:p>
          <w:p w:rsidR="005C73D6" w:rsidRPr="00C853C2" w:rsidRDefault="005C73D6" w:rsidP="005C73D6">
            <w:pPr>
              <w:pStyle w:val="a4"/>
              <w:widowControl/>
              <w:numPr>
                <w:ilvl w:val="0"/>
                <w:numId w:val="8"/>
              </w:numPr>
              <w:autoSpaceDN w:val="0"/>
              <w:ind w:leftChars="0"/>
              <w:jc w:val="both"/>
              <w:rPr>
                <w:rFonts w:ascii="Times New Roman" w:eastAsia="標楷體" w:hAnsi="Times New Roman"/>
                <w:kern w:val="0"/>
                <w:szCs w:val="24"/>
                <w:lang w:val="zh-TW"/>
              </w:rPr>
            </w:pPr>
            <w:r>
              <w:rPr>
                <w:rFonts w:ascii="Times New Roman" w:eastAsia="標楷體" w:hAnsi="Times New Roman"/>
                <w:szCs w:val="24"/>
              </w:rPr>
              <w:t>明定</w:t>
            </w:r>
            <w:r w:rsidRPr="00B06576">
              <w:rPr>
                <w:rFonts w:ascii="Times New Roman" w:eastAsia="標楷體" w:hAnsi="Times New Roman"/>
                <w:szCs w:val="24"/>
              </w:rPr>
              <w:t>登錄日</w:t>
            </w:r>
            <w:r>
              <w:rPr>
                <w:rFonts w:ascii="Times New Roman" w:eastAsia="標楷體" w:hAnsi="Times New Roman"/>
                <w:szCs w:val="24"/>
              </w:rPr>
              <w:t>或</w:t>
            </w:r>
            <w:r w:rsidRPr="00B06576">
              <w:rPr>
                <w:rFonts w:ascii="Times New Roman" w:eastAsia="標楷體" w:hAnsi="Times New Roman"/>
                <w:szCs w:val="24"/>
              </w:rPr>
              <w:t>買賣日</w:t>
            </w:r>
            <w:r>
              <w:rPr>
                <w:rFonts w:ascii="Times New Roman" w:eastAsia="標楷體" w:hAnsi="Times New Roman"/>
                <w:szCs w:val="24"/>
              </w:rPr>
              <w:t>起算期間，及</w:t>
            </w:r>
            <w:r w:rsidRPr="00B06576">
              <w:rPr>
                <w:rFonts w:ascii="Times New Roman" w:eastAsia="標楷體" w:hAnsi="Times New Roman"/>
                <w:szCs w:val="24"/>
              </w:rPr>
              <w:t>債券到期日</w:t>
            </w:r>
            <w:r>
              <w:rPr>
                <w:rFonts w:ascii="Times New Roman" w:eastAsia="標楷體" w:hAnsi="Times New Roman"/>
                <w:szCs w:val="24"/>
              </w:rPr>
              <w:t>不足整月者之計費方式。</w:t>
            </w:r>
          </w:p>
        </w:tc>
      </w:tr>
      <w:tr w:rsidR="008C6EB1" w:rsidRPr="0066205F" w:rsidTr="00BA4AF2">
        <w:tc>
          <w:tcPr>
            <w:tcW w:w="4678" w:type="dxa"/>
          </w:tcPr>
          <w:p w:rsidR="008C6EB1" w:rsidRPr="00B06576" w:rsidRDefault="009C513A" w:rsidP="009C513A">
            <w:pPr>
              <w:pStyle w:val="a4"/>
              <w:ind w:leftChars="0" w:left="446" w:hangingChars="186" w:hanging="446"/>
              <w:jc w:val="both"/>
              <w:rPr>
                <w:rFonts w:ascii="標楷體" w:eastAsia="標楷體" w:hAnsi="標楷體"/>
                <w:sz w:val="28"/>
                <w:szCs w:val="28"/>
              </w:rPr>
            </w:pPr>
            <w:r>
              <w:rPr>
                <w:rFonts w:ascii="Times New Roman" w:eastAsia="標楷體" w:hAnsi="Times New Roman"/>
                <w:szCs w:val="24"/>
              </w:rPr>
              <w:t>四、</w:t>
            </w:r>
            <w:r w:rsidR="00B06576" w:rsidRPr="00B06576">
              <w:rPr>
                <w:rFonts w:ascii="Times New Roman" w:eastAsia="標楷體" w:hAnsi="Times New Roman"/>
                <w:szCs w:val="24"/>
              </w:rPr>
              <w:t>本收</w:t>
            </w:r>
            <w:r w:rsidR="008C6EB1" w:rsidRPr="00B06576">
              <w:rPr>
                <w:rFonts w:ascii="Times New Roman" w:eastAsia="標楷體" w:hAnsi="Times New Roman"/>
                <w:szCs w:val="24"/>
              </w:rPr>
              <w:t>費標準</w:t>
            </w:r>
            <w:r w:rsidR="008C6EB1" w:rsidRPr="00B06576">
              <w:rPr>
                <w:rFonts w:ascii="Times New Roman" w:eastAsia="標楷體" w:hAnsi="Times New Roman" w:hint="eastAsia"/>
                <w:szCs w:val="24"/>
              </w:rPr>
              <w:t>實施日前</w:t>
            </w:r>
            <w:r w:rsidR="008C6EB1" w:rsidRPr="00B06576">
              <w:rPr>
                <w:rFonts w:ascii="Times New Roman" w:eastAsia="標楷體" w:hAnsi="Times New Roman"/>
                <w:szCs w:val="24"/>
              </w:rPr>
              <w:t>證券商</w:t>
            </w:r>
            <w:r w:rsidR="008C6EB1" w:rsidRPr="00B06576">
              <w:rPr>
                <w:rFonts w:ascii="Times New Roman" w:eastAsia="標楷體" w:hAnsi="Times New Roman" w:hint="eastAsia"/>
                <w:szCs w:val="24"/>
              </w:rPr>
              <w:t>已登錄及已買賣</w:t>
            </w:r>
            <w:r w:rsidR="008C6EB1" w:rsidRPr="00B06576">
              <w:rPr>
                <w:rFonts w:ascii="Times New Roman" w:eastAsia="標楷體" w:hAnsi="Times New Roman"/>
                <w:szCs w:val="24"/>
              </w:rPr>
              <w:t>之外國</w:t>
            </w:r>
            <w:r w:rsidR="008C6EB1" w:rsidRPr="00B06576">
              <w:rPr>
                <w:rFonts w:ascii="Times New Roman" w:eastAsia="標楷體" w:hAnsi="Times New Roman" w:hint="eastAsia"/>
                <w:szCs w:val="24"/>
              </w:rPr>
              <w:t>債券，以實施日為其登錄日及買賣日。</w:t>
            </w:r>
          </w:p>
        </w:tc>
        <w:tc>
          <w:tcPr>
            <w:tcW w:w="3482" w:type="dxa"/>
          </w:tcPr>
          <w:p w:rsidR="008C6EB1" w:rsidRPr="0066205F" w:rsidRDefault="006C5CB1" w:rsidP="00655D78">
            <w:pPr>
              <w:widowControl/>
              <w:autoSpaceDN w:val="0"/>
              <w:jc w:val="both"/>
              <w:rPr>
                <w:rFonts w:ascii="Times New Roman" w:eastAsia="標楷體" w:hAnsi="Times New Roman"/>
                <w:kern w:val="0"/>
                <w:szCs w:val="24"/>
                <w:lang w:val="zh-TW"/>
              </w:rPr>
            </w:pPr>
            <w:r>
              <w:rPr>
                <w:rFonts w:ascii="Times New Roman" w:eastAsia="標楷體" w:hAnsi="Times New Roman" w:hint="eastAsia"/>
                <w:kern w:val="0"/>
                <w:szCs w:val="24"/>
                <w:lang w:val="zh-TW"/>
              </w:rPr>
              <w:t>明</w:t>
            </w:r>
            <w:r w:rsidR="00ED5E29" w:rsidRPr="0066205F">
              <w:rPr>
                <w:rFonts w:ascii="Times New Roman" w:eastAsia="標楷體" w:hAnsi="Times New Roman" w:hint="eastAsia"/>
                <w:szCs w:val="24"/>
              </w:rPr>
              <w:t>定</w:t>
            </w:r>
            <w:r w:rsidRPr="00B06576">
              <w:rPr>
                <w:rFonts w:ascii="Times New Roman" w:eastAsia="標楷體" w:hAnsi="Times New Roman"/>
                <w:szCs w:val="24"/>
              </w:rPr>
              <w:t>本收費標準</w:t>
            </w:r>
            <w:r w:rsidRPr="00B06576">
              <w:rPr>
                <w:rFonts w:ascii="Times New Roman" w:eastAsia="標楷體" w:hAnsi="Times New Roman" w:hint="eastAsia"/>
                <w:szCs w:val="24"/>
              </w:rPr>
              <w:t>實施日前已登錄及已買賣</w:t>
            </w:r>
            <w:r w:rsidRPr="00B06576">
              <w:rPr>
                <w:rFonts w:ascii="Times New Roman" w:eastAsia="標楷體" w:hAnsi="Times New Roman"/>
                <w:szCs w:val="24"/>
              </w:rPr>
              <w:t>之外國</w:t>
            </w:r>
            <w:r w:rsidRPr="00B06576">
              <w:rPr>
                <w:rFonts w:ascii="Times New Roman" w:eastAsia="標楷體" w:hAnsi="Times New Roman" w:hint="eastAsia"/>
                <w:szCs w:val="24"/>
              </w:rPr>
              <w:t>債券</w:t>
            </w:r>
            <w:r w:rsidR="00655D78">
              <w:rPr>
                <w:rFonts w:ascii="Times New Roman" w:eastAsia="標楷體" w:hAnsi="Times New Roman" w:hint="eastAsia"/>
                <w:szCs w:val="24"/>
              </w:rPr>
              <w:t>，以實施日為證券商之登錄日及買賣日</w:t>
            </w:r>
            <w:r>
              <w:rPr>
                <w:rFonts w:ascii="Times New Roman" w:eastAsia="標楷體" w:hAnsi="Times New Roman" w:hint="eastAsia"/>
                <w:szCs w:val="24"/>
              </w:rPr>
              <w:t>。</w:t>
            </w:r>
          </w:p>
        </w:tc>
      </w:tr>
      <w:tr w:rsidR="008C6EB1" w:rsidRPr="0066205F" w:rsidTr="00BA4AF2">
        <w:tc>
          <w:tcPr>
            <w:tcW w:w="4678" w:type="dxa"/>
          </w:tcPr>
          <w:p w:rsidR="008C6EB1" w:rsidRPr="002A2D9F" w:rsidRDefault="002A2D9F" w:rsidP="002A2D9F">
            <w:pPr>
              <w:ind w:leftChars="-2" w:left="511" w:hangingChars="215" w:hanging="516"/>
              <w:jc w:val="both"/>
              <w:rPr>
                <w:rFonts w:ascii="Times New Roman" w:eastAsia="標楷體" w:hAnsi="Times New Roman"/>
                <w:kern w:val="0"/>
                <w:szCs w:val="24"/>
              </w:rPr>
            </w:pPr>
            <w:r w:rsidRPr="001621DD">
              <w:rPr>
                <w:rFonts w:ascii="Times New Roman" w:eastAsia="標楷體" w:hAnsi="Times New Roman" w:hint="eastAsia"/>
                <w:kern w:val="0"/>
                <w:szCs w:val="24"/>
              </w:rPr>
              <w:t>五、</w:t>
            </w:r>
            <w:r w:rsidR="008C6EB1" w:rsidRPr="001621DD">
              <w:rPr>
                <w:rFonts w:ascii="Times New Roman" w:eastAsia="標楷體" w:hAnsi="Times New Roman"/>
                <w:szCs w:val="24"/>
              </w:rPr>
              <w:t>本收費標準報請主管機關核定後實施，修正時亦同。</w:t>
            </w:r>
          </w:p>
        </w:tc>
        <w:tc>
          <w:tcPr>
            <w:tcW w:w="3482" w:type="dxa"/>
          </w:tcPr>
          <w:p w:rsidR="008C6EB1" w:rsidRPr="0066205F" w:rsidRDefault="00B06576" w:rsidP="00CC61D2">
            <w:pPr>
              <w:widowControl/>
              <w:autoSpaceDN w:val="0"/>
              <w:jc w:val="both"/>
              <w:rPr>
                <w:rFonts w:ascii="Times New Roman" w:eastAsia="標楷體" w:hAnsi="Times New Roman"/>
                <w:kern w:val="0"/>
                <w:szCs w:val="24"/>
                <w:lang w:val="zh-TW"/>
              </w:rPr>
            </w:pPr>
            <w:r w:rsidRPr="0066205F">
              <w:rPr>
                <w:rFonts w:ascii="Times New Roman" w:eastAsia="標楷體" w:hAnsi="Times New Roman" w:hint="eastAsia"/>
                <w:szCs w:val="24"/>
              </w:rPr>
              <w:t>明定本</w:t>
            </w:r>
            <w:r w:rsidR="00CC61D2" w:rsidRPr="0071186F">
              <w:rPr>
                <w:rFonts w:ascii="Times New Roman" w:eastAsia="標楷體" w:hAnsi="Times New Roman"/>
                <w:szCs w:val="24"/>
              </w:rPr>
              <w:t>收費標準</w:t>
            </w:r>
            <w:r w:rsidR="00CC61D2">
              <w:rPr>
                <w:rFonts w:ascii="Times New Roman" w:eastAsia="標楷體" w:hAnsi="Times New Roman"/>
                <w:szCs w:val="24"/>
              </w:rPr>
              <w:t>之</w:t>
            </w:r>
            <w:r w:rsidRPr="0066205F">
              <w:rPr>
                <w:rFonts w:ascii="Times New Roman" w:eastAsia="標楷體" w:hAnsi="Times New Roman" w:hint="eastAsia"/>
                <w:szCs w:val="24"/>
              </w:rPr>
              <w:t>核定層級及</w:t>
            </w:r>
            <w:r w:rsidR="00CC61D2">
              <w:rPr>
                <w:rFonts w:ascii="Times New Roman" w:eastAsia="標楷體" w:hAnsi="Times New Roman" w:hint="eastAsia"/>
                <w:szCs w:val="24"/>
              </w:rPr>
              <w:t>修正程序</w:t>
            </w:r>
            <w:r w:rsidRPr="0066205F">
              <w:rPr>
                <w:rFonts w:ascii="Times New Roman" w:eastAsia="標楷體" w:hAnsi="Times New Roman" w:hint="eastAsia"/>
                <w:szCs w:val="24"/>
              </w:rPr>
              <w:t>。</w:t>
            </w:r>
          </w:p>
        </w:tc>
      </w:tr>
    </w:tbl>
    <w:p w:rsidR="00BA4AF2" w:rsidRPr="00BA4AF2" w:rsidRDefault="00BA4AF2" w:rsidP="00CD3D6A">
      <w:bookmarkStart w:id="2" w:name="_GoBack"/>
      <w:bookmarkEnd w:id="2"/>
    </w:p>
    <w:sectPr w:rsidR="00BA4AF2" w:rsidRPr="00BA4AF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7DA" w:rsidRDefault="005F67DA" w:rsidP="0071186F">
      <w:r>
        <w:separator/>
      </w:r>
    </w:p>
  </w:endnote>
  <w:endnote w:type="continuationSeparator" w:id="0">
    <w:p w:rsidR="005F67DA" w:rsidRDefault="005F67DA" w:rsidP="0071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7DA" w:rsidRDefault="005F67DA" w:rsidP="0071186F">
      <w:r>
        <w:separator/>
      </w:r>
    </w:p>
  </w:footnote>
  <w:footnote w:type="continuationSeparator" w:id="0">
    <w:p w:rsidR="005F67DA" w:rsidRDefault="005F67DA" w:rsidP="00711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2666"/>
    <w:multiLevelType w:val="hybridMultilevel"/>
    <w:tmpl w:val="ED1ABDE8"/>
    <w:lvl w:ilvl="0" w:tplc="AAE0F7E6">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3C2AE2"/>
    <w:multiLevelType w:val="hybridMultilevel"/>
    <w:tmpl w:val="FAF2DA2E"/>
    <w:lvl w:ilvl="0" w:tplc="47505014">
      <w:start w:val="1"/>
      <w:numFmt w:val="taiwaneseCountingThousand"/>
      <w:lvlText w:val="(%1)"/>
      <w:lvlJc w:val="left"/>
      <w:pPr>
        <w:ind w:left="1004" w:hanging="720"/>
      </w:pPr>
      <w:rPr>
        <w:rFonts w:hint="default"/>
      </w:rPr>
    </w:lvl>
    <w:lvl w:ilvl="1" w:tplc="D154F890">
      <w:start w:val="5"/>
      <w:numFmt w:val="taiwaneseCountingThousand"/>
      <w:lvlText w:val="%2、"/>
      <w:lvlJc w:val="left"/>
      <w:pPr>
        <w:ind w:left="1244" w:hanging="48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13920F10"/>
    <w:multiLevelType w:val="hybridMultilevel"/>
    <w:tmpl w:val="9D9CDC20"/>
    <w:lvl w:ilvl="0" w:tplc="16AE918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2DC216B9"/>
    <w:multiLevelType w:val="hybridMultilevel"/>
    <w:tmpl w:val="33BE5D56"/>
    <w:lvl w:ilvl="0" w:tplc="29BC722A">
      <w:start w:val="4"/>
      <w:numFmt w:val="taiwaneseCountingThousand"/>
      <w:lvlText w:val="%1、"/>
      <w:lvlJc w:val="left"/>
      <w:pPr>
        <w:ind w:left="720" w:hanging="720"/>
      </w:pPr>
      <w:rPr>
        <w:rFonts w:ascii="Times New Roman" w:hAnsi="Times New Roman" w:hint="default"/>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F20710"/>
    <w:multiLevelType w:val="hybridMultilevel"/>
    <w:tmpl w:val="873EB9DE"/>
    <w:lvl w:ilvl="0" w:tplc="8F38E87C">
      <w:start w:val="4"/>
      <w:numFmt w:val="taiwaneseCountingThousand"/>
      <w:lvlText w:val="%1、"/>
      <w:lvlJc w:val="left"/>
      <w:pPr>
        <w:ind w:left="720" w:hanging="72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932329"/>
    <w:multiLevelType w:val="hybridMultilevel"/>
    <w:tmpl w:val="445CD02E"/>
    <w:lvl w:ilvl="0" w:tplc="318AEB3E">
      <w:start w:val="1"/>
      <w:numFmt w:val="taiwaneseCountingThousand"/>
      <w:lvlText w:val="%1、"/>
      <w:lvlJc w:val="left"/>
      <w:pPr>
        <w:ind w:left="480" w:hanging="480"/>
      </w:pPr>
      <w:rPr>
        <w:rFonts w:ascii="標楷體" w:eastAsia="標楷體" w:hAnsi="標楷體" w:cstheme="minorBidi"/>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2E13F1D"/>
    <w:multiLevelType w:val="hybridMultilevel"/>
    <w:tmpl w:val="E10066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FA877FA"/>
    <w:multiLevelType w:val="hybridMultilevel"/>
    <w:tmpl w:val="3D30C84A"/>
    <w:lvl w:ilvl="0" w:tplc="F710D2FA">
      <w:start w:val="1"/>
      <w:numFmt w:val="taiwaneseCountingThousand"/>
      <w:lvlText w:val="%1、"/>
      <w:lvlJc w:val="left"/>
      <w:pPr>
        <w:ind w:left="480" w:hanging="480"/>
      </w:pPr>
      <w:rPr>
        <w:rFonts w:ascii="標楷體" w:eastAsia="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28076C7"/>
    <w:multiLevelType w:val="hybridMultilevel"/>
    <w:tmpl w:val="3564C41A"/>
    <w:lvl w:ilvl="0" w:tplc="16D086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5"/>
  </w:num>
  <w:num w:numId="4">
    <w:abstractNumId w:val="0"/>
  </w:num>
  <w:num w:numId="5">
    <w:abstractNumId w:val="1"/>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F2"/>
    <w:rsid w:val="001170DD"/>
    <w:rsid w:val="00155324"/>
    <w:rsid w:val="001621DD"/>
    <w:rsid w:val="001A7BF5"/>
    <w:rsid w:val="002A2D9F"/>
    <w:rsid w:val="002B2D32"/>
    <w:rsid w:val="00363580"/>
    <w:rsid w:val="004374C3"/>
    <w:rsid w:val="005C73D6"/>
    <w:rsid w:val="005F67DA"/>
    <w:rsid w:val="00655D78"/>
    <w:rsid w:val="006C5CB1"/>
    <w:rsid w:val="0071186F"/>
    <w:rsid w:val="008C6EB1"/>
    <w:rsid w:val="009C513A"/>
    <w:rsid w:val="00B06576"/>
    <w:rsid w:val="00BA4AF2"/>
    <w:rsid w:val="00BB3097"/>
    <w:rsid w:val="00C252E1"/>
    <w:rsid w:val="00C76289"/>
    <w:rsid w:val="00C853C2"/>
    <w:rsid w:val="00CC61D2"/>
    <w:rsid w:val="00CD3D6A"/>
    <w:rsid w:val="00CD634D"/>
    <w:rsid w:val="00D83B24"/>
    <w:rsid w:val="00DA6623"/>
    <w:rsid w:val="00DF4024"/>
    <w:rsid w:val="00ED5E29"/>
    <w:rsid w:val="00EF3E8E"/>
    <w:rsid w:val="00FC2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EDD20C-C2AC-4CAE-A5EE-51EC4F0F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AF2"/>
    <w:pPr>
      <w:widowControl w:val="0"/>
    </w:pPr>
  </w:style>
  <w:style w:type="paragraph" w:styleId="2">
    <w:name w:val="heading 2"/>
    <w:basedOn w:val="a"/>
    <w:next w:val="a"/>
    <w:link w:val="20"/>
    <w:uiPriority w:val="9"/>
    <w:unhideWhenUsed/>
    <w:qFormat/>
    <w:rsid w:val="00BA4AF2"/>
    <w:pPr>
      <w:keepNext/>
      <w:snapToGrid w:val="0"/>
      <w:spacing w:afterLines="15" w:line="276" w:lineRule="auto"/>
      <w:outlineLvl w:val="1"/>
    </w:pPr>
    <w:rPr>
      <w:rFonts w:ascii="Times New Roman" w:eastAsia="標楷體" w:hAnsiTheme="majorHAns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BA4AF2"/>
    <w:rPr>
      <w:rFonts w:ascii="Times New Roman" w:eastAsia="標楷體" w:hAnsiTheme="majorHAnsi" w:cs="Times New Roman"/>
      <w:b/>
      <w:bCs/>
      <w:sz w:val="32"/>
      <w:szCs w:val="32"/>
    </w:rPr>
  </w:style>
  <w:style w:type="table" w:styleId="a3">
    <w:name w:val="Table Grid"/>
    <w:basedOn w:val="a1"/>
    <w:uiPriority w:val="59"/>
    <w:rsid w:val="00BA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4AF2"/>
    <w:pPr>
      <w:ind w:leftChars="200" w:left="480"/>
    </w:pPr>
  </w:style>
  <w:style w:type="paragraph" w:styleId="a5">
    <w:name w:val="header"/>
    <w:basedOn w:val="a"/>
    <w:link w:val="a6"/>
    <w:uiPriority w:val="99"/>
    <w:unhideWhenUsed/>
    <w:rsid w:val="0071186F"/>
    <w:pPr>
      <w:tabs>
        <w:tab w:val="center" w:pos="4153"/>
        <w:tab w:val="right" w:pos="8306"/>
      </w:tabs>
      <w:snapToGrid w:val="0"/>
    </w:pPr>
    <w:rPr>
      <w:sz w:val="20"/>
      <w:szCs w:val="20"/>
    </w:rPr>
  </w:style>
  <w:style w:type="character" w:customStyle="1" w:styleId="a6">
    <w:name w:val="頁首 字元"/>
    <w:basedOn w:val="a0"/>
    <w:link w:val="a5"/>
    <w:uiPriority w:val="99"/>
    <w:rsid w:val="0071186F"/>
    <w:rPr>
      <w:sz w:val="20"/>
      <w:szCs w:val="20"/>
    </w:rPr>
  </w:style>
  <w:style w:type="paragraph" w:styleId="a7">
    <w:name w:val="footer"/>
    <w:basedOn w:val="a"/>
    <w:link w:val="a8"/>
    <w:uiPriority w:val="99"/>
    <w:unhideWhenUsed/>
    <w:rsid w:val="0071186F"/>
    <w:pPr>
      <w:tabs>
        <w:tab w:val="center" w:pos="4153"/>
        <w:tab w:val="right" w:pos="8306"/>
      </w:tabs>
      <w:snapToGrid w:val="0"/>
    </w:pPr>
    <w:rPr>
      <w:sz w:val="20"/>
      <w:szCs w:val="20"/>
    </w:rPr>
  </w:style>
  <w:style w:type="character" w:customStyle="1" w:styleId="a8">
    <w:name w:val="頁尾 字元"/>
    <w:basedOn w:val="a0"/>
    <w:link w:val="a7"/>
    <w:uiPriority w:val="99"/>
    <w:rsid w:val="0071186F"/>
    <w:rPr>
      <w:sz w:val="20"/>
      <w:szCs w:val="20"/>
    </w:rPr>
  </w:style>
  <w:style w:type="paragraph" w:styleId="a9">
    <w:name w:val="Balloon Text"/>
    <w:basedOn w:val="a"/>
    <w:link w:val="aa"/>
    <w:uiPriority w:val="99"/>
    <w:semiHidden/>
    <w:unhideWhenUsed/>
    <w:rsid w:val="004374C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374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李政娟</dc:creator>
  <cp:keywords/>
  <dc:description/>
  <cp:lastModifiedBy>李政娟</cp:lastModifiedBy>
  <cp:revision>19</cp:revision>
  <cp:lastPrinted>2018-10-01T09:44:00Z</cp:lastPrinted>
  <dcterms:created xsi:type="dcterms:W3CDTF">2018-09-28T06:25:00Z</dcterms:created>
  <dcterms:modified xsi:type="dcterms:W3CDTF">2018-11-09T08:32:00Z</dcterms:modified>
</cp:coreProperties>
</file>