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BA" w:rsidRPr="00311A04" w:rsidRDefault="007263EF" w:rsidP="00613B04">
      <w:pPr>
        <w:pStyle w:val="1"/>
        <w:spacing w:after="54"/>
        <w:rPr>
          <w:szCs w:val="36"/>
        </w:rPr>
      </w:pPr>
      <w:bookmarkStart w:id="0" w:name="_Toc517811099"/>
      <w:bookmarkStart w:id="1" w:name="_Toc502152753"/>
      <w:r w:rsidRPr="00311A04">
        <w:rPr>
          <w:rFonts w:hint="eastAsia"/>
        </w:rPr>
        <w:t>證券商發行與增額發行指數投資證券履約保證金管理辦法</w:t>
      </w:r>
      <w:r w:rsidR="00C26FBA" w:rsidRPr="00311A04">
        <w:rPr>
          <w:rFonts w:hint="eastAsia"/>
          <w:szCs w:val="36"/>
        </w:rPr>
        <w:t>總說明</w:t>
      </w:r>
      <w:bookmarkEnd w:id="0"/>
    </w:p>
    <w:p w:rsidR="00DD22FB" w:rsidRPr="00311A04" w:rsidRDefault="00DD22FB" w:rsidP="00FD625D">
      <w:pPr>
        <w:snapToGrid w:val="0"/>
        <w:spacing w:beforeLines="100" w:before="360" w:line="490" w:lineRule="exact"/>
        <w:ind w:leftChars="100" w:left="240" w:rightChars="100" w:right="240" w:firstLineChars="200" w:firstLine="560"/>
        <w:jc w:val="both"/>
        <w:rPr>
          <w:rFonts w:ascii="Times New Roman" w:eastAsia="標楷體" w:hAnsi="Times New Roman"/>
          <w:bCs/>
          <w:sz w:val="28"/>
          <w:szCs w:val="28"/>
        </w:rPr>
      </w:pPr>
      <w:r w:rsidRPr="00311A04">
        <w:rPr>
          <w:rFonts w:ascii="Times New Roman" w:eastAsia="標楷體" w:hAnsi="Times New Roman" w:hint="eastAsia"/>
          <w:bCs/>
          <w:sz w:val="28"/>
          <w:szCs w:val="28"/>
        </w:rPr>
        <w:t>為強化證券商發行指數投資證券之履約能力，以提升投資人保障程度，本中心會同臺灣證券交所股份有限公司依證券商發行指數投資證券處理準則第五條授權規定，訂定證券商發行與增額發行指數投資證券履約保證金管理辦法，</w:t>
      </w:r>
      <w:r w:rsidR="00C02D95" w:rsidRPr="00311A04">
        <w:rPr>
          <w:rFonts w:ascii="Times New Roman" w:eastAsia="標楷體" w:hAnsi="Times New Roman" w:hint="eastAsia"/>
          <w:bCs/>
          <w:sz w:val="28"/>
          <w:szCs w:val="28"/>
        </w:rPr>
        <w:t>共</w:t>
      </w:r>
      <w:r w:rsidRPr="00311A04">
        <w:rPr>
          <w:rFonts w:ascii="Times New Roman" w:eastAsia="標楷體" w:hAnsi="Times New Roman" w:hint="eastAsia"/>
          <w:bCs/>
          <w:sz w:val="28"/>
          <w:szCs w:val="28"/>
        </w:rPr>
        <w:t>計</w:t>
      </w:r>
      <w:r w:rsidRPr="00311A04">
        <w:rPr>
          <w:rFonts w:ascii="Times New Roman" w:eastAsia="標楷體" w:hAnsi="Times New Roman" w:hint="eastAsia"/>
          <w:bCs/>
          <w:sz w:val="28"/>
          <w:szCs w:val="28"/>
        </w:rPr>
        <w:t>1</w:t>
      </w:r>
      <w:r w:rsidR="00094A49">
        <w:rPr>
          <w:rFonts w:ascii="Times New Roman" w:eastAsia="標楷體" w:hAnsi="Times New Roman"/>
          <w:bCs/>
          <w:sz w:val="28"/>
          <w:szCs w:val="28"/>
        </w:rPr>
        <w:t>2</w:t>
      </w:r>
      <w:r w:rsidRPr="00311A04">
        <w:rPr>
          <w:rFonts w:ascii="Times New Roman" w:eastAsia="標楷體" w:hAnsi="Times New Roman" w:hint="eastAsia"/>
          <w:bCs/>
          <w:sz w:val="28"/>
          <w:szCs w:val="28"/>
        </w:rPr>
        <w:t>條。其要點如下：</w:t>
      </w:r>
    </w:p>
    <w:p w:rsidR="00DD22FB" w:rsidRPr="00311A04" w:rsidRDefault="00DD22FB" w:rsidP="00DD22FB">
      <w:pPr>
        <w:tabs>
          <w:tab w:val="left" w:pos="1418"/>
        </w:tabs>
        <w:snapToGrid w:val="0"/>
        <w:spacing w:line="490" w:lineRule="exact"/>
        <w:ind w:leftChars="335" w:left="1417" w:rightChars="100" w:right="240" w:hangingChars="219" w:hanging="613"/>
        <w:jc w:val="both"/>
        <w:rPr>
          <w:rFonts w:ascii="Times New Roman" w:eastAsia="標楷體" w:hAnsi="Times New Roman"/>
          <w:sz w:val="28"/>
          <w:szCs w:val="28"/>
        </w:rPr>
      </w:pPr>
      <w:r w:rsidRPr="00311A04">
        <w:rPr>
          <w:rFonts w:ascii="Times New Roman" w:eastAsia="標楷體" w:hAnsi="Times New Roman" w:hint="eastAsia"/>
          <w:sz w:val="28"/>
          <w:szCs w:val="28"/>
        </w:rPr>
        <w:t>一、</w:t>
      </w:r>
      <w:r w:rsidRPr="00311A04">
        <w:rPr>
          <w:rFonts w:ascii="Times New Roman" w:eastAsia="標楷體" w:hAnsi="Times New Roman" w:hint="eastAsia"/>
          <w:sz w:val="28"/>
          <w:szCs w:val="28"/>
        </w:rPr>
        <w:tab/>
      </w:r>
      <w:r w:rsidRPr="00311A04">
        <w:rPr>
          <w:rFonts w:ascii="Times New Roman" w:eastAsia="標楷體" w:hAnsi="Times New Roman" w:hint="eastAsia"/>
          <w:sz w:val="28"/>
          <w:szCs w:val="28"/>
        </w:rPr>
        <w:t>本辦法之法源依據。（第</w:t>
      </w:r>
      <w:r w:rsidRPr="00311A04">
        <w:rPr>
          <w:rFonts w:ascii="Times New Roman" w:eastAsia="標楷體" w:hAnsi="Times New Roman" w:hint="eastAsia"/>
          <w:sz w:val="28"/>
          <w:szCs w:val="28"/>
        </w:rPr>
        <w:t>1</w:t>
      </w:r>
      <w:r w:rsidRPr="00311A04">
        <w:rPr>
          <w:rFonts w:ascii="Times New Roman" w:eastAsia="標楷體" w:hAnsi="Times New Roman" w:hint="eastAsia"/>
          <w:sz w:val="28"/>
          <w:szCs w:val="28"/>
        </w:rPr>
        <w:t>條）</w:t>
      </w:r>
    </w:p>
    <w:p w:rsidR="00DD22FB" w:rsidRPr="00311A04" w:rsidRDefault="00DD22FB" w:rsidP="00DD22FB">
      <w:pPr>
        <w:tabs>
          <w:tab w:val="left" w:pos="1418"/>
        </w:tabs>
        <w:snapToGrid w:val="0"/>
        <w:spacing w:line="490" w:lineRule="exact"/>
        <w:ind w:leftChars="335" w:left="1417" w:rightChars="100" w:right="240" w:hangingChars="219" w:hanging="613"/>
        <w:jc w:val="both"/>
        <w:rPr>
          <w:rFonts w:ascii="Times New Roman" w:eastAsia="標楷體" w:hAnsi="Times New Roman"/>
          <w:sz w:val="28"/>
          <w:szCs w:val="28"/>
        </w:rPr>
      </w:pPr>
      <w:r w:rsidRPr="00311A04">
        <w:rPr>
          <w:rFonts w:ascii="Times New Roman" w:eastAsia="標楷體" w:hAnsi="Times New Roman" w:hint="eastAsia"/>
          <w:sz w:val="28"/>
          <w:szCs w:val="28"/>
        </w:rPr>
        <w:t>二、</w:t>
      </w:r>
      <w:r w:rsidRPr="00311A04">
        <w:rPr>
          <w:rFonts w:ascii="Times New Roman" w:eastAsia="標楷體" w:hAnsi="Times New Roman" w:hint="eastAsia"/>
          <w:sz w:val="28"/>
          <w:szCs w:val="28"/>
        </w:rPr>
        <w:tab/>
      </w:r>
      <w:r w:rsidRPr="00311A04">
        <w:rPr>
          <w:rFonts w:ascii="Times New Roman" w:eastAsia="標楷體" w:hAnsi="Times New Roman" w:hint="eastAsia"/>
          <w:bCs/>
          <w:sz w:val="28"/>
          <w:szCs w:val="28"/>
        </w:rPr>
        <w:t>指數投資證券履約保證金相關事項所適用之法令規章及其適用順序</w:t>
      </w:r>
      <w:r w:rsidRPr="00311A04">
        <w:rPr>
          <w:rFonts w:ascii="Times New Roman" w:eastAsia="標楷體" w:hAnsi="Times New Roman" w:hint="eastAsia"/>
          <w:sz w:val="28"/>
          <w:szCs w:val="28"/>
        </w:rPr>
        <w:t>。（第</w:t>
      </w:r>
      <w:r w:rsidRPr="00311A04">
        <w:rPr>
          <w:rFonts w:ascii="Times New Roman" w:eastAsia="標楷體" w:hAnsi="Times New Roman" w:hint="eastAsia"/>
          <w:sz w:val="28"/>
          <w:szCs w:val="28"/>
        </w:rPr>
        <w:t>2</w:t>
      </w:r>
      <w:r w:rsidRPr="00311A04">
        <w:rPr>
          <w:rFonts w:ascii="Times New Roman" w:eastAsia="標楷體" w:hAnsi="Times New Roman" w:hint="eastAsia"/>
          <w:sz w:val="28"/>
          <w:szCs w:val="28"/>
        </w:rPr>
        <w:t>條）</w:t>
      </w:r>
    </w:p>
    <w:p w:rsidR="00DD22FB" w:rsidRPr="00311A04" w:rsidRDefault="00DD22FB" w:rsidP="00DD22FB">
      <w:pPr>
        <w:tabs>
          <w:tab w:val="left" w:pos="1418"/>
        </w:tabs>
        <w:snapToGrid w:val="0"/>
        <w:spacing w:line="490" w:lineRule="exact"/>
        <w:ind w:leftChars="335" w:left="1417" w:rightChars="100" w:right="240" w:hangingChars="219" w:hanging="613"/>
        <w:jc w:val="both"/>
        <w:rPr>
          <w:rFonts w:ascii="Times New Roman" w:eastAsia="標楷體" w:hAnsi="Times New Roman"/>
          <w:sz w:val="28"/>
          <w:szCs w:val="28"/>
        </w:rPr>
      </w:pPr>
      <w:r w:rsidRPr="00311A04">
        <w:rPr>
          <w:rFonts w:ascii="Times New Roman" w:eastAsia="標楷體" w:hAnsi="Times New Roman" w:hint="eastAsia"/>
          <w:sz w:val="28"/>
          <w:szCs w:val="28"/>
        </w:rPr>
        <w:t>三、</w:t>
      </w:r>
      <w:r w:rsidRPr="00311A04">
        <w:rPr>
          <w:rFonts w:ascii="Times New Roman" w:eastAsia="標楷體" w:hAnsi="Times New Roman" w:hint="eastAsia"/>
          <w:sz w:val="28"/>
          <w:szCs w:val="28"/>
        </w:rPr>
        <w:tab/>
      </w:r>
      <w:r w:rsidRPr="00311A04">
        <w:rPr>
          <w:rFonts w:ascii="Times New Roman" w:eastAsia="標楷體" w:hAnsi="Times New Roman" w:hint="eastAsia"/>
          <w:sz w:val="28"/>
          <w:szCs w:val="28"/>
        </w:rPr>
        <w:t>履約保證金之</w:t>
      </w:r>
      <w:proofErr w:type="gramStart"/>
      <w:r w:rsidRPr="00311A04">
        <w:rPr>
          <w:rFonts w:ascii="Times New Roman" w:eastAsia="標楷體" w:hAnsi="Times New Roman" w:hint="eastAsia"/>
          <w:sz w:val="28"/>
          <w:szCs w:val="28"/>
        </w:rPr>
        <w:t>提撥</w:t>
      </w:r>
      <w:proofErr w:type="gramEnd"/>
      <w:r w:rsidRPr="00311A04">
        <w:rPr>
          <w:rFonts w:ascii="Times New Roman" w:eastAsia="標楷體" w:hAnsi="Times New Roman" w:hint="eastAsia"/>
          <w:sz w:val="28"/>
          <w:szCs w:val="28"/>
        </w:rPr>
        <w:t>比例及辦理增補或退還之期限。（第</w:t>
      </w:r>
      <w:r w:rsidRPr="00311A04">
        <w:rPr>
          <w:rFonts w:ascii="Times New Roman" w:eastAsia="標楷體" w:hAnsi="Times New Roman" w:hint="eastAsia"/>
          <w:sz w:val="28"/>
          <w:szCs w:val="28"/>
        </w:rPr>
        <w:t>3</w:t>
      </w:r>
      <w:r w:rsidRPr="00311A04">
        <w:rPr>
          <w:rFonts w:ascii="Times New Roman" w:eastAsia="標楷體" w:hAnsi="Times New Roman" w:hint="eastAsia"/>
          <w:sz w:val="28"/>
          <w:szCs w:val="28"/>
        </w:rPr>
        <w:t>條及第</w:t>
      </w:r>
      <w:r w:rsidRPr="00311A04">
        <w:rPr>
          <w:rFonts w:ascii="Times New Roman" w:eastAsia="標楷體" w:hAnsi="Times New Roman" w:hint="eastAsia"/>
          <w:sz w:val="28"/>
          <w:szCs w:val="28"/>
        </w:rPr>
        <w:t>4</w:t>
      </w:r>
      <w:r w:rsidRPr="00311A04">
        <w:rPr>
          <w:rFonts w:ascii="Times New Roman" w:eastAsia="標楷體" w:hAnsi="Times New Roman" w:hint="eastAsia"/>
          <w:sz w:val="28"/>
          <w:szCs w:val="28"/>
        </w:rPr>
        <w:t>條）</w:t>
      </w:r>
    </w:p>
    <w:p w:rsidR="00DD22FB" w:rsidRPr="00311A04" w:rsidRDefault="00DD22FB" w:rsidP="00DD22FB">
      <w:pPr>
        <w:tabs>
          <w:tab w:val="left" w:pos="1418"/>
        </w:tabs>
        <w:snapToGrid w:val="0"/>
        <w:spacing w:line="490" w:lineRule="exact"/>
        <w:ind w:leftChars="335" w:left="1417" w:rightChars="100" w:right="240" w:hangingChars="219" w:hanging="613"/>
        <w:jc w:val="both"/>
        <w:rPr>
          <w:rFonts w:ascii="Times New Roman" w:eastAsia="標楷體" w:hAnsi="Times New Roman"/>
          <w:sz w:val="28"/>
          <w:szCs w:val="28"/>
        </w:rPr>
      </w:pPr>
      <w:r w:rsidRPr="00311A04">
        <w:rPr>
          <w:rFonts w:ascii="Times New Roman" w:eastAsia="標楷體" w:hAnsi="Times New Roman" w:hint="eastAsia"/>
          <w:sz w:val="28"/>
          <w:szCs w:val="28"/>
        </w:rPr>
        <w:t>四、</w:t>
      </w:r>
      <w:r w:rsidRPr="00311A04">
        <w:rPr>
          <w:rFonts w:ascii="Times New Roman" w:eastAsia="標楷體" w:hAnsi="Times New Roman" w:hint="eastAsia"/>
          <w:sz w:val="28"/>
          <w:szCs w:val="28"/>
        </w:rPr>
        <w:tab/>
      </w:r>
      <w:r w:rsidRPr="00311A04">
        <w:rPr>
          <w:rFonts w:ascii="Times New Roman" w:eastAsia="標楷體" w:hAnsi="Times New Roman" w:hint="eastAsia"/>
          <w:sz w:val="28"/>
          <w:szCs w:val="28"/>
        </w:rPr>
        <w:t>履約保證金之繳存種類及繳存方式。（第</w:t>
      </w:r>
      <w:r w:rsidRPr="00311A04">
        <w:rPr>
          <w:rFonts w:ascii="Times New Roman" w:eastAsia="標楷體" w:hAnsi="Times New Roman" w:hint="eastAsia"/>
          <w:sz w:val="28"/>
          <w:szCs w:val="28"/>
        </w:rPr>
        <w:t>5</w:t>
      </w:r>
      <w:r w:rsidRPr="00311A04">
        <w:rPr>
          <w:rFonts w:ascii="Times New Roman" w:eastAsia="標楷體" w:hAnsi="Times New Roman" w:hint="eastAsia"/>
          <w:sz w:val="28"/>
          <w:szCs w:val="28"/>
        </w:rPr>
        <w:t>條）</w:t>
      </w:r>
    </w:p>
    <w:p w:rsidR="00DD22FB" w:rsidRPr="00311A04" w:rsidRDefault="00DD22FB" w:rsidP="00DD22FB">
      <w:pPr>
        <w:tabs>
          <w:tab w:val="left" w:pos="1418"/>
        </w:tabs>
        <w:snapToGrid w:val="0"/>
        <w:spacing w:line="490" w:lineRule="exact"/>
        <w:ind w:leftChars="335" w:left="1417" w:rightChars="100" w:right="240" w:hangingChars="219" w:hanging="613"/>
        <w:jc w:val="both"/>
        <w:rPr>
          <w:rFonts w:ascii="Times New Roman" w:eastAsia="標楷體" w:hAnsi="Times New Roman"/>
          <w:sz w:val="28"/>
          <w:szCs w:val="28"/>
        </w:rPr>
      </w:pPr>
      <w:r w:rsidRPr="00311A04">
        <w:rPr>
          <w:rFonts w:ascii="Times New Roman" w:eastAsia="標楷體" w:hAnsi="Times New Roman" w:hint="eastAsia"/>
          <w:sz w:val="28"/>
          <w:szCs w:val="28"/>
        </w:rPr>
        <w:t>五、</w:t>
      </w:r>
      <w:r w:rsidRPr="00311A04">
        <w:rPr>
          <w:rFonts w:ascii="Times New Roman" w:eastAsia="標楷體" w:hAnsi="Times New Roman" w:hint="eastAsia"/>
          <w:sz w:val="28"/>
          <w:szCs w:val="28"/>
        </w:rPr>
        <w:tab/>
      </w:r>
      <w:r w:rsidRPr="00311A04">
        <w:rPr>
          <w:rFonts w:ascii="Times New Roman" w:eastAsia="標楷體" w:hAnsi="Times New Roman" w:hint="eastAsia"/>
          <w:sz w:val="28"/>
          <w:szCs w:val="28"/>
        </w:rPr>
        <w:t>履約保證金之申請退還程序及退還方式。（第</w:t>
      </w:r>
      <w:r w:rsidRPr="00311A04">
        <w:rPr>
          <w:rFonts w:ascii="Times New Roman" w:eastAsia="標楷體" w:hAnsi="Times New Roman" w:hint="eastAsia"/>
          <w:sz w:val="28"/>
          <w:szCs w:val="28"/>
        </w:rPr>
        <w:t>6</w:t>
      </w:r>
      <w:r w:rsidRPr="00311A04">
        <w:rPr>
          <w:rFonts w:ascii="Times New Roman" w:eastAsia="標楷體" w:hAnsi="Times New Roman" w:hint="eastAsia"/>
          <w:sz w:val="28"/>
          <w:szCs w:val="28"/>
        </w:rPr>
        <w:t>條）</w:t>
      </w:r>
    </w:p>
    <w:p w:rsidR="00DD22FB" w:rsidRPr="00311A04" w:rsidRDefault="00DD22FB" w:rsidP="00DD22FB">
      <w:pPr>
        <w:tabs>
          <w:tab w:val="left" w:pos="1418"/>
        </w:tabs>
        <w:snapToGrid w:val="0"/>
        <w:spacing w:line="490" w:lineRule="exact"/>
        <w:ind w:leftChars="335" w:left="1417" w:rightChars="100" w:right="240" w:hangingChars="219" w:hanging="613"/>
        <w:jc w:val="both"/>
        <w:rPr>
          <w:rFonts w:ascii="Times New Roman" w:eastAsia="標楷體" w:hAnsi="Times New Roman"/>
          <w:sz w:val="28"/>
          <w:szCs w:val="28"/>
        </w:rPr>
      </w:pPr>
      <w:r w:rsidRPr="00311A04">
        <w:rPr>
          <w:rFonts w:ascii="Times New Roman" w:eastAsia="標楷體" w:hAnsi="Times New Roman" w:hint="eastAsia"/>
          <w:sz w:val="28"/>
          <w:szCs w:val="28"/>
        </w:rPr>
        <w:t>六、</w:t>
      </w:r>
      <w:r w:rsidRPr="00311A04">
        <w:rPr>
          <w:rFonts w:ascii="Times New Roman" w:eastAsia="標楷體" w:hAnsi="Times New Roman" w:hint="eastAsia"/>
          <w:sz w:val="28"/>
          <w:szCs w:val="28"/>
        </w:rPr>
        <w:tab/>
      </w:r>
      <w:r w:rsidRPr="00311A04">
        <w:rPr>
          <w:rFonts w:ascii="Times New Roman" w:eastAsia="標楷體" w:hAnsi="Times New Roman" w:hint="eastAsia"/>
          <w:sz w:val="28"/>
          <w:szCs w:val="28"/>
        </w:rPr>
        <w:t>履約保證金保管方式及孳息處理方式。（第</w:t>
      </w:r>
      <w:r w:rsidRPr="00311A04">
        <w:rPr>
          <w:rFonts w:ascii="Times New Roman" w:eastAsia="標楷體" w:hAnsi="Times New Roman" w:hint="eastAsia"/>
          <w:sz w:val="28"/>
          <w:szCs w:val="28"/>
        </w:rPr>
        <w:t>7</w:t>
      </w:r>
      <w:r w:rsidRPr="00311A04">
        <w:rPr>
          <w:rFonts w:ascii="Times New Roman" w:eastAsia="標楷體" w:hAnsi="Times New Roman" w:hint="eastAsia"/>
          <w:sz w:val="28"/>
          <w:szCs w:val="28"/>
        </w:rPr>
        <w:t>條）</w:t>
      </w:r>
    </w:p>
    <w:p w:rsidR="00DD22FB" w:rsidRPr="00311A04" w:rsidRDefault="00DD22FB" w:rsidP="00DD22FB">
      <w:pPr>
        <w:tabs>
          <w:tab w:val="left" w:pos="1418"/>
        </w:tabs>
        <w:snapToGrid w:val="0"/>
        <w:spacing w:line="490" w:lineRule="exact"/>
        <w:ind w:leftChars="335" w:left="1417" w:rightChars="100" w:right="240" w:hangingChars="219" w:hanging="613"/>
        <w:jc w:val="both"/>
        <w:rPr>
          <w:rFonts w:ascii="Times New Roman" w:eastAsia="標楷體" w:hAnsi="Times New Roman"/>
          <w:sz w:val="28"/>
          <w:szCs w:val="28"/>
        </w:rPr>
      </w:pPr>
      <w:r w:rsidRPr="00311A04">
        <w:rPr>
          <w:rFonts w:ascii="Times New Roman" w:eastAsia="標楷體" w:hAnsi="Times New Roman" w:hint="eastAsia"/>
          <w:sz w:val="28"/>
          <w:szCs w:val="28"/>
        </w:rPr>
        <w:t>七、</w:t>
      </w:r>
      <w:r w:rsidRPr="00311A04">
        <w:rPr>
          <w:rFonts w:ascii="Times New Roman" w:eastAsia="標楷體" w:hAnsi="Times New Roman" w:hint="eastAsia"/>
          <w:sz w:val="28"/>
          <w:szCs w:val="28"/>
        </w:rPr>
        <w:tab/>
      </w:r>
      <w:r w:rsidRPr="00311A04">
        <w:rPr>
          <w:rFonts w:ascii="Times New Roman" w:eastAsia="標楷體" w:hAnsi="Times New Roman" w:hint="eastAsia"/>
          <w:sz w:val="28"/>
          <w:szCs w:val="28"/>
        </w:rPr>
        <w:t>履約保證金收支運用情形之通報單位及通報時限。（第</w:t>
      </w:r>
      <w:r w:rsidRPr="00311A04">
        <w:rPr>
          <w:rFonts w:ascii="Times New Roman" w:eastAsia="標楷體" w:hAnsi="Times New Roman" w:hint="eastAsia"/>
          <w:sz w:val="28"/>
          <w:szCs w:val="28"/>
        </w:rPr>
        <w:t>8</w:t>
      </w:r>
      <w:r w:rsidRPr="00311A04">
        <w:rPr>
          <w:rFonts w:ascii="Times New Roman" w:eastAsia="標楷體" w:hAnsi="Times New Roman" w:hint="eastAsia"/>
          <w:sz w:val="28"/>
          <w:szCs w:val="28"/>
        </w:rPr>
        <w:t>條）</w:t>
      </w:r>
    </w:p>
    <w:p w:rsidR="00DD22FB" w:rsidRPr="00311A04" w:rsidRDefault="00DD22FB" w:rsidP="00DD22FB">
      <w:pPr>
        <w:tabs>
          <w:tab w:val="left" w:pos="1418"/>
        </w:tabs>
        <w:snapToGrid w:val="0"/>
        <w:spacing w:line="490" w:lineRule="exact"/>
        <w:ind w:leftChars="335" w:left="1417" w:rightChars="100" w:right="240" w:hangingChars="219" w:hanging="613"/>
        <w:jc w:val="both"/>
        <w:rPr>
          <w:rFonts w:ascii="Times New Roman" w:eastAsia="標楷體" w:hAnsi="Times New Roman"/>
          <w:sz w:val="28"/>
          <w:szCs w:val="28"/>
        </w:rPr>
      </w:pPr>
      <w:r w:rsidRPr="00311A04">
        <w:rPr>
          <w:rFonts w:ascii="Times New Roman" w:eastAsia="標楷體" w:hAnsi="Times New Roman" w:hint="eastAsia"/>
          <w:sz w:val="28"/>
          <w:szCs w:val="28"/>
        </w:rPr>
        <w:t>八、</w:t>
      </w:r>
      <w:r w:rsidRPr="00311A04">
        <w:rPr>
          <w:rFonts w:ascii="Times New Roman" w:eastAsia="標楷體" w:hAnsi="Times New Roman" w:hint="eastAsia"/>
          <w:sz w:val="28"/>
          <w:szCs w:val="28"/>
        </w:rPr>
        <w:tab/>
      </w:r>
      <w:r w:rsidRPr="00311A04">
        <w:rPr>
          <w:rFonts w:ascii="Times New Roman" w:eastAsia="標楷體" w:hAnsi="Times New Roman" w:hint="eastAsia"/>
          <w:sz w:val="28"/>
          <w:szCs w:val="28"/>
        </w:rPr>
        <w:t>未足額繳存履約保證金之處理程序及罰</w:t>
      </w:r>
      <w:r w:rsidR="00DA3D6D" w:rsidRPr="00311A04">
        <w:rPr>
          <w:rFonts w:ascii="Times New Roman" w:eastAsia="標楷體" w:hAnsi="Times New Roman" w:hint="eastAsia"/>
          <w:sz w:val="28"/>
          <w:szCs w:val="28"/>
        </w:rPr>
        <w:t>則</w:t>
      </w:r>
      <w:r w:rsidRPr="00311A04">
        <w:rPr>
          <w:rFonts w:ascii="Times New Roman" w:eastAsia="標楷體" w:hAnsi="Times New Roman" w:hint="eastAsia"/>
          <w:sz w:val="28"/>
          <w:szCs w:val="28"/>
        </w:rPr>
        <w:t>。（第</w:t>
      </w:r>
      <w:r w:rsidRPr="00311A04">
        <w:rPr>
          <w:rFonts w:ascii="Times New Roman" w:eastAsia="標楷體" w:hAnsi="Times New Roman" w:hint="eastAsia"/>
          <w:sz w:val="28"/>
          <w:szCs w:val="28"/>
        </w:rPr>
        <w:t>9</w:t>
      </w:r>
      <w:r w:rsidRPr="00311A04">
        <w:rPr>
          <w:rFonts w:ascii="Times New Roman" w:eastAsia="標楷體" w:hAnsi="Times New Roman" w:hint="eastAsia"/>
          <w:sz w:val="28"/>
          <w:szCs w:val="28"/>
        </w:rPr>
        <w:t>條及第</w:t>
      </w:r>
      <w:r w:rsidRPr="00311A04">
        <w:rPr>
          <w:rFonts w:ascii="Times New Roman" w:eastAsia="標楷體" w:hAnsi="Times New Roman" w:hint="eastAsia"/>
          <w:sz w:val="28"/>
          <w:szCs w:val="28"/>
        </w:rPr>
        <w:t>10</w:t>
      </w:r>
      <w:r w:rsidRPr="00311A04">
        <w:rPr>
          <w:rFonts w:ascii="Times New Roman" w:eastAsia="標楷體" w:hAnsi="Times New Roman" w:hint="eastAsia"/>
          <w:sz w:val="28"/>
          <w:szCs w:val="28"/>
        </w:rPr>
        <w:t>條）</w:t>
      </w:r>
    </w:p>
    <w:p w:rsidR="003437E2" w:rsidRDefault="00DD22FB" w:rsidP="00DD22FB">
      <w:pPr>
        <w:tabs>
          <w:tab w:val="left" w:pos="1418"/>
        </w:tabs>
        <w:snapToGrid w:val="0"/>
        <w:spacing w:line="490" w:lineRule="exact"/>
        <w:ind w:leftChars="335" w:left="1417" w:rightChars="100" w:right="240" w:hangingChars="219" w:hanging="613"/>
        <w:jc w:val="both"/>
        <w:rPr>
          <w:rFonts w:ascii="Times New Roman" w:eastAsia="標楷體" w:hAnsi="Times New Roman"/>
          <w:sz w:val="28"/>
          <w:szCs w:val="28"/>
        </w:rPr>
      </w:pPr>
      <w:r w:rsidRPr="00311A04">
        <w:rPr>
          <w:rFonts w:ascii="Times New Roman" w:eastAsia="標楷體" w:hAnsi="Times New Roman" w:hint="eastAsia"/>
          <w:sz w:val="28"/>
          <w:szCs w:val="28"/>
        </w:rPr>
        <w:t>九、</w:t>
      </w:r>
      <w:r w:rsidRPr="00311A04">
        <w:rPr>
          <w:rFonts w:ascii="Times New Roman" w:eastAsia="標楷體" w:hAnsi="Times New Roman" w:hint="eastAsia"/>
          <w:sz w:val="28"/>
          <w:szCs w:val="28"/>
        </w:rPr>
        <w:tab/>
      </w:r>
      <w:r w:rsidR="003437E2">
        <w:rPr>
          <w:rFonts w:ascii="Times New Roman" w:eastAsia="標楷體" w:hAnsi="Times New Roman" w:hint="eastAsia"/>
          <w:sz w:val="28"/>
          <w:szCs w:val="28"/>
        </w:rPr>
        <w:t>證券商</w:t>
      </w:r>
      <w:r w:rsidR="002E2C50" w:rsidRPr="002E2C50">
        <w:rPr>
          <w:rFonts w:ascii="Times New Roman" w:eastAsia="標楷體" w:hAnsi="Times New Roman" w:hint="eastAsia"/>
          <w:sz w:val="28"/>
          <w:szCs w:val="28"/>
        </w:rPr>
        <w:t>有未給付約定價金情事</w:t>
      </w:r>
      <w:r w:rsidR="006F111C">
        <w:rPr>
          <w:rFonts w:ascii="Times New Roman" w:eastAsia="標楷體" w:hAnsi="Times New Roman" w:hint="eastAsia"/>
          <w:sz w:val="28"/>
          <w:szCs w:val="28"/>
        </w:rPr>
        <w:t>時</w:t>
      </w:r>
      <w:r w:rsidR="002E2C50" w:rsidRPr="002E2C50">
        <w:rPr>
          <w:rFonts w:ascii="Times New Roman" w:eastAsia="標楷體" w:hAnsi="Times New Roman" w:hint="eastAsia"/>
          <w:sz w:val="28"/>
          <w:szCs w:val="28"/>
        </w:rPr>
        <w:t>履約保證金之動用或處分。</w:t>
      </w:r>
      <w:r w:rsidR="003437E2">
        <w:rPr>
          <w:rFonts w:ascii="Times New Roman" w:eastAsia="標楷體" w:hAnsi="Times New Roman" w:hint="eastAsia"/>
          <w:sz w:val="28"/>
          <w:szCs w:val="28"/>
        </w:rPr>
        <w:t>（第</w:t>
      </w:r>
      <w:r w:rsidR="003437E2">
        <w:rPr>
          <w:rFonts w:ascii="Times New Roman" w:eastAsia="標楷體" w:hAnsi="Times New Roman" w:hint="eastAsia"/>
          <w:sz w:val="28"/>
          <w:szCs w:val="28"/>
        </w:rPr>
        <w:t>1</w:t>
      </w:r>
      <w:r w:rsidR="003437E2">
        <w:rPr>
          <w:rFonts w:ascii="Times New Roman" w:eastAsia="標楷體" w:hAnsi="Times New Roman"/>
          <w:sz w:val="28"/>
          <w:szCs w:val="28"/>
        </w:rPr>
        <w:t>1</w:t>
      </w:r>
      <w:r w:rsidR="003437E2">
        <w:rPr>
          <w:rFonts w:ascii="Times New Roman" w:eastAsia="標楷體" w:hAnsi="Times New Roman" w:hint="eastAsia"/>
          <w:sz w:val="28"/>
          <w:szCs w:val="28"/>
        </w:rPr>
        <w:t>條）</w:t>
      </w:r>
    </w:p>
    <w:p w:rsidR="00DD22FB" w:rsidRPr="00311A04" w:rsidRDefault="003437E2" w:rsidP="00DD22FB">
      <w:pPr>
        <w:tabs>
          <w:tab w:val="left" w:pos="1418"/>
        </w:tabs>
        <w:snapToGrid w:val="0"/>
        <w:spacing w:line="490" w:lineRule="exact"/>
        <w:ind w:leftChars="335" w:left="1417" w:rightChars="100" w:right="240" w:hangingChars="219" w:hanging="613"/>
        <w:jc w:val="both"/>
        <w:rPr>
          <w:rFonts w:ascii="Times New Roman" w:eastAsia="標楷體" w:hAnsi="Times New Roman"/>
          <w:sz w:val="28"/>
          <w:szCs w:val="28"/>
        </w:rPr>
      </w:pPr>
      <w:r>
        <w:rPr>
          <w:rFonts w:ascii="Times New Roman" w:eastAsia="標楷體" w:hAnsi="Times New Roman"/>
          <w:sz w:val="28"/>
          <w:szCs w:val="28"/>
        </w:rPr>
        <w:t>十、</w:t>
      </w:r>
      <w:r w:rsidR="00DD22FB" w:rsidRPr="00311A04">
        <w:rPr>
          <w:rFonts w:ascii="Times New Roman" w:eastAsia="標楷體" w:hAnsi="Times New Roman" w:hint="eastAsia"/>
          <w:sz w:val="28"/>
          <w:szCs w:val="28"/>
        </w:rPr>
        <w:t>本辦法之施行及修正程序。（第</w:t>
      </w:r>
      <w:r w:rsidR="00DD22FB" w:rsidRPr="00311A04">
        <w:rPr>
          <w:rFonts w:ascii="Times New Roman" w:eastAsia="標楷體" w:hAnsi="Times New Roman" w:hint="eastAsia"/>
          <w:sz w:val="28"/>
          <w:szCs w:val="28"/>
        </w:rPr>
        <w:t>1</w:t>
      </w:r>
      <w:r>
        <w:rPr>
          <w:rFonts w:ascii="Times New Roman" w:eastAsia="標楷體" w:hAnsi="Times New Roman"/>
          <w:sz w:val="28"/>
          <w:szCs w:val="28"/>
        </w:rPr>
        <w:t>2</w:t>
      </w:r>
      <w:r w:rsidR="00DD22FB" w:rsidRPr="00311A04">
        <w:rPr>
          <w:rFonts w:ascii="Times New Roman" w:eastAsia="標楷體" w:hAnsi="Times New Roman" w:hint="eastAsia"/>
          <w:sz w:val="28"/>
          <w:szCs w:val="28"/>
        </w:rPr>
        <w:t>條）</w:t>
      </w:r>
    </w:p>
    <w:p w:rsidR="00C26FBA" w:rsidRPr="00311A04" w:rsidRDefault="00C26FBA" w:rsidP="00C26FBA">
      <w:pPr>
        <w:widowControl/>
        <w:rPr>
          <w:rFonts w:ascii="Times New Roman" w:eastAsia="標楷體" w:hAnsi="Times New Roman" w:cs="Times New Roman"/>
          <w:b/>
          <w:bCs/>
          <w:sz w:val="28"/>
          <w:szCs w:val="28"/>
        </w:rPr>
      </w:pPr>
      <w:r w:rsidRPr="00311A04">
        <w:rPr>
          <w:rFonts w:ascii="Times New Roman" w:eastAsia="標楷體" w:hAnsi="Times New Roman"/>
        </w:rPr>
        <w:br w:type="page"/>
      </w:r>
    </w:p>
    <w:p w:rsidR="00BE78A0" w:rsidRPr="00311A04" w:rsidRDefault="00282882" w:rsidP="00613B04">
      <w:pPr>
        <w:pStyle w:val="2"/>
        <w:spacing w:after="54"/>
        <w:rPr>
          <w:rFonts w:hAnsi="Times New Roman"/>
          <w:kern w:val="3"/>
        </w:rPr>
      </w:pPr>
      <w:bookmarkStart w:id="2" w:name="_Toc517811100"/>
      <w:r w:rsidRPr="00311A04">
        <w:rPr>
          <w:rFonts w:hAnsi="Times New Roman" w:hint="eastAsia"/>
        </w:rPr>
        <w:lastRenderedPageBreak/>
        <w:t>證券商發行與增額發行指數投資證券履約保證金管理辦法</w:t>
      </w:r>
      <w:bookmarkEnd w:id="1"/>
      <w:r w:rsidR="00CE10EA" w:rsidRPr="00311A04">
        <w:rPr>
          <w:rFonts w:hAnsi="Times New Roman" w:hint="eastAsia"/>
        </w:rPr>
        <w:t>逐條說明</w:t>
      </w:r>
      <w:bookmarkEnd w:id="2"/>
    </w:p>
    <w:tbl>
      <w:tblPr>
        <w:tblStyle w:val="a3"/>
        <w:tblW w:w="9356" w:type="dxa"/>
        <w:tblInd w:w="57" w:type="dxa"/>
        <w:tblCellMar>
          <w:top w:w="11" w:type="dxa"/>
          <w:left w:w="57" w:type="dxa"/>
          <w:bottom w:w="11" w:type="dxa"/>
          <w:right w:w="57" w:type="dxa"/>
        </w:tblCellMar>
        <w:tblLook w:val="04A0" w:firstRow="1" w:lastRow="0" w:firstColumn="1" w:lastColumn="0" w:noHBand="0" w:noVBand="1"/>
      </w:tblPr>
      <w:tblGrid>
        <w:gridCol w:w="4678"/>
        <w:gridCol w:w="4678"/>
      </w:tblGrid>
      <w:tr w:rsidR="00311A04" w:rsidRPr="00311A04" w:rsidTr="009E4F24">
        <w:tc>
          <w:tcPr>
            <w:tcW w:w="4678" w:type="dxa"/>
            <w:shd w:val="clear" w:color="auto" w:fill="auto"/>
          </w:tcPr>
          <w:p w:rsidR="009E4F24" w:rsidRPr="00311A04" w:rsidRDefault="009E4F24" w:rsidP="00F35097">
            <w:pPr>
              <w:jc w:val="center"/>
              <w:rPr>
                <w:rFonts w:ascii="Times New Roman" w:eastAsia="標楷體" w:hAnsi="Times New Roman"/>
                <w:szCs w:val="24"/>
              </w:rPr>
            </w:pPr>
            <w:r w:rsidRPr="00311A04">
              <w:rPr>
                <w:rFonts w:ascii="Times New Roman" w:eastAsia="標楷體" w:hAnsi="Times New Roman"/>
                <w:szCs w:val="24"/>
              </w:rPr>
              <w:t>條文</w:t>
            </w:r>
          </w:p>
        </w:tc>
        <w:tc>
          <w:tcPr>
            <w:tcW w:w="4678" w:type="dxa"/>
          </w:tcPr>
          <w:p w:rsidR="009E4F24" w:rsidRPr="00311A04" w:rsidRDefault="009E4F24" w:rsidP="00694E21">
            <w:pPr>
              <w:jc w:val="center"/>
              <w:rPr>
                <w:rFonts w:ascii="Times New Roman" w:eastAsia="標楷體" w:hAnsi="Times New Roman"/>
                <w:szCs w:val="24"/>
              </w:rPr>
            </w:pPr>
            <w:r w:rsidRPr="00311A04">
              <w:rPr>
                <w:rFonts w:ascii="Times New Roman" w:eastAsia="標楷體" w:hAnsi="Times New Roman" w:hint="eastAsia"/>
                <w:szCs w:val="24"/>
              </w:rPr>
              <w:t>說明</w:t>
            </w:r>
          </w:p>
        </w:tc>
      </w:tr>
      <w:tr w:rsidR="00311A04" w:rsidRPr="00311A04" w:rsidTr="009E4F24">
        <w:tc>
          <w:tcPr>
            <w:tcW w:w="4678" w:type="dxa"/>
            <w:shd w:val="clear" w:color="auto" w:fill="auto"/>
          </w:tcPr>
          <w:p w:rsidR="009E4F24" w:rsidRPr="00311A04" w:rsidRDefault="009E4F24" w:rsidP="00192F9F">
            <w:pPr>
              <w:ind w:left="240" w:hangingChars="100" w:hanging="240"/>
              <w:jc w:val="both"/>
              <w:rPr>
                <w:rFonts w:ascii="Times New Roman" w:eastAsia="標楷體" w:hAnsi="Times New Roman"/>
              </w:rPr>
            </w:pPr>
            <w:r w:rsidRPr="00311A04">
              <w:rPr>
                <w:rFonts w:ascii="Times New Roman" w:eastAsia="標楷體" w:hAnsi="Times New Roman" w:hint="eastAsia"/>
              </w:rPr>
              <w:t xml:space="preserve">第一條　</w:t>
            </w:r>
            <w:r w:rsidRPr="00311A04">
              <w:rPr>
                <w:rFonts w:ascii="Times New Roman" w:eastAsia="標楷體" w:hAnsi="Times New Roman" w:hint="eastAsia"/>
                <w:szCs w:val="24"/>
              </w:rPr>
              <w:t>本辦法依證券商發行指數投資證券處理準則第五條規定訂定之。</w:t>
            </w:r>
          </w:p>
        </w:tc>
        <w:tc>
          <w:tcPr>
            <w:tcW w:w="4678" w:type="dxa"/>
          </w:tcPr>
          <w:p w:rsidR="009E4F24" w:rsidRPr="00311A04" w:rsidRDefault="009E4F24" w:rsidP="00694E21">
            <w:pPr>
              <w:widowControl/>
              <w:autoSpaceDN w:val="0"/>
              <w:jc w:val="both"/>
              <w:rPr>
                <w:rFonts w:ascii="Times New Roman" w:eastAsia="標楷體" w:hAnsi="Times New Roman" w:cs="Times New Roman"/>
                <w:kern w:val="3"/>
                <w:szCs w:val="24"/>
              </w:rPr>
            </w:pPr>
            <w:r w:rsidRPr="00311A04">
              <w:rPr>
                <w:rFonts w:ascii="Times New Roman" w:eastAsia="標楷體" w:hAnsi="Times New Roman" w:hint="eastAsia"/>
                <w:szCs w:val="24"/>
              </w:rPr>
              <w:t>明定本辦法之法源依據。</w:t>
            </w:r>
          </w:p>
        </w:tc>
      </w:tr>
      <w:tr w:rsidR="00311A04" w:rsidRPr="00311A04" w:rsidTr="009E4F24">
        <w:tc>
          <w:tcPr>
            <w:tcW w:w="4678" w:type="dxa"/>
            <w:shd w:val="clear" w:color="auto" w:fill="auto"/>
          </w:tcPr>
          <w:p w:rsidR="009E4F24" w:rsidRPr="00311A04" w:rsidRDefault="009E4F24" w:rsidP="00F35097">
            <w:pPr>
              <w:ind w:left="240" w:hangingChars="100" w:hanging="240"/>
              <w:jc w:val="both"/>
              <w:rPr>
                <w:rFonts w:ascii="Times New Roman" w:eastAsia="標楷體" w:hAnsi="Times New Roman"/>
              </w:rPr>
            </w:pPr>
            <w:r w:rsidRPr="00311A04">
              <w:rPr>
                <w:rFonts w:ascii="Times New Roman" w:eastAsia="標楷體" w:hAnsi="Times New Roman" w:hint="eastAsia"/>
                <w:szCs w:val="24"/>
              </w:rPr>
              <w:t>第二條　證券商發行或增額發行指數投資證券履約保證金（以下簡稱履約保證金）之相關事項</w:t>
            </w:r>
            <w:r w:rsidR="00911B18">
              <w:rPr>
                <w:rFonts w:ascii="Times New Roman" w:eastAsia="標楷體" w:hAnsi="Times New Roman" w:hint="eastAsia"/>
                <w:szCs w:val="24"/>
              </w:rPr>
              <w:t>，</w:t>
            </w:r>
            <w:r w:rsidRPr="00311A04">
              <w:rPr>
                <w:rFonts w:ascii="Times New Roman" w:eastAsia="標楷體" w:hAnsi="Times New Roman" w:hint="eastAsia"/>
                <w:szCs w:val="24"/>
              </w:rPr>
              <w:t>除法令另有規定外，依本辦法之規定，本辦法未規定者，依財團法人中華民國證券櫃檯買賣中心（以下簡稱櫃檯買賣中心）及臺灣證券交易所股份有限公司（以下簡稱臺灣證券交易所）相關章則規定辦理。</w:t>
            </w:r>
          </w:p>
        </w:tc>
        <w:tc>
          <w:tcPr>
            <w:tcW w:w="4678" w:type="dxa"/>
          </w:tcPr>
          <w:p w:rsidR="009E4F24" w:rsidRPr="00311A04" w:rsidRDefault="009E4F24" w:rsidP="00694E21">
            <w:pPr>
              <w:widowControl/>
              <w:autoSpaceDN w:val="0"/>
              <w:jc w:val="both"/>
              <w:rPr>
                <w:rFonts w:ascii="Times New Roman" w:eastAsia="標楷體" w:hAnsi="Times New Roman" w:cs="Times New Roman"/>
                <w:kern w:val="3"/>
                <w:szCs w:val="24"/>
              </w:rPr>
            </w:pPr>
            <w:r w:rsidRPr="00311A04">
              <w:rPr>
                <w:rFonts w:ascii="Times New Roman" w:eastAsia="標楷體" w:hAnsi="Times New Roman" w:hint="eastAsia"/>
                <w:szCs w:val="24"/>
              </w:rPr>
              <w:t>明定證券商發行或增額發行指數投資證券履約保證金之相關事項，所遵循規章適用順序。</w:t>
            </w:r>
          </w:p>
        </w:tc>
      </w:tr>
      <w:tr w:rsidR="00311A04" w:rsidRPr="00311A04" w:rsidTr="009E4F24">
        <w:tc>
          <w:tcPr>
            <w:tcW w:w="4678" w:type="dxa"/>
            <w:shd w:val="clear" w:color="auto" w:fill="auto"/>
          </w:tcPr>
          <w:p w:rsidR="009E4F24" w:rsidRPr="00311A04" w:rsidRDefault="009E4F24" w:rsidP="00F35097">
            <w:pPr>
              <w:ind w:left="240" w:hangingChars="100" w:hanging="240"/>
              <w:jc w:val="both"/>
              <w:rPr>
                <w:rFonts w:ascii="Times New Roman" w:eastAsia="標楷體" w:hAnsi="Times New Roman"/>
                <w:szCs w:val="24"/>
              </w:rPr>
            </w:pPr>
            <w:r w:rsidRPr="00311A04">
              <w:rPr>
                <w:rFonts w:ascii="Times New Roman" w:eastAsia="標楷體" w:hAnsi="Times New Roman" w:hint="eastAsia"/>
                <w:szCs w:val="24"/>
              </w:rPr>
              <w:t>第三條　證券商發行或增額發行指數投資證券，應依下列規定，向櫃檯買賣中心繳存履約保證金：</w:t>
            </w:r>
          </w:p>
          <w:p w:rsidR="009E4F24" w:rsidRPr="00311A04" w:rsidRDefault="009E4F24" w:rsidP="00701BCF">
            <w:pPr>
              <w:suppressAutoHyphens/>
              <w:autoSpaceDN w:val="0"/>
              <w:ind w:leftChars="100" w:left="720" w:hangingChars="200" w:hanging="480"/>
              <w:jc w:val="both"/>
              <w:rPr>
                <w:rFonts w:ascii="Times New Roman" w:eastAsia="標楷體" w:hAnsi="Times New Roman"/>
                <w:szCs w:val="24"/>
              </w:rPr>
            </w:pPr>
            <w:r w:rsidRPr="00311A04">
              <w:rPr>
                <w:rFonts w:ascii="Times New Roman" w:eastAsia="標楷體" w:hAnsi="Times New Roman" w:hint="eastAsia"/>
                <w:szCs w:val="24"/>
              </w:rPr>
              <w:t>一、</w:t>
            </w:r>
            <w:r w:rsidRPr="00311A04">
              <w:rPr>
                <w:rFonts w:ascii="Times New Roman" w:eastAsia="標楷體" w:hAnsi="Times New Roman"/>
                <w:szCs w:val="24"/>
              </w:rPr>
              <w:t>符合</w:t>
            </w:r>
            <w:r w:rsidRPr="00311A04">
              <w:rPr>
                <w:rFonts w:ascii="Times New Roman" w:eastAsia="標楷體" w:hAnsi="Times New Roman"/>
                <w:bCs/>
                <w:szCs w:val="24"/>
              </w:rPr>
              <w:t>證券商發行指數投資證券處理準則</w:t>
            </w:r>
            <w:r w:rsidRPr="00311A04">
              <w:rPr>
                <w:rFonts w:ascii="Times New Roman" w:eastAsia="標楷體" w:hAnsi="Times New Roman"/>
                <w:szCs w:val="24"/>
              </w:rPr>
              <w:t>第四條第一項第二款前段及第三款規定者，按上</w:t>
            </w:r>
            <w:r w:rsidRPr="00311A04">
              <w:rPr>
                <w:rFonts w:ascii="Times New Roman" w:eastAsia="標楷體" w:hAnsi="Times New Roman" w:hint="eastAsia"/>
                <w:szCs w:val="24"/>
              </w:rPr>
              <w:t>市</w:t>
            </w:r>
            <w:r w:rsidRPr="00311A04">
              <w:rPr>
                <w:rFonts w:ascii="Times New Roman" w:eastAsia="標楷體" w:hAnsi="Times New Roman"/>
                <w:szCs w:val="24"/>
              </w:rPr>
              <w:t>及上</w:t>
            </w:r>
            <w:r w:rsidRPr="00311A04">
              <w:rPr>
                <w:rFonts w:ascii="Times New Roman" w:eastAsia="標楷體" w:hAnsi="Times New Roman" w:hint="eastAsia"/>
                <w:szCs w:val="24"/>
              </w:rPr>
              <w:t>櫃</w:t>
            </w:r>
            <w:r w:rsidRPr="00311A04">
              <w:rPr>
                <w:rFonts w:ascii="Times New Roman" w:eastAsia="標楷體" w:hAnsi="Times New Roman"/>
                <w:szCs w:val="24"/>
              </w:rPr>
              <w:t>指數投資證券流通</w:t>
            </w:r>
            <w:r w:rsidRPr="00311A04">
              <w:rPr>
                <w:rFonts w:ascii="Times New Roman" w:eastAsia="標楷體" w:hAnsi="Times New Roman" w:hint="eastAsia"/>
                <w:szCs w:val="24"/>
              </w:rPr>
              <w:t>在</w:t>
            </w:r>
            <w:r w:rsidRPr="00311A04">
              <w:rPr>
                <w:rFonts w:ascii="Times New Roman" w:eastAsia="標楷體" w:hAnsi="Times New Roman"/>
                <w:szCs w:val="24"/>
              </w:rPr>
              <w:t>外餘額之合計數，提繳百分之二之履約保證金。但流通</w:t>
            </w:r>
            <w:r w:rsidRPr="00311A04">
              <w:rPr>
                <w:rFonts w:ascii="Times New Roman" w:eastAsia="標楷體" w:hAnsi="Times New Roman" w:hint="eastAsia"/>
                <w:szCs w:val="24"/>
              </w:rPr>
              <w:t>在</w:t>
            </w:r>
            <w:r w:rsidRPr="00311A04">
              <w:rPr>
                <w:rFonts w:ascii="Times New Roman" w:eastAsia="標楷體" w:hAnsi="Times New Roman"/>
                <w:szCs w:val="24"/>
              </w:rPr>
              <w:t>外餘額之合計數</w:t>
            </w:r>
            <w:proofErr w:type="gramStart"/>
            <w:r w:rsidRPr="00311A04">
              <w:rPr>
                <w:rFonts w:ascii="Times New Roman" w:eastAsia="標楷體" w:hAnsi="Times New Roman"/>
                <w:szCs w:val="24"/>
              </w:rPr>
              <w:t>已逾其最</w:t>
            </w:r>
            <w:proofErr w:type="gramEnd"/>
            <w:r w:rsidRPr="00311A04">
              <w:rPr>
                <w:rFonts w:ascii="Times New Roman" w:eastAsia="標楷體" w:hAnsi="Times New Roman"/>
                <w:szCs w:val="24"/>
              </w:rPr>
              <w:t>近期經會計師查核簽證之財務報告淨值之百分之五十者，應就</w:t>
            </w:r>
            <w:r w:rsidRPr="00311A04">
              <w:rPr>
                <w:rFonts w:ascii="Times New Roman" w:eastAsia="標楷體" w:hAnsi="Times New Roman" w:hint="eastAsia"/>
                <w:szCs w:val="24"/>
              </w:rPr>
              <w:t>其</w:t>
            </w:r>
            <w:r w:rsidRPr="00311A04">
              <w:rPr>
                <w:rFonts w:ascii="Times New Roman" w:eastAsia="標楷體" w:hAnsi="Times New Roman"/>
                <w:szCs w:val="24"/>
              </w:rPr>
              <w:t>超過之差額，增提百分之一之履約保證金</w:t>
            </w:r>
            <w:r w:rsidRPr="00311A04">
              <w:rPr>
                <w:rFonts w:ascii="Times New Roman" w:eastAsia="標楷體" w:hAnsi="Times New Roman" w:hint="eastAsia"/>
                <w:szCs w:val="24"/>
              </w:rPr>
              <w:t>。</w:t>
            </w:r>
          </w:p>
          <w:p w:rsidR="009E4F24" w:rsidRPr="00311A04" w:rsidRDefault="009E4F24" w:rsidP="00701BCF">
            <w:pPr>
              <w:suppressAutoHyphens/>
              <w:autoSpaceDN w:val="0"/>
              <w:ind w:leftChars="100" w:left="720" w:hangingChars="200" w:hanging="480"/>
              <w:jc w:val="both"/>
              <w:rPr>
                <w:rFonts w:ascii="Times New Roman" w:eastAsia="標楷體" w:hAnsi="Times New Roman"/>
                <w:szCs w:val="24"/>
              </w:rPr>
            </w:pPr>
            <w:r w:rsidRPr="00311A04">
              <w:rPr>
                <w:rFonts w:ascii="Times New Roman" w:eastAsia="標楷體" w:hAnsi="Times New Roman" w:hint="eastAsia"/>
                <w:szCs w:val="24"/>
              </w:rPr>
              <w:t>二、不符</w:t>
            </w:r>
            <w:r w:rsidRPr="00311A04">
              <w:rPr>
                <w:rFonts w:ascii="Times New Roman" w:eastAsia="標楷體" w:hAnsi="Times New Roman"/>
                <w:szCs w:val="24"/>
              </w:rPr>
              <w:t>合</w:t>
            </w:r>
            <w:r w:rsidRPr="00311A04">
              <w:rPr>
                <w:rFonts w:ascii="Times New Roman" w:eastAsia="標楷體" w:hAnsi="Times New Roman"/>
                <w:bCs/>
                <w:szCs w:val="24"/>
              </w:rPr>
              <w:t>證券商發行指數投資證券處理準則</w:t>
            </w:r>
            <w:r w:rsidRPr="00311A04">
              <w:rPr>
                <w:rFonts w:ascii="Times New Roman" w:eastAsia="標楷體" w:hAnsi="Times New Roman"/>
                <w:szCs w:val="24"/>
              </w:rPr>
              <w:t>第四條第一項第二款前段</w:t>
            </w:r>
            <w:r w:rsidRPr="00311A04">
              <w:rPr>
                <w:rFonts w:ascii="Times New Roman" w:eastAsia="標楷體" w:hAnsi="Times New Roman" w:hint="eastAsia"/>
                <w:szCs w:val="24"/>
              </w:rPr>
              <w:t>或</w:t>
            </w:r>
            <w:r w:rsidRPr="00311A04">
              <w:rPr>
                <w:rFonts w:ascii="Times New Roman" w:eastAsia="標楷體" w:hAnsi="Times New Roman"/>
                <w:szCs w:val="24"/>
              </w:rPr>
              <w:t>第三款</w:t>
            </w:r>
            <w:r w:rsidRPr="00311A04">
              <w:rPr>
                <w:rFonts w:ascii="Times New Roman" w:eastAsia="標楷體" w:hAnsi="Times New Roman" w:hint="eastAsia"/>
                <w:szCs w:val="24"/>
              </w:rPr>
              <w:t>規定者，應按上市及上櫃指數投資證券之流通在外餘額之合計數，提繳百分之三之履約保證金。</w:t>
            </w:r>
          </w:p>
          <w:p w:rsidR="009E4F24" w:rsidRPr="00311A04" w:rsidRDefault="009E4F24" w:rsidP="00F35097">
            <w:pPr>
              <w:ind w:leftChars="100" w:left="240" w:firstLineChars="200" w:firstLine="480"/>
              <w:jc w:val="both"/>
              <w:rPr>
                <w:rFonts w:ascii="Times New Roman" w:eastAsia="標楷體" w:hAnsi="Times New Roman"/>
                <w:szCs w:val="24"/>
              </w:rPr>
            </w:pPr>
            <w:r w:rsidRPr="00311A04">
              <w:rPr>
                <w:rFonts w:ascii="Times New Roman" w:eastAsia="標楷體" w:hAnsi="Times New Roman" w:hint="eastAsia"/>
                <w:szCs w:val="24"/>
              </w:rPr>
              <w:t>前項流通在外餘額於每月第一個</w:t>
            </w:r>
            <w:proofErr w:type="gramStart"/>
            <w:r w:rsidRPr="00311A04">
              <w:rPr>
                <w:rFonts w:ascii="Times New Roman" w:eastAsia="標楷體" w:hAnsi="Times New Roman" w:hint="eastAsia"/>
                <w:szCs w:val="24"/>
              </w:rPr>
              <w:t>營業日按前</w:t>
            </w:r>
            <w:proofErr w:type="gramEnd"/>
            <w:r w:rsidRPr="00311A04">
              <w:rPr>
                <w:rFonts w:ascii="Times New Roman" w:eastAsia="標楷體" w:hAnsi="Times New Roman" w:hint="eastAsia"/>
                <w:szCs w:val="24"/>
              </w:rPr>
              <w:t>月底上市及上櫃指數投資證券流通在外單位數乘以其月底收盤指標價值之合計數計算之。</w:t>
            </w:r>
          </w:p>
          <w:p w:rsidR="009E4F24" w:rsidRPr="00311A04" w:rsidRDefault="009E4F24" w:rsidP="00F35097">
            <w:pPr>
              <w:ind w:leftChars="100" w:left="240" w:firstLineChars="200" w:firstLine="480"/>
              <w:jc w:val="both"/>
              <w:rPr>
                <w:rFonts w:ascii="Times New Roman" w:eastAsia="標楷體" w:hAnsi="Times New Roman"/>
              </w:rPr>
            </w:pPr>
            <w:r w:rsidRPr="00311A04">
              <w:rPr>
                <w:rFonts w:ascii="Times New Roman" w:eastAsia="標楷體" w:hAnsi="Times New Roman" w:hint="eastAsia"/>
                <w:szCs w:val="24"/>
              </w:rPr>
              <w:t>證券商應於每月十日前向櫃檯買賣中心補足履約保證金；申請退還者，亦同。</w:t>
            </w:r>
          </w:p>
        </w:tc>
        <w:tc>
          <w:tcPr>
            <w:tcW w:w="4678" w:type="dxa"/>
          </w:tcPr>
          <w:p w:rsidR="009E4F24" w:rsidRPr="00311A04" w:rsidRDefault="009E4F24" w:rsidP="00694E21">
            <w:pPr>
              <w:suppressAutoHyphens/>
              <w:autoSpaceDN w:val="0"/>
              <w:jc w:val="both"/>
              <w:rPr>
                <w:rFonts w:ascii="Times New Roman" w:eastAsia="標楷體" w:hAnsi="Times New Roman" w:cs="Times New Roman"/>
                <w:kern w:val="0"/>
                <w:szCs w:val="24"/>
              </w:rPr>
            </w:pPr>
            <w:r w:rsidRPr="00311A04">
              <w:rPr>
                <w:rFonts w:ascii="Times New Roman" w:eastAsia="標楷體" w:hAnsi="Times New Roman" w:hint="eastAsia"/>
                <w:kern w:val="0"/>
                <w:szCs w:val="24"/>
              </w:rPr>
              <w:t>明定證券商發行或增額發行指數投資證券，應繳存履約保證金之</w:t>
            </w:r>
            <w:proofErr w:type="gramStart"/>
            <w:r w:rsidRPr="00311A04">
              <w:rPr>
                <w:rFonts w:ascii="Times New Roman" w:eastAsia="標楷體" w:hAnsi="Times New Roman" w:hint="eastAsia"/>
                <w:kern w:val="0"/>
                <w:szCs w:val="24"/>
              </w:rPr>
              <w:t>提撥</w:t>
            </w:r>
            <w:proofErr w:type="gramEnd"/>
            <w:r w:rsidRPr="00311A04">
              <w:rPr>
                <w:rFonts w:ascii="Times New Roman" w:eastAsia="標楷體" w:hAnsi="Times New Roman" w:hint="eastAsia"/>
                <w:kern w:val="0"/>
                <w:szCs w:val="24"/>
              </w:rPr>
              <w:t>比例及辦理增補或退還期限。</w:t>
            </w:r>
          </w:p>
        </w:tc>
      </w:tr>
      <w:tr w:rsidR="00311A04" w:rsidRPr="00311A04" w:rsidTr="009E4F24">
        <w:tc>
          <w:tcPr>
            <w:tcW w:w="4678" w:type="dxa"/>
            <w:shd w:val="clear" w:color="auto" w:fill="auto"/>
          </w:tcPr>
          <w:p w:rsidR="009E4F24" w:rsidRPr="00311A04" w:rsidRDefault="009E4F24" w:rsidP="00EA37D9">
            <w:pPr>
              <w:ind w:left="240" w:hangingChars="100" w:hanging="240"/>
              <w:jc w:val="both"/>
              <w:rPr>
                <w:rFonts w:ascii="Times New Roman" w:eastAsia="標楷體" w:hAnsi="Times New Roman"/>
                <w:szCs w:val="24"/>
              </w:rPr>
            </w:pPr>
            <w:r w:rsidRPr="00311A04">
              <w:rPr>
                <w:rFonts w:ascii="Times New Roman" w:eastAsia="標楷體" w:hAnsi="Times New Roman" w:hint="eastAsia"/>
                <w:szCs w:val="24"/>
              </w:rPr>
              <w:t>第四條　證券商申報增額發行指</w:t>
            </w:r>
            <w:r w:rsidRPr="00585F6F">
              <w:rPr>
                <w:rFonts w:ascii="Times New Roman" w:eastAsia="標楷體" w:hAnsi="Times New Roman" w:hint="eastAsia"/>
                <w:szCs w:val="24"/>
              </w:rPr>
              <w:t>數投資證券時，其</w:t>
            </w:r>
            <w:r w:rsidR="00E33A63">
              <w:rPr>
                <w:rFonts w:ascii="Times New Roman" w:eastAsia="標楷體" w:hAnsi="Times New Roman" w:hint="eastAsia"/>
                <w:szCs w:val="24"/>
              </w:rPr>
              <w:t>本次申報增額發行之總額，</w:t>
            </w:r>
            <w:proofErr w:type="gramStart"/>
            <w:r w:rsidR="00E33A63">
              <w:rPr>
                <w:rFonts w:ascii="Times New Roman" w:eastAsia="標楷體" w:hAnsi="Times New Roman" w:hint="eastAsia"/>
                <w:szCs w:val="24"/>
              </w:rPr>
              <w:t>加計前各</w:t>
            </w:r>
            <w:proofErr w:type="gramEnd"/>
            <w:r w:rsidR="00E33A63">
              <w:rPr>
                <w:rFonts w:ascii="Times New Roman" w:eastAsia="標楷體" w:hAnsi="Times New Roman" w:hint="eastAsia"/>
                <w:szCs w:val="24"/>
              </w:rPr>
              <w:t>次申報生效發行總額及</w:t>
            </w:r>
            <w:r w:rsidRPr="00585F6F">
              <w:rPr>
                <w:rFonts w:ascii="Times New Roman" w:eastAsia="標楷體" w:hAnsi="Times New Roman" w:hint="eastAsia"/>
                <w:szCs w:val="24"/>
              </w:rPr>
              <w:t>已申報</w:t>
            </w:r>
            <w:r w:rsidR="0025084C" w:rsidRPr="00585F6F">
              <w:rPr>
                <w:rFonts w:ascii="Times New Roman" w:eastAsia="標楷體" w:hAnsi="Times New Roman" w:hint="eastAsia"/>
                <w:szCs w:val="24"/>
              </w:rPr>
              <w:t>發行或</w:t>
            </w:r>
            <w:r w:rsidRPr="00585F6F">
              <w:rPr>
                <w:rFonts w:ascii="Times New Roman" w:eastAsia="標楷體" w:hAnsi="Times New Roman" w:hint="eastAsia"/>
                <w:szCs w:val="24"/>
              </w:rPr>
              <w:t>增額發行但尚</w:t>
            </w:r>
            <w:r w:rsidRPr="00A64FD6">
              <w:rPr>
                <w:rFonts w:ascii="Times New Roman" w:eastAsia="標楷體" w:hAnsi="Times New Roman" w:hint="eastAsia"/>
                <w:szCs w:val="24"/>
              </w:rPr>
              <w:t>未生效之總額之合計數</w:t>
            </w:r>
            <w:r w:rsidRPr="00311A04">
              <w:rPr>
                <w:rFonts w:ascii="Times New Roman" w:eastAsia="標楷體" w:hAnsi="Times New Roman" w:hint="eastAsia"/>
                <w:szCs w:val="24"/>
              </w:rPr>
              <w:t>，</w:t>
            </w:r>
            <w:proofErr w:type="gramStart"/>
            <w:r w:rsidRPr="00311A04">
              <w:rPr>
                <w:rFonts w:ascii="Times New Roman" w:eastAsia="標楷體" w:hAnsi="Times New Roman" w:hint="eastAsia"/>
                <w:szCs w:val="24"/>
              </w:rPr>
              <w:t>已逾</w:t>
            </w:r>
            <w:r w:rsidRPr="00311A04">
              <w:rPr>
                <w:rFonts w:ascii="Times New Roman" w:eastAsia="標楷體" w:hAnsi="Times New Roman" w:hint="eastAsia"/>
                <w:szCs w:val="24"/>
              </w:rPr>
              <w:lastRenderedPageBreak/>
              <w:t>其最</w:t>
            </w:r>
            <w:proofErr w:type="gramEnd"/>
            <w:r w:rsidRPr="00311A04">
              <w:rPr>
                <w:rFonts w:ascii="Times New Roman" w:eastAsia="標楷體" w:hAnsi="Times New Roman" w:hint="eastAsia"/>
                <w:szCs w:val="24"/>
              </w:rPr>
              <w:t>近期經會計師查核簽證之財務報告淨值之百分之五十者，應就超過淨值百分之五十之差額，繳交百分之三之履約保證金，於申報增額發行指數投資證券</w:t>
            </w:r>
            <w:r w:rsidRPr="00311A04">
              <w:rPr>
                <w:rFonts w:ascii="Times New Roman" w:eastAsia="標楷體" w:hAnsi="Times New Roman" w:cs="新細明體" w:hint="eastAsia"/>
                <w:kern w:val="0"/>
                <w:szCs w:val="26"/>
              </w:rPr>
              <w:t>前向</w:t>
            </w:r>
            <w:r w:rsidRPr="00311A04">
              <w:rPr>
                <w:rFonts w:ascii="Times New Roman" w:eastAsia="標楷體" w:hAnsi="Times New Roman" w:hint="eastAsia"/>
                <w:szCs w:val="24"/>
              </w:rPr>
              <w:t>櫃檯買賣中心繳納。</w:t>
            </w:r>
          </w:p>
          <w:p w:rsidR="009E4F24" w:rsidRPr="00311A04" w:rsidRDefault="009E4F24" w:rsidP="00F35097">
            <w:pPr>
              <w:ind w:leftChars="100" w:left="240" w:firstLineChars="200" w:firstLine="480"/>
              <w:jc w:val="both"/>
              <w:rPr>
                <w:rFonts w:ascii="Times New Roman" w:eastAsia="標楷體" w:hAnsi="Times New Roman"/>
                <w:szCs w:val="24"/>
              </w:rPr>
            </w:pPr>
            <w:r w:rsidRPr="00311A04">
              <w:rPr>
                <w:rFonts w:ascii="Times New Roman" w:eastAsia="標楷體" w:hAnsi="Times New Roman" w:hint="eastAsia"/>
                <w:szCs w:val="24"/>
              </w:rPr>
              <w:t>證券商未依前項所定期限繳存履約保證金者，不得申報增額發行指數投資證券。</w:t>
            </w:r>
          </w:p>
          <w:p w:rsidR="009E4F24" w:rsidRPr="00311A04" w:rsidRDefault="009E4F24">
            <w:pPr>
              <w:ind w:leftChars="100" w:left="240" w:firstLineChars="200" w:firstLine="480"/>
              <w:jc w:val="both"/>
              <w:rPr>
                <w:rFonts w:ascii="Times New Roman" w:eastAsia="標楷體" w:hAnsi="Times New Roman"/>
              </w:rPr>
            </w:pPr>
            <w:r w:rsidRPr="00311A04">
              <w:rPr>
                <w:rFonts w:ascii="Times New Roman" w:eastAsia="標楷體" w:hAnsi="Times New Roman" w:hint="eastAsia"/>
                <w:szCs w:val="24"/>
              </w:rPr>
              <w:t>第一項</w:t>
            </w:r>
            <w:r w:rsidR="00BB66BF">
              <w:rPr>
                <w:rFonts w:ascii="Times New Roman" w:eastAsia="標楷體" w:hAnsi="Times New Roman" w:hint="eastAsia"/>
                <w:szCs w:val="24"/>
              </w:rPr>
              <w:t>總</w:t>
            </w:r>
            <w:r w:rsidRPr="00311A04">
              <w:rPr>
                <w:rFonts w:ascii="Times New Roman" w:eastAsia="標楷體" w:hAnsi="Times New Roman" w:hint="eastAsia"/>
                <w:szCs w:val="24"/>
              </w:rPr>
              <w:t>額</w:t>
            </w:r>
            <w:r w:rsidR="0020530B">
              <w:rPr>
                <w:rFonts w:ascii="Times New Roman" w:eastAsia="標楷體" w:hAnsi="Times New Roman" w:hint="eastAsia"/>
                <w:szCs w:val="24"/>
              </w:rPr>
              <w:t>以</w:t>
            </w:r>
            <w:r w:rsidR="00E33A63">
              <w:rPr>
                <w:rFonts w:ascii="Times New Roman" w:eastAsia="標楷體" w:hAnsi="Times New Roman" w:hint="eastAsia"/>
                <w:szCs w:val="24"/>
              </w:rPr>
              <w:t>各</w:t>
            </w:r>
            <w:r w:rsidR="00C64299">
              <w:rPr>
                <w:rFonts w:ascii="Times New Roman" w:eastAsia="標楷體" w:hAnsi="Times New Roman" w:hint="eastAsia"/>
                <w:szCs w:val="24"/>
              </w:rPr>
              <w:t>該</w:t>
            </w:r>
            <w:r w:rsidR="00E33A63">
              <w:rPr>
                <w:rFonts w:ascii="Times New Roman" w:eastAsia="標楷體" w:hAnsi="Times New Roman" w:hint="eastAsia"/>
                <w:szCs w:val="24"/>
              </w:rPr>
              <w:t>次向主管機關申報發行或增額發行之發行總額</w:t>
            </w:r>
            <w:r w:rsidRPr="00311A04">
              <w:rPr>
                <w:rFonts w:ascii="Times New Roman" w:eastAsia="標楷體" w:hAnsi="Times New Roman" w:hint="eastAsia"/>
                <w:szCs w:val="24"/>
              </w:rPr>
              <w:t>計算之。</w:t>
            </w:r>
          </w:p>
        </w:tc>
        <w:tc>
          <w:tcPr>
            <w:tcW w:w="4678" w:type="dxa"/>
          </w:tcPr>
          <w:p w:rsidR="009E4F24" w:rsidRPr="00311A04" w:rsidRDefault="009E4F24" w:rsidP="00694E21">
            <w:pPr>
              <w:suppressAutoHyphens/>
              <w:autoSpaceDN w:val="0"/>
              <w:jc w:val="both"/>
              <w:rPr>
                <w:rFonts w:ascii="Times New Roman" w:eastAsia="標楷體" w:hAnsi="Times New Roman" w:cs="Times New Roman"/>
                <w:kern w:val="3"/>
                <w:szCs w:val="24"/>
              </w:rPr>
            </w:pPr>
            <w:r w:rsidRPr="00311A04">
              <w:rPr>
                <w:rFonts w:ascii="Times New Roman" w:eastAsia="標楷體" w:hAnsi="Times New Roman" w:hint="eastAsia"/>
                <w:szCs w:val="24"/>
              </w:rPr>
              <w:lastRenderedPageBreak/>
              <w:t>明定證券商申報增額發行指數投資證券時，應增提之履約保證金條件及</w:t>
            </w:r>
            <w:proofErr w:type="gramStart"/>
            <w:r w:rsidRPr="00311A04">
              <w:rPr>
                <w:rFonts w:ascii="Times New Roman" w:eastAsia="標楷體" w:hAnsi="Times New Roman" w:hint="eastAsia"/>
                <w:szCs w:val="24"/>
              </w:rPr>
              <w:t>提撥</w:t>
            </w:r>
            <w:proofErr w:type="gramEnd"/>
            <w:r w:rsidRPr="00311A04">
              <w:rPr>
                <w:rFonts w:ascii="Times New Roman" w:eastAsia="標楷體" w:hAnsi="Times New Roman" w:hint="eastAsia"/>
                <w:szCs w:val="24"/>
              </w:rPr>
              <w:t>比例。</w:t>
            </w:r>
          </w:p>
        </w:tc>
      </w:tr>
      <w:tr w:rsidR="00311A04" w:rsidRPr="00311A04" w:rsidTr="009E4F24">
        <w:tc>
          <w:tcPr>
            <w:tcW w:w="4678" w:type="dxa"/>
            <w:shd w:val="clear" w:color="auto" w:fill="auto"/>
          </w:tcPr>
          <w:p w:rsidR="009E4F24" w:rsidRPr="00311A04" w:rsidRDefault="009E4F24" w:rsidP="00F35097">
            <w:pPr>
              <w:ind w:left="240" w:hangingChars="100" w:hanging="240"/>
              <w:jc w:val="both"/>
              <w:rPr>
                <w:rFonts w:ascii="Times New Roman" w:eastAsia="標楷體" w:hAnsi="Times New Roman"/>
                <w:szCs w:val="24"/>
              </w:rPr>
            </w:pPr>
            <w:r w:rsidRPr="00311A04">
              <w:rPr>
                <w:rFonts w:ascii="Times New Roman" w:eastAsia="標楷體" w:hAnsi="Times New Roman" w:hint="eastAsia"/>
                <w:szCs w:val="24"/>
              </w:rPr>
              <w:t>第五條　履約保證金之繳存</w:t>
            </w:r>
            <w:r w:rsidR="00911B18">
              <w:rPr>
                <w:rFonts w:ascii="Times New Roman" w:eastAsia="標楷體" w:hAnsi="Times New Roman" w:hint="eastAsia"/>
                <w:szCs w:val="24"/>
              </w:rPr>
              <w:t>，</w:t>
            </w:r>
            <w:r w:rsidRPr="00311A04">
              <w:rPr>
                <w:rFonts w:ascii="Times New Roman" w:eastAsia="標楷體" w:hAnsi="Times New Roman" w:hint="eastAsia"/>
                <w:szCs w:val="24"/>
              </w:rPr>
              <w:t>其種類以下列為限：</w:t>
            </w:r>
          </w:p>
          <w:p w:rsidR="009E4F24" w:rsidRPr="00311A04" w:rsidRDefault="009E4F24" w:rsidP="00EA37D9">
            <w:pPr>
              <w:suppressAutoHyphens/>
              <w:autoSpaceDN w:val="0"/>
              <w:ind w:leftChars="100" w:left="720" w:hangingChars="200" w:hanging="480"/>
              <w:jc w:val="both"/>
              <w:rPr>
                <w:rFonts w:ascii="Times New Roman" w:eastAsia="標楷體" w:hAnsi="Times New Roman"/>
                <w:szCs w:val="24"/>
              </w:rPr>
            </w:pPr>
            <w:r w:rsidRPr="00311A04">
              <w:rPr>
                <w:rFonts w:ascii="Times New Roman" w:eastAsia="標楷體" w:hAnsi="Times New Roman" w:hint="eastAsia"/>
                <w:szCs w:val="24"/>
              </w:rPr>
              <w:t>一、現金：</w:t>
            </w:r>
            <w:r w:rsidRPr="00311A04">
              <w:rPr>
                <w:rFonts w:ascii="Times New Roman" w:eastAsia="標楷體" w:hAnsi="Times New Roman"/>
                <w:szCs w:val="24"/>
              </w:rPr>
              <w:t>以新臺幣為限</w:t>
            </w:r>
            <w:r w:rsidRPr="00311A04">
              <w:rPr>
                <w:rFonts w:ascii="Times New Roman" w:eastAsia="標楷體" w:hAnsi="Times New Roman" w:hint="eastAsia"/>
                <w:szCs w:val="24"/>
              </w:rPr>
              <w:t>。</w:t>
            </w:r>
          </w:p>
          <w:p w:rsidR="009E4F24" w:rsidRPr="00DC3411" w:rsidRDefault="00410F16" w:rsidP="00BB66BF">
            <w:pPr>
              <w:suppressAutoHyphens/>
              <w:autoSpaceDN w:val="0"/>
              <w:ind w:leftChars="100" w:left="720" w:hangingChars="200" w:hanging="480"/>
              <w:jc w:val="both"/>
              <w:rPr>
                <w:rFonts w:ascii="Times New Roman" w:eastAsia="標楷體" w:hAnsi="Times New Roman"/>
                <w:szCs w:val="24"/>
              </w:rPr>
            </w:pPr>
            <w:r>
              <w:rPr>
                <w:rFonts w:ascii="Times New Roman" w:eastAsia="標楷體" w:hAnsi="Times New Roman" w:hint="eastAsia"/>
                <w:szCs w:val="24"/>
              </w:rPr>
              <w:t>二</w:t>
            </w:r>
            <w:r w:rsidR="009E4F24" w:rsidRPr="00DC3411">
              <w:rPr>
                <w:rFonts w:ascii="Times New Roman" w:eastAsia="標楷體" w:hAnsi="Times New Roman" w:hint="eastAsia"/>
                <w:szCs w:val="24"/>
              </w:rPr>
              <w:t>、金融機構出具之履約保證契約：開立保證契約之銀行，不得為證券商之關係企業或屬同一金融控股公司，且其長期信用評等</w:t>
            </w:r>
            <w:r w:rsidR="002D4D6C">
              <w:rPr>
                <w:rFonts w:ascii="Times New Roman" w:eastAsia="標楷體" w:hAnsi="Times New Roman" w:hint="eastAsia"/>
                <w:szCs w:val="24"/>
              </w:rPr>
              <w:t>應</w:t>
            </w:r>
            <w:r w:rsidR="00BB66BF">
              <w:rPr>
                <w:rFonts w:ascii="Times New Roman" w:eastAsia="標楷體" w:hAnsi="Times New Roman" w:hint="eastAsia"/>
                <w:szCs w:val="24"/>
              </w:rPr>
              <w:t>符合附件一所列信用評等機構評定達一定</w:t>
            </w:r>
            <w:r w:rsidR="009E4F24" w:rsidRPr="00DC3411">
              <w:rPr>
                <w:rFonts w:ascii="Times New Roman" w:eastAsia="標楷體" w:hAnsi="Times New Roman" w:hint="eastAsia"/>
                <w:szCs w:val="24"/>
              </w:rPr>
              <w:t>等級。</w:t>
            </w:r>
          </w:p>
          <w:p w:rsidR="009E4F24" w:rsidRPr="00311A04" w:rsidRDefault="009E4F24" w:rsidP="00F35097">
            <w:pPr>
              <w:ind w:leftChars="100" w:left="240" w:firstLineChars="200" w:firstLine="480"/>
              <w:jc w:val="both"/>
              <w:rPr>
                <w:rFonts w:ascii="Times New Roman" w:eastAsia="標楷體" w:hAnsi="Times New Roman"/>
                <w:szCs w:val="24"/>
              </w:rPr>
            </w:pPr>
            <w:r w:rsidRPr="00311A04">
              <w:rPr>
                <w:rFonts w:ascii="Times New Roman" w:eastAsia="標楷體" w:hAnsi="Times New Roman" w:hint="eastAsia"/>
                <w:szCs w:val="24"/>
              </w:rPr>
              <w:t>前項履約保證金之提供方式如下：</w:t>
            </w:r>
          </w:p>
          <w:p w:rsidR="009E4F24" w:rsidRPr="00311A04" w:rsidRDefault="009E4F24" w:rsidP="00B3022C">
            <w:pPr>
              <w:suppressAutoHyphens/>
              <w:autoSpaceDN w:val="0"/>
              <w:ind w:leftChars="100" w:left="720" w:hangingChars="200" w:hanging="480"/>
              <w:jc w:val="both"/>
              <w:rPr>
                <w:rFonts w:ascii="Times New Roman" w:eastAsia="標楷體" w:hAnsi="Times New Roman"/>
                <w:szCs w:val="24"/>
              </w:rPr>
            </w:pPr>
            <w:r w:rsidRPr="00311A04">
              <w:rPr>
                <w:rFonts w:ascii="Times New Roman" w:eastAsia="標楷體" w:hAnsi="Times New Roman" w:hint="eastAsia"/>
                <w:szCs w:val="24"/>
              </w:rPr>
              <w:t>一、現金：由證券商直接劃撥存入櫃檯買賣中心指定銀行之保證金帳戶，首次繳存者，應檢附證券商基本資料表（如附件</w:t>
            </w:r>
            <w:r w:rsidR="00C633FE">
              <w:rPr>
                <w:rFonts w:ascii="Times New Roman" w:eastAsia="標楷體" w:hAnsi="Times New Roman" w:hint="eastAsia"/>
                <w:szCs w:val="24"/>
              </w:rPr>
              <w:t>二</w:t>
            </w:r>
            <w:r w:rsidRPr="00311A04">
              <w:rPr>
                <w:rFonts w:ascii="Times New Roman" w:eastAsia="標楷體" w:hAnsi="Times New Roman" w:hint="eastAsia"/>
                <w:szCs w:val="24"/>
              </w:rPr>
              <w:t>）。</w:t>
            </w:r>
          </w:p>
          <w:p w:rsidR="009E4F24" w:rsidRPr="00311A04" w:rsidRDefault="00410F16" w:rsidP="00B3022C">
            <w:pPr>
              <w:suppressAutoHyphens/>
              <w:autoSpaceDN w:val="0"/>
              <w:ind w:leftChars="100" w:left="720" w:hangingChars="200" w:hanging="480"/>
              <w:jc w:val="both"/>
              <w:rPr>
                <w:rFonts w:ascii="Times New Roman" w:eastAsia="標楷體" w:hAnsi="Times New Roman"/>
                <w:szCs w:val="24"/>
              </w:rPr>
            </w:pPr>
            <w:r>
              <w:rPr>
                <w:rFonts w:ascii="Times New Roman" w:eastAsia="標楷體" w:hAnsi="Times New Roman" w:hint="eastAsia"/>
                <w:szCs w:val="24"/>
              </w:rPr>
              <w:t>二</w:t>
            </w:r>
            <w:r w:rsidR="009E4F24" w:rsidRPr="00311A04">
              <w:rPr>
                <w:rFonts w:ascii="Times New Roman" w:eastAsia="標楷體" w:hAnsi="Times New Roman" w:hint="eastAsia"/>
                <w:szCs w:val="24"/>
              </w:rPr>
              <w:t>、金融機構出具之履約保證契約：證券商向銀行辦妥保證手續後，將保證書正本交付櫃檯買賣中心。</w:t>
            </w:r>
          </w:p>
          <w:p w:rsidR="009E4F24" w:rsidRPr="00311A04" w:rsidRDefault="009E4F24" w:rsidP="00F35097">
            <w:pPr>
              <w:ind w:leftChars="100" w:left="240" w:firstLineChars="200" w:firstLine="480"/>
              <w:jc w:val="both"/>
              <w:rPr>
                <w:rFonts w:ascii="Times New Roman" w:eastAsia="標楷體" w:hAnsi="Times New Roman"/>
                <w:szCs w:val="24"/>
              </w:rPr>
            </w:pPr>
            <w:r w:rsidRPr="00311A04">
              <w:rPr>
                <w:rFonts w:ascii="Times New Roman" w:eastAsia="標楷體" w:hAnsi="Times New Roman" w:hint="eastAsia"/>
                <w:szCs w:val="24"/>
              </w:rPr>
              <w:t>證券商以金融機構出具之履約保證契約繳存履約保證金者，應保證其權利之完整，如發現有瑕疵或法律上之爭議，應於通知後之次一營業日內辦理更換。</w:t>
            </w:r>
          </w:p>
          <w:p w:rsidR="009E4F24" w:rsidRPr="00311A04" w:rsidRDefault="009E4F24">
            <w:pPr>
              <w:ind w:leftChars="100" w:left="240" w:firstLineChars="200" w:firstLine="480"/>
              <w:jc w:val="both"/>
              <w:rPr>
                <w:rFonts w:ascii="Times New Roman" w:eastAsia="標楷體" w:hAnsi="Times New Roman"/>
              </w:rPr>
            </w:pPr>
            <w:r w:rsidRPr="00311A04">
              <w:rPr>
                <w:rFonts w:ascii="Times New Roman" w:eastAsia="標楷體" w:hAnsi="Times New Roman" w:hint="eastAsia"/>
                <w:szCs w:val="24"/>
              </w:rPr>
              <w:t>證券商以金融機構出具之履約保證契約繳存履約保證金者，應於其到期日十個營業日前辦理更換。</w:t>
            </w:r>
          </w:p>
        </w:tc>
        <w:tc>
          <w:tcPr>
            <w:tcW w:w="4678" w:type="dxa"/>
          </w:tcPr>
          <w:p w:rsidR="002739A2" w:rsidRPr="00BB66BF" w:rsidRDefault="009E4F24" w:rsidP="00BB66BF">
            <w:pPr>
              <w:suppressAutoHyphens/>
              <w:autoSpaceDN w:val="0"/>
              <w:jc w:val="both"/>
              <w:rPr>
                <w:rFonts w:ascii="Times New Roman" w:eastAsia="標楷體" w:hAnsi="Times New Roman" w:cs="Times New Roman"/>
                <w:kern w:val="3"/>
                <w:szCs w:val="24"/>
              </w:rPr>
            </w:pPr>
            <w:r w:rsidRPr="00BB66BF">
              <w:rPr>
                <w:rFonts w:ascii="Times New Roman" w:eastAsia="標楷體" w:hAnsi="Times New Roman" w:hint="eastAsia"/>
                <w:szCs w:val="24"/>
              </w:rPr>
              <w:t>明定證券商繳存履約保證金之種類及繳存方式。</w:t>
            </w:r>
          </w:p>
        </w:tc>
      </w:tr>
      <w:tr w:rsidR="00311A04" w:rsidRPr="00311A04" w:rsidTr="009E4F24">
        <w:tc>
          <w:tcPr>
            <w:tcW w:w="4678" w:type="dxa"/>
            <w:shd w:val="clear" w:color="auto" w:fill="auto"/>
          </w:tcPr>
          <w:p w:rsidR="009E4F24" w:rsidRPr="00311A04" w:rsidRDefault="009E4F24" w:rsidP="00F35097">
            <w:pPr>
              <w:ind w:left="240" w:hangingChars="100" w:hanging="240"/>
              <w:jc w:val="both"/>
              <w:rPr>
                <w:rFonts w:ascii="Times New Roman" w:eastAsia="標楷體" w:hAnsi="Times New Roman"/>
                <w:szCs w:val="24"/>
              </w:rPr>
            </w:pPr>
            <w:r w:rsidRPr="00311A04">
              <w:rPr>
                <w:rFonts w:ascii="Times New Roman" w:eastAsia="標楷體" w:hAnsi="Times New Roman" w:hint="eastAsia"/>
                <w:szCs w:val="24"/>
              </w:rPr>
              <w:t>第六條　證券商依第三條第三項規定申請退還履約保證金，應填具履約保證金領回申請書（如附件</w:t>
            </w:r>
            <w:r w:rsidR="00C633FE">
              <w:rPr>
                <w:rFonts w:ascii="Times New Roman" w:eastAsia="標楷體" w:hAnsi="Times New Roman" w:hint="eastAsia"/>
                <w:szCs w:val="24"/>
              </w:rPr>
              <w:t>三</w:t>
            </w:r>
            <w:r w:rsidRPr="00311A04">
              <w:rPr>
                <w:rFonts w:ascii="Times New Roman" w:eastAsia="標楷體" w:hAnsi="Times New Roman" w:hint="eastAsia"/>
                <w:szCs w:val="24"/>
              </w:rPr>
              <w:t>），向櫃檯買賣中心提出申請。</w:t>
            </w:r>
          </w:p>
          <w:p w:rsidR="009E4F24" w:rsidRPr="00311A04" w:rsidRDefault="009E4F24" w:rsidP="00F35097">
            <w:pPr>
              <w:ind w:leftChars="100" w:left="240" w:firstLineChars="200" w:firstLine="480"/>
              <w:jc w:val="both"/>
              <w:rPr>
                <w:rFonts w:ascii="Times New Roman" w:eastAsia="標楷體" w:hAnsi="Times New Roman"/>
                <w:szCs w:val="24"/>
              </w:rPr>
            </w:pPr>
            <w:r w:rsidRPr="00311A04">
              <w:rPr>
                <w:rFonts w:ascii="Times New Roman" w:eastAsia="標楷體" w:hAnsi="Times New Roman" w:hint="eastAsia"/>
                <w:szCs w:val="24"/>
              </w:rPr>
              <w:t>櫃檯買賣中心依證券商之申請以下列方式辦理：</w:t>
            </w:r>
          </w:p>
          <w:p w:rsidR="009E4F24" w:rsidRPr="00311A04" w:rsidRDefault="009E4F24" w:rsidP="0030530F">
            <w:pPr>
              <w:suppressAutoHyphens/>
              <w:autoSpaceDN w:val="0"/>
              <w:ind w:leftChars="100" w:left="720" w:hangingChars="200" w:hanging="480"/>
              <w:jc w:val="both"/>
              <w:rPr>
                <w:rFonts w:ascii="Times New Roman" w:eastAsia="標楷體" w:hAnsi="Times New Roman"/>
                <w:szCs w:val="24"/>
              </w:rPr>
            </w:pPr>
            <w:r w:rsidRPr="00311A04">
              <w:rPr>
                <w:rFonts w:ascii="Times New Roman" w:eastAsia="標楷體" w:hAnsi="Times New Roman" w:hint="eastAsia"/>
                <w:szCs w:val="24"/>
              </w:rPr>
              <w:t>一、現金：匯入證券商指定之銀行帳戶。</w:t>
            </w:r>
          </w:p>
          <w:p w:rsidR="009E4F24" w:rsidRPr="00311A04" w:rsidRDefault="00410F16">
            <w:pPr>
              <w:suppressAutoHyphens/>
              <w:autoSpaceDN w:val="0"/>
              <w:ind w:leftChars="100" w:left="720" w:hangingChars="200" w:hanging="480"/>
              <w:jc w:val="both"/>
              <w:rPr>
                <w:rFonts w:ascii="Times New Roman" w:eastAsia="標楷體" w:hAnsi="Times New Roman"/>
                <w:szCs w:val="24"/>
              </w:rPr>
            </w:pPr>
            <w:r>
              <w:rPr>
                <w:rFonts w:ascii="Times New Roman" w:eastAsia="標楷體" w:hAnsi="Times New Roman" w:hint="eastAsia"/>
                <w:szCs w:val="24"/>
              </w:rPr>
              <w:t>二</w:t>
            </w:r>
            <w:r w:rsidR="009E4F24" w:rsidRPr="00311A04">
              <w:rPr>
                <w:rFonts w:ascii="Times New Roman" w:eastAsia="標楷體" w:hAnsi="Times New Roman" w:hint="eastAsia"/>
                <w:szCs w:val="24"/>
              </w:rPr>
              <w:t>、金融機構出具之履約保證契約：將保</w:t>
            </w:r>
            <w:r w:rsidR="009E4F24" w:rsidRPr="00311A04">
              <w:rPr>
                <w:rFonts w:ascii="Times New Roman" w:eastAsia="標楷體" w:hAnsi="Times New Roman" w:hint="eastAsia"/>
                <w:szCs w:val="24"/>
              </w:rPr>
              <w:lastRenderedPageBreak/>
              <w:t>證文件正本退還證券商。</w:t>
            </w:r>
          </w:p>
        </w:tc>
        <w:tc>
          <w:tcPr>
            <w:tcW w:w="4678" w:type="dxa"/>
          </w:tcPr>
          <w:p w:rsidR="009E4F24" w:rsidRPr="00311A04" w:rsidRDefault="009E4F24" w:rsidP="00694E21">
            <w:pPr>
              <w:suppressAutoHyphens/>
              <w:autoSpaceDN w:val="0"/>
              <w:jc w:val="both"/>
              <w:rPr>
                <w:rFonts w:ascii="Times New Roman" w:eastAsia="標楷體" w:hAnsi="Times New Roman" w:cs="Times New Roman"/>
                <w:kern w:val="3"/>
                <w:szCs w:val="24"/>
              </w:rPr>
            </w:pPr>
            <w:r w:rsidRPr="00311A04">
              <w:rPr>
                <w:rFonts w:ascii="Times New Roman" w:eastAsia="標楷體" w:hAnsi="Times New Roman" w:hint="eastAsia"/>
                <w:szCs w:val="24"/>
              </w:rPr>
              <w:lastRenderedPageBreak/>
              <w:t>明定履約保證金申請退還程序及方式。</w:t>
            </w:r>
          </w:p>
        </w:tc>
      </w:tr>
      <w:tr w:rsidR="00311A04" w:rsidRPr="00311A04" w:rsidTr="009E4F24">
        <w:tc>
          <w:tcPr>
            <w:tcW w:w="4678" w:type="dxa"/>
            <w:shd w:val="clear" w:color="auto" w:fill="auto"/>
          </w:tcPr>
          <w:p w:rsidR="009E4F24" w:rsidRPr="00311A04" w:rsidRDefault="009E4F24" w:rsidP="00332382">
            <w:pPr>
              <w:ind w:left="240" w:hangingChars="100" w:hanging="240"/>
              <w:jc w:val="both"/>
              <w:rPr>
                <w:rFonts w:ascii="Times New Roman" w:eastAsia="標楷體" w:hAnsi="Times New Roman"/>
                <w:szCs w:val="24"/>
              </w:rPr>
            </w:pPr>
            <w:r w:rsidRPr="00311A04">
              <w:rPr>
                <w:rFonts w:ascii="Times New Roman" w:eastAsia="標楷體" w:hAnsi="Times New Roman" w:hint="eastAsia"/>
                <w:szCs w:val="24"/>
              </w:rPr>
              <w:t>第七條　櫃檯買賣中心收取證券商繳存之現金，應於銀行開立存款專戶保管，並應按證券商別設</w:t>
            </w:r>
            <w:proofErr w:type="gramStart"/>
            <w:r w:rsidRPr="00311A04">
              <w:rPr>
                <w:rFonts w:ascii="Times New Roman" w:eastAsia="標楷體" w:hAnsi="Times New Roman" w:hint="eastAsia"/>
                <w:szCs w:val="24"/>
              </w:rPr>
              <w:t>明細帳</w:t>
            </w:r>
            <w:proofErr w:type="gramEnd"/>
            <w:r w:rsidRPr="00311A04">
              <w:rPr>
                <w:rFonts w:ascii="Times New Roman" w:eastAsia="標楷體" w:hAnsi="Times New Roman" w:hint="eastAsia"/>
                <w:szCs w:val="24"/>
              </w:rPr>
              <w:t>。其運用方式如下：</w:t>
            </w:r>
          </w:p>
          <w:p w:rsidR="009E4F24" w:rsidRPr="00311A04" w:rsidRDefault="009E4F24" w:rsidP="00F35097">
            <w:pPr>
              <w:ind w:leftChars="100" w:left="720" w:hangingChars="200" w:hanging="480"/>
              <w:jc w:val="both"/>
              <w:rPr>
                <w:rFonts w:ascii="Times New Roman" w:eastAsia="標楷體" w:hAnsi="Times New Roman"/>
                <w:szCs w:val="24"/>
              </w:rPr>
            </w:pPr>
            <w:r w:rsidRPr="00311A04">
              <w:rPr>
                <w:rFonts w:ascii="Times New Roman" w:eastAsia="標楷體" w:hAnsi="Times New Roman" w:hint="eastAsia"/>
                <w:szCs w:val="24"/>
              </w:rPr>
              <w:t>一、銀行存款或郵政儲蓄。</w:t>
            </w:r>
          </w:p>
          <w:p w:rsidR="009E4F24" w:rsidRPr="00311A04" w:rsidRDefault="009E4F24" w:rsidP="00F35097">
            <w:pPr>
              <w:ind w:leftChars="100" w:left="720" w:hangingChars="200" w:hanging="480"/>
              <w:jc w:val="both"/>
              <w:rPr>
                <w:rFonts w:ascii="Times New Roman" w:eastAsia="標楷體" w:hAnsi="Times New Roman"/>
                <w:szCs w:val="24"/>
              </w:rPr>
            </w:pPr>
            <w:r w:rsidRPr="00311A04">
              <w:rPr>
                <w:rFonts w:ascii="Times New Roman" w:eastAsia="標楷體" w:hAnsi="Times New Roman" w:hint="eastAsia"/>
                <w:szCs w:val="24"/>
              </w:rPr>
              <w:t>二、其他報經主管機關核准之運用方式。</w:t>
            </w:r>
          </w:p>
          <w:p w:rsidR="009E4F24" w:rsidRPr="00311A04" w:rsidRDefault="00911B18" w:rsidP="00F35097">
            <w:pPr>
              <w:suppressAutoHyphens/>
              <w:autoSpaceDN w:val="0"/>
              <w:ind w:leftChars="100" w:left="240" w:firstLineChars="200" w:firstLine="480"/>
              <w:jc w:val="both"/>
              <w:rPr>
                <w:rFonts w:ascii="Times New Roman" w:eastAsia="標楷體" w:hAnsi="Times New Roman" w:cs="Times New Roman"/>
                <w:kern w:val="3"/>
                <w:szCs w:val="24"/>
              </w:rPr>
            </w:pPr>
            <w:r>
              <w:rPr>
                <w:rFonts w:ascii="Times New Roman" w:eastAsia="標楷體" w:hAnsi="Times New Roman" w:hint="eastAsia"/>
                <w:szCs w:val="24"/>
              </w:rPr>
              <w:t>前項</w:t>
            </w:r>
            <w:r w:rsidR="009E4F24" w:rsidRPr="00311A04">
              <w:rPr>
                <w:rFonts w:ascii="Times New Roman" w:eastAsia="標楷體" w:hAnsi="Times New Roman" w:hint="eastAsia"/>
                <w:szCs w:val="24"/>
              </w:rPr>
              <w:t>證券商繳存之履約保證金所生之孳息，</w:t>
            </w:r>
            <w:r>
              <w:rPr>
                <w:rFonts w:ascii="Times New Roman" w:eastAsia="標楷體" w:hAnsi="Times New Roman" w:hint="eastAsia"/>
                <w:szCs w:val="24"/>
              </w:rPr>
              <w:t>由櫃檯買賣中心</w:t>
            </w:r>
            <w:r w:rsidR="009E4F24" w:rsidRPr="00311A04">
              <w:rPr>
                <w:rFonts w:ascii="Times New Roman" w:eastAsia="標楷體" w:hAnsi="Times New Roman" w:hint="eastAsia"/>
                <w:szCs w:val="24"/>
              </w:rPr>
              <w:t>每半年結算一次，於每年一月底及七月底前，將所收利息扣除其稅捐及所需費用後，發還各證券商。</w:t>
            </w:r>
          </w:p>
        </w:tc>
        <w:tc>
          <w:tcPr>
            <w:tcW w:w="4678" w:type="dxa"/>
          </w:tcPr>
          <w:p w:rsidR="009E4F24" w:rsidRPr="00311A04" w:rsidRDefault="009E4F24" w:rsidP="00694E21">
            <w:pPr>
              <w:widowControl/>
              <w:autoSpaceDN w:val="0"/>
              <w:jc w:val="both"/>
              <w:rPr>
                <w:rFonts w:ascii="Times New Roman" w:eastAsia="標楷體" w:hAnsi="Times New Roman" w:cs="Times New Roman"/>
                <w:kern w:val="3"/>
                <w:szCs w:val="24"/>
              </w:rPr>
            </w:pPr>
            <w:r w:rsidRPr="00311A04">
              <w:rPr>
                <w:rFonts w:ascii="Times New Roman" w:eastAsia="標楷體" w:hAnsi="Times New Roman" w:hint="eastAsia"/>
                <w:szCs w:val="24"/>
              </w:rPr>
              <w:t>明定履約保證金保管方式及運用所收到孳息處理方式。</w:t>
            </w:r>
          </w:p>
        </w:tc>
      </w:tr>
      <w:tr w:rsidR="00311A04" w:rsidRPr="00311A04" w:rsidTr="009E4F24">
        <w:tc>
          <w:tcPr>
            <w:tcW w:w="4678" w:type="dxa"/>
            <w:shd w:val="clear" w:color="auto" w:fill="auto"/>
          </w:tcPr>
          <w:p w:rsidR="009E4F24" w:rsidRPr="00311A04" w:rsidRDefault="009E4F24" w:rsidP="00F35097">
            <w:pPr>
              <w:ind w:left="240" w:hangingChars="100" w:hanging="240"/>
              <w:jc w:val="both"/>
              <w:rPr>
                <w:rFonts w:ascii="Times New Roman" w:eastAsia="標楷體" w:hAnsi="Times New Roman" w:cs="Times New Roman"/>
                <w:kern w:val="3"/>
                <w:szCs w:val="24"/>
              </w:rPr>
            </w:pPr>
            <w:r w:rsidRPr="00311A04">
              <w:rPr>
                <w:rFonts w:ascii="Times New Roman" w:eastAsia="標楷體" w:hAnsi="Times New Roman" w:hint="eastAsia"/>
                <w:szCs w:val="24"/>
              </w:rPr>
              <w:t>第八條　櫃檯買賣中心應於每月終了後十五日內，將履約保證金之收支及運用情形函報主管機關備查，並提供臺灣證券交易所。</w:t>
            </w:r>
          </w:p>
        </w:tc>
        <w:tc>
          <w:tcPr>
            <w:tcW w:w="4678" w:type="dxa"/>
          </w:tcPr>
          <w:p w:rsidR="009E4F24" w:rsidRPr="00311A04" w:rsidRDefault="009E4F24" w:rsidP="00694E21">
            <w:pPr>
              <w:suppressAutoHyphens/>
              <w:autoSpaceDN w:val="0"/>
              <w:jc w:val="both"/>
              <w:rPr>
                <w:rFonts w:ascii="Times New Roman" w:eastAsia="標楷體" w:hAnsi="Times New Roman" w:cs="Times New Roman"/>
                <w:kern w:val="3"/>
                <w:szCs w:val="24"/>
              </w:rPr>
            </w:pPr>
            <w:r w:rsidRPr="00311A04">
              <w:rPr>
                <w:rFonts w:ascii="Times New Roman" w:eastAsia="標楷體" w:hAnsi="Times New Roman" w:hint="eastAsia"/>
                <w:szCs w:val="24"/>
              </w:rPr>
              <w:t>明定每月終了十五日</w:t>
            </w:r>
            <w:proofErr w:type="gramStart"/>
            <w:r w:rsidRPr="00311A04">
              <w:rPr>
                <w:rFonts w:ascii="Times New Roman" w:eastAsia="標楷體" w:hAnsi="Times New Roman" w:hint="eastAsia"/>
                <w:szCs w:val="24"/>
              </w:rPr>
              <w:t>內函</w:t>
            </w:r>
            <w:proofErr w:type="gramEnd"/>
            <w:r w:rsidRPr="00311A04">
              <w:rPr>
                <w:rFonts w:ascii="Times New Roman" w:eastAsia="標楷體" w:hAnsi="Times New Roman" w:hint="eastAsia"/>
                <w:szCs w:val="24"/>
              </w:rPr>
              <w:t>報主管機關履約保證金之收支及運用情形。</w:t>
            </w:r>
          </w:p>
        </w:tc>
      </w:tr>
      <w:tr w:rsidR="00311A04" w:rsidRPr="00311A04" w:rsidTr="009E4F24">
        <w:tc>
          <w:tcPr>
            <w:tcW w:w="4678" w:type="dxa"/>
            <w:shd w:val="clear" w:color="auto" w:fill="auto"/>
          </w:tcPr>
          <w:p w:rsidR="009E4F24" w:rsidRPr="00311A04" w:rsidRDefault="009E4F24" w:rsidP="00F35097">
            <w:pPr>
              <w:ind w:left="240" w:hangingChars="100" w:hanging="240"/>
              <w:jc w:val="both"/>
              <w:rPr>
                <w:rFonts w:ascii="Times New Roman" w:eastAsia="標楷體" w:hAnsi="Times New Roman" w:cs="Times New Roman"/>
                <w:kern w:val="3"/>
                <w:szCs w:val="24"/>
              </w:rPr>
            </w:pPr>
            <w:r w:rsidRPr="00311A04">
              <w:rPr>
                <w:rFonts w:ascii="Times New Roman" w:eastAsia="標楷體" w:hAnsi="Times New Roman" w:hint="eastAsia"/>
                <w:szCs w:val="24"/>
              </w:rPr>
              <w:t>第九條　證券商所繳存之履約保證金如遇法院強制執行或其他原因動用，證券商應即補足之，證券商未補足者，櫃檯買賣中心得依第十條之規定辦理。</w:t>
            </w:r>
          </w:p>
        </w:tc>
        <w:tc>
          <w:tcPr>
            <w:tcW w:w="4678" w:type="dxa"/>
          </w:tcPr>
          <w:p w:rsidR="009E4F24" w:rsidRPr="00311A04" w:rsidRDefault="009E4F24" w:rsidP="00694E21">
            <w:pPr>
              <w:suppressAutoHyphens/>
              <w:autoSpaceDN w:val="0"/>
              <w:jc w:val="both"/>
              <w:rPr>
                <w:rFonts w:ascii="Times New Roman" w:eastAsia="標楷體" w:hAnsi="Times New Roman" w:cs="Times New Roman"/>
                <w:kern w:val="3"/>
                <w:szCs w:val="24"/>
              </w:rPr>
            </w:pPr>
            <w:r w:rsidRPr="00311A04">
              <w:rPr>
                <w:rFonts w:ascii="Times New Roman" w:eastAsia="標楷體" w:hAnsi="Times New Roman" w:hint="eastAsia"/>
                <w:szCs w:val="24"/>
              </w:rPr>
              <w:t>明定履約保證金如遇法院強制執行或其他原因動用，證券商應即補足之。</w:t>
            </w:r>
          </w:p>
        </w:tc>
      </w:tr>
      <w:tr w:rsidR="00311A04" w:rsidRPr="00311A04" w:rsidTr="009E4F24">
        <w:tc>
          <w:tcPr>
            <w:tcW w:w="4678" w:type="dxa"/>
            <w:shd w:val="clear" w:color="auto" w:fill="auto"/>
          </w:tcPr>
          <w:p w:rsidR="009E4F24" w:rsidRPr="00311A04" w:rsidRDefault="009E4F24" w:rsidP="00F35097">
            <w:pPr>
              <w:ind w:left="240" w:hangingChars="100" w:hanging="240"/>
              <w:jc w:val="both"/>
              <w:rPr>
                <w:rFonts w:ascii="Times New Roman" w:eastAsia="標楷體" w:hAnsi="Times New Roman"/>
                <w:szCs w:val="24"/>
              </w:rPr>
            </w:pPr>
            <w:r w:rsidRPr="00311A04">
              <w:rPr>
                <w:rFonts w:ascii="Times New Roman" w:eastAsia="標楷體" w:hAnsi="Times New Roman" w:hint="eastAsia"/>
                <w:szCs w:val="24"/>
              </w:rPr>
              <w:t>第十條　證券商未依規定繳存履約保證金時，櫃檯買賣中心得通知其限期補足，並得就其未補足部分課以百分之一之過</w:t>
            </w:r>
            <w:proofErr w:type="gramStart"/>
            <w:r w:rsidRPr="00311A04">
              <w:rPr>
                <w:rFonts w:ascii="Times New Roman" w:eastAsia="標楷體" w:hAnsi="Times New Roman" w:hint="eastAsia"/>
                <w:szCs w:val="24"/>
              </w:rPr>
              <w:t>怠</w:t>
            </w:r>
            <w:proofErr w:type="gramEnd"/>
            <w:r w:rsidRPr="00311A04">
              <w:rPr>
                <w:rFonts w:ascii="Times New Roman" w:eastAsia="標楷體" w:hAnsi="Times New Roman" w:hint="eastAsia"/>
                <w:szCs w:val="24"/>
              </w:rPr>
              <w:t>金。證券商逾期仍未補足者，並得連續處以百分之一之過</w:t>
            </w:r>
            <w:proofErr w:type="gramStart"/>
            <w:r w:rsidRPr="00311A04">
              <w:rPr>
                <w:rFonts w:ascii="Times New Roman" w:eastAsia="標楷體" w:hAnsi="Times New Roman" w:hint="eastAsia"/>
                <w:szCs w:val="24"/>
              </w:rPr>
              <w:t>怠金至</w:t>
            </w:r>
            <w:proofErr w:type="gramEnd"/>
            <w:r w:rsidRPr="00311A04">
              <w:rPr>
                <w:rFonts w:ascii="Times New Roman" w:eastAsia="標楷體" w:hAnsi="Times New Roman" w:hint="eastAsia"/>
                <w:szCs w:val="24"/>
              </w:rPr>
              <w:t>辦理為止。</w:t>
            </w:r>
          </w:p>
          <w:p w:rsidR="009E4F24" w:rsidRPr="00311A04" w:rsidRDefault="009E4F24" w:rsidP="00F35097">
            <w:pPr>
              <w:suppressAutoHyphens/>
              <w:autoSpaceDN w:val="0"/>
              <w:ind w:leftChars="100" w:left="240" w:firstLineChars="200" w:firstLine="480"/>
              <w:jc w:val="both"/>
              <w:rPr>
                <w:rFonts w:ascii="Times New Roman" w:eastAsia="標楷體" w:hAnsi="Times New Roman" w:cs="Times New Roman"/>
                <w:kern w:val="3"/>
                <w:szCs w:val="24"/>
              </w:rPr>
            </w:pPr>
            <w:r w:rsidRPr="00311A04">
              <w:rPr>
                <w:rFonts w:ascii="Times New Roman" w:eastAsia="標楷體" w:hAnsi="Times New Roman" w:hint="eastAsia"/>
                <w:szCs w:val="24"/>
              </w:rPr>
              <w:t>證券商有前項情事者，</w:t>
            </w:r>
            <w:r w:rsidR="005E3047">
              <w:rPr>
                <w:rFonts w:ascii="Times New Roman" w:eastAsia="標楷體" w:hAnsi="Times New Roman" w:hint="eastAsia"/>
                <w:szCs w:val="24"/>
              </w:rPr>
              <w:t>應於事實發生日之次一營業日交易時間開始前，將該訊息內容或說明輸入櫃檯買賣中心指定之網際網路申報系統。</w:t>
            </w:r>
            <w:r w:rsidRPr="00311A04">
              <w:rPr>
                <w:rFonts w:ascii="Times New Roman" w:eastAsia="標楷體" w:hAnsi="Times New Roman" w:hint="eastAsia"/>
                <w:szCs w:val="24"/>
              </w:rPr>
              <w:t>櫃檯買賣中心應</w:t>
            </w:r>
            <w:r w:rsidR="005E3047">
              <w:rPr>
                <w:rFonts w:ascii="Times New Roman" w:eastAsia="標楷體" w:hAnsi="Times New Roman" w:hint="eastAsia"/>
                <w:szCs w:val="24"/>
              </w:rPr>
              <w:t>將前揭情事</w:t>
            </w:r>
            <w:r w:rsidRPr="00311A04">
              <w:rPr>
                <w:rFonts w:ascii="Times New Roman" w:eastAsia="標楷體" w:hAnsi="Times New Roman" w:hint="eastAsia"/>
                <w:szCs w:val="24"/>
              </w:rPr>
              <w:t>函報主管機關備查，並通知臺灣證券交易所。</w:t>
            </w:r>
          </w:p>
        </w:tc>
        <w:tc>
          <w:tcPr>
            <w:tcW w:w="4678" w:type="dxa"/>
          </w:tcPr>
          <w:p w:rsidR="009E4F24" w:rsidRPr="00311A04" w:rsidRDefault="009E4F24">
            <w:pPr>
              <w:suppressAutoHyphens/>
              <w:autoSpaceDN w:val="0"/>
              <w:jc w:val="both"/>
              <w:rPr>
                <w:rFonts w:ascii="Times New Roman" w:eastAsia="標楷體" w:hAnsi="Times New Roman" w:cs="Times New Roman"/>
                <w:kern w:val="3"/>
                <w:szCs w:val="24"/>
              </w:rPr>
            </w:pPr>
            <w:r w:rsidRPr="00311A04">
              <w:rPr>
                <w:rFonts w:ascii="Times New Roman" w:eastAsia="標楷體" w:hAnsi="Times New Roman" w:hint="eastAsia"/>
                <w:szCs w:val="24"/>
              </w:rPr>
              <w:t>明定證券商未依規定足額繳存履約保證金之罰則</w:t>
            </w:r>
            <w:r w:rsidR="00A04656">
              <w:rPr>
                <w:rFonts w:ascii="Times New Roman" w:eastAsia="標楷體" w:hAnsi="Times New Roman" w:hint="eastAsia"/>
                <w:szCs w:val="24"/>
              </w:rPr>
              <w:t>及應公告未依規定繳納之原因及數額等資訊</w:t>
            </w:r>
            <w:r w:rsidRPr="00311A04">
              <w:rPr>
                <w:rFonts w:ascii="Times New Roman" w:eastAsia="標楷體" w:hAnsi="Times New Roman" w:hint="eastAsia"/>
                <w:szCs w:val="24"/>
              </w:rPr>
              <w:t>。</w:t>
            </w:r>
          </w:p>
        </w:tc>
      </w:tr>
      <w:tr w:rsidR="003437E2" w:rsidRPr="00311A04" w:rsidTr="009E4F24">
        <w:tc>
          <w:tcPr>
            <w:tcW w:w="4678" w:type="dxa"/>
            <w:shd w:val="clear" w:color="auto" w:fill="auto"/>
          </w:tcPr>
          <w:p w:rsidR="00FC49AF" w:rsidRDefault="003437E2">
            <w:pPr>
              <w:ind w:left="240" w:hangingChars="100" w:hanging="240"/>
              <w:jc w:val="both"/>
              <w:rPr>
                <w:rFonts w:ascii="Times New Roman" w:eastAsia="標楷體" w:hAnsi="Times New Roman"/>
                <w:szCs w:val="24"/>
              </w:rPr>
            </w:pPr>
            <w:r>
              <w:rPr>
                <w:rFonts w:ascii="Times New Roman" w:eastAsia="標楷體" w:hAnsi="Times New Roman" w:hint="eastAsia"/>
                <w:szCs w:val="24"/>
              </w:rPr>
              <w:t>第十一條</w:t>
            </w:r>
            <w:r>
              <w:rPr>
                <w:rFonts w:ascii="Times New Roman" w:eastAsia="標楷體" w:hAnsi="Times New Roman" w:hint="eastAsia"/>
                <w:szCs w:val="24"/>
              </w:rPr>
              <w:t xml:space="preserve">  </w:t>
            </w:r>
            <w:r w:rsidR="008B5608" w:rsidRPr="00D23BA7">
              <w:rPr>
                <w:rFonts w:ascii="Times New Roman" w:eastAsia="標楷體" w:hAnsi="Times New Roman" w:hint="eastAsia"/>
                <w:szCs w:val="24"/>
              </w:rPr>
              <w:t>證券商</w:t>
            </w:r>
            <w:r w:rsidR="00457310" w:rsidRPr="00D23BA7">
              <w:rPr>
                <w:rFonts w:ascii="Times New Roman" w:eastAsia="標楷體" w:hAnsi="Times New Roman" w:hint="eastAsia"/>
                <w:szCs w:val="24"/>
              </w:rPr>
              <w:t>於</w:t>
            </w:r>
            <w:r w:rsidR="00FC49AF" w:rsidRPr="00E6276A">
              <w:rPr>
                <w:rFonts w:ascii="Times New Roman" w:eastAsia="標楷體" w:hAnsi="Times New Roman" w:hint="eastAsia"/>
                <w:szCs w:val="24"/>
              </w:rPr>
              <w:t>指數投資證券持有人賣回、</w:t>
            </w:r>
            <w:r w:rsidR="00B70B7F" w:rsidRPr="00E6276A">
              <w:rPr>
                <w:rFonts w:ascii="Times New Roman" w:eastAsia="標楷體" w:hAnsi="Times New Roman" w:hint="eastAsia"/>
                <w:szCs w:val="24"/>
              </w:rPr>
              <w:t>證券商</w:t>
            </w:r>
            <w:r w:rsidR="00FC49AF" w:rsidRPr="00E6276A">
              <w:rPr>
                <w:rFonts w:ascii="Times New Roman" w:eastAsia="標楷體" w:hAnsi="Times New Roman" w:hint="eastAsia"/>
                <w:szCs w:val="24"/>
              </w:rPr>
              <w:t>依發行計畫提前贖回</w:t>
            </w:r>
            <w:r w:rsidR="002B5E0F">
              <w:rPr>
                <w:rFonts w:ascii="Times New Roman" w:eastAsia="標楷體" w:hAnsi="Times New Roman" w:hint="eastAsia"/>
                <w:szCs w:val="24"/>
              </w:rPr>
              <w:t>、強制贖回</w:t>
            </w:r>
            <w:r w:rsidR="002A4A86" w:rsidRPr="00E6276A">
              <w:rPr>
                <w:rFonts w:ascii="Times New Roman" w:eastAsia="標楷體" w:hAnsi="Times New Roman" w:hint="eastAsia"/>
                <w:szCs w:val="24"/>
              </w:rPr>
              <w:t>或</w:t>
            </w:r>
            <w:r w:rsidR="00B70B7F" w:rsidRPr="00E6276A">
              <w:rPr>
                <w:rFonts w:ascii="Times New Roman" w:eastAsia="標楷體" w:hAnsi="Times New Roman" w:hint="eastAsia"/>
                <w:szCs w:val="24"/>
              </w:rPr>
              <w:t>指數投資證券發行期限屆滿</w:t>
            </w:r>
            <w:r w:rsidR="00C84958" w:rsidRPr="00E6276A">
              <w:rPr>
                <w:rFonts w:ascii="Times New Roman" w:eastAsia="標楷體" w:hAnsi="Times New Roman" w:hint="eastAsia"/>
                <w:szCs w:val="24"/>
              </w:rPr>
              <w:t>時，</w:t>
            </w:r>
            <w:r w:rsidR="002A4A86" w:rsidRPr="00E6276A">
              <w:rPr>
                <w:rFonts w:ascii="Times New Roman" w:eastAsia="標楷體" w:hAnsi="Times New Roman" w:hint="eastAsia"/>
                <w:szCs w:val="24"/>
              </w:rPr>
              <w:t>未依期限給付持有人約定價金</w:t>
            </w:r>
            <w:r w:rsidR="004F2593" w:rsidRPr="00D23BA7">
              <w:rPr>
                <w:rFonts w:ascii="Times New Roman" w:eastAsia="標楷體" w:hAnsi="Times New Roman" w:hint="eastAsia"/>
                <w:szCs w:val="24"/>
              </w:rPr>
              <w:t>，</w:t>
            </w:r>
            <w:r w:rsidR="002A4A86" w:rsidRPr="00D23BA7">
              <w:rPr>
                <w:rFonts w:ascii="Times New Roman" w:eastAsia="標楷體" w:hAnsi="Times New Roman" w:hint="eastAsia"/>
                <w:szCs w:val="24"/>
              </w:rPr>
              <w:t>且</w:t>
            </w:r>
            <w:r w:rsidR="004F2593" w:rsidRPr="00D23BA7">
              <w:rPr>
                <w:rFonts w:ascii="Times New Roman" w:eastAsia="標楷體" w:hAnsi="Times New Roman" w:hint="eastAsia"/>
                <w:szCs w:val="24"/>
              </w:rPr>
              <w:t>經櫃檯買賣中心或臺灣證券交易所終止上櫃</w:t>
            </w:r>
            <w:r w:rsidR="002A4A86" w:rsidRPr="00D23BA7">
              <w:rPr>
                <w:rFonts w:ascii="Times New Roman" w:eastAsia="標楷體" w:hAnsi="Times New Roman" w:hint="eastAsia"/>
                <w:szCs w:val="24"/>
              </w:rPr>
              <w:t>或上市</w:t>
            </w:r>
            <w:r w:rsidR="00457310" w:rsidRPr="00D23BA7">
              <w:rPr>
                <w:rFonts w:ascii="Times New Roman" w:eastAsia="標楷體" w:hAnsi="Times New Roman" w:hint="eastAsia"/>
                <w:szCs w:val="24"/>
              </w:rPr>
              <w:t>者</w:t>
            </w:r>
            <w:r w:rsidR="008B5608" w:rsidRPr="00D23BA7">
              <w:rPr>
                <w:rFonts w:ascii="Times New Roman" w:eastAsia="標楷體" w:hAnsi="Times New Roman" w:hint="eastAsia"/>
                <w:szCs w:val="24"/>
              </w:rPr>
              <w:t>，櫃檯買賣中心得動用或處分</w:t>
            </w:r>
            <w:r w:rsidR="002A4A86" w:rsidRPr="00D23BA7">
              <w:rPr>
                <w:rFonts w:ascii="Times New Roman" w:eastAsia="標楷體" w:hAnsi="Times New Roman" w:hint="eastAsia"/>
                <w:szCs w:val="24"/>
              </w:rPr>
              <w:t>該</w:t>
            </w:r>
            <w:r w:rsidR="008B5608" w:rsidRPr="00D23BA7">
              <w:rPr>
                <w:rFonts w:ascii="Times New Roman" w:eastAsia="標楷體" w:hAnsi="Times New Roman" w:hint="eastAsia"/>
                <w:szCs w:val="24"/>
              </w:rPr>
              <w:t>證券商已繳存之履約保證金，於扣除相關費用</w:t>
            </w:r>
            <w:r w:rsidR="001A17A2" w:rsidRPr="00D23BA7">
              <w:rPr>
                <w:rFonts w:ascii="Times New Roman" w:eastAsia="標楷體" w:hAnsi="Times New Roman" w:hint="eastAsia"/>
                <w:szCs w:val="24"/>
              </w:rPr>
              <w:t>與</w:t>
            </w:r>
            <w:r w:rsidR="008B5608" w:rsidRPr="00D23BA7">
              <w:rPr>
                <w:rFonts w:ascii="Times New Roman" w:eastAsia="標楷體" w:hAnsi="Times New Roman" w:hint="eastAsia"/>
                <w:szCs w:val="24"/>
              </w:rPr>
              <w:t>成本後，按</w:t>
            </w:r>
            <w:r w:rsidR="004F2593" w:rsidRPr="00D23BA7">
              <w:rPr>
                <w:rFonts w:ascii="Times New Roman" w:eastAsia="標楷體" w:hAnsi="Times New Roman" w:hint="eastAsia"/>
                <w:szCs w:val="24"/>
              </w:rPr>
              <w:t>各</w:t>
            </w:r>
            <w:r w:rsidR="008B5608" w:rsidRPr="00D23BA7">
              <w:rPr>
                <w:rFonts w:ascii="Times New Roman" w:eastAsia="標楷體" w:hAnsi="Times New Roman" w:hint="eastAsia"/>
                <w:szCs w:val="24"/>
              </w:rPr>
              <w:t>投資人</w:t>
            </w:r>
            <w:r w:rsidR="00FC49AF" w:rsidRPr="00D23BA7">
              <w:rPr>
                <w:rFonts w:ascii="Times New Roman" w:eastAsia="標楷體" w:hAnsi="Times New Roman" w:hint="eastAsia"/>
                <w:szCs w:val="24"/>
              </w:rPr>
              <w:t>未受償</w:t>
            </w:r>
            <w:r w:rsidR="00A35C81" w:rsidRPr="00D23BA7">
              <w:rPr>
                <w:rFonts w:ascii="Times New Roman" w:eastAsia="標楷體" w:hAnsi="Times New Roman" w:hint="eastAsia"/>
                <w:szCs w:val="24"/>
              </w:rPr>
              <w:t>金額</w:t>
            </w:r>
            <w:r w:rsidR="008B5608" w:rsidRPr="00D23BA7">
              <w:rPr>
                <w:rFonts w:ascii="Times New Roman" w:eastAsia="標楷體" w:hAnsi="Times New Roman" w:hint="eastAsia"/>
                <w:szCs w:val="24"/>
              </w:rPr>
              <w:t>之比例分配之。</w:t>
            </w:r>
          </w:p>
          <w:p w:rsidR="001A17A2" w:rsidRPr="00FC49AF" w:rsidRDefault="001A17A2">
            <w:pPr>
              <w:ind w:left="240" w:hangingChars="100" w:hanging="240"/>
              <w:jc w:val="both"/>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前項投資人</w:t>
            </w:r>
            <w:r w:rsidR="00314690">
              <w:rPr>
                <w:rFonts w:ascii="Times New Roman" w:eastAsia="標楷體" w:hAnsi="Times New Roman" w:hint="eastAsia"/>
                <w:szCs w:val="24"/>
              </w:rPr>
              <w:t>係指</w:t>
            </w:r>
            <w:r w:rsidR="002A4A86">
              <w:rPr>
                <w:rFonts w:ascii="Times New Roman" w:eastAsia="標楷體" w:hAnsi="Times New Roman" w:hint="eastAsia"/>
                <w:szCs w:val="24"/>
              </w:rPr>
              <w:t>持有前項</w:t>
            </w:r>
            <w:r w:rsidR="00314690">
              <w:rPr>
                <w:rFonts w:ascii="Times New Roman" w:eastAsia="標楷體" w:hAnsi="Times New Roman" w:hint="eastAsia"/>
                <w:szCs w:val="24"/>
              </w:rPr>
              <w:t>終止上</w:t>
            </w:r>
            <w:r w:rsidR="002A4A86">
              <w:rPr>
                <w:rFonts w:ascii="Times New Roman" w:eastAsia="標楷體" w:hAnsi="Times New Roman" w:hint="eastAsia"/>
                <w:szCs w:val="24"/>
              </w:rPr>
              <w:t>櫃或上市</w:t>
            </w:r>
            <w:r w:rsidR="00314690">
              <w:rPr>
                <w:rFonts w:ascii="Times New Roman" w:eastAsia="標楷體" w:hAnsi="Times New Roman" w:hint="eastAsia"/>
                <w:szCs w:val="24"/>
              </w:rPr>
              <w:t>指數投資證券之投資人</w:t>
            </w:r>
            <w:r w:rsidR="002A4A86">
              <w:rPr>
                <w:rFonts w:ascii="Times New Roman" w:eastAsia="標楷體" w:hAnsi="Times New Roman" w:hint="eastAsia"/>
                <w:szCs w:val="24"/>
              </w:rPr>
              <w:t>，但不包括有</w:t>
            </w:r>
            <w:r w:rsidR="002A4A86">
              <w:rPr>
                <w:rFonts w:ascii="Times New Roman" w:eastAsia="標楷體" w:hAnsi="Times New Roman" w:hint="eastAsia"/>
                <w:szCs w:val="24"/>
              </w:rPr>
              <w:lastRenderedPageBreak/>
              <w:t>前項情事之證券商在內</w:t>
            </w:r>
            <w:r w:rsidR="00870C2D">
              <w:rPr>
                <w:rFonts w:ascii="Times New Roman" w:eastAsia="標楷體" w:hAnsi="Times New Roman" w:hint="eastAsia"/>
                <w:szCs w:val="24"/>
              </w:rPr>
              <w:t>；未受償</w:t>
            </w:r>
            <w:r w:rsidR="00A35C81">
              <w:rPr>
                <w:rFonts w:ascii="Times New Roman" w:eastAsia="標楷體" w:hAnsi="Times New Roman" w:hint="eastAsia"/>
                <w:szCs w:val="24"/>
              </w:rPr>
              <w:t>金額</w:t>
            </w:r>
            <w:r w:rsidR="001801A3">
              <w:rPr>
                <w:rFonts w:ascii="Times New Roman" w:eastAsia="標楷體" w:hAnsi="Times New Roman" w:hint="eastAsia"/>
                <w:szCs w:val="24"/>
              </w:rPr>
              <w:t>依</w:t>
            </w:r>
            <w:r w:rsidR="002A4A86">
              <w:rPr>
                <w:rFonts w:ascii="Times New Roman" w:eastAsia="標楷體" w:hAnsi="Times New Roman" w:hint="eastAsia"/>
                <w:szCs w:val="24"/>
              </w:rPr>
              <w:t>前項終止上櫃或上市指數投資證券之</w:t>
            </w:r>
            <w:r w:rsidR="00A35C81">
              <w:rPr>
                <w:rFonts w:ascii="Times New Roman" w:eastAsia="標楷體" w:hAnsi="Times New Roman" w:hint="eastAsia"/>
                <w:szCs w:val="24"/>
              </w:rPr>
              <w:t>最後交易日盤</w:t>
            </w:r>
            <w:r w:rsidR="00A30CE0">
              <w:rPr>
                <w:rFonts w:ascii="Times New Roman" w:eastAsia="標楷體" w:hAnsi="Times New Roman" w:hint="eastAsia"/>
                <w:szCs w:val="24"/>
              </w:rPr>
              <w:t>後公布之</w:t>
            </w:r>
            <w:r w:rsidR="00A35C81">
              <w:rPr>
                <w:rFonts w:ascii="Times New Roman" w:eastAsia="標楷體" w:hAnsi="Times New Roman" w:hint="eastAsia"/>
                <w:szCs w:val="24"/>
              </w:rPr>
              <w:t>指標價值計算</w:t>
            </w:r>
            <w:r>
              <w:rPr>
                <w:rFonts w:ascii="Times New Roman" w:eastAsia="標楷體" w:hAnsi="Times New Roman" w:hint="eastAsia"/>
                <w:szCs w:val="24"/>
              </w:rPr>
              <w:t>。</w:t>
            </w:r>
            <w:bookmarkStart w:id="3" w:name="_GoBack"/>
            <w:bookmarkEnd w:id="3"/>
          </w:p>
        </w:tc>
        <w:tc>
          <w:tcPr>
            <w:tcW w:w="4678" w:type="dxa"/>
          </w:tcPr>
          <w:p w:rsidR="003437E2" w:rsidRPr="00311A04" w:rsidRDefault="003437E2">
            <w:pPr>
              <w:suppressAutoHyphens/>
              <w:autoSpaceDN w:val="0"/>
              <w:jc w:val="both"/>
              <w:rPr>
                <w:rFonts w:ascii="Times New Roman" w:eastAsia="標楷體" w:hAnsi="Times New Roman"/>
                <w:szCs w:val="24"/>
              </w:rPr>
            </w:pPr>
            <w:r>
              <w:rPr>
                <w:rFonts w:ascii="Times New Roman" w:eastAsia="標楷體" w:hAnsi="Times New Roman"/>
                <w:szCs w:val="24"/>
              </w:rPr>
              <w:lastRenderedPageBreak/>
              <w:t>明定證券商有</w:t>
            </w:r>
            <w:r w:rsidR="002E2C50">
              <w:rPr>
                <w:rFonts w:ascii="Times New Roman" w:eastAsia="標楷體" w:hAnsi="Times New Roman"/>
                <w:szCs w:val="24"/>
              </w:rPr>
              <w:t>未</w:t>
            </w:r>
            <w:r>
              <w:rPr>
                <w:rFonts w:ascii="Times New Roman" w:eastAsia="標楷體" w:hAnsi="Times New Roman"/>
                <w:szCs w:val="24"/>
              </w:rPr>
              <w:t>給付</w:t>
            </w:r>
            <w:r w:rsidR="002E2C50">
              <w:rPr>
                <w:rFonts w:ascii="Times New Roman" w:eastAsia="標楷體" w:hAnsi="Times New Roman"/>
                <w:szCs w:val="24"/>
              </w:rPr>
              <w:t>約定價金</w:t>
            </w:r>
            <w:r>
              <w:rPr>
                <w:rFonts w:ascii="Times New Roman" w:eastAsia="標楷體" w:hAnsi="Times New Roman"/>
                <w:szCs w:val="24"/>
              </w:rPr>
              <w:t>情事</w:t>
            </w:r>
            <w:r w:rsidR="002E2C50">
              <w:rPr>
                <w:rFonts w:ascii="Times New Roman" w:eastAsia="標楷體" w:hAnsi="Times New Roman"/>
                <w:szCs w:val="24"/>
              </w:rPr>
              <w:t>經終</w:t>
            </w:r>
            <w:r w:rsidR="00BB56F5">
              <w:rPr>
                <w:rFonts w:ascii="Times New Roman" w:eastAsia="標楷體" w:hAnsi="Times New Roman"/>
                <w:szCs w:val="24"/>
              </w:rPr>
              <w:t>止</w:t>
            </w:r>
            <w:r w:rsidR="002E2C50">
              <w:rPr>
                <w:rFonts w:ascii="Times New Roman" w:eastAsia="標楷體" w:hAnsi="Times New Roman"/>
                <w:szCs w:val="24"/>
              </w:rPr>
              <w:t>上櫃或上市者</w:t>
            </w:r>
            <w:r>
              <w:rPr>
                <w:rFonts w:ascii="Times New Roman" w:eastAsia="標楷體" w:hAnsi="Times New Roman"/>
                <w:szCs w:val="24"/>
              </w:rPr>
              <w:t>，履約保證金之動用或處分。</w:t>
            </w:r>
          </w:p>
        </w:tc>
      </w:tr>
      <w:tr w:rsidR="009E4F24" w:rsidRPr="00311A04" w:rsidTr="009E4F24">
        <w:tc>
          <w:tcPr>
            <w:tcW w:w="4678" w:type="dxa"/>
            <w:shd w:val="clear" w:color="auto" w:fill="auto"/>
          </w:tcPr>
          <w:p w:rsidR="009E4F24" w:rsidRPr="00311A04" w:rsidRDefault="009E4F24" w:rsidP="00F35097">
            <w:pPr>
              <w:ind w:left="240" w:hangingChars="100" w:hanging="240"/>
              <w:jc w:val="both"/>
              <w:rPr>
                <w:rFonts w:ascii="Times New Roman" w:eastAsia="標楷體" w:hAnsi="Times New Roman"/>
                <w:szCs w:val="24"/>
              </w:rPr>
            </w:pPr>
            <w:r w:rsidRPr="00311A04">
              <w:rPr>
                <w:rFonts w:ascii="Times New Roman" w:eastAsia="標楷體" w:hAnsi="Times New Roman" w:hint="eastAsia"/>
                <w:szCs w:val="24"/>
              </w:rPr>
              <w:t>第十</w:t>
            </w:r>
            <w:r w:rsidR="003437E2">
              <w:rPr>
                <w:rFonts w:ascii="Times New Roman" w:eastAsia="標楷體" w:hAnsi="Times New Roman" w:hint="eastAsia"/>
                <w:szCs w:val="24"/>
              </w:rPr>
              <w:t>二</w:t>
            </w:r>
            <w:r w:rsidRPr="00311A04">
              <w:rPr>
                <w:rFonts w:ascii="Times New Roman" w:eastAsia="標楷體" w:hAnsi="Times New Roman" w:hint="eastAsia"/>
                <w:szCs w:val="24"/>
              </w:rPr>
              <w:t>條　本辦法由櫃檯買賣中心會同臺灣證券交易所擬訂，報奉主管機關核定後公告施行，修正時亦同。</w:t>
            </w:r>
          </w:p>
          <w:p w:rsidR="009E4F24" w:rsidRPr="00311A04" w:rsidRDefault="009E4F24" w:rsidP="00F35097">
            <w:pPr>
              <w:widowControl/>
              <w:autoSpaceDN w:val="0"/>
              <w:ind w:leftChars="100" w:left="240" w:firstLineChars="200" w:firstLine="480"/>
              <w:jc w:val="both"/>
              <w:rPr>
                <w:rFonts w:ascii="Times New Roman" w:eastAsia="標楷體" w:hAnsi="Times New Roman" w:cs="Times New Roman"/>
                <w:kern w:val="3"/>
                <w:szCs w:val="24"/>
              </w:rPr>
            </w:pPr>
            <w:r w:rsidRPr="00311A04">
              <w:rPr>
                <w:rFonts w:ascii="Times New Roman" w:eastAsia="標楷體" w:hAnsi="Times New Roman" w:hint="eastAsia"/>
                <w:szCs w:val="24"/>
              </w:rPr>
              <w:t>本辦法附件之增刪及修正</w:t>
            </w:r>
            <w:r w:rsidR="00AB35A2">
              <w:rPr>
                <w:rFonts w:ascii="Times New Roman" w:eastAsia="標楷體" w:hAnsi="Times New Roman" w:hint="eastAsia"/>
                <w:szCs w:val="24"/>
              </w:rPr>
              <w:t>由櫃檯買賣中心會同臺灣證券交易所擬訂，</w:t>
            </w:r>
            <w:r w:rsidRPr="00311A04">
              <w:rPr>
                <w:rFonts w:ascii="Times New Roman" w:eastAsia="標楷體" w:hAnsi="Times New Roman" w:hint="eastAsia"/>
                <w:szCs w:val="24"/>
              </w:rPr>
              <w:t>經櫃檯買賣中心總經理核定後公告施行。</w:t>
            </w:r>
          </w:p>
        </w:tc>
        <w:tc>
          <w:tcPr>
            <w:tcW w:w="4678" w:type="dxa"/>
          </w:tcPr>
          <w:p w:rsidR="009E4F24" w:rsidRPr="00311A04" w:rsidRDefault="009E4F24" w:rsidP="00694E21">
            <w:pPr>
              <w:suppressAutoHyphens/>
              <w:autoSpaceDN w:val="0"/>
              <w:jc w:val="both"/>
              <w:rPr>
                <w:rFonts w:ascii="Times New Roman" w:eastAsia="標楷體" w:hAnsi="Times New Roman" w:cs="Times New Roman"/>
                <w:kern w:val="3"/>
                <w:szCs w:val="24"/>
              </w:rPr>
            </w:pPr>
            <w:r w:rsidRPr="00311A04">
              <w:rPr>
                <w:rFonts w:ascii="Times New Roman" w:eastAsia="標楷體" w:hAnsi="Times New Roman" w:hint="eastAsia"/>
              </w:rPr>
              <w:t>明定本管理辦法之施行與修正程序。</w:t>
            </w:r>
          </w:p>
        </w:tc>
      </w:tr>
    </w:tbl>
    <w:p w:rsidR="001D228D" w:rsidRDefault="001D228D">
      <w:pPr>
        <w:widowControl/>
        <w:rPr>
          <w:rFonts w:ascii="Times New Roman" w:eastAsia="標楷體" w:hAnsi="Times New Roman"/>
          <w:szCs w:val="24"/>
        </w:rPr>
      </w:pPr>
    </w:p>
    <w:p w:rsidR="00F1299D" w:rsidRDefault="00F1299D">
      <w:pPr>
        <w:widowControl/>
        <w:rPr>
          <w:rFonts w:ascii="Times New Roman" w:eastAsia="標楷體" w:hAnsi="Times New Roman"/>
          <w:szCs w:val="24"/>
        </w:rPr>
      </w:pPr>
    </w:p>
    <w:p w:rsidR="00B87906" w:rsidRPr="00311A04" w:rsidRDefault="00B87906" w:rsidP="00B87906">
      <w:pPr>
        <w:widowControl/>
        <w:rPr>
          <w:rFonts w:ascii="Times New Roman" w:eastAsia="標楷體" w:hAnsi="Times New Roman"/>
          <w:szCs w:val="24"/>
        </w:rPr>
      </w:pPr>
    </w:p>
    <w:sectPr w:rsidR="00B87906" w:rsidRPr="00311A04" w:rsidSect="000653F9">
      <w:footerReference w:type="default" r:id="rId8"/>
      <w:pgSz w:w="11906" w:h="16838" w:code="9"/>
      <w:pgMar w:top="1134" w:right="1276" w:bottom="1134" w:left="1276"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07" w:rsidRDefault="00DA3F07" w:rsidP="00A83BFE">
      <w:r>
        <w:separator/>
      </w:r>
    </w:p>
  </w:endnote>
  <w:endnote w:type="continuationSeparator" w:id="0">
    <w:p w:rsidR="00DA3F07" w:rsidRDefault="00DA3F07" w:rsidP="00A8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37145"/>
      <w:docPartObj>
        <w:docPartGallery w:val="Page Numbers (Bottom of Page)"/>
        <w:docPartUnique/>
      </w:docPartObj>
    </w:sdtPr>
    <w:sdtEndPr>
      <w:rPr>
        <w:rFonts w:ascii="Times New Roman" w:hAnsi="Times New Roman" w:cs="Times New Roman"/>
      </w:rPr>
    </w:sdtEndPr>
    <w:sdtContent>
      <w:p w:rsidR="00A25545" w:rsidRPr="00A83BFE" w:rsidRDefault="00A25545">
        <w:pPr>
          <w:pStyle w:val="a6"/>
          <w:jc w:val="center"/>
          <w:rPr>
            <w:rFonts w:ascii="Times New Roman" w:hAnsi="Times New Roman" w:cs="Times New Roman"/>
          </w:rPr>
        </w:pPr>
        <w:r w:rsidRPr="00A83BFE">
          <w:rPr>
            <w:rFonts w:ascii="Times New Roman" w:hAnsi="Times New Roman" w:cs="Times New Roman"/>
          </w:rPr>
          <w:fldChar w:fldCharType="begin"/>
        </w:r>
        <w:r w:rsidRPr="00A83BFE">
          <w:rPr>
            <w:rFonts w:ascii="Times New Roman" w:hAnsi="Times New Roman" w:cs="Times New Roman"/>
          </w:rPr>
          <w:instrText>PAGE   \* MERGEFORMAT</w:instrText>
        </w:r>
        <w:r w:rsidRPr="00A83BFE">
          <w:rPr>
            <w:rFonts w:ascii="Times New Roman" w:hAnsi="Times New Roman" w:cs="Times New Roman"/>
          </w:rPr>
          <w:fldChar w:fldCharType="separate"/>
        </w:r>
        <w:r w:rsidR="005516EF" w:rsidRPr="005516EF">
          <w:rPr>
            <w:rFonts w:ascii="Times New Roman" w:hAnsi="Times New Roman" w:cs="Times New Roman"/>
            <w:noProof/>
            <w:lang w:val="zh-TW"/>
          </w:rPr>
          <w:t>5</w:t>
        </w:r>
        <w:r w:rsidRPr="00A83BF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07" w:rsidRDefault="00DA3F07" w:rsidP="00A83BFE">
      <w:r>
        <w:separator/>
      </w:r>
    </w:p>
  </w:footnote>
  <w:footnote w:type="continuationSeparator" w:id="0">
    <w:p w:rsidR="00DA3F07" w:rsidRDefault="00DA3F07" w:rsidP="00A83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1AD"/>
    <w:multiLevelType w:val="hybridMultilevel"/>
    <w:tmpl w:val="172A2326"/>
    <w:lvl w:ilvl="0" w:tplc="5628AD0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4412D"/>
    <w:multiLevelType w:val="hybridMultilevel"/>
    <w:tmpl w:val="5A8C2106"/>
    <w:lvl w:ilvl="0" w:tplc="3FC247A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85239"/>
    <w:multiLevelType w:val="hybridMultilevel"/>
    <w:tmpl w:val="29BC84A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51239F"/>
    <w:multiLevelType w:val="hybridMultilevel"/>
    <w:tmpl w:val="79AC2BA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7E152A9"/>
    <w:multiLevelType w:val="hybridMultilevel"/>
    <w:tmpl w:val="2CD8B738"/>
    <w:lvl w:ilvl="0" w:tplc="3610807A">
      <w:start w:val="1"/>
      <w:numFmt w:val="taiwaneseCountingThousand"/>
      <w:lvlText w:val="%1、"/>
      <w:lvlJc w:val="left"/>
      <w:pPr>
        <w:ind w:left="1416" w:hanging="93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B84B97"/>
    <w:multiLevelType w:val="hybridMultilevel"/>
    <w:tmpl w:val="11C2ADA2"/>
    <w:lvl w:ilvl="0" w:tplc="04090015">
      <w:start w:val="1"/>
      <w:numFmt w:val="taiwaneseCountingThousand"/>
      <w:lvlText w:val="%1、"/>
      <w:lvlJc w:val="left"/>
      <w:pPr>
        <w:ind w:left="480" w:hanging="480"/>
      </w:pPr>
    </w:lvl>
    <w:lvl w:ilvl="1" w:tplc="96F22ED6">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1033559"/>
    <w:multiLevelType w:val="hybridMultilevel"/>
    <w:tmpl w:val="5C5240BC"/>
    <w:lvl w:ilvl="0" w:tplc="04090015">
      <w:start w:val="1"/>
      <w:numFmt w:val="taiwaneseCountingThousand"/>
      <w:lvlText w:val="%1、"/>
      <w:lvlJc w:val="left"/>
      <w:pPr>
        <w:ind w:left="480" w:hanging="480"/>
      </w:pPr>
      <w:rPr>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38012A5"/>
    <w:multiLevelType w:val="multilevel"/>
    <w:tmpl w:val="F87EB3DE"/>
    <w:lvl w:ilvl="0">
      <w:start w:val="1"/>
      <w:numFmt w:val="taiwaneseCountingThousand"/>
      <w:lvlText w:val="%1、"/>
      <w:lvlJc w:val="left"/>
      <w:pPr>
        <w:ind w:left="1287" w:hanging="720"/>
      </w:pPr>
      <w:rPr>
        <w:rFonts w:ascii="標楷體" w:hAnsi="標楷體"/>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15:restartNumberingAfterBreak="0">
    <w:nsid w:val="26A13362"/>
    <w:multiLevelType w:val="hybridMultilevel"/>
    <w:tmpl w:val="C8FE639C"/>
    <w:lvl w:ilvl="0" w:tplc="DA64BD8C">
      <w:start w:val="1"/>
      <w:numFmt w:val="taiwaneseCountingThousand"/>
      <w:lvlText w:val="(%1)"/>
      <w:lvlJc w:val="left"/>
      <w:pPr>
        <w:ind w:left="96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051AE8"/>
    <w:multiLevelType w:val="hybridMultilevel"/>
    <w:tmpl w:val="BA4EE18C"/>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9543049"/>
    <w:multiLevelType w:val="hybridMultilevel"/>
    <w:tmpl w:val="1FA67FA4"/>
    <w:lvl w:ilvl="0" w:tplc="51C0C4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8578A7"/>
    <w:multiLevelType w:val="hybridMultilevel"/>
    <w:tmpl w:val="C8D8BA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853A33"/>
    <w:multiLevelType w:val="multilevel"/>
    <w:tmpl w:val="8D2653B4"/>
    <w:lvl w:ilvl="0">
      <w:start w:val="1"/>
      <w:numFmt w:val="taiwaneseCountingThousand"/>
      <w:lvlText w:val="%1、"/>
      <w:lvlJc w:val="left"/>
      <w:pPr>
        <w:ind w:left="1287" w:hanging="720"/>
      </w:pPr>
      <w:rPr>
        <w:rFonts w:ascii="Times New Roman" w:eastAsia="標楷體" w:hAnsi="Times New Roman" w:hint="eastAsia"/>
        <w:b w:val="0"/>
        <w:i w:val="0"/>
        <w:sz w:val="24"/>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3" w15:restartNumberingAfterBreak="0">
    <w:nsid w:val="2F9656F7"/>
    <w:multiLevelType w:val="hybridMultilevel"/>
    <w:tmpl w:val="3EF6D93E"/>
    <w:lvl w:ilvl="0" w:tplc="75CEE6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E359BA"/>
    <w:multiLevelType w:val="hybridMultilevel"/>
    <w:tmpl w:val="2116C6EC"/>
    <w:lvl w:ilvl="0" w:tplc="29CE124A">
      <w:start w:val="1"/>
      <w:numFmt w:val="taiwaneseCountingThousand"/>
      <w:lvlText w:val="(%1)"/>
      <w:lvlJc w:val="left"/>
      <w:pPr>
        <w:ind w:left="1473" w:hanging="480"/>
      </w:pPr>
      <w:rPr>
        <w:rFonts w:ascii="Times New Roman" w:eastAsia="標楷體" w:hAnsi="Times New Roman" w:hint="eastAsia"/>
        <w:b w:val="0"/>
        <w:i w:val="0"/>
        <w:sz w:val="24"/>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15" w15:restartNumberingAfterBreak="0">
    <w:nsid w:val="34556B6B"/>
    <w:multiLevelType w:val="hybridMultilevel"/>
    <w:tmpl w:val="2AEE4CAE"/>
    <w:lvl w:ilvl="0" w:tplc="4D6A4FA0">
      <w:start w:val="1"/>
      <w:numFmt w:val="taiwaneseCountingThousand"/>
      <w:lvlText w:val="%1、"/>
      <w:lvlJc w:val="left"/>
      <w:pPr>
        <w:ind w:left="480" w:hanging="48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0D74B7"/>
    <w:multiLevelType w:val="hybridMultilevel"/>
    <w:tmpl w:val="8418FE64"/>
    <w:lvl w:ilvl="0" w:tplc="F7121448">
      <w:start w:val="1"/>
      <w:numFmt w:val="taiwaneseCountingThousand"/>
      <w:lvlText w:val="%1、"/>
      <w:lvlJc w:val="left"/>
      <w:pPr>
        <w:ind w:left="480" w:hanging="480"/>
      </w:pPr>
      <w:rPr>
        <w:rFonts w:ascii="Times New Roman" w:hAnsi="Times New Roman"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CC6B2C"/>
    <w:multiLevelType w:val="hybridMultilevel"/>
    <w:tmpl w:val="1D9065BC"/>
    <w:lvl w:ilvl="0" w:tplc="FF9CBBC6">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7DC4503"/>
    <w:multiLevelType w:val="hybridMultilevel"/>
    <w:tmpl w:val="9FA4E4CC"/>
    <w:lvl w:ilvl="0" w:tplc="4D2E55A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315B7A"/>
    <w:multiLevelType w:val="hybridMultilevel"/>
    <w:tmpl w:val="FEA477F2"/>
    <w:lvl w:ilvl="0" w:tplc="9342EFF8">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D0C36F8"/>
    <w:multiLevelType w:val="hybridMultilevel"/>
    <w:tmpl w:val="080297AE"/>
    <w:lvl w:ilvl="0" w:tplc="A2D8DA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761741"/>
    <w:multiLevelType w:val="hybridMultilevel"/>
    <w:tmpl w:val="7A1AA5B4"/>
    <w:lvl w:ilvl="0" w:tplc="52E484E4">
      <w:start w:val="1"/>
      <w:numFmt w:val="taiwaneseCountingThousand"/>
      <w:lvlText w:val="%1、"/>
      <w:lvlJc w:val="left"/>
      <w:pPr>
        <w:ind w:left="905" w:hanging="480"/>
      </w:pPr>
      <w:rPr>
        <w:rFonts w:ascii="Times New Roman" w:eastAsia="標楷體" w:hAnsi="Times New Roman" w:hint="eastAsia"/>
        <w:b w:val="0"/>
        <w:i w:val="0"/>
        <w:sz w:val="24"/>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2" w15:restartNumberingAfterBreak="0">
    <w:nsid w:val="40292E0F"/>
    <w:multiLevelType w:val="multilevel"/>
    <w:tmpl w:val="2EE8CBA2"/>
    <w:lvl w:ilvl="0">
      <w:start w:val="1"/>
      <w:numFmt w:val="taiwaneseCountingThousand"/>
      <w:lvlText w:val="%1、"/>
      <w:lvlJc w:val="left"/>
      <w:pPr>
        <w:ind w:left="906" w:hanging="480"/>
      </w:pPr>
      <w:rPr>
        <w:rFonts w:ascii="標楷體" w:hAnsi="標楷體"/>
        <w:b w:val="0"/>
        <w:i w:val="0"/>
        <w:sz w:val="24"/>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3" w15:restartNumberingAfterBreak="0">
    <w:nsid w:val="41534DD1"/>
    <w:multiLevelType w:val="hybridMultilevel"/>
    <w:tmpl w:val="B65424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A559BD"/>
    <w:multiLevelType w:val="multilevel"/>
    <w:tmpl w:val="C9F0745C"/>
    <w:lvl w:ilvl="0">
      <w:start w:val="1"/>
      <w:numFmt w:val="taiwaneseCountingThousand"/>
      <w:lvlText w:val="%1、"/>
      <w:lvlJc w:val="left"/>
      <w:pPr>
        <w:ind w:left="720" w:hanging="480"/>
      </w:pPr>
      <w:rPr>
        <w:rFonts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5" w15:restartNumberingAfterBreak="0">
    <w:nsid w:val="4715398B"/>
    <w:multiLevelType w:val="hybridMultilevel"/>
    <w:tmpl w:val="9C7826AC"/>
    <w:lvl w:ilvl="0" w:tplc="9E1414BA">
      <w:start w:val="1"/>
      <w:numFmt w:val="taiwaneseCountingThousand"/>
      <w:lvlText w:val="%1、"/>
      <w:lvlJc w:val="left"/>
      <w:pPr>
        <w:ind w:left="720" w:hanging="480"/>
      </w:pPr>
      <w:rPr>
        <w:rFonts w:ascii="Times New Roman" w:hAnsi="Times New Roman"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4878E1"/>
    <w:multiLevelType w:val="hybridMultilevel"/>
    <w:tmpl w:val="9BAC9BAE"/>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D6FE835A">
      <w:start w:val="1"/>
      <w:numFmt w:val="taiwaneseCountingThousand"/>
      <w:lvlText w:val="(%2)"/>
      <w:lvlJc w:val="left"/>
      <w:pPr>
        <w:ind w:left="960" w:hanging="480"/>
      </w:pPr>
      <w:rPr>
        <w:rFonts w:ascii="Times New Roman" w:eastAsia="標楷體" w:hAnsi="Times New Roman" w:hint="eastAsia"/>
        <w:b w:val="0"/>
        <w:i w:val="0"/>
        <w:sz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E2C34FD"/>
    <w:multiLevelType w:val="hybridMultilevel"/>
    <w:tmpl w:val="F0C43D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4E5E2214"/>
    <w:multiLevelType w:val="hybridMultilevel"/>
    <w:tmpl w:val="C9F0745C"/>
    <w:lvl w:ilvl="0" w:tplc="D62A9CE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4E915763"/>
    <w:multiLevelType w:val="hybridMultilevel"/>
    <w:tmpl w:val="5E42713C"/>
    <w:lvl w:ilvl="0" w:tplc="0409000F">
      <w:start w:val="1"/>
      <w:numFmt w:val="decimal"/>
      <w:lvlText w:val="%1."/>
      <w:lvlJc w:val="left"/>
      <w:pPr>
        <w:ind w:left="480" w:hanging="480"/>
      </w:pPr>
    </w:lvl>
    <w:lvl w:ilvl="1" w:tplc="AF3653CC">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4F17657A"/>
    <w:multiLevelType w:val="hybridMultilevel"/>
    <w:tmpl w:val="A7ACDC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F245705"/>
    <w:multiLevelType w:val="hybridMultilevel"/>
    <w:tmpl w:val="F2AA0668"/>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AF3653CC">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4F9F4674"/>
    <w:multiLevelType w:val="hybridMultilevel"/>
    <w:tmpl w:val="145ECA58"/>
    <w:lvl w:ilvl="0" w:tplc="35BE16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836DA0"/>
    <w:multiLevelType w:val="hybridMultilevel"/>
    <w:tmpl w:val="5A361F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D40C56"/>
    <w:multiLevelType w:val="hybridMultilevel"/>
    <w:tmpl w:val="F0904E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C76585"/>
    <w:multiLevelType w:val="hybridMultilevel"/>
    <w:tmpl w:val="C40487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60222E"/>
    <w:multiLevelType w:val="hybridMultilevel"/>
    <w:tmpl w:val="0F2EB4C0"/>
    <w:lvl w:ilvl="0" w:tplc="A62EE5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4E653B1"/>
    <w:multiLevelType w:val="hybridMultilevel"/>
    <w:tmpl w:val="A882286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58B60C60"/>
    <w:multiLevelType w:val="hybridMultilevel"/>
    <w:tmpl w:val="F1C0E0E6"/>
    <w:lvl w:ilvl="0" w:tplc="BAD87F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9C34B38"/>
    <w:multiLevelType w:val="hybridMultilevel"/>
    <w:tmpl w:val="B542181E"/>
    <w:lvl w:ilvl="0" w:tplc="C90A288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C6B463A"/>
    <w:multiLevelType w:val="hybridMultilevel"/>
    <w:tmpl w:val="37368E46"/>
    <w:lvl w:ilvl="0" w:tplc="1F16D3D6">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1" w15:restartNumberingAfterBreak="0">
    <w:nsid w:val="5FA877FA"/>
    <w:multiLevelType w:val="hybridMultilevel"/>
    <w:tmpl w:val="3D30C84A"/>
    <w:lvl w:ilvl="0" w:tplc="F710D2FA">
      <w:start w:val="1"/>
      <w:numFmt w:val="taiwaneseCountingThousand"/>
      <w:lvlText w:val="%1、"/>
      <w:lvlJc w:val="left"/>
      <w:pPr>
        <w:ind w:left="480" w:hanging="48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FC6711A"/>
    <w:multiLevelType w:val="hybridMultilevel"/>
    <w:tmpl w:val="86E0A2F4"/>
    <w:lvl w:ilvl="0" w:tplc="12C69E3A">
      <w:start w:val="1"/>
      <w:numFmt w:val="taiwaneseCountingThousand"/>
      <w:lvlText w:val="(%1)"/>
      <w:lvlJc w:val="left"/>
      <w:pPr>
        <w:ind w:left="48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1CE6BFF"/>
    <w:multiLevelType w:val="hybridMultilevel"/>
    <w:tmpl w:val="D6B0BAF2"/>
    <w:lvl w:ilvl="0" w:tplc="29CE124A">
      <w:start w:val="1"/>
      <w:numFmt w:val="taiwaneseCountingThousand"/>
      <w:lvlText w:val="(%1)"/>
      <w:lvlJc w:val="left"/>
      <w:pPr>
        <w:ind w:left="96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4623DE4"/>
    <w:multiLevelType w:val="hybridMultilevel"/>
    <w:tmpl w:val="3BFA35E6"/>
    <w:lvl w:ilvl="0" w:tplc="29CE124A">
      <w:start w:val="1"/>
      <w:numFmt w:val="taiwaneseCountingThousand"/>
      <w:lvlText w:val="(%1)"/>
      <w:lvlJc w:val="left"/>
      <w:pPr>
        <w:ind w:left="1473" w:hanging="480"/>
      </w:pPr>
      <w:rPr>
        <w:rFonts w:ascii="Times New Roman" w:eastAsia="標楷體" w:hAnsi="Times New Roman" w:hint="eastAsia"/>
        <w:b w:val="0"/>
        <w:i w:val="0"/>
        <w:sz w:val="24"/>
      </w:rPr>
    </w:lvl>
    <w:lvl w:ilvl="1" w:tplc="34BA3B0A">
      <w:start w:val="1"/>
      <w:numFmt w:val="taiwaneseCountingThousand"/>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45" w15:restartNumberingAfterBreak="0">
    <w:nsid w:val="6550774C"/>
    <w:multiLevelType w:val="hybridMultilevel"/>
    <w:tmpl w:val="56AA46A4"/>
    <w:lvl w:ilvl="0" w:tplc="BC5C9374">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7545B2E"/>
    <w:multiLevelType w:val="hybridMultilevel"/>
    <w:tmpl w:val="2B863808"/>
    <w:lvl w:ilvl="0" w:tplc="5FE8B2F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15:restartNumberingAfterBreak="0">
    <w:nsid w:val="6D080CD4"/>
    <w:multiLevelType w:val="hybridMultilevel"/>
    <w:tmpl w:val="C1E63D9E"/>
    <w:lvl w:ilvl="0" w:tplc="51EC3316">
      <w:start w:val="1"/>
      <w:numFmt w:val="taiwaneseCountingThousand"/>
      <w:lvlText w:val="%1、"/>
      <w:lvlJc w:val="left"/>
      <w:pPr>
        <w:tabs>
          <w:tab w:val="num" w:pos="480"/>
        </w:tabs>
        <w:ind w:left="480" w:hanging="480"/>
      </w:pPr>
      <w:rPr>
        <w:rFonts w:ascii="標楷體" w:eastAsia="標楷體"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D396843"/>
    <w:multiLevelType w:val="multilevel"/>
    <w:tmpl w:val="50CAA8E8"/>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E3A7C29"/>
    <w:multiLevelType w:val="hybridMultilevel"/>
    <w:tmpl w:val="9880CCA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6E6901CA"/>
    <w:multiLevelType w:val="hybridMultilevel"/>
    <w:tmpl w:val="C07C077C"/>
    <w:lvl w:ilvl="0" w:tplc="26B0732C">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0596515"/>
    <w:multiLevelType w:val="hybridMultilevel"/>
    <w:tmpl w:val="D26049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796857F6"/>
    <w:multiLevelType w:val="hybridMultilevel"/>
    <w:tmpl w:val="82440FD4"/>
    <w:lvl w:ilvl="0" w:tplc="04090015">
      <w:start w:val="1"/>
      <w:numFmt w:val="taiwaneseCountingThousand"/>
      <w:lvlText w:val="%1、"/>
      <w:lvlJc w:val="left"/>
      <w:pPr>
        <w:ind w:left="1048" w:hanging="480"/>
      </w:pPr>
    </w:lvl>
    <w:lvl w:ilvl="1" w:tplc="9B24223A">
      <w:start w:val="1"/>
      <w:numFmt w:val="taiwaneseCountingThousand"/>
      <w:lvlText w:val="（%2）"/>
      <w:lvlJc w:val="left"/>
      <w:pPr>
        <w:ind w:left="1768" w:hanging="720"/>
      </w:pPr>
      <w:rPr>
        <w:color w:val="FF0000"/>
      </w:r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53" w15:restartNumberingAfterBreak="0">
    <w:nsid w:val="7A5A2E04"/>
    <w:multiLevelType w:val="hybridMultilevel"/>
    <w:tmpl w:val="0A20BC7C"/>
    <w:lvl w:ilvl="0" w:tplc="CF7A11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B9A0C5C"/>
    <w:multiLevelType w:val="hybridMultilevel"/>
    <w:tmpl w:val="755A73E8"/>
    <w:lvl w:ilvl="0" w:tplc="D05A9F1C">
      <w:start w:val="1"/>
      <w:numFmt w:val="taiwaneseCountingThousand"/>
      <w:lvlText w:val="%1、"/>
      <w:lvlJc w:val="left"/>
      <w:pPr>
        <w:ind w:left="500" w:hanging="5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7CA2219B"/>
    <w:multiLevelType w:val="hybridMultilevel"/>
    <w:tmpl w:val="05587F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E9E552E"/>
    <w:multiLevelType w:val="hybridMultilevel"/>
    <w:tmpl w:val="09FEB286"/>
    <w:lvl w:ilvl="0" w:tplc="BA3C3386">
      <w:start w:val="1"/>
      <w:numFmt w:val="taiwaneseCountingThousand"/>
      <w:lvlText w:val="(%1)"/>
      <w:lvlJc w:val="left"/>
      <w:pPr>
        <w:ind w:left="48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FE43294"/>
    <w:multiLevelType w:val="hybridMultilevel"/>
    <w:tmpl w:val="B87AD7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8"/>
  </w:num>
  <w:num w:numId="14">
    <w:abstractNumId w:val="20"/>
  </w:num>
  <w:num w:numId="15">
    <w:abstractNumId w:val="56"/>
  </w:num>
  <w:num w:numId="16">
    <w:abstractNumId w:val="42"/>
  </w:num>
  <w:num w:numId="17">
    <w:abstractNumId w:val="47"/>
  </w:num>
  <w:num w:numId="18">
    <w:abstractNumId w:val="54"/>
  </w:num>
  <w:num w:numId="19">
    <w:abstractNumId w:val="57"/>
  </w:num>
  <w:num w:numId="20">
    <w:abstractNumId w:val="34"/>
  </w:num>
  <w:num w:numId="21">
    <w:abstractNumId w:val="55"/>
  </w:num>
  <w:num w:numId="22">
    <w:abstractNumId w:val="33"/>
  </w:num>
  <w:num w:numId="23">
    <w:abstractNumId w:val="36"/>
  </w:num>
  <w:num w:numId="24">
    <w:abstractNumId w:val="0"/>
  </w:num>
  <w:num w:numId="25">
    <w:abstractNumId w:val="13"/>
  </w:num>
  <w:num w:numId="26">
    <w:abstractNumId w:val="19"/>
  </w:num>
  <w:num w:numId="27">
    <w:abstractNumId w:val="28"/>
  </w:num>
  <w:num w:numId="28">
    <w:abstractNumId w:val="17"/>
  </w:num>
  <w:num w:numId="29">
    <w:abstractNumId w:val="22"/>
  </w:num>
  <w:num w:numId="30">
    <w:abstractNumId w:val="7"/>
  </w:num>
  <w:num w:numId="31">
    <w:abstractNumId w:val="12"/>
  </w:num>
  <w:num w:numId="32">
    <w:abstractNumId w:val="21"/>
  </w:num>
  <w:num w:numId="33">
    <w:abstractNumId w:val="50"/>
  </w:num>
  <w:num w:numId="34">
    <w:abstractNumId w:val="45"/>
  </w:num>
  <w:num w:numId="35">
    <w:abstractNumId w:val="35"/>
  </w:num>
  <w:num w:numId="36">
    <w:abstractNumId w:val="48"/>
  </w:num>
  <w:num w:numId="37">
    <w:abstractNumId w:val="32"/>
  </w:num>
  <w:num w:numId="38">
    <w:abstractNumId w:val="43"/>
  </w:num>
  <w:num w:numId="39">
    <w:abstractNumId w:val="8"/>
  </w:num>
  <w:num w:numId="40">
    <w:abstractNumId w:val="15"/>
  </w:num>
  <w:num w:numId="41">
    <w:abstractNumId w:val="2"/>
  </w:num>
  <w:num w:numId="42">
    <w:abstractNumId w:val="10"/>
  </w:num>
  <w:num w:numId="43">
    <w:abstractNumId w:val="53"/>
  </w:num>
  <w:num w:numId="44">
    <w:abstractNumId w:val="18"/>
  </w:num>
  <w:num w:numId="45">
    <w:abstractNumId w:val="46"/>
  </w:num>
  <w:num w:numId="46">
    <w:abstractNumId w:val="25"/>
  </w:num>
  <w:num w:numId="47">
    <w:abstractNumId w:val="1"/>
  </w:num>
  <w:num w:numId="48">
    <w:abstractNumId w:val="23"/>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39"/>
  </w:num>
  <w:num w:numId="56">
    <w:abstractNumId w:val="30"/>
  </w:num>
  <w:num w:numId="57">
    <w:abstractNumId w:val="41"/>
  </w:num>
  <w:num w:numId="58">
    <w:abstractNumId w:val="16"/>
  </w:num>
  <w:num w:numId="59">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C5"/>
    <w:rsid w:val="0000557F"/>
    <w:rsid w:val="00011724"/>
    <w:rsid w:val="00011F69"/>
    <w:rsid w:val="00012273"/>
    <w:rsid w:val="00013E1C"/>
    <w:rsid w:val="00013F0D"/>
    <w:rsid w:val="00015F6B"/>
    <w:rsid w:val="00017AA8"/>
    <w:rsid w:val="000272D2"/>
    <w:rsid w:val="00030514"/>
    <w:rsid w:val="00033244"/>
    <w:rsid w:val="00034A8A"/>
    <w:rsid w:val="0003558B"/>
    <w:rsid w:val="00036274"/>
    <w:rsid w:val="000369B9"/>
    <w:rsid w:val="00037945"/>
    <w:rsid w:val="00040D75"/>
    <w:rsid w:val="00040E25"/>
    <w:rsid w:val="000414E9"/>
    <w:rsid w:val="00041B3C"/>
    <w:rsid w:val="00043305"/>
    <w:rsid w:val="00043E8B"/>
    <w:rsid w:val="00046011"/>
    <w:rsid w:val="00050FD5"/>
    <w:rsid w:val="0005221C"/>
    <w:rsid w:val="00057102"/>
    <w:rsid w:val="000617D9"/>
    <w:rsid w:val="00061E5D"/>
    <w:rsid w:val="000653F9"/>
    <w:rsid w:val="00065EBD"/>
    <w:rsid w:val="00067CCA"/>
    <w:rsid w:val="00067DEB"/>
    <w:rsid w:val="000722B3"/>
    <w:rsid w:val="00076384"/>
    <w:rsid w:val="00076431"/>
    <w:rsid w:val="00080E1A"/>
    <w:rsid w:val="00087212"/>
    <w:rsid w:val="0008767B"/>
    <w:rsid w:val="000919D0"/>
    <w:rsid w:val="0009203F"/>
    <w:rsid w:val="0009342E"/>
    <w:rsid w:val="00094A49"/>
    <w:rsid w:val="0009718A"/>
    <w:rsid w:val="000A14CE"/>
    <w:rsid w:val="000A2359"/>
    <w:rsid w:val="000A4B07"/>
    <w:rsid w:val="000A4F75"/>
    <w:rsid w:val="000B21EA"/>
    <w:rsid w:val="000B3455"/>
    <w:rsid w:val="000B5024"/>
    <w:rsid w:val="000B5CFE"/>
    <w:rsid w:val="000B62F8"/>
    <w:rsid w:val="000B6C67"/>
    <w:rsid w:val="000C1E84"/>
    <w:rsid w:val="000D0187"/>
    <w:rsid w:val="000D3025"/>
    <w:rsid w:val="000D5360"/>
    <w:rsid w:val="000D68E7"/>
    <w:rsid w:val="000E006F"/>
    <w:rsid w:val="000F06ED"/>
    <w:rsid w:val="000F0E00"/>
    <w:rsid w:val="000F3A03"/>
    <w:rsid w:val="000F3BDA"/>
    <w:rsid w:val="000F79CE"/>
    <w:rsid w:val="001047E4"/>
    <w:rsid w:val="00107837"/>
    <w:rsid w:val="00107F04"/>
    <w:rsid w:val="001132CB"/>
    <w:rsid w:val="00114801"/>
    <w:rsid w:val="0011793C"/>
    <w:rsid w:val="00117DE8"/>
    <w:rsid w:val="00120C4A"/>
    <w:rsid w:val="00120EB3"/>
    <w:rsid w:val="00121B7A"/>
    <w:rsid w:val="0012290D"/>
    <w:rsid w:val="001234AC"/>
    <w:rsid w:val="001235DF"/>
    <w:rsid w:val="00123B77"/>
    <w:rsid w:val="00125535"/>
    <w:rsid w:val="0012703E"/>
    <w:rsid w:val="00130091"/>
    <w:rsid w:val="00133FED"/>
    <w:rsid w:val="0013528C"/>
    <w:rsid w:val="00137024"/>
    <w:rsid w:val="00137BF1"/>
    <w:rsid w:val="00137FF0"/>
    <w:rsid w:val="00140921"/>
    <w:rsid w:val="0014332D"/>
    <w:rsid w:val="00144916"/>
    <w:rsid w:val="00151AF9"/>
    <w:rsid w:val="001610A4"/>
    <w:rsid w:val="001625E8"/>
    <w:rsid w:val="00162626"/>
    <w:rsid w:val="00162818"/>
    <w:rsid w:val="00167B29"/>
    <w:rsid w:val="00167C98"/>
    <w:rsid w:val="00170A8B"/>
    <w:rsid w:val="00171DC4"/>
    <w:rsid w:val="00171F41"/>
    <w:rsid w:val="0017416C"/>
    <w:rsid w:val="0017520D"/>
    <w:rsid w:val="001801A3"/>
    <w:rsid w:val="00180DD0"/>
    <w:rsid w:val="0018408D"/>
    <w:rsid w:val="00184E1A"/>
    <w:rsid w:val="00190640"/>
    <w:rsid w:val="00190E05"/>
    <w:rsid w:val="00191D0F"/>
    <w:rsid w:val="00192172"/>
    <w:rsid w:val="00192F9F"/>
    <w:rsid w:val="001A17A2"/>
    <w:rsid w:val="001A2BF8"/>
    <w:rsid w:val="001A33BF"/>
    <w:rsid w:val="001A3775"/>
    <w:rsid w:val="001A390E"/>
    <w:rsid w:val="001B0F5C"/>
    <w:rsid w:val="001B67E0"/>
    <w:rsid w:val="001B7CBD"/>
    <w:rsid w:val="001C07E5"/>
    <w:rsid w:val="001C28FF"/>
    <w:rsid w:val="001C360A"/>
    <w:rsid w:val="001C3D45"/>
    <w:rsid w:val="001C5267"/>
    <w:rsid w:val="001C5B6F"/>
    <w:rsid w:val="001D228D"/>
    <w:rsid w:val="001D28FC"/>
    <w:rsid w:val="001D6821"/>
    <w:rsid w:val="001D781A"/>
    <w:rsid w:val="001E0A72"/>
    <w:rsid w:val="001E3C0E"/>
    <w:rsid w:val="001F0780"/>
    <w:rsid w:val="001F07CD"/>
    <w:rsid w:val="001F1D16"/>
    <w:rsid w:val="001F3608"/>
    <w:rsid w:val="0020530B"/>
    <w:rsid w:val="00213E56"/>
    <w:rsid w:val="00214017"/>
    <w:rsid w:val="00215494"/>
    <w:rsid w:val="002163E0"/>
    <w:rsid w:val="00221BAF"/>
    <w:rsid w:val="002228DF"/>
    <w:rsid w:val="00223227"/>
    <w:rsid w:val="00230071"/>
    <w:rsid w:val="00230F7E"/>
    <w:rsid w:val="00231A74"/>
    <w:rsid w:val="00231AF5"/>
    <w:rsid w:val="002328AA"/>
    <w:rsid w:val="002337C4"/>
    <w:rsid w:val="00237DA5"/>
    <w:rsid w:val="00246858"/>
    <w:rsid w:val="00246BA5"/>
    <w:rsid w:val="0025084C"/>
    <w:rsid w:val="00250AB9"/>
    <w:rsid w:val="00253692"/>
    <w:rsid w:val="00255522"/>
    <w:rsid w:val="00255C12"/>
    <w:rsid w:val="00257E51"/>
    <w:rsid w:val="00257ED0"/>
    <w:rsid w:val="0026115B"/>
    <w:rsid w:val="00261CC9"/>
    <w:rsid w:val="0026275B"/>
    <w:rsid w:val="00262897"/>
    <w:rsid w:val="00266344"/>
    <w:rsid w:val="00267665"/>
    <w:rsid w:val="002739A2"/>
    <w:rsid w:val="00274921"/>
    <w:rsid w:val="00275A13"/>
    <w:rsid w:val="002821D2"/>
    <w:rsid w:val="00282882"/>
    <w:rsid w:val="00284161"/>
    <w:rsid w:val="00284549"/>
    <w:rsid w:val="002850EC"/>
    <w:rsid w:val="00285605"/>
    <w:rsid w:val="002857DF"/>
    <w:rsid w:val="002867ED"/>
    <w:rsid w:val="002876CD"/>
    <w:rsid w:val="00290A55"/>
    <w:rsid w:val="00291CCD"/>
    <w:rsid w:val="002928BF"/>
    <w:rsid w:val="00294F9B"/>
    <w:rsid w:val="002970E9"/>
    <w:rsid w:val="002A2BCF"/>
    <w:rsid w:val="002A4A86"/>
    <w:rsid w:val="002A6EC5"/>
    <w:rsid w:val="002B17B6"/>
    <w:rsid w:val="002B5422"/>
    <w:rsid w:val="002B5E0F"/>
    <w:rsid w:val="002B6955"/>
    <w:rsid w:val="002C02B6"/>
    <w:rsid w:val="002C2EFF"/>
    <w:rsid w:val="002C3B87"/>
    <w:rsid w:val="002C538C"/>
    <w:rsid w:val="002C5D9B"/>
    <w:rsid w:val="002D0931"/>
    <w:rsid w:val="002D22A3"/>
    <w:rsid w:val="002D4D6C"/>
    <w:rsid w:val="002D6251"/>
    <w:rsid w:val="002D6A04"/>
    <w:rsid w:val="002E2C50"/>
    <w:rsid w:val="002E35E7"/>
    <w:rsid w:val="002E3955"/>
    <w:rsid w:val="002E4225"/>
    <w:rsid w:val="002E55FB"/>
    <w:rsid w:val="002E58B4"/>
    <w:rsid w:val="002E79BB"/>
    <w:rsid w:val="002E7BB7"/>
    <w:rsid w:val="002F1D90"/>
    <w:rsid w:val="002F2229"/>
    <w:rsid w:val="002F36C3"/>
    <w:rsid w:val="002F5020"/>
    <w:rsid w:val="00302D69"/>
    <w:rsid w:val="00303AC6"/>
    <w:rsid w:val="0030530F"/>
    <w:rsid w:val="0030614A"/>
    <w:rsid w:val="00311A04"/>
    <w:rsid w:val="00314690"/>
    <w:rsid w:val="00315A15"/>
    <w:rsid w:val="003178CE"/>
    <w:rsid w:val="0032336B"/>
    <w:rsid w:val="00324CF4"/>
    <w:rsid w:val="00332382"/>
    <w:rsid w:val="00334A7E"/>
    <w:rsid w:val="00335581"/>
    <w:rsid w:val="0034175F"/>
    <w:rsid w:val="003437E2"/>
    <w:rsid w:val="00343C57"/>
    <w:rsid w:val="00343DDE"/>
    <w:rsid w:val="003459EC"/>
    <w:rsid w:val="00351CF8"/>
    <w:rsid w:val="0035443C"/>
    <w:rsid w:val="00354FAE"/>
    <w:rsid w:val="00355575"/>
    <w:rsid w:val="003569C6"/>
    <w:rsid w:val="00360642"/>
    <w:rsid w:val="003656E2"/>
    <w:rsid w:val="00365DD2"/>
    <w:rsid w:val="00372105"/>
    <w:rsid w:val="00375691"/>
    <w:rsid w:val="00376B4A"/>
    <w:rsid w:val="00377857"/>
    <w:rsid w:val="00377B32"/>
    <w:rsid w:val="00377D9A"/>
    <w:rsid w:val="003810E8"/>
    <w:rsid w:val="00381125"/>
    <w:rsid w:val="00381F2D"/>
    <w:rsid w:val="00383BA3"/>
    <w:rsid w:val="00384A98"/>
    <w:rsid w:val="00386EEF"/>
    <w:rsid w:val="003910FD"/>
    <w:rsid w:val="00391590"/>
    <w:rsid w:val="00392993"/>
    <w:rsid w:val="003946D6"/>
    <w:rsid w:val="00395C27"/>
    <w:rsid w:val="003A0022"/>
    <w:rsid w:val="003A1D2F"/>
    <w:rsid w:val="003A40C6"/>
    <w:rsid w:val="003B19F9"/>
    <w:rsid w:val="003B33E0"/>
    <w:rsid w:val="003B37CD"/>
    <w:rsid w:val="003B7400"/>
    <w:rsid w:val="003C0326"/>
    <w:rsid w:val="003C259C"/>
    <w:rsid w:val="003C2B83"/>
    <w:rsid w:val="003C454A"/>
    <w:rsid w:val="003C4F2C"/>
    <w:rsid w:val="003C4F73"/>
    <w:rsid w:val="003C66BB"/>
    <w:rsid w:val="003D02AF"/>
    <w:rsid w:val="003D3766"/>
    <w:rsid w:val="003D3EEC"/>
    <w:rsid w:val="003D50A4"/>
    <w:rsid w:val="003D6420"/>
    <w:rsid w:val="003E6E8A"/>
    <w:rsid w:val="003F0057"/>
    <w:rsid w:val="003F233B"/>
    <w:rsid w:val="003F23E9"/>
    <w:rsid w:val="003F2CE9"/>
    <w:rsid w:val="003F3973"/>
    <w:rsid w:val="003F6681"/>
    <w:rsid w:val="004015A3"/>
    <w:rsid w:val="0040513D"/>
    <w:rsid w:val="004076EB"/>
    <w:rsid w:val="00410E2E"/>
    <w:rsid w:val="00410F16"/>
    <w:rsid w:val="00412AE0"/>
    <w:rsid w:val="00415C08"/>
    <w:rsid w:val="0042376E"/>
    <w:rsid w:val="00423A1A"/>
    <w:rsid w:val="00427E4F"/>
    <w:rsid w:val="00430952"/>
    <w:rsid w:val="00431A17"/>
    <w:rsid w:val="00432515"/>
    <w:rsid w:val="00433AF7"/>
    <w:rsid w:val="00435740"/>
    <w:rsid w:val="00435FA0"/>
    <w:rsid w:val="004361F7"/>
    <w:rsid w:val="004368E5"/>
    <w:rsid w:val="00437A72"/>
    <w:rsid w:val="004426A7"/>
    <w:rsid w:val="00442AF0"/>
    <w:rsid w:val="00444644"/>
    <w:rsid w:val="004475F6"/>
    <w:rsid w:val="00447818"/>
    <w:rsid w:val="00453347"/>
    <w:rsid w:val="00453589"/>
    <w:rsid w:val="00453D59"/>
    <w:rsid w:val="00454015"/>
    <w:rsid w:val="004544B8"/>
    <w:rsid w:val="00457310"/>
    <w:rsid w:val="00461783"/>
    <w:rsid w:val="0046326B"/>
    <w:rsid w:val="00471CD6"/>
    <w:rsid w:val="00475751"/>
    <w:rsid w:val="00480B97"/>
    <w:rsid w:val="00484F7A"/>
    <w:rsid w:val="00487C99"/>
    <w:rsid w:val="00490565"/>
    <w:rsid w:val="004936C3"/>
    <w:rsid w:val="0049491D"/>
    <w:rsid w:val="00495B49"/>
    <w:rsid w:val="0049673B"/>
    <w:rsid w:val="0049759C"/>
    <w:rsid w:val="004A1352"/>
    <w:rsid w:val="004A2427"/>
    <w:rsid w:val="004A2C22"/>
    <w:rsid w:val="004A4689"/>
    <w:rsid w:val="004B026E"/>
    <w:rsid w:val="004B07D6"/>
    <w:rsid w:val="004B2291"/>
    <w:rsid w:val="004B2A99"/>
    <w:rsid w:val="004B4BC8"/>
    <w:rsid w:val="004C123A"/>
    <w:rsid w:val="004C5377"/>
    <w:rsid w:val="004D385A"/>
    <w:rsid w:val="004E3FD9"/>
    <w:rsid w:val="004E4437"/>
    <w:rsid w:val="004E6309"/>
    <w:rsid w:val="004E7B2B"/>
    <w:rsid w:val="004F2593"/>
    <w:rsid w:val="004F4B75"/>
    <w:rsid w:val="004F6434"/>
    <w:rsid w:val="004F7C3B"/>
    <w:rsid w:val="0050063B"/>
    <w:rsid w:val="005032FC"/>
    <w:rsid w:val="00510802"/>
    <w:rsid w:val="00510943"/>
    <w:rsid w:val="005121D4"/>
    <w:rsid w:val="005143A5"/>
    <w:rsid w:val="00516BF9"/>
    <w:rsid w:val="00521F33"/>
    <w:rsid w:val="005232AD"/>
    <w:rsid w:val="0052513F"/>
    <w:rsid w:val="00525C01"/>
    <w:rsid w:val="00531A47"/>
    <w:rsid w:val="00531EAD"/>
    <w:rsid w:val="00531F64"/>
    <w:rsid w:val="005328DD"/>
    <w:rsid w:val="00533FEE"/>
    <w:rsid w:val="0053475D"/>
    <w:rsid w:val="00534AD0"/>
    <w:rsid w:val="00537421"/>
    <w:rsid w:val="005448AC"/>
    <w:rsid w:val="00547088"/>
    <w:rsid w:val="005472BE"/>
    <w:rsid w:val="005479EA"/>
    <w:rsid w:val="005516EF"/>
    <w:rsid w:val="005531D5"/>
    <w:rsid w:val="005569C7"/>
    <w:rsid w:val="00557C62"/>
    <w:rsid w:val="005661AF"/>
    <w:rsid w:val="0057034F"/>
    <w:rsid w:val="00570B63"/>
    <w:rsid w:val="0057427A"/>
    <w:rsid w:val="00574EB4"/>
    <w:rsid w:val="00575310"/>
    <w:rsid w:val="005757D1"/>
    <w:rsid w:val="00576D1C"/>
    <w:rsid w:val="005804EE"/>
    <w:rsid w:val="005808DB"/>
    <w:rsid w:val="00580FA5"/>
    <w:rsid w:val="0058107D"/>
    <w:rsid w:val="005814A5"/>
    <w:rsid w:val="00582A5C"/>
    <w:rsid w:val="00584A8A"/>
    <w:rsid w:val="00585F6F"/>
    <w:rsid w:val="00586C86"/>
    <w:rsid w:val="005878A9"/>
    <w:rsid w:val="00587B82"/>
    <w:rsid w:val="00587C5A"/>
    <w:rsid w:val="00592DD6"/>
    <w:rsid w:val="00593539"/>
    <w:rsid w:val="00595029"/>
    <w:rsid w:val="005B19DB"/>
    <w:rsid w:val="005B1F81"/>
    <w:rsid w:val="005B2CF9"/>
    <w:rsid w:val="005B5B54"/>
    <w:rsid w:val="005B64DB"/>
    <w:rsid w:val="005C6410"/>
    <w:rsid w:val="005C69DE"/>
    <w:rsid w:val="005D25F4"/>
    <w:rsid w:val="005D5C07"/>
    <w:rsid w:val="005D741B"/>
    <w:rsid w:val="005E0426"/>
    <w:rsid w:val="005E3047"/>
    <w:rsid w:val="005E35A4"/>
    <w:rsid w:val="005E3C65"/>
    <w:rsid w:val="005E49AF"/>
    <w:rsid w:val="005E4FFD"/>
    <w:rsid w:val="005F20D0"/>
    <w:rsid w:val="005F31F1"/>
    <w:rsid w:val="005F3EAD"/>
    <w:rsid w:val="005F4263"/>
    <w:rsid w:val="005F6989"/>
    <w:rsid w:val="00600745"/>
    <w:rsid w:val="0060091D"/>
    <w:rsid w:val="00600B0A"/>
    <w:rsid w:val="00605BF8"/>
    <w:rsid w:val="006075E7"/>
    <w:rsid w:val="00612EBE"/>
    <w:rsid w:val="00613B04"/>
    <w:rsid w:val="00613E6B"/>
    <w:rsid w:val="00614C9F"/>
    <w:rsid w:val="0061537A"/>
    <w:rsid w:val="00615FC3"/>
    <w:rsid w:val="00616DF4"/>
    <w:rsid w:val="00626C9C"/>
    <w:rsid w:val="00626D3C"/>
    <w:rsid w:val="00632BEE"/>
    <w:rsid w:val="00636228"/>
    <w:rsid w:val="00636941"/>
    <w:rsid w:val="006411BA"/>
    <w:rsid w:val="0064661F"/>
    <w:rsid w:val="0064784C"/>
    <w:rsid w:val="00647888"/>
    <w:rsid w:val="00650B65"/>
    <w:rsid w:val="00651618"/>
    <w:rsid w:val="006529DF"/>
    <w:rsid w:val="006544EA"/>
    <w:rsid w:val="00660007"/>
    <w:rsid w:val="00661E8C"/>
    <w:rsid w:val="00664F48"/>
    <w:rsid w:val="006679B9"/>
    <w:rsid w:val="006703BE"/>
    <w:rsid w:val="00671157"/>
    <w:rsid w:val="00672E5E"/>
    <w:rsid w:val="00673931"/>
    <w:rsid w:val="00674753"/>
    <w:rsid w:val="00675845"/>
    <w:rsid w:val="00677162"/>
    <w:rsid w:val="0068136A"/>
    <w:rsid w:val="006817B6"/>
    <w:rsid w:val="00681925"/>
    <w:rsid w:val="006834F9"/>
    <w:rsid w:val="006924FC"/>
    <w:rsid w:val="00692A22"/>
    <w:rsid w:val="00692F0A"/>
    <w:rsid w:val="0069460F"/>
    <w:rsid w:val="00694E21"/>
    <w:rsid w:val="00694FC8"/>
    <w:rsid w:val="00696C21"/>
    <w:rsid w:val="006970A7"/>
    <w:rsid w:val="006971C7"/>
    <w:rsid w:val="006A0052"/>
    <w:rsid w:val="006A0E8B"/>
    <w:rsid w:val="006A159B"/>
    <w:rsid w:val="006A1FAA"/>
    <w:rsid w:val="006A4078"/>
    <w:rsid w:val="006A490D"/>
    <w:rsid w:val="006B0060"/>
    <w:rsid w:val="006B1078"/>
    <w:rsid w:val="006B1FA5"/>
    <w:rsid w:val="006B3914"/>
    <w:rsid w:val="006B7FDD"/>
    <w:rsid w:val="006C0A7A"/>
    <w:rsid w:val="006C182B"/>
    <w:rsid w:val="006C1F37"/>
    <w:rsid w:val="006C278A"/>
    <w:rsid w:val="006C2A53"/>
    <w:rsid w:val="006C2D8B"/>
    <w:rsid w:val="006C3CC6"/>
    <w:rsid w:val="006C6C81"/>
    <w:rsid w:val="006D3703"/>
    <w:rsid w:val="006E62F6"/>
    <w:rsid w:val="006F111C"/>
    <w:rsid w:val="006F13E9"/>
    <w:rsid w:val="006F208C"/>
    <w:rsid w:val="006F2C06"/>
    <w:rsid w:val="006F3EE8"/>
    <w:rsid w:val="006F4B3C"/>
    <w:rsid w:val="006F4EA2"/>
    <w:rsid w:val="006F574A"/>
    <w:rsid w:val="00701BCF"/>
    <w:rsid w:val="007048D8"/>
    <w:rsid w:val="00705730"/>
    <w:rsid w:val="00705CC4"/>
    <w:rsid w:val="007074DC"/>
    <w:rsid w:val="00710FCE"/>
    <w:rsid w:val="007134C3"/>
    <w:rsid w:val="007152EE"/>
    <w:rsid w:val="0072258E"/>
    <w:rsid w:val="00724FC5"/>
    <w:rsid w:val="007263EF"/>
    <w:rsid w:val="00731C62"/>
    <w:rsid w:val="0073482A"/>
    <w:rsid w:val="00734C5C"/>
    <w:rsid w:val="00744A8D"/>
    <w:rsid w:val="00747182"/>
    <w:rsid w:val="0074783E"/>
    <w:rsid w:val="007533E4"/>
    <w:rsid w:val="00754ADC"/>
    <w:rsid w:val="00756530"/>
    <w:rsid w:val="007575A5"/>
    <w:rsid w:val="00757A2A"/>
    <w:rsid w:val="00757F93"/>
    <w:rsid w:val="00761275"/>
    <w:rsid w:val="007615E9"/>
    <w:rsid w:val="00762C80"/>
    <w:rsid w:val="00765B7C"/>
    <w:rsid w:val="0076687D"/>
    <w:rsid w:val="00767C9B"/>
    <w:rsid w:val="00767F98"/>
    <w:rsid w:val="00770811"/>
    <w:rsid w:val="00772D3D"/>
    <w:rsid w:val="0077304D"/>
    <w:rsid w:val="00773A0E"/>
    <w:rsid w:val="007740E3"/>
    <w:rsid w:val="0078202A"/>
    <w:rsid w:val="007833C7"/>
    <w:rsid w:val="00783905"/>
    <w:rsid w:val="00793F06"/>
    <w:rsid w:val="007A2B27"/>
    <w:rsid w:val="007B0513"/>
    <w:rsid w:val="007B3B49"/>
    <w:rsid w:val="007B489D"/>
    <w:rsid w:val="007B50A2"/>
    <w:rsid w:val="007B5370"/>
    <w:rsid w:val="007C337E"/>
    <w:rsid w:val="007C3AB9"/>
    <w:rsid w:val="007C3C2C"/>
    <w:rsid w:val="007C4C57"/>
    <w:rsid w:val="007C6126"/>
    <w:rsid w:val="007C63D1"/>
    <w:rsid w:val="007D4AE2"/>
    <w:rsid w:val="007D61FC"/>
    <w:rsid w:val="007D62D6"/>
    <w:rsid w:val="007D7520"/>
    <w:rsid w:val="007E1A9F"/>
    <w:rsid w:val="007E3036"/>
    <w:rsid w:val="007E7E61"/>
    <w:rsid w:val="007F0903"/>
    <w:rsid w:val="007F3319"/>
    <w:rsid w:val="007F3A6B"/>
    <w:rsid w:val="007F47F5"/>
    <w:rsid w:val="007F4B13"/>
    <w:rsid w:val="007F54A7"/>
    <w:rsid w:val="00804822"/>
    <w:rsid w:val="00805D04"/>
    <w:rsid w:val="00806147"/>
    <w:rsid w:val="008103CC"/>
    <w:rsid w:val="00810492"/>
    <w:rsid w:val="00810E89"/>
    <w:rsid w:val="00816239"/>
    <w:rsid w:val="00820D74"/>
    <w:rsid w:val="00821712"/>
    <w:rsid w:val="00823E23"/>
    <w:rsid w:val="00826220"/>
    <w:rsid w:val="00826F28"/>
    <w:rsid w:val="008272D8"/>
    <w:rsid w:val="008302B8"/>
    <w:rsid w:val="00832EFD"/>
    <w:rsid w:val="008335FF"/>
    <w:rsid w:val="00840BF7"/>
    <w:rsid w:val="00841C9C"/>
    <w:rsid w:val="008426F5"/>
    <w:rsid w:val="00845B8E"/>
    <w:rsid w:val="008463C5"/>
    <w:rsid w:val="00846BD6"/>
    <w:rsid w:val="00851DB0"/>
    <w:rsid w:val="008535A3"/>
    <w:rsid w:val="00856E64"/>
    <w:rsid w:val="00857C06"/>
    <w:rsid w:val="00857F6C"/>
    <w:rsid w:val="00862867"/>
    <w:rsid w:val="00864C12"/>
    <w:rsid w:val="00865087"/>
    <w:rsid w:val="00870C2D"/>
    <w:rsid w:val="00871CC0"/>
    <w:rsid w:val="0087367F"/>
    <w:rsid w:val="008770F6"/>
    <w:rsid w:val="0087776E"/>
    <w:rsid w:val="008802A0"/>
    <w:rsid w:val="00881B62"/>
    <w:rsid w:val="008839D8"/>
    <w:rsid w:val="00883D1B"/>
    <w:rsid w:val="008847A7"/>
    <w:rsid w:val="00885341"/>
    <w:rsid w:val="0089182C"/>
    <w:rsid w:val="00891CD8"/>
    <w:rsid w:val="0089516C"/>
    <w:rsid w:val="008957AB"/>
    <w:rsid w:val="0089630B"/>
    <w:rsid w:val="0089703A"/>
    <w:rsid w:val="00897689"/>
    <w:rsid w:val="008978AD"/>
    <w:rsid w:val="008A0FA3"/>
    <w:rsid w:val="008A116F"/>
    <w:rsid w:val="008A2140"/>
    <w:rsid w:val="008A23A5"/>
    <w:rsid w:val="008A3F41"/>
    <w:rsid w:val="008A4333"/>
    <w:rsid w:val="008A6A64"/>
    <w:rsid w:val="008B1414"/>
    <w:rsid w:val="008B451F"/>
    <w:rsid w:val="008B559B"/>
    <w:rsid w:val="008B5608"/>
    <w:rsid w:val="008C13EE"/>
    <w:rsid w:val="008C2903"/>
    <w:rsid w:val="008C29D5"/>
    <w:rsid w:val="008C5626"/>
    <w:rsid w:val="008C57E9"/>
    <w:rsid w:val="008D01D3"/>
    <w:rsid w:val="008D1948"/>
    <w:rsid w:val="008D1F15"/>
    <w:rsid w:val="008D3622"/>
    <w:rsid w:val="008D4CAA"/>
    <w:rsid w:val="008D52CB"/>
    <w:rsid w:val="008D66FE"/>
    <w:rsid w:val="008E2DAD"/>
    <w:rsid w:val="008E59AB"/>
    <w:rsid w:val="008F1985"/>
    <w:rsid w:val="008F5CD8"/>
    <w:rsid w:val="00900496"/>
    <w:rsid w:val="009006DD"/>
    <w:rsid w:val="009014E6"/>
    <w:rsid w:val="0090213E"/>
    <w:rsid w:val="009052BE"/>
    <w:rsid w:val="00905597"/>
    <w:rsid w:val="009115AE"/>
    <w:rsid w:val="00911B18"/>
    <w:rsid w:val="00913C70"/>
    <w:rsid w:val="00913F1C"/>
    <w:rsid w:val="00916A33"/>
    <w:rsid w:val="00916AAE"/>
    <w:rsid w:val="0091724E"/>
    <w:rsid w:val="00920A09"/>
    <w:rsid w:val="00920E06"/>
    <w:rsid w:val="00921511"/>
    <w:rsid w:val="0092620A"/>
    <w:rsid w:val="0093013B"/>
    <w:rsid w:val="0093077F"/>
    <w:rsid w:val="00932ED7"/>
    <w:rsid w:val="00934B70"/>
    <w:rsid w:val="00936F46"/>
    <w:rsid w:val="00940176"/>
    <w:rsid w:val="00944B23"/>
    <w:rsid w:val="00947234"/>
    <w:rsid w:val="0095042B"/>
    <w:rsid w:val="00952B91"/>
    <w:rsid w:val="00953CBB"/>
    <w:rsid w:val="009558FE"/>
    <w:rsid w:val="009560B0"/>
    <w:rsid w:val="00957F06"/>
    <w:rsid w:val="00964337"/>
    <w:rsid w:val="00964701"/>
    <w:rsid w:val="00964890"/>
    <w:rsid w:val="00970EB3"/>
    <w:rsid w:val="00971F3D"/>
    <w:rsid w:val="00973319"/>
    <w:rsid w:val="00976EA8"/>
    <w:rsid w:val="0097712C"/>
    <w:rsid w:val="00977996"/>
    <w:rsid w:val="00981205"/>
    <w:rsid w:val="009834A9"/>
    <w:rsid w:val="009902D3"/>
    <w:rsid w:val="009912B5"/>
    <w:rsid w:val="009914DC"/>
    <w:rsid w:val="009929CA"/>
    <w:rsid w:val="00993E90"/>
    <w:rsid w:val="00995B64"/>
    <w:rsid w:val="009A116D"/>
    <w:rsid w:val="009A1BE2"/>
    <w:rsid w:val="009A20DB"/>
    <w:rsid w:val="009A2EE6"/>
    <w:rsid w:val="009A46DD"/>
    <w:rsid w:val="009A5455"/>
    <w:rsid w:val="009A6F73"/>
    <w:rsid w:val="009B5344"/>
    <w:rsid w:val="009B5F09"/>
    <w:rsid w:val="009B6236"/>
    <w:rsid w:val="009C0BFF"/>
    <w:rsid w:val="009C480F"/>
    <w:rsid w:val="009D0234"/>
    <w:rsid w:val="009D0916"/>
    <w:rsid w:val="009D78ED"/>
    <w:rsid w:val="009E064B"/>
    <w:rsid w:val="009E185B"/>
    <w:rsid w:val="009E2582"/>
    <w:rsid w:val="009E285E"/>
    <w:rsid w:val="009E3640"/>
    <w:rsid w:val="009E4081"/>
    <w:rsid w:val="009E4F24"/>
    <w:rsid w:val="009F078B"/>
    <w:rsid w:val="009F442E"/>
    <w:rsid w:val="009F4529"/>
    <w:rsid w:val="009F74DE"/>
    <w:rsid w:val="00A0018D"/>
    <w:rsid w:val="00A04656"/>
    <w:rsid w:val="00A0600D"/>
    <w:rsid w:val="00A06C04"/>
    <w:rsid w:val="00A125D4"/>
    <w:rsid w:val="00A12B47"/>
    <w:rsid w:val="00A138A0"/>
    <w:rsid w:val="00A16461"/>
    <w:rsid w:val="00A17CF3"/>
    <w:rsid w:val="00A21839"/>
    <w:rsid w:val="00A25545"/>
    <w:rsid w:val="00A26E62"/>
    <w:rsid w:val="00A30CE0"/>
    <w:rsid w:val="00A30E54"/>
    <w:rsid w:val="00A3182F"/>
    <w:rsid w:val="00A3183D"/>
    <w:rsid w:val="00A34522"/>
    <w:rsid w:val="00A35C81"/>
    <w:rsid w:val="00A36455"/>
    <w:rsid w:val="00A45F2F"/>
    <w:rsid w:val="00A466B6"/>
    <w:rsid w:val="00A47BD7"/>
    <w:rsid w:val="00A50CA3"/>
    <w:rsid w:val="00A521C2"/>
    <w:rsid w:val="00A52E15"/>
    <w:rsid w:val="00A54C1F"/>
    <w:rsid w:val="00A56DCA"/>
    <w:rsid w:val="00A61DF0"/>
    <w:rsid w:val="00A64FD6"/>
    <w:rsid w:val="00A65C1E"/>
    <w:rsid w:val="00A66172"/>
    <w:rsid w:val="00A72BCC"/>
    <w:rsid w:val="00A75CAB"/>
    <w:rsid w:val="00A820D5"/>
    <w:rsid w:val="00A83BFE"/>
    <w:rsid w:val="00A87FC3"/>
    <w:rsid w:val="00A90387"/>
    <w:rsid w:val="00A93B41"/>
    <w:rsid w:val="00A940F0"/>
    <w:rsid w:val="00A94807"/>
    <w:rsid w:val="00A9694F"/>
    <w:rsid w:val="00A97CF6"/>
    <w:rsid w:val="00AA4062"/>
    <w:rsid w:val="00AB0AFE"/>
    <w:rsid w:val="00AB10A6"/>
    <w:rsid w:val="00AB3259"/>
    <w:rsid w:val="00AB35A2"/>
    <w:rsid w:val="00AB7A86"/>
    <w:rsid w:val="00AC0E0B"/>
    <w:rsid w:val="00AC3073"/>
    <w:rsid w:val="00AC34EE"/>
    <w:rsid w:val="00AC3699"/>
    <w:rsid w:val="00AC4542"/>
    <w:rsid w:val="00AC4A96"/>
    <w:rsid w:val="00AC66DC"/>
    <w:rsid w:val="00AD201A"/>
    <w:rsid w:val="00AD3856"/>
    <w:rsid w:val="00AD7557"/>
    <w:rsid w:val="00AE5B3E"/>
    <w:rsid w:val="00AE5DEA"/>
    <w:rsid w:val="00AE68AC"/>
    <w:rsid w:val="00AF3A2E"/>
    <w:rsid w:val="00AF4054"/>
    <w:rsid w:val="00AF572D"/>
    <w:rsid w:val="00AF5E59"/>
    <w:rsid w:val="00B011B9"/>
    <w:rsid w:val="00B02E4F"/>
    <w:rsid w:val="00B070FD"/>
    <w:rsid w:val="00B075A7"/>
    <w:rsid w:val="00B0778C"/>
    <w:rsid w:val="00B07F8B"/>
    <w:rsid w:val="00B14EF3"/>
    <w:rsid w:val="00B16264"/>
    <w:rsid w:val="00B22E3B"/>
    <w:rsid w:val="00B23535"/>
    <w:rsid w:val="00B241BA"/>
    <w:rsid w:val="00B25314"/>
    <w:rsid w:val="00B25C36"/>
    <w:rsid w:val="00B27C74"/>
    <w:rsid w:val="00B3022C"/>
    <w:rsid w:val="00B32030"/>
    <w:rsid w:val="00B33A37"/>
    <w:rsid w:val="00B34237"/>
    <w:rsid w:val="00B36CE5"/>
    <w:rsid w:val="00B41F6E"/>
    <w:rsid w:val="00B42A03"/>
    <w:rsid w:val="00B44868"/>
    <w:rsid w:val="00B462B9"/>
    <w:rsid w:val="00B52859"/>
    <w:rsid w:val="00B52B17"/>
    <w:rsid w:val="00B534AF"/>
    <w:rsid w:val="00B55542"/>
    <w:rsid w:val="00B56C13"/>
    <w:rsid w:val="00B6117D"/>
    <w:rsid w:val="00B63EFE"/>
    <w:rsid w:val="00B6622B"/>
    <w:rsid w:val="00B70B7F"/>
    <w:rsid w:val="00B7183E"/>
    <w:rsid w:val="00B73DA6"/>
    <w:rsid w:val="00B82901"/>
    <w:rsid w:val="00B837F0"/>
    <w:rsid w:val="00B8647E"/>
    <w:rsid w:val="00B871FA"/>
    <w:rsid w:val="00B87906"/>
    <w:rsid w:val="00B91928"/>
    <w:rsid w:val="00B92630"/>
    <w:rsid w:val="00B943D9"/>
    <w:rsid w:val="00B963B4"/>
    <w:rsid w:val="00BA1BBA"/>
    <w:rsid w:val="00BA4965"/>
    <w:rsid w:val="00BA5260"/>
    <w:rsid w:val="00BA531C"/>
    <w:rsid w:val="00BB21CA"/>
    <w:rsid w:val="00BB2236"/>
    <w:rsid w:val="00BB3F07"/>
    <w:rsid w:val="00BB45E2"/>
    <w:rsid w:val="00BB52E1"/>
    <w:rsid w:val="00BB56F5"/>
    <w:rsid w:val="00BB66BF"/>
    <w:rsid w:val="00BC12BB"/>
    <w:rsid w:val="00BC1D6C"/>
    <w:rsid w:val="00BC2BD6"/>
    <w:rsid w:val="00BC2DC0"/>
    <w:rsid w:val="00BC3A42"/>
    <w:rsid w:val="00BD20A0"/>
    <w:rsid w:val="00BD4305"/>
    <w:rsid w:val="00BE0DC4"/>
    <w:rsid w:val="00BE3C34"/>
    <w:rsid w:val="00BE56DC"/>
    <w:rsid w:val="00BE5EC5"/>
    <w:rsid w:val="00BE78A0"/>
    <w:rsid w:val="00BF59CB"/>
    <w:rsid w:val="00BF70A6"/>
    <w:rsid w:val="00C02D95"/>
    <w:rsid w:val="00C0547C"/>
    <w:rsid w:val="00C057A3"/>
    <w:rsid w:val="00C05BE2"/>
    <w:rsid w:val="00C1389C"/>
    <w:rsid w:val="00C147F3"/>
    <w:rsid w:val="00C163FC"/>
    <w:rsid w:val="00C1723B"/>
    <w:rsid w:val="00C2378E"/>
    <w:rsid w:val="00C25702"/>
    <w:rsid w:val="00C26FBA"/>
    <w:rsid w:val="00C32453"/>
    <w:rsid w:val="00C32D01"/>
    <w:rsid w:val="00C341F4"/>
    <w:rsid w:val="00C3503B"/>
    <w:rsid w:val="00C35B35"/>
    <w:rsid w:val="00C42646"/>
    <w:rsid w:val="00C45532"/>
    <w:rsid w:val="00C512C9"/>
    <w:rsid w:val="00C51D02"/>
    <w:rsid w:val="00C53BFA"/>
    <w:rsid w:val="00C55F94"/>
    <w:rsid w:val="00C56094"/>
    <w:rsid w:val="00C5629B"/>
    <w:rsid w:val="00C56B84"/>
    <w:rsid w:val="00C62847"/>
    <w:rsid w:val="00C62AC2"/>
    <w:rsid w:val="00C63068"/>
    <w:rsid w:val="00C633FE"/>
    <w:rsid w:val="00C635AF"/>
    <w:rsid w:val="00C64299"/>
    <w:rsid w:val="00C64E4F"/>
    <w:rsid w:val="00C6712A"/>
    <w:rsid w:val="00C709D8"/>
    <w:rsid w:val="00C70F1E"/>
    <w:rsid w:val="00C77D13"/>
    <w:rsid w:val="00C84958"/>
    <w:rsid w:val="00C851DE"/>
    <w:rsid w:val="00C911D7"/>
    <w:rsid w:val="00C9675F"/>
    <w:rsid w:val="00C97CA2"/>
    <w:rsid w:val="00CA1152"/>
    <w:rsid w:val="00CA3B78"/>
    <w:rsid w:val="00CA6BA7"/>
    <w:rsid w:val="00CA794D"/>
    <w:rsid w:val="00CB1AEF"/>
    <w:rsid w:val="00CB3976"/>
    <w:rsid w:val="00CD0D51"/>
    <w:rsid w:val="00CD1E18"/>
    <w:rsid w:val="00CD286E"/>
    <w:rsid w:val="00CD30A6"/>
    <w:rsid w:val="00CD45D3"/>
    <w:rsid w:val="00CD518E"/>
    <w:rsid w:val="00CD53F3"/>
    <w:rsid w:val="00CE10EA"/>
    <w:rsid w:val="00CE5768"/>
    <w:rsid w:val="00CE57C7"/>
    <w:rsid w:val="00CE6A69"/>
    <w:rsid w:val="00CF01AB"/>
    <w:rsid w:val="00CF24BC"/>
    <w:rsid w:val="00CF4A40"/>
    <w:rsid w:val="00CF67E2"/>
    <w:rsid w:val="00D046CF"/>
    <w:rsid w:val="00D10F32"/>
    <w:rsid w:val="00D11FAE"/>
    <w:rsid w:val="00D12CCA"/>
    <w:rsid w:val="00D1710C"/>
    <w:rsid w:val="00D21C49"/>
    <w:rsid w:val="00D23BA7"/>
    <w:rsid w:val="00D263D6"/>
    <w:rsid w:val="00D349EA"/>
    <w:rsid w:val="00D34A27"/>
    <w:rsid w:val="00D364C2"/>
    <w:rsid w:val="00D37B44"/>
    <w:rsid w:val="00D40727"/>
    <w:rsid w:val="00D40AB7"/>
    <w:rsid w:val="00D41011"/>
    <w:rsid w:val="00D4318D"/>
    <w:rsid w:val="00D43ED1"/>
    <w:rsid w:val="00D4500B"/>
    <w:rsid w:val="00D47C20"/>
    <w:rsid w:val="00D52781"/>
    <w:rsid w:val="00D53484"/>
    <w:rsid w:val="00D56993"/>
    <w:rsid w:val="00D6418E"/>
    <w:rsid w:val="00D668AE"/>
    <w:rsid w:val="00D66B72"/>
    <w:rsid w:val="00D72C7F"/>
    <w:rsid w:val="00D7512C"/>
    <w:rsid w:val="00D768DF"/>
    <w:rsid w:val="00D76EF2"/>
    <w:rsid w:val="00D8074B"/>
    <w:rsid w:val="00D8203F"/>
    <w:rsid w:val="00D85C99"/>
    <w:rsid w:val="00D90596"/>
    <w:rsid w:val="00D91437"/>
    <w:rsid w:val="00D956CD"/>
    <w:rsid w:val="00D95B5B"/>
    <w:rsid w:val="00DA20C4"/>
    <w:rsid w:val="00DA3D6D"/>
    <w:rsid w:val="00DA3F07"/>
    <w:rsid w:val="00DA5AAD"/>
    <w:rsid w:val="00DA5F11"/>
    <w:rsid w:val="00DA63B9"/>
    <w:rsid w:val="00DB459B"/>
    <w:rsid w:val="00DB45B6"/>
    <w:rsid w:val="00DB743B"/>
    <w:rsid w:val="00DC081A"/>
    <w:rsid w:val="00DC0D0C"/>
    <w:rsid w:val="00DC3193"/>
    <w:rsid w:val="00DC3411"/>
    <w:rsid w:val="00DC347D"/>
    <w:rsid w:val="00DC4E57"/>
    <w:rsid w:val="00DC5470"/>
    <w:rsid w:val="00DD22FB"/>
    <w:rsid w:val="00DD4D77"/>
    <w:rsid w:val="00DD7556"/>
    <w:rsid w:val="00DE4672"/>
    <w:rsid w:val="00DE52F5"/>
    <w:rsid w:val="00DE659A"/>
    <w:rsid w:val="00DE6FED"/>
    <w:rsid w:val="00DF1E1F"/>
    <w:rsid w:val="00E015AE"/>
    <w:rsid w:val="00E06E4B"/>
    <w:rsid w:val="00E10872"/>
    <w:rsid w:val="00E11B09"/>
    <w:rsid w:val="00E11F84"/>
    <w:rsid w:val="00E125B4"/>
    <w:rsid w:val="00E1328D"/>
    <w:rsid w:val="00E14F3E"/>
    <w:rsid w:val="00E225BA"/>
    <w:rsid w:val="00E24959"/>
    <w:rsid w:val="00E24F12"/>
    <w:rsid w:val="00E32129"/>
    <w:rsid w:val="00E33A63"/>
    <w:rsid w:val="00E33EE4"/>
    <w:rsid w:val="00E34B3E"/>
    <w:rsid w:val="00E35FEB"/>
    <w:rsid w:val="00E36C3B"/>
    <w:rsid w:val="00E40D84"/>
    <w:rsid w:val="00E42443"/>
    <w:rsid w:val="00E44C1B"/>
    <w:rsid w:val="00E450D1"/>
    <w:rsid w:val="00E45880"/>
    <w:rsid w:val="00E47C28"/>
    <w:rsid w:val="00E52BDA"/>
    <w:rsid w:val="00E531F6"/>
    <w:rsid w:val="00E538BB"/>
    <w:rsid w:val="00E53B0E"/>
    <w:rsid w:val="00E55B2F"/>
    <w:rsid w:val="00E55CA5"/>
    <w:rsid w:val="00E5676B"/>
    <w:rsid w:val="00E6276A"/>
    <w:rsid w:val="00E63790"/>
    <w:rsid w:val="00E63914"/>
    <w:rsid w:val="00E705AE"/>
    <w:rsid w:val="00E71801"/>
    <w:rsid w:val="00E723A0"/>
    <w:rsid w:val="00E74846"/>
    <w:rsid w:val="00E7528E"/>
    <w:rsid w:val="00E77FBA"/>
    <w:rsid w:val="00E80A16"/>
    <w:rsid w:val="00E83BAD"/>
    <w:rsid w:val="00E83C19"/>
    <w:rsid w:val="00E85707"/>
    <w:rsid w:val="00E87383"/>
    <w:rsid w:val="00E90076"/>
    <w:rsid w:val="00E95F2A"/>
    <w:rsid w:val="00EA059C"/>
    <w:rsid w:val="00EA09EC"/>
    <w:rsid w:val="00EA1A32"/>
    <w:rsid w:val="00EA37D9"/>
    <w:rsid w:val="00EA4577"/>
    <w:rsid w:val="00EA72DE"/>
    <w:rsid w:val="00EB3405"/>
    <w:rsid w:val="00EB43E7"/>
    <w:rsid w:val="00EC14BF"/>
    <w:rsid w:val="00EC6DC2"/>
    <w:rsid w:val="00ED0CDF"/>
    <w:rsid w:val="00ED3F44"/>
    <w:rsid w:val="00EE078E"/>
    <w:rsid w:val="00EE2A40"/>
    <w:rsid w:val="00EE665F"/>
    <w:rsid w:val="00EF21A0"/>
    <w:rsid w:val="00EF2609"/>
    <w:rsid w:val="00EF26A3"/>
    <w:rsid w:val="00EF3725"/>
    <w:rsid w:val="00EF79AE"/>
    <w:rsid w:val="00EF7D94"/>
    <w:rsid w:val="00F004F7"/>
    <w:rsid w:val="00F00938"/>
    <w:rsid w:val="00F02B46"/>
    <w:rsid w:val="00F039CD"/>
    <w:rsid w:val="00F03DD2"/>
    <w:rsid w:val="00F041CC"/>
    <w:rsid w:val="00F05164"/>
    <w:rsid w:val="00F06D50"/>
    <w:rsid w:val="00F077B8"/>
    <w:rsid w:val="00F07863"/>
    <w:rsid w:val="00F1181A"/>
    <w:rsid w:val="00F1299D"/>
    <w:rsid w:val="00F1360E"/>
    <w:rsid w:val="00F165D1"/>
    <w:rsid w:val="00F16687"/>
    <w:rsid w:val="00F17C70"/>
    <w:rsid w:val="00F2327D"/>
    <w:rsid w:val="00F25E8F"/>
    <w:rsid w:val="00F27B56"/>
    <w:rsid w:val="00F316ED"/>
    <w:rsid w:val="00F32109"/>
    <w:rsid w:val="00F3223F"/>
    <w:rsid w:val="00F35097"/>
    <w:rsid w:val="00F3687A"/>
    <w:rsid w:val="00F37D21"/>
    <w:rsid w:val="00F41EA1"/>
    <w:rsid w:val="00F422CF"/>
    <w:rsid w:val="00F4696D"/>
    <w:rsid w:val="00F47AAE"/>
    <w:rsid w:val="00F55B96"/>
    <w:rsid w:val="00F5769D"/>
    <w:rsid w:val="00F61EA2"/>
    <w:rsid w:val="00F6236C"/>
    <w:rsid w:val="00F632FE"/>
    <w:rsid w:val="00F64183"/>
    <w:rsid w:val="00F644C2"/>
    <w:rsid w:val="00F64E48"/>
    <w:rsid w:val="00F6628D"/>
    <w:rsid w:val="00F66CCC"/>
    <w:rsid w:val="00F66D35"/>
    <w:rsid w:val="00F71A82"/>
    <w:rsid w:val="00F71AD4"/>
    <w:rsid w:val="00F728C3"/>
    <w:rsid w:val="00F74013"/>
    <w:rsid w:val="00F7555B"/>
    <w:rsid w:val="00F83856"/>
    <w:rsid w:val="00F85BA8"/>
    <w:rsid w:val="00F87089"/>
    <w:rsid w:val="00F905EE"/>
    <w:rsid w:val="00F93368"/>
    <w:rsid w:val="00F94688"/>
    <w:rsid w:val="00F972E6"/>
    <w:rsid w:val="00FA1213"/>
    <w:rsid w:val="00FA2F45"/>
    <w:rsid w:val="00FA4456"/>
    <w:rsid w:val="00FA74B1"/>
    <w:rsid w:val="00FB16B6"/>
    <w:rsid w:val="00FB3E0E"/>
    <w:rsid w:val="00FC0EC1"/>
    <w:rsid w:val="00FC1841"/>
    <w:rsid w:val="00FC4034"/>
    <w:rsid w:val="00FC49AF"/>
    <w:rsid w:val="00FC4D88"/>
    <w:rsid w:val="00FD00D2"/>
    <w:rsid w:val="00FD1E38"/>
    <w:rsid w:val="00FD2141"/>
    <w:rsid w:val="00FD43EF"/>
    <w:rsid w:val="00FD479C"/>
    <w:rsid w:val="00FD4A9D"/>
    <w:rsid w:val="00FD625D"/>
    <w:rsid w:val="00FD6FC1"/>
    <w:rsid w:val="00FE0F03"/>
    <w:rsid w:val="00FE1DA1"/>
    <w:rsid w:val="00FE6A7F"/>
    <w:rsid w:val="00FE6C50"/>
    <w:rsid w:val="00FF10DE"/>
    <w:rsid w:val="00FF14C1"/>
    <w:rsid w:val="00FF3704"/>
    <w:rsid w:val="00FF5E0A"/>
    <w:rsid w:val="00FF78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EC8A54-BD31-4D41-A2EE-61307CCD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9AF"/>
    <w:pPr>
      <w:widowControl w:val="0"/>
    </w:pPr>
  </w:style>
  <w:style w:type="paragraph" w:styleId="1">
    <w:name w:val="heading 1"/>
    <w:basedOn w:val="a"/>
    <w:next w:val="a"/>
    <w:link w:val="10"/>
    <w:uiPriority w:val="9"/>
    <w:qFormat/>
    <w:rsid w:val="00CE10EA"/>
    <w:pPr>
      <w:keepNext/>
      <w:snapToGrid w:val="0"/>
      <w:spacing w:afterLines="15" w:line="276" w:lineRule="auto"/>
      <w:jc w:val="both"/>
      <w:outlineLvl w:val="0"/>
    </w:pPr>
    <w:rPr>
      <w:rFonts w:ascii="Times New Roman" w:eastAsia="標楷體" w:hAnsi="Times New Roman" w:cstheme="majorBidi"/>
      <w:b/>
      <w:bCs/>
      <w:kern w:val="52"/>
      <w:sz w:val="32"/>
      <w:szCs w:val="32"/>
    </w:rPr>
  </w:style>
  <w:style w:type="paragraph" w:styleId="2">
    <w:name w:val="heading 2"/>
    <w:basedOn w:val="a"/>
    <w:next w:val="a"/>
    <w:link w:val="20"/>
    <w:uiPriority w:val="9"/>
    <w:unhideWhenUsed/>
    <w:qFormat/>
    <w:rsid w:val="008957AB"/>
    <w:pPr>
      <w:keepNext/>
      <w:snapToGrid w:val="0"/>
      <w:spacing w:afterLines="15" w:line="276" w:lineRule="auto"/>
      <w:outlineLvl w:val="1"/>
    </w:pPr>
    <w:rPr>
      <w:rFonts w:ascii="Times New Roman" w:eastAsia="標楷體" w:hAnsiTheme="majorHAnsi" w:cs="Times New Roman"/>
      <w:b/>
      <w:bCs/>
      <w:sz w:val="32"/>
      <w:szCs w:val="32"/>
    </w:rPr>
  </w:style>
  <w:style w:type="paragraph" w:styleId="3">
    <w:name w:val="heading 3"/>
    <w:basedOn w:val="a"/>
    <w:link w:val="30"/>
    <w:uiPriority w:val="9"/>
    <w:qFormat/>
    <w:rsid w:val="00C9675F"/>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unhideWhenUsed/>
    <w:qFormat/>
    <w:rsid w:val="00C26FB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FE"/>
    <w:pPr>
      <w:tabs>
        <w:tab w:val="center" w:pos="4153"/>
        <w:tab w:val="right" w:pos="8306"/>
      </w:tabs>
      <w:snapToGrid w:val="0"/>
    </w:pPr>
    <w:rPr>
      <w:sz w:val="20"/>
      <w:szCs w:val="20"/>
    </w:rPr>
  </w:style>
  <w:style w:type="character" w:customStyle="1" w:styleId="a5">
    <w:name w:val="頁首 字元"/>
    <w:basedOn w:val="a0"/>
    <w:link w:val="a4"/>
    <w:uiPriority w:val="99"/>
    <w:rsid w:val="00A83BFE"/>
    <w:rPr>
      <w:sz w:val="20"/>
      <w:szCs w:val="20"/>
    </w:rPr>
  </w:style>
  <w:style w:type="paragraph" w:styleId="a6">
    <w:name w:val="footer"/>
    <w:basedOn w:val="a"/>
    <w:link w:val="a7"/>
    <w:uiPriority w:val="99"/>
    <w:unhideWhenUsed/>
    <w:rsid w:val="00A83BFE"/>
    <w:pPr>
      <w:tabs>
        <w:tab w:val="center" w:pos="4153"/>
        <w:tab w:val="right" w:pos="8306"/>
      </w:tabs>
      <w:snapToGrid w:val="0"/>
    </w:pPr>
    <w:rPr>
      <w:sz w:val="20"/>
      <w:szCs w:val="20"/>
    </w:rPr>
  </w:style>
  <w:style w:type="character" w:customStyle="1" w:styleId="a7">
    <w:name w:val="頁尾 字元"/>
    <w:basedOn w:val="a0"/>
    <w:link w:val="a6"/>
    <w:uiPriority w:val="99"/>
    <w:rsid w:val="00A83BFE"/>
    <w:rPr>
      <w:sz w:val="20"/>
      <w:szCs w:val="20"/>
    </w:rPr>
  </w:style>
  <w:style w:type="paragraph" w:styleId="a8">
    <w:name w:val="Balloon Text"/>
    <w:basedOn w:val="a"/>
    <w:link w:val="a9"/>
    <w:uiPriority w:val="99"/>
    <w:semiHidden/>
    <w:unhideWhenUsed/>
    <w:rsid w:val="00D905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0596"/>
    <w:rPr>
      <w:rFonts w:asciiTheme="majorHAnsi" w:eastAsiaTheme="majorEastAsia" w:hAnsiTheme="majorHAnsi" w:cstheme="majorBidi"/>
      <w:sz w:val="18"/>
      <w:szCs w:val="18"/>
    </w:rPr>
  </w:style>
  <w:style w:type="paragraph" w:styleId="aa">
    <w:name w:val="List Paragraph"/>
    <w:basedOn w:val="a"/>
    <w:uiPriority w:val="34"/>
    <w:qFormat/>
    <w:rsid w:val="00AC34EE"/>
    <w:pPr>
      <w:ind w:leftChars="200" w:left="480"/>
    </w:pPr>
  </w:style>
  <w:style w:type="character" w:customStyle="1" w:styleId="20">
    <w:name w:val="標題 2 字元"/>
    <w:basedOn w:val="a0"/>
    <w:link w:val="2"/>
    <w:uiPriority w:val="9"/>
    <w:rsid w:val="008957AB"/>
    <w:rPr>
      <w:rFonts w:ascii="Times New Roman" w:eastAsia="標楷體" w:hAnsiTheme="majorHAnsi" w:cs="Times New Roman"/>
      <w:b/>
      <w:bCs/>
      <w:sz w:val="32"/>
      <w:szCs w:val="32"/>
    </w:rPr>
  </w:style>
  <w:style w:type="character" w:styleId="ab">
    <w:name w:val="annotation reference"/>
    <w:basedOn w:val="a0"/>
    <w:uiPriority w:val="99"/>
    <w:semiHidden/>
    <w:unhideWhenUsed/>
    <w:rsid w:val="00E225BA"/>
    <w:rPr>
      <w:sz w:val="18"/>
      <w:szCs w:val="18"/>
    </w:rPr>
  </w:style>
  <w:style w:type="paragraph" w:styleId="ac">
    <w:name w:val="annotation text"/>
    <w:basedOn w:val="a"/>
    <w:link w:val="ad"/>
    <w:uiPriority w:val="99"/>
    <w:semiHidden/>
    <w:unhideWhenUsed/>
    <w:rsid w:val="00E225BA"/>
  </w:style>
  <w:style w:type="character" w:customStyle="1" w:styleId="ad">
    <w:name w:val="註解文字 字元"/>
    <w:basedOn w:val="a0"/>
    <w:link w:val="ac"/>
    <w:uiPriority w:val="99"/>
    <w:semiHidden/>
    <w:rsid w:val="00E225BA"/>
  </w:style>
  <w:style w:type="paragraph" w:styleId="ae">
    <w:name w:val="annotation subject"/>
    <w:basedOn w:val="ac"/>
    <w:next w:val="ac"/>
    <w:link w:val="af"/>
    <w:uiPriority w:val="99"/>
    <w:semiHidden/>
    <w:unhideWhenUsed/>
    <w:rsid w:val="00E225BA"/>
    <w:rPr>
      <w:b/>
      <w:bCs/>
    </w:rPr>
  </w:style>
  <w:style w:type="character" w:customStyle="1" w:styleId="af">
    <w:name w:val="註解主旨 字元"/>
    <w:basedOn w:val="ad"/>
    <w:link w:val="ae"/>
    <w:uiPriority w:val="99"/>
    <w:semiHidden/>
    <w:rsid w:val="00E225BA"/>
    <w:rPr>
      <w:b/>
      <w:bCs/>
    </w:rPr>
  </w:style>
  <w:style w:type="character" w:customStyle="1" w:styleId="10">
    <w:name w:val="標題 1 字元"/>
    <w:basedOn w:val="a0"/>
    <w:link w:val="1"/>
    <w:uiPriority w:val="9"/>
    <w:rsid w:val="00CE10EA"/>
    <w:rPr>
      <w:rFonts w:ascii="Times New Roman" w:eastAsia="標楷體" w:hAnsi="Times New Roman" w:cstheme="majorBidi"/>
      <w:b/>
      <w:bCs/>
      <w:kern w:val="52"/>
      <w:sz w:val="32"/>
      <w:szCs w:val="32"/>
    </w:rPr>
  </w:style>
  <w:style w:type="paragraph" w:styleId="af0">
    <w:name w:val="TOC Heading"/>
    <w:basedOn w:val="1"/>
    <w:next w:val="a"/>
    <w:uiPriority w:val="39"/>
    <w:semiHidden/>
    <w:unhideWhenUsed/>
    <w:qFormat/>
    <w:rsid w:val="00FD1E38"/>
    <w:pPr>
      <w:keepLines/>
      <w:widowControl/>
      <w:snapToGrid/>
      <w:spacing w:before="480" w:afterLines="0"/>
      <w:jc w:val="left"/>
      <w:outlineLvl w:val="9"/>
    </w:pPr>
    <w:rPr>
      <w:rFonts w:asciiTheme="majorHAnsi" w:eastAsiaTheme="majorEastAsia" w:hAnsiTheme="majorHAnsi"/>
      <w:color w:val="365F91" w:themeColor="accent1" w:themeShade="BF"/>
      <w:kern w:val="0"/>
      <w:szCs w:val="28"/>
    </w:rPr>
  </w:style>
  <w:style w:type="paragraph" w:styleId="21">
    <w:name w:val="toc 2"/>
    <w:basedOn w:val="a"/>
    <w:next w:val="a"/>
    <w:autoRedefine/>
    <w:uiPriority w:val="39"/>
    <w:unhideWhenUsed/>
    <w:qFormat/>
    <w:rsid w:val="00FD1E38"/>
    <w:pPr>
      <w:widowControl/>
      <w:spacing w:after="100" w:line="276" w:lineRule="auto"/>
      <w:ind w:left="220"/>
    </w:pPr>
    <w:rPr>
      <w:kern w:val="0"/>
      <w:sz w:val="22"/>
    </w:rPr>
  </w:style>
  <w:style w:type="paragraph" w:styleId="11">
    <w:name w:val="toc 1"/>
    <w:basedOn w:val="a"/>
    <w:next w:val="a"/>
    <w:autoRedefine/>
    <w:uiPriority w:val="39"/>
    <w:unhideWhenUsed/>
    <w:qFormat/>
    <w:rsid w:val="00FD1E38"/>
    <w:pPr>
      <w:widowControl/>
      <w:spacing w:after="100" w:line="276" w:lineRule="auto"/>
    </w:pPr>
    <w:rPr>
      <w:kern w:val="0"/>
      <w:sz w:val="22"/>
    </w:rPr>
  </w:style>
  <w:style w:type="paragraph" w:styleId="31">
    <w:name w:val="toc 3"/>
    <w:basedOn w:val="a"/>
    <w:next w:val="a"/>
    <w:autoRedefine/>
    <w:uiPriority w:val="39"/>
    <w:semiHidden/>
    <w:unhideWhenUsed/>
    <w:qFormat/>
    <w:rsid w:val="00FD1E38"/>
    <w:pPr>
      <w:widowControl/>
      <w:spacing w:after="100" w:line="276" w:lineRule="auto"/>
      <w:ind w:left="440"/>
    </w:pPr>
    <w:rPr>
      <w:kern w:val="0"/>
      <w:sz w:val="22"/>
    </w:rPr>
  </w:style>
  <w:style w:type="character" w:styleId="af1">
    <w:name w:val="Hyperlink"/>
    <w:basedOn w:val="a0"/>
    <w:uiPriority w:val="99"/>
    <w:unhideWhenUsed/>
    <w:rsid w:val="00FD1E38"/>
    <w:rPr>
      <w:color w:val="0000FF" w:themeColor="hyperlink"/>
      <w:u w:val="single"/>
    </w:rPr>
  </w:style>
  <w:style w:type="paragraph" w:styleId="HTML">
    <w:name w:val="HTML Preformatted"/>
    <w:basedOn w:val="a"/>
    <w:link w:val="HTML0"/>
    <w:uiPriority w:val="99"/>
    <w:rsid w:val="00FC4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uiPriority w:val="99"/>
    <w:rsid w:val="00FC4D88"/>
    <w:rPr>
      <w:rFonts w:ascii="Arial Unicode MS" w:eastAsia="Arial Unicode MS" w:hAnsi="Arial Unicode MS" w:cs="Arial Unicode MS"/>
      <w:color w:val="333333"/>
      <w:kern w:val="0"/>
      <w:sz w:val="20"/>
      <w:szCs w:val="20"/>
    </w:rPr>
  </w:style>
  <w:style w:type="character" w:customStyle="1" w:styleId="30">
    <w:name w:val="標題 3 字元"/>
    <w:basedOn w:val="a0"/>
    <w:link w:val="3"/>
    <w:uiPriority w:val="9"/>
    <w:rsid w:val="00C9675F"/>
    <w:rPr>
      <w:rFonts w:ascii="新細明體" w:eastAsia="新細明體" w:hAnsi="新細明體" w:cs="新細明體"/>
      <w:b/>
      <w:bCs/>
      <w:kern w:val="0"/>
      <w:sz w:val="27"/>
      <w:szCs w:val="27"/>
    </w:rPr>
  </w:style>
  <w:style w:type="character" w:customStyle="1" w:styleId="txt-keyword">
    <w:name w:val="txt-keyword"/>
    <w:basedOn w:val="a0"/>
    <w:rsid w:val="00C9675F"/>
  </w:style>
  <w:style w:type="paragraph" w:styleId="Web">
    <w:name w:val="Normal (Web)"/>
    <w:basedOn w:val="a"/>
    <w:uiPriority w:val="99"/>
    <w:semiHidden/>
    <w:unhideWhenUsed/>
    <w:rsid w:val="00C9675F"/>
    <w:pPr>
      <w:widowControl/>
      <w:spacing w:before="100" w:beforeAutospacing="1" w:after="100" w:afterAutospacing="1"/>
    </w:pPr>
    <w:rPr>
      <w:rFonts w:ascii="新細明體" w:eastAsia="新細明體" w:hAnsi="新細明體" w:cs="新細明體"/>
      <w:kern w:val="0"/>
      <w:szCs w:val="24"/>
    </w:rPr>
  </w:style>
  <w:style w:type="paragraph" w:styleId="af2">
    <w:name w:val="Body Text Indent"/>
    <w:basedOn w:val="a"/>
    <w:link w:val="af3"/>
    <w:semiHidden/>
    <w:rsid w:val="00C9675F"/>
    <w:pPr>
      <w:widowControl/>
      <w:spacing w:line="400" w:lineRule="atLeast"/>
      <w:ind w:firstLine="540"/>
      <w:jc w:val="both"/>
    </w:pPr>
    <w:rPr>
      <w:rFonts w:ascii="標楷體" w:eastAsia="標楷體" w:hAnsi="標楷體" w:cs="Times New Roman"/>
      <w:kern w:val="0"/>
      <w:szCs w:val="24"/>
    </w:rPr>
  </w:style>
  <w:style w:type="character" w:customStyle="1" w:styleId="af3">
    <w:name w:val="本文縮排 字元"/>
    <w:basedOn w:val="a0"/>
    <w:link w:val="af2"/>
    <w:semiHidden/>
    <w:rsid w:val="00C9675F"/>
    <w:rPr>
      <w:rFonts w:ascii="標楷體" w:eastAsia="標楷體" w:hAnsi="標楷體" w:cs="Times New Roman"/>
      <w:kern w:val="0"/>
      <w:szCs w:val="24"/>
    </w:rPr>
  </w:style>
  <w:style w:type="paragraph" w:customStyle="1" w:styleId="Default">
    <w:name w:val="Default"/>
    <w:rsid w:val="00C9675F"/>
    <w:pPr>
      <w:widowControl w:val="0"/>
      <w:autoSpaceDE w:val="0"/>
      <w:autoSpaceDN w:val="0"/>
      <w:adjustRightInd w:val="0"/>
    </w:pPr>
    <w:rPr>
      <w:rFonts w:ascii="標楷體" w:eastAsia="標楷體" w:hAnsi="Calibri" w:cs="標楷體"/>
      <w:color w:val="000000"/>
      <w:kern w:val="0"/>
      <w:szCs w:val="24"/>
    </w:rPr>
  </w:style>
  <w:style w:type="paragraph" w:styleId="af4">
    <w:name w:val="footnote text"/>
    <w:basedOn w:val="a"/>
    <w:link w:val="af5"/>
    <w:uiPriority w:val="99"/>
    <w:semiHidden/>
    <w:unhideWhenUsed/>
    <w:rsid w:val="00672E5E"/>
    <w:pPr>
      <w:snapToGrid w:val="0"/>
    </w:pPr>
    <w:rPr>
      <w:sz w:val="20"/>
      <w:szCs w:val="20"/>
    </w:rPr>
  </w:style>
  <w:style w:type="character" w:customStyle="1" w:styleId="af5">
    <w:name w:val="註腳文字 字元"/>
    <w:basedOn w:val="a0"/>
    <w:link w:val="af4"/>
    <w:uiPriority w:val="99"/>
    <w:semiHidden/>
    <w:rsid w:val="00672E5E"/>
    <w:rPr>
      <w:sz w:val="20"/>
      <w:szCs w:val="20"/>
    </w:rPr>
  </w:style>
  <w:style w:type="character" w:styleId="af6">
    <w:name w:val="footnote reference"/>
    <w:basedOn w:val="a0"/>
    <w:uiPriority w:val="99"/>
    <w:semiHidden/>
    <w:unhideWhenUsed/>
    <w:rsid w:val="00672E5E"/>
    <w:rPr>
      <w:vertAlign w:val="superscript"/>
    </w:rPr>
  </w:style>
  <w:style w:type="paragraph" w:styleId="af7">
    <w:name w:val="Document Map"/>
    <w:basedOn w:val="a"/>
    <w:link w:val="af8"/>
    <w:uiPriority w:val="99"/>
    <w:semiHidden/>
    <w:unhideWhenUsed/>
    <w:rsid w:val="00257ED0"/>
    <w:rPr>
      <w:rFonts w:ascii="新細明體" w:eastAsia="新細明體"/>
      <w:sz w:val="18"/>
      <w:szCs w:val="18"/>
    </w:rPr>
  </w:style>
  <w:style w:type="character" w:customStyle="1" w:styleId="af8">
    <w:name w:val="文件引導模式 字元"/>
    <w:basedOn w:val="a0"/>
    <w:link w:val="af7"/>
    <w:uiPriority w:val="99"/>
    <w:semiHidden/>
    <w:rsid w:val="00257ED0"/>
    <w:rPr>
      <w:rFonts w:ascii="新細明體" w:eastAsia="新細明體"/>
      <w:sz w:val="18"/>
      <w:szCs w:val="18"/>
    </w:rPr>
  </w:style>
  <w:style w:type="character" w:customStyle="1" w:styleId="40">
    <w:name w:val="標題 4 字元"/>
    <w:basedOn w:val="a0"/>
    <w:link w:val="4"/>
    <w:uiPriority w:val="9"/>
    <w:rsid w:val="00C26FBA"/>
    <w:rPr>
      <w:rFonts w:asciiTheme="majorHAnsi" w:eastAsiaTheme="majorEastAsia" w:hAnsiTheme="majorHAnsi" w:cstheme="majorBidi"/>
      <w:sz w:val="36"/>
      <w:szCs w:val="36"/>
    </w:rPr>
  </w:style>
  <w:style w:type="paragraph" w:styleId="af9">
    <w:name w:val="No Spacing"/>
    <w:uiPriority w:val="1"/>
    <w:qFormat/>
    <w:rsid w:val="00033244"/>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1743">
      <w:bodyDiv w:val="1"/>
      <w:marLeft w:val="0"/>
      <w:marRight w:val="0"/>
      <w:marTop w:val="0"/>
      <w:marBottom w:val="0"/>
      <w:divBdr>
        <w:top w:val="none" w:sz="0" w:space="0" w:color="auto"/>
        <w:left w:val="none" w:sz="0" w:space="0" w:color="auto"/>
        <w:bottom w:val="none" w:sz="0" w:space="0" w:color="auto"/>
        <w:right w:val="none" w:sz="0" w:space="0" w:color="auto"/>
      </w:divBdr>
    </w:div>
    <w:div w:id="237251960">
      <w:bodyDiv w:val="1"/>
      <w:marLeft w:val="0"/>
      <w:marRight w:val="0"/>
      <w:marTop w:val="0"/>
      <w:marBottom w:val="0"/>
      <w:divBdr>
        <w:top w:val="none" w:sz="0" w:space="0" w:color="auto"/>
        <w:left w:val="none" w:sz="0" w:space="0" w:color="auto"/>
        <w:bottom w:val="none" w:sz="0" w:space="0" w:color="auto"/>
        <w:right w:val="none" w:sz="0" w:space="0" w:color="auto"/>
      </w:divBdr>
    </w:div>
    <w:div w:id="376971578">
      <w:bodyDiv w:val="1"/>
      <w:marLeft w:val="0"/>
      <w:marRight w:val="0"/>
      <w:marTop w:val="0"/>
      <w:marBottom w:val="0"/>
      <w:divBdr>
        <w:top w:val="none" w:sz="0" w:space="0" w:color="auto"/>
        <w:left w:val="none" w:sz="0" w:space="0" w:color="auto"/>
        <w:bottom w:val="none" w:sz="0" w:space="0" w:color="auto"/>
        <w:right w:val="none" w:sz="0" w:space="0" w:color="auto"/>
      </w:divBdr>
    </w:div>
    <w:div w:id="563561979">
      <w:bodyDiv w:val="1"/>
      <w:marLeft w:val="0"/>
      <w:marRight w:val="0"/>
      <w:marTop w:val="0"/>
      <w:marBottom w:val="0"/>
      <w:divBdr>
        <w:top w:val="none" w:sz="0" w:space="0" w:color="auto"/>
        <w:left w:val="none" w:sz="0" w:space="0" w:color="auto"/>
        <w:bottom w:val="none" w:sz="0" w:space="0" w:color="auto"/>
        <w:right w:val="none" w:sz="0" w:space="0" w:color="auto"/>
      </w:divBdr>
    </w:div>
    <w:div w:id="614210407">
      <w:bodyDiv w:val="1"/>
      <w:marLeft w:val="0"/>
      <w:marRight w:val="0"/>
      <w:marTop w:val="0"/>
      <w:marBottom w:val="0"/>
      <w:divBdr>
        <w:top w:val="none" w:sz="0" w:space="0" w:color="auto"/>
        <w:left w:val="none" w:sz="0" w:space="0" w:color="auto"/>
        <w:bottom w:val="none" w:sz="0" w:space="0" w:color="auto"/>
        <w:right w:val="none" w:sz="0" w:space="0" w:color="auto"/>
      </w:divBdr>
    </w:div>
    <w:div w:id="690837793">
      <w:bodyDiv w:val="1"/>
      <w:marLeft w:val="0"/>
      <w:marRight w:val="0"/>
      <w:marTop w:val="0"/>
      <w:marBottom w:val="0"/>
      <w:divBdr>
        <w:top w:val="none" w:sz="0" w:space="0" w:color="auto"/>
        <w:left w:val="none" w:sz="0" w:space="0" w:color="auto"/>
        <w:bottom w:val="none" w:sz="0" w:space="0" w:color="auto"/>
        <w:right w:val="none" w:sz="0" w:space="0" w:color="auto"/>
      </w:divBdr>
    </w:div>
    <w:div w:id="793864139">
      <w:bodyDiv w:val="1"/>
      <w:marLeft w:val="0"/>
      <w:marRight w:val="0"/>
      <w:marTop w:val="0"/>
      <w:marBottom w:val="0"/>
      <w:divBdr>
        <w:top w:val="none" w:sz="0" w:space="0" w:color="auto"/>
        <w:left w:val="none" w:sz="0" w:space="0" w:color="auto"/>
        <w:bottom w:val="none" w:sz="0" w:space="0" w:color="auto"/>
        <w:right w:val="none" w:sz="0" w:space="0" w:color="auto"/>
      </w:divBdr>
    </w:div>
    <w:div w:id="979959819">
      <w:bodyDiv w:val="1"/>
      <w:marLeft w:val="0"/>
      <w:marRight w:val="0"/>
      <w:marTop w:val="0"/>
      <w:marBottom w:val="0"/>
      <w:divBdr>
        <w:top w:val="none" w:sz="0" w:space="0" w:color="auto"/>
        <w:left w:val="none" w:sz="0" w:space="0" w:color="auto"/>
        <w:bottom w:val="none" w:sz="0" w:space="0" w:color="auto"/>
        <w:right w:val="none" w:sz="0" w:space="0" w:color="auto"/>
      </w:divBdr>
    </w:div>
    <w:div w:id="999967742">
      <w:bodyDiv w:val="1"/>
      <w:marLeft w:val="0"/>
      <w:marRight w:val="0"/>
      <w:marTop w:val="0"/>
      <w:marBottom w:val="0"/>
      <w:divBdr>
        <w:top w:val="none" w:sz="0" w:space="0" w:color="auto"/>
        <w:left w:val="none" w:sz="0" w:space="0" w:color="auto"/>
        <w:bottom w:val="none" w:sz="0" w:space="0" w:color="auto"/>
        <w:right w:val="none" w:sz="0" w:space="0" w:color="auto"/>
      </w:divBdr>
    </w:div>
    <w:div w:id="1395012092">
      <w:bodyDiv w:val="1"/>
      <w:marLeft w:val="0"/>
      <w:marRight w:val="0"/>
      <w:marTop w:val="0"/>
      <w:marBottom w:val="0"/>
      <w:divBdr>
        <w:top w:val="none" w:sz="0" w:space="0" w:color="auto"/>
        <w:left w:val="none" w:sz="0" w:space="0" w:color="auto"/>
        <w:bottom w:val="none" w:sz="0" w:space="0" w:color="auto"/>
        <w:right w:val="none" w:sz="0" w:space="0" w:color="auto"/>
      </w:divBdr>
    </w:div>
    <w:div w:id="1405757722">
      <w:bodyDiv w:val="1"/>
      <w:marLeft w:val="0"/>
      <w:marRight w:val="0"/>
      <w:marTop w:val="0"/>
      <w:marBottom w:val="0"/>
      <w:divBdr>
        <w:top w:val="none" w:sz="0" w:space="0" w:color="auto"/>
        <w:left w:val="none" w:sz="0" w:space="0" w:color="auto"/>
        <w:bottom w:val="none" w:sz="0" w:space="0" w:color="auto"/>
        <w:right w:val="none" w:sz="0" w:space="0" w:color="auto"/>
      </w:divBdr>
    </w:div>
    <w:div w:id="1901941706">
      <w:bodyDiv w:val="1"/>
      <w:marLeft w:val="0"/>
      <w:marRight w:val="0"/>
      <w:marTop w:val="0"/>
      <w:marBottom w:val="0"/>
      <w:divBdr>
        <w:top w:val="none" w:sz="0" w:space="0" w:color="auto"/>
        <w:left w:val="none" w:sz="0" w:space="0" w:color="auto"/>
        <w:bottom w:val="none" w:sz="0" w:space="0" w:color="auto"/>
        <w:right w:val="none" w:sz="0" w:space="0" w:color="auto"/>
      </w:divBdr>
    </w:div>
    <w:div w:id="20472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1B1FE-C376-46A0-9584-2AD8D57F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dc:creator>
  <cp:lastModifiedBy>鄧淑芬</cp:lastModifiedBy>
  <cp:revision>4</cp:revision>
  <cp:lastPrinted>2018-11-29T02:32:00Z</cp:lastPrinted>
  <dcterms:created xsi:type="dcterms:W3CDTF">2018-12-19T08:51:00Z</dcterms:created>
  <dcterms:modified xsi:type="dcterms:W3CDTF">2018-12-19T09:09:00Z</dcterms:modified>
</cp:coreProperties>
</file>