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CB785" w14:textId="5F38884E" w:rsidR="00DA7D61" w:rsidRDefault="0094335E" w:rsidP="00165CE0">
      <w:pPr>
        <w:spacing w:afterLines="100" w:after="360" w:line="400" w:lineRule="exact"/>
        <w:ind w:rightChars="-82" w:right="-197"/>
        <w:rPr>
          <w:rFonts w:ascii="Times New Roman" w:eastAsia="標楷體" w:hAnsi="Times New Roman"/>
          <w:b/>
          <w:bCs/>
          <w:sz w:val="28"/>
          <w:szCs w:val="28"/>
        </w:rPr>
      </w:pPr>
      <w:r w:rsidRPr="00F75A13">
        <w:rPr>
          <w:rFonts w:ascii="Times New Roman" w:eastAsia="標楷體" w:hAnsi="Times New Roman" w:hint="eastAsia"/>
          <w:b/>
          <w:bCs/>
          <w:sz w:val="28"/>
          <w:szCs w:val="28"/>
        </w:rPr>
        <w:t>財團法人中華民國證券櫃檯買賣中心證券商營業處所債券附條件買賣交易細則</w:t>
      </w:r>
      <w:r w:rsidR="00B90C55">
        <w:rPr>
          <w:rFonts w:ascii="Times New Roman" w:eastAsia="標楷體" w:hAnsi="Times New Roman" w:hint="eastAsia"/>
          <w:b/>
          <w:bCs/>
          <w:sz w:val="28"/>
          <w:szCs w:val="28"/>
        </w:rPr>
        <w:t>第</w:t>
      </w:r>
      <w:r w:rsidRPr="00F75A13">
        <w:rPr>
          <w:rFonts w:ascii="Times New Roman" w:eastAsia="標楷體" w:hAnsi="Times New Roman" w:hint="eastAsia"/>
          <w:b/>
          <w:bCs/>
          <w:sz w:val="28"/>
          <w:szCs w:val="28"/>
        </w:rPr>
        <w:t>十一條之</w:t>
      </w:r>
      <w:r w:rsidR="00F75A13">
        <w:rPr>
          <w:rFonts w:ascii="Times New Roman" w:eastAsia="標楷體" w:hAnsi="Times New Roman" w:hint="eastAsia"/>
          <w:b/>
          <w:bCs/>
          <w:sz w:val="28"/>
          <w:szCs w:val="28"/>
        </w:rPr>
        <w:t>二</w:t>
      </w:r>
      <w:r w:rsidRPr="00F75A13">
        <w:rPr>
          <w:rFonts w:ascii="Times New Roman" w:eastAsia="標楷體" w:hAnsi="Times New Roman" w:hint="eastAsia"/>
          <w:b/>
          <w:bCs/>
          <w:sz w:val="28"/>
          <w:szCs w:val="28"/>
        </w:rPr>
        <w:t>修正條文對照表</w:t>
      </w:r>
    </w:p>
    <w:p w14:paraId="3BA7526F" w14:textId="77777777" w:rsidR="00FB410B" w:rsidRPr="008348E0" w:rsidRDefault="00FB410B" w:rsidP="00FB410B">
      <w:pPr>
        <w:spacing w:beforeLines="50" w:before="180" w:afterLines="50" w:after="180"/>
        <w:ind w:leftChars="59" w:left="142" w:rightChars="-378" w:right="-907"/>
        <w:jc w:val="right"/>
        <w:rPr>
          <w:rFonts w:ascii="Times New Roman" w:eastAsia="標楷體" w:hAnsi="Times New Roman"/>
        </w:rPr>
      </w:pPr>
      <w:r w:rsidRPr="00556BB9">
        <w:rPr>
          <w:rFonts w:ascii="Times New Roman" w:eastAsia="標楷體" w:hAnsi="Times New Roman"/>
        </w:rPr>
        <w:t>金融監督管理委員會</w:t>
      </w:r>
      <w:r w:rsidRPr="008348E0">
        <w:rPr>
          <w:rFonts w:ascii="Times New Roman" w:eastAsia="標楷體" w:hAnsi="Times New Roman" w:hint="eastAsia"/>
        </w:rPr>
        <w:t>113</w:t>
      </w:r>
      <w:r w:rsidRPr="008348E0">
        <w:rPr>
          <w:rFonts w:ascii="Times New Roman" w:eastAsia="標楷體" w:hAnsi="Times New Roman" w:hint="eastAsia"/>
        </w:rPr>
        <w:t>年</w:t>
      </w:r>
      <w:r w:rsidRPr="008348E0">
        <w:rPr>
          <w:rFonts w:ascii="Times New Roman" w:eastAsia="標楷體" w:hAnsi="Times New Roman" w:hint="eastAsia"/>
        </w:rPr>
        <w:t>4</w:t>
      </w:r>
      <w:r w:rsidRPr="008348E0">
        <w:rPr>
          <w:rFonts w:ascii="Times New Roman" w:eastAsia="標楷體" w:hAnsi="Times New Roman" w:hint="eastAsia"/>
        </w:rPr>
        <w:t>月</w:t>
      </w:r>
      <w:r w:rsidRPr="008348E0">
        <w:rPr>
          <w:rFonts w:ascii="Times New Roman" w:eastAsia="標楷體" w:hAnsi="Times New Roman" w:hint="eastAsia"/>
        </w:rPr>
        <w:t>10</w:t>
      </w:r>
      <w:r w:rsidRPr="008348E0">
        <w:rPr>
          <w:rFonts w:ascii="Times New Roman" w:eastAsia="標楷體" w:hAnsi="Times New Roman" w:hint="eastAsia"/>
        </w:rPr>
        <w:t>日金管證券字第</w:t>
      </w:r>
      <w:r w:rsidRPr="008348E0">
        <w:rPr>
          <w:rFonts w:ascii="Times New Roman" w:eastAsia="標楷體" w:hAnsi="Times New Roman" w:hint="eastAsia"/>
        </w:rPr>
        <w:t>1130133589</w:t>
      </w:r>
      <w:r w:rsidRPr="008348E0">
        <w:rPr>
          <w:rFonts w:ascii="Times New Roman" w:eastAsia="標楷體" w:hAnsi="Times New Roman" w:hint="eastAsia"/>
        </w:rPr>
        <w:t>號函</w:t>
      </w:r>
      <w:r w:rsidRPr="00556BB9">
        <w:rPr>
          <w:rFonts w:ascii="Times New Roman" w:eastAsia="標楷體" w:hAnsi="Times New Roman"/>
        </w:rPr>
        <w:t>同意</w:t>
      </w:r>
      <w:r>
        <w:rPr>
          <w:rFonts w:ascii="Times New Roman" w:eastAsia="標楷體" w:hAnsi="Times New Roman" w:hint="eastAsia"/>
        </w:rPr>
        <w:t>照辦</w:t>
      </w:r>
    </w:p>
    <w:tbl>
      <w:tblPr>
        <w:tblW w:w="963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56"/>
        <w:gridCol w:w="3260"/>
        <w:gridCol w:w="3123"/>
      </w:tblGrid>
      <w:tr w:rsidR="00042D95" w:rsidRPr="00042D95" w14:paraId="4A3D05FB" w14:textId="77777777" w:rsidTr="007555D2">
        <w:tc>
          <w:tcPr>
            <w:tcW w:w="3256" w:type="dxa"/>
          </w:tcPr>
          <w:p w14:paraId="5E66B6B9" w14:textId="77777777" w:rsidR="0094335E" w:rsidRPr="00042D95" w:rsidRDefault="0094335E" w:rsidP="00BE11D2">
            <w:pPr>
              <w:pStyle w:val="HTML"/>
              <w:jc w:val="distribute"/>
              <w:rPr>
                <w:rFonts w:eastAsia="標楷體"/>
                <w:b/>
                <w:bCs/>
                <w:color w:val="auto"/>
              </w:rPr>
            </w:pPr>
            <w:r w:rsidRPr="00042D95">
              <w:rPr>
                <w:rFonts w:ascii="Times New Roman" w:eastAsia="標楷體" w:hAnsi="Times New Roman" w:hint="eastAsia"/>
                <w:b/>
                <w:bCs/>
                <w:color w:val="auto"/>
                <w:sz w:val="24"/>
              </w:rPr>
              <w:t>修正條文</w:t>
            </w:r>
          </w:p>
        </w:tc>
        <w:tc>
          <w:tcPr>
            <w:tcW w:w="3260" w:type="dxa"/>
          </w:tcPr>
          <w:p w14:paraId="257CC940" w14:textId="77777777" w:rsidR="0094335E" w:rsidRPr="00042D95" w:rsidRDefault="0094335E" w:rsidP="00BE11D2">
            <w:pPr>
              <w:jc w:val="distribute"/>
              <w:rPr>
                <w:rFonts w:eastAsia="標楷體"/>
                <w:b/>
                <w:bCs/>
              </w:rPr>
            </w:pPr>
            <w:r w:rsidRPr="00042D95">
              <w:rPr>
                <w:rFonts w:eastAsia="標楷體" w:hint="eastAsia"/>
                <w:b/>
                <w:bCs/>
              </w:rPr>
              <w:t>現行條文</w:t>
            </w:r>
          </w:p>
        </w:tc>
        <w:tc>
          <w:tcPr>
            <w:tcW w:w="3123" w:type="dxa"/>
          </w:tcPr>
          <w:p w14:paraId="3F416142" w14:textId="77777777" w:rsidR="0094335E" w:rsidRPr="00042D95" w:rsidRDefault="0094335E" w:rsidP="00BE11D2">
            <w:pPr>
              <w:jc w:val="distribute"/>
              <w:rPr>
                <w:rFonts w:eastAsia="標楷體"/>
                <w:b/>
                <w:bCs/>
              </w:rPr>
            </w:pPr>
            <w:r w:rsidRPr="00042D95">
              <w:rPr>
                <w:rFonts w:eastAsia="標楷體" w:hint="eastAsia"/>
                <w:b/>
                <w:bCs/>
              </w:rPr>
              <w:t>說明</w:t>
            </w:r>
          </w:p>
        </w:tc>
      </w:tr>
      <w:tr w:rsidR="00042D95" w:rsidRPr="00042D95" w14:paraId="71CBF781" w14:textId="77777777" w:rsidTr="007555D2">
        <w:tc>
          <w:tcPr>
            <w:tcW w:w="3256" w:type="dxa"/>
          </w:tcPr>
          <w:p w14:paraId="221B4255" w14:textId="18E4CB43" w:rsidR="0094335E" w:rsidRPr="00042D95" w:rsidRDefault="0094335E" w:rsidP="00B53554">
            <w:pPr>
              <w:pStyle w:val="HTML"/>
              <w:widowControl w:val="0"/>
              <w:spacing w:line="360" w:lineRule="exact"/>
              <w:ind w:left="255" w:right="-6" w:hanging="255"/>
              <w:rPr>
                <w:color w:val="auto"/>
              </w:rPr>
            </w:pPr>
            <w:r w:rsidRPr="00042D95">
              <w:rPr>
                <w:rFonts w:ascii="標楷體" w:eastAsia="標楷體" w:hint="eastAsia"/>
                <w:color w:val="auto"/>
                <w:sz w:val="24"/>
              </w:rPr>
              <w:t>第十一條之</w:t>
            </w:r>
            <w:r w:rsidR="00F75A13" w:rsidRPr="00042D95">
              <w:rPr>
                <w:rFonts w:ascii="標楷體" w:eastAsia="標楷體" w:hint="eastAsia"/>
                <w:color w:val="auto"/>
                <w:sz w:val="24"/>
              </w:rPr>
              <w:t>二</w:t>
            </w:r>
          </w:p>
          <w:p w14:paraId="0ACC69AF" w14:textId="75C85706" w:rsidR="0094335E" w:rsidRPr="00042D95" w:rsidRDefault="00F75A13" w:rsidP="00B813D3">
            <w:pPr>
              <w:pStyle w:val="HTML"/>
              <w:spacing w:line="360" w:lineRule="exact"/>
              <w:ind w:left="1"/>
              <w:jc w:val="both"/>
              <w:rPr>
                <w:rFonts w:ascii="標楷體" w:eastAsia="標楷體"/>
                <w:color w:val="auto"/>
                <w:sz w:val="24"/>
              </w:rPr>
            </w:pPr>
            <w:r w:rsidRPr="00042D95">
              <w:rPr>
                <w:rFonts w:ascii="標楷體" w:eastAsia="標楷體" w:hint="eastAsia"/>
                <w:color w:val="auto"/>
                <w:sz w:val="24"/>
              </w:rPr>
              <w:t>證券商與具有下列關係者為附條件交易時，其交易條件不得優於其他同類交易對象：</w:t>
            </w:r>
          </w:p>
          <w:p w14:paraId="6C85B428" w14:textId="45AD8DB5" w:rsidR="00B2427D" w:rsidRPr="00042D95" w:rsidRDefault="00B2427D" w:rsidP="00B2427D">
            <w:pPr>
              <w:pStyle w:val="HTML"/>
              <w:spacing w:line="360" w:lineRule="exact"/>
              <w:ind w:leftChars="16" w:left="460" w:hangingChars="176" w:hanging="422"/>
              <w:jc w:val="both"/>
              <w:rPr>
                <w:rFonts w:ascii="標楷體" w:eastAsia="標楷體"/>
                <w:color w:val="auto"/>
                <w:sz w:val="24"/>
              </w:rPr>
            </w:pPr>
            <w:r w:rsidRPr="00042D95">
              <w:rPr>
                <w:rFonts w:ascii="標楷體" w:eastAsia="標楷體" w:hint="eastAsia"/>
                <w:color w:val="auto"/>
                <w:sz w:val="24"/>
              </w:rPr>
              <w:t>一、證券商之董事、監察人、經理人</w:t>
            </w:r>
            <w:r w:rsidR="00127FCC" w:rsidRPr="00042D95">
              <w:rPr>
                <w:rFonts w:ascii="標楷體" w:eastAsia="標楷體" w:hint="eastAsia"/>
                <w:color w:val="auto"/>
                <w:sz w:val="24"/>
              </w:rPr>
              <w:t>、</w:t>
            </w:r>
            <w:r w:rsidRPr="00042D95">
              <w:rPr>
                <w:rFonts w:ascii="標楷體" w:eastAsia="標楷體" w:hint="eastAsia"/>
                <w:color w:val="auto"/>
                <w:sz w:val="24"/>
              </w:rPr>
              <w:t>或直接或間接持有其股份總額達百分之十以上之股東。</w:t>
            </w:r>
          </w:p>
          <w:p w14:paraId="300EEC8E" w14:textId="77777777" w:rsidR="00B2427D" w:rsidRPr="00042D95" w:rsidRDefault="00B2427D" w:rsidP="00B2427D">
            <w:pPr>
              <w:pStyle w:val="HTML"/>
              <w:spacing w:line="360" w:lineRule="exact"/>
              <w:ind w:leftChars="16" w:left="460" w:hangingChars="176" w:hanging="422"/>
              <w:jc w:val="both"/>
              <w:rPr>
                <w:rFonts w:ascii="標楷體" w:eastAsia="標楷體"/>
                <w:color w:val="auto"/>
                <w:sz w:val="24"/>
              </w:rPr>
            </w:pPr>
            <w:r w:rsidRPr="00042D95">
              <w:rPr>
                <w:rFonts w:ascii="標楷體" w:eastAsia="標楷體" w:hint="eastAsia"/>
                <w:color w:val="auto"/>
                <w:sz w:val="24"/>
              </w:rPr>
              <w:t>二、第一款身分者之配偶、未成年子女及利用他人名義持有者。</w:t>
            </w:r>
          </w:p>
          <w:p w14:paraId="1F883A54" w14:textId="2E22403B" w:rsidR="00B813D3" w:rsidRPr="00042D95" w:rsidRDefault="00B2427D" w:rsidP="00B2427D">
            <w:pPr>
              <w:pStyle w:val="HTML"/>
              <w:spacing w:line="360" w:lineRule="exact"/>
              <w:ind w:leftChars="16" w:left="460" w:hangingChars="176" w:hanging="422"/>
              <w:jc w:val="both"/>
              <w:rPr>
                <w:rFonts w:ascii="標楷體" w:eastAsia="標楷體"/>
                <w:color w:val="auto"/>
                <w:sz w:val="24"/>
              </w:rPr>
            </w:pPr>
            <w:r w:rsidRPr="00042D95">
              <w:rPr>
                <w:rFonts w:ascii="標楷體" w:eastAsia="標楷體" w:hint="eastAsia"/>
                <w:color w:val="auto"/>
                <w:sz w:val="24"/>
              </w:rPr>
              <w:t>三、前二款身分者直接或間接持有股份總額百分之十以上之轉投資公司</w:t>
            </w:r>
            <w:r w:rsidR="00B813D3" w:rsidRPr="00042D95">
              <w:rPr>
                <w:rFonts w:ascii="標楷體" w:eastAsia="標楷體" w:hint="eastAsia"/>
                <w:color w:val="auto"/>
                <w:sz w:val="24"/>
              </w:rPr>
              <w:t>。</w:t>
            </w:r>
          </w:p>
          <w:p w14:paraId="7306EB5A" w14:textId="09218E7E" w:rsidR="006F19B6" w:rsidRPr="00042D95" w:rsidRDefault="006F19B6" w:rsidP="00F07B9A">
            <w:pPr>
              <w:pStyle w:val="HTML"/>
              <w:spacing w:line="360" w:lineRule="exact"/>
              <w:ind w:leftChars="16" w:left="460" w:hangingChars="176" w:hanging="422"/>
              <w:jc w:val="both"/>
              <w:rPr>
                <w:rFonts w:ascii="標楷體" w:eastAsia="標楷體"/>
                <w:color w:val="auto"/>
                <w:sz w:val="24"/>
                <w:u w:val="single"/>
              </w:rPr>
            </w:pPr>
            <w:r w:rsidRPr="00042D95">
              <w:rPr>
                <w:rFonts w:ascii="標楷體" w:eastAsia="標楷體" w:hint="eastAsia"/>
                <w:color w:val="auto"/>
                <w:sz w:val="24"/>
                <w:u w:val="single"/>
              </w:rPr>
              <w:t>四、證券商之受僱人員</w:t>
            </w:r>
            <w:r w:rsidR="00F07B9A" w:rsidRPr="00042D95">
              <w:rPr>
                <w:rFonts w:ascii="標楷體" w:eastAsia="標楷體" w:hint="eastAsia"/>
                <w:color w:val="auto"/>
                <w:sz w:val="24"/>
                <w:u w:val="single"/>
              </w:rPr>
              <w:t>。</w:t>
            </w:r>
          </w:p>
          <w:p w14:paraId="44251DD3" w14:textId="77777777" w:rsidR="0094335E" w:rsidRPr="00042D95" w:rsidRDefault="00B813D3" w:rsidP="00B813D3">
            <w:pPr>
              <w:pStyle w:val="HTML"/>
              <w:spacing w:line="360" w:lineRule="exact"/>
              <w:ind w:leftChars="11" w:left="26"/>
              <w:jc w:val="both"/>
              <w:rPr>
                <w:rFonts w:ascii="標楷體" w:eastAsia="標楷體"/>
                <w:color w:val="auto"/>
                <w:sz w:val="24"/>
              </w:rPr>
            </w:pPr>
            <w:r w:rsidRPr="00042D95">
              <w:rPr>
                <w:rFonts w:ascii="標楷體" w:eastAsia="標楷體" w:hint="eastAsia"/>
                <w:color w:val="auto"/>
                <w:sz w:val="24"/>
              </w:rPr>
              <w:t>前項第一款股東持有股份總額之計算，應計入其配偶、未成年子女及利用他人名義持有之股數。</w:t>
            </w:r>
          </w:p>
          <w:p w14:paraId="1E589EFD" w14:textId="7145AC64" w:rsidR="004802EC" w:rsidRPr="00042D95" w:rsidRDefault="007F4B8C" w:rsidP="00B813D3">
            <w:pPr>
              <w:pStyle w:val="HTML"/>
              <w:spacing w:line="360" w:lineRule="exact"/>
              <w:ind w:leftChars="11" w:left="26"/>
              <w:jc w:val="both"/>
              <w:rPr>
                <w:rFonts w:ascii="標楷體" w:eastAsia="標楷體"/>
                <w:color w:val="auto"/>
                <w:sz w:val="24"/>
                <w:u w:val="single"/>
              </w:rPr>
            </w:pPr>
            <w:r w:rsidRPr="00042D95">
              <w:rPr>
                <w:rFonts w:ascii="標楷體" w:eastAsia="標楷體" w:hint="eastAsia"/>
                <w:color w:val="auto"/>
                <w:sz w:val="24"/>
                <w:u w:val="single"/>
              </w:rPr>
              <w:t>證券商應將第一項規定納入內部控制及內部稽核項目</w:t>
            </w:r>
            <w:r w:rsidR="004802EC" w:rsidRPr="00042D95">
              <w:rPr>
                <w:rFonts w:ascii="標楷體" w:eastAsia="標楷體" w:hint="eastAsia"/>
                <w:color w:val="auto"/>
                <w:sz w:val="24"/>
                <w:u w:val="single"/>
              </w:rPr>
              <w:t>，</w:t>
            </w:r>
            <w:r w:rsidRPr="00042D95">
              <w:rPr>
                <w:rFonts w:ascii="標楷體" w:eastAsia="標楷體" w:hint="eastAsia"/>
                <w:color w:val="auto"/>
                <w:sz w:val="24"/>
                <w:u w:val="single"/>
              </w:rPr>
              <w:t>並</w:t>
            </w:r>
            <w:r w:rsidR="00B5650C" w:rsidRPr="00042D95">
              <w:rPr>
                <w:rFonts w:ascii="標楷體" w:eastAsia="標楷體" w:hint="eastAsia"/>
                <w:color w:val="auto"/>
                <w:sz w:val="24"/>
                <w:u w:val="single"/>
              </w:rPr>
              <w:t>審慎檢核承作額度及</w:t>
            </w:r>
            <w:r w:rsidR="00072AB3" w:rsidRPr="00042D95">
              <w:rPr>
                <w:rFonts w:ascii="標楷體" w:eastAsia="標楷體" w:hint="eastAsia"/>
                <w:color w:val="auto"/>
                <w:sz w:val="24"/>
                <w:u w:val="single"/>
              </w:rPr>
              <w:t>交易條件</w:t>
            </w:r>
            <w:r w:rsidR="00B5650C" w:rsidRPr="00042D95">
              <w:rPr>
                <w:rFonts w:ascii="標楷體" w:eastAsia="標楷體" w:hint="eastAsia"/>
                <w:color w:val="auto"/>
                <w:sz w:val="24"/>
                <w:u w:val="single"/>
              </w:rPr>
              <w:t>之合理性，</w:t>
            </w:r>
            <w:r w:rsidR="004802EC" w:rsidRPr="00042D95">
              <w:rPr>
                <w:rFonts w:ascii="標楷體" w:eastAsia="標楷體" w:hint="eastAsia"/>
                <w:color w:val="auto"/>
                <w:sz w:val="24"/>
                <w:u w:val="single"/>
              </w:rPr>
              <w:t>以避免影響</w:t>
            </w:r>
            <w:r w:rsidR="009A0071" w:rsidRPr="00042D95">
              <w:rPr>
                <w:rFonts w:ascii="標楷體" w:eastAsia="標楷體" w:hint="eastAsia"/>
                <w:color w:val="auto"/>
                <w:sz w:val="24"/>
                <w:u w:val="single"/>
              </w:rPr>
              <w:t>證券商或</w:t>
            </w:r>
            <w:r w:rsidR="004802EC" w:rsidRPr="00042D95">
              <w:rPr>
                <w:rFonts w:ascii="標楷體" w:eastAsia="標楷體" w:hint="eastAsia"/>
                <w:color w:val="auto"/>
                <w:sz w:val="24"/>
                <w:u w:val="single"/>
              </w:rPr>
              <w:t>其他</w:t>
            </w:r>
            <w:r w:rsidR="00D34E2E" w:rsidRPr="00042D95">
              <w:rPr>
                <w:rFonts w:ascii="標楷體" w:eastAsia="標楷體" w:hint="eastAsia"/>
                <w:color w:val="auto"/>
                <w:sz w:val="24"/>
                <w:u w:val="single"/>
              </w:rPr>
              <w:t>交易對象</w:t>
            </w:r>
            <w:r w:rsidR="004802EC" w:rsidRPr="00042D95">
              <w:rPr>
                <w:rFonts w:ascii="標楷體" w:eastAsia="標楷體" w:hint="eastAsia"/>
                <w:color w:val="auto"/>
                <w:sz w:val="24"/>
                <w:u w:val="single"/>
              </w:rPr>
              <w:t>之權益。</w:t>
            </w:r>
          </w:p>
          <w:p w14:paraId="5EFF17E5" w14:textId="4DE67D10" w:rsidR="004802EC" w:rsidRPr="00042D95" w:rsidRDefault="004802EC" w:rsidP="00B813D3">
            <w:pPr>
              <w:pStyle w:val="HTML"/>
              <w:spacing w:line="360" w:lineRule="exact"/>
              <w:ind w:leftChars="11" w:left="26"/>
              <w:jc w:val="both"/>
              <w:rPr>
                <w:rFonts w:ascii="標楷體" w:eastAsia="標楷體"/>
                <w:color w:val="auto"/>
                <w:sz w:val="24"/>
              </w:rPr>
            </w:pPr>
          </w:p>
        </w:tc>
        <w:tc>
          <w:tcPr>
            <w:tcW w:w="3260" w:type="dxa"/>
          </w:tcPr>
          <w:p w14:paraId="5EF604B6" w14:textId="77777777" w:rsidR="007555D2" w:rsidRPr="00042D95" w:rsidRDefault="007555D2" w:rsidP="00B53554">
            <w:pPr>
              <w:pStyle w:val="HTML"/>
              <w:widowControl w:val="0"/>
              <w:spacing w:line="360" w:lineRule="exact"/>
              <w:ind w:left="255" w:right="-6" w:hanging="255"/>
              <w:rPr>
                <w:color w:val="auto"/>
              </w:rPr>
            </w:pPr>
            <w:r w:rsidRPr="00042D95">
              <w:rPr>
                <w:rFonts w:ascii="標楷體" w:eastAsia="標楷體" w:hint="eastAsia"/>
                <w:color w:val="auto"/>
                <w:sz w:val="24"/>
              </w:rPr>
              <w:t>第十一條之二</w:t>
            </w:r>
          </w:p>
          <w:p w14:paraId="1F1FAAE3" w14:textId="77777777" w:rsidR="007555D2" w:rsidRPr="00042D95" w:rsidRDefault="007555D2" w:rsidP="007555D2">
            <w:pPr>
              <w:pStyle w:val="HTML"/>
              <w:spacing w:line="360" w:lineRule="exact"/>
              <w:ind w:left="1"/>
              <w:jc w:val="both"/>
              <w:rPr>
                <w:rFonts w:ascii="標楷體" w:eastAsia="標楷體"/>
                <w:color w:val="auto"/>
                <w:sz w:val="24"/>
              </w:rPr>
            </w:pPr>
            <w:r w:rsidRPr="00042D95">
              <w:rPr>
                <w:rFonts w:ascii="標楷體" w:eastAsia="標楷體" w:hint="eastAsia"/>
                <w:color w:val="auto"/>
                <w:sz w:val="24"/>
              </w:rPr>
              <w:t>證券商與具有下列關係者為附條件交易時，其交易條件不得優於其他同類交易對象：</w:t>
            </w:r>
          </w:p>
          <w:p w14:paraId="1CEB881B" w14:textId="77777777" w:rsidR="007555D2" w:rsidRPr="00042D95" w:rsidRDefault="007555D2" w:rsidP="007555D2">
            <w:pPr>
              <w:pStyle w:val="HTML"/>
              <w:spacing w:line="360" w:lineRule="exact"/>
              <w:ind w:leftChars="16" w:left="460" w:hangingChars="176" w:hanging="422"/>
              <w:jc w:val="both"/>
              <w:rPr>
                <w:rFonts w:ascii="標楷體" w:eastAsia="標楷體"/>
                <w:color w:val="auto"/>
                <w:sz w:val="24"/>
              </w:rPr>
            </w:pPr>
            <w:r w:rsidRPr="00042D95">
              <w:rPr>
                <w:rFonts w:ascii="標楷體" w:eastAsia="標楷體" w:hint="eastAsia"/>
                <w:color w:val="auto"/>
                <w:sz w:val="24"/>
              </w:rPr>
              <w:t>一、證券商之董事、監察人、經理人或直接或間接持有其股份總額達百分之十以上之股東。</w:t>
            </w:r>
          </w:p>
          <w:p w14:paraId="12D12BC8" w14:textId="77777777" w:rsidR="007555D2" w:rsidRPr="00042D95" w:rsidRDefault="007555D2" w:rsidP="007555D2">
            <w:pPr>
              <w:pStyle w:val="HTML"/>
              <w:spacing w:line="360" w:lineRule="exact"/>
              <w:ind w:leftChars="16" w:left="460" w:hangingChars="176" w:hanging="422"/>
              <w:jc w:val="both"/>
              <w:rPr>
                <w:rFonts w:ascii="標楷體" w:eastAsia="標楷體"/>
                <w:color w:val="auto"/>
                <w:sz w:val="24"/>
              </w:rPr>
            </w:pPr>
            <w:r w:rsidRPr="00042D95">
              <w:rPr>
                <w:rFonts w:ascii="標楷體" w:eastAsia="標楷體" w:hint="eastAsia"/>
                <w:color w:val="auto"/>
                <w:sz w:val="24"/>
              </w:rPr>
              <w:t>二、第一款身分者之配偶、未成年子女及利用他人名義持有者。</w:t>
            </w:r>
          </w:p>
          <w:p w14:paraId="7D89656E" w14:textId="67643656" w:rsidR="007555D2" w:rsidRPr="00042D95" w:rsidRDefault="007555D2" w:rsidP="007555D2">
            <w:pPr>
              <w:pStyle w:val="HTML"/>
              <w:spacing w:line="360" w:lineRule="exact"/>
              <w:ind w:leftChars="16" w:left="460" w:hangingChars="176" w:hanging="422"/>
              <w:jc w:val="both"/>
              <w:rPr>
                <w:rFonts w:ascii="標楷體" w:eastAsia="標楷體"/>
                <w:color w:val="auto"/>
                <w:sz w:val="24"/>
              </w:rPr>
            </w:pPr>
            <w:r w:rsidRPr="00042D95">
              <w:rPr>
                <w:rFonts w:ascii="標楷體" w:eastAsia="標楷體" w:hint="eastAsia"/>
                <w:color w:val="auto"/>
                <w:sz w:val="24"/>
              </w:rPr>
              <w:t>三、前二款身分者直接或間接持有股份總額百分之十以上之轉投資公司。</w:t>
            </w:r>
          </w:p>
          <w:p w14:paraId="0A8574C9" w14:textId="77777777" w:rsidR="00F07B9A" w:rsidRPr="00042D95" w:rsidRDefault="00F07B9A" w:rsidP="007555D2">
            <w:pPr>
              <w:pStyle w:val="HTML"/>
              <w:spacing w:line="360" w:lineRule="exact"/>
              <w:ind w:leftChars="16" w:left="460" w:hangingChars="176" w:hanging="422"/>
              <w:jc w:val="both"/>
              <w:rPr>
                <w:rFonts w:ascii="標楷體" w:eastAsia="標楷體"/>
                <w:color w:val="auto"/>
                <w:sz w:val="24"/>
              </w:rPr>
            </w:pPr>
          </w:p>
          <w:p w14:paraId="0E94958E" w14:textId="1B051BA2" w:rsidR="0094335E" w:rsidRPr="00042D95" w:rsidRDefault="007555D2" w:rsidP="007555D2">
            <w:pPr>
              <w:pStyle w:val="HTML"/>
              <w:rPr>
                <w:rFonts w:ascii="標楷體" w:eastAsia="標楷體"/>
                <w:color w:val="auto"/>
                <w:sz w:val="24"/>
              </w:rPr>
            </w:pPr>
            <w:r w:rsidRPr="00042D95">
              <w:rPr>
                <w:rFonts w:ascii="標楷體" w:eastAsia="標楷體" w:hint="eastAsia"/>
                <w:color w:val="auto"/>
                <w:sz w:val="24"/>
              </w:rPr>
              <w:t>前項第一款股東持有股份總額之計算，應計入其配偶、未成年子女及利用他人名義持有之股數。</w:t>
            </w:r>
          </w:p>
        </w:tc>
        <w:tc>
          <w:tcPr>
            <w:tcW w:w="3123" w:type="dxa"/>
          </w:tcPr>
          <w:p w14:paraId="4BC1BF15" w14:textId="4E63F562" w:rsidR="00E900FC" w:rsidRPr="00042D95" w:rsidRDefault="001B4ED1" w:rsidP="00E900FC">
            <w:pPr>
              <w:pStyle w:val="a3"/>
              <w:numPr>
                <w:ilvl w:val="0"/>
                <w:numId w:val="11"/>
              </w:numPr>
              <w:spacing w:line="360" w:lineRule="exact"/>
              <w:ind w:leftChars="-1" w:left="533" w:right="-6" w:hangingChars="223" w:hanging="535"/>
              <w:jc w:val="both"/>
              <w:rPr>
                <w:rFonts w:ascii="標楷體" w:eastAsia="標楷體" w:hAnsi="Arial Unicode MS" w:cs="Arial Unicode MS"/>
                <w:kern w:val="0"/>
                <w:szCs w:val="24"/>
              </w:rPr>
            </w:pPr>
            <w:r w:rsidRPr="00042D95">
              <w:rPr>
                <w:rFonts w:ascii="標楷體" w:eastAsia="標楷體" w:hAnsi="Arial Unicode MS" w:cs="Arial Unicode MS" w:hint="eastAsia"/>
                <w:kern w:val="0"/>
                <w:szCs w:val="24"/>
              </w:rPr>
              <w:t>考量受僱人員為公司內部人員，為</w:t>
            </w:r>
            <w:r w:rsidR="007E1AF0" w:rsidRPr="00042D95">
              <w:rPr>
                <w:rFonts w:ascii="標楷體" w:eastAsia="標楷體" w:hAnsi="Arial Unicode MS" w:cs="Arial Unicode MS" w:hint="eastAsia"/>
                <w:kern w:val="0"/>
                <w:szCs w:val="24"/>
              </w:rPr>
              <w:t>防範利益衝突致損及證券商權益</w:t>
            </w:r>
            <w:r w:rsidR="0094335E" w:rsidRPr="00042D95">
              <w:rPr>
                <w:rFonts w:ascii="標楷體" w:eastAsia="標楷體" w:hAnsi="Arial Unicode MS" w:cs="Arial Unicode MS" w:hint="eastAsia"/>
                <w:kern w:val="0"/>
                <w:szCs w:val="24"/>
              </w:rPr>
              <w:t>，</w:t>
            </w:r>
            <w:r w:rsidR="00E900FC" w:rsidRPr="00042D95">
              <w:rPr>
                <w:rFonts w:ascii="標楷體" w:eastAsia="標楷體" w:hAnsi="Arial Unicode MS" w:cs="Arial Unicode MS" w:hint="eastAsia"/>
                <w:kern w:val="0"/>
                <w:szCs w:val="24"/>
              </w:rPr>
              <w:t>爰增訂第一項第四款，</w:t>
            </w:r>
            <w:r w:rsidR="0094335E" w:rsidRPr="00042D95">
              <w:rPr>
                <w:rFonts w:ascii="標楷體" w:eastAsia="標楷體" w:hAnsi="Arial Unicode MS" w:cs="Arial Unicode MS" w:hint="eastAsia"/>
                <w:kern w:val="0"/>
                <w:szCs w:val="24"/>
              </w:rPr>
              <w:t>明定</w:t>
            </w:r>
            <w:r w:rsidR="007E1AF0" w:rsidRPr="00042D95">
              <w:rPr>
                <w:rFonts w:ascii="標楷體" w:eastAsia="標楷體" w:hAnsi="Arial Unicode MS" w:cs="Arial Unicode MS" w:hint="eastAsia"/>
                <w:kern w:val="0"/>
                <w:szCs w:val="24"/>
              </w:rPr>
              <w:t>證券商與</w:t>
            </w:r>
            <w:r w:rsidR="009E0F82" w:rsidRPr="00042D95">
              <w:rPr>
                <w:rFonts w:ascii="標楷體" w:eastAsia="標楷體" w:hAnsi="Arial Unicode MS" w:cs="Arial Unicode MS" w:hint="eastAsia"/>
                <w:kern w:val="0"/>
                <w:szCs w:val="24"/>
              </w:rPr>
              <w:t>其</w:t>
            </w:r>
            <w:r w:rsidR="007E1AF0" w:rsidRPr="00042D95">
              <w:rPr>
                <w:rFonts w:ascii="標楷體" w:eastAsia="標楷體" w:hAnsi="Arial Unicode MS" w:cs="Arial Unicode MS" w:hint="eastAsia"/>
                <w:kern w:val="0"/>
                <w:szCs w:val="24"/>
              </w:rPr>
              <w:t>受僱人員為附條件交易時，</w:t>
            </w:r>
            <w:r w:rsidR="00D43036" w:rsidRPr="00042D95">
              <w:rPr>
                <w:rFonts w:ascii="標楷體" w:eastAsia="標楷體" w:hAnsi="Arial Unicode MS" w:cs="Arial Unicode MS" w:hint="eastAsia"/>
                <w:kern w:val="0"/>
                <w:szCs w:val="24"/>
              </w:rPr>
              <w:t>交易條件不得優於其他同類交易對象</w:t>
            </w:r>
            <w:r w:rsidR="00E900FC" w:rsidRPr="00042D95">
              <w:rPr>
                <w:rFonts w:ascii="標楷體" w:eastAsia="標楷體" w:hAnsi="Arial Unicode MS" w:cs="Arial Unicode MS" w:hint="eastAsia"/>
                <w:kern w:val="0"/>
                <w:szCs w:val="24"/>
              </w:rPr>
              <w:t>。</w:t>
            </w:r>
          </w:p>
          <w:p w14:paraId="257B4DB3" w14:textId="43820147" w:rsidR="00E900FC" w:rsidRPr="00042D95" w:rsidRDefault="00E900FC" w:rsidP="00E900FC">
            <w:pPr>
              <w:pStyle w:val="a3"/>
              <w:numPr>
                <w:ilvl w:val="0"/>
                <w:numId w:val="11"/>
              </w:numPr>
              <w:spacing w:line="360" w:lineRule="exact"/>
              <w:ind w:leftChars="-1" w:left="533" w:right="-6" w:hangingChars="223" w:hanging="535"/>
              <w:jc w:val="both"/>
              <w:rPr>
                <w:rFonts w:ascii="標楷體" w:eastAsia="標楷體" w:hAnsi="Arial Unicode MS" w:cs="Arial Unicode MS"/>
                <w:kern w:val="0"/>
                <w:szCs w:val="24"/>
              </w:rPr>
            </w:pPr>
            <w:r w:rsidRPr="00042D95">
              <w:rPr>
                <w:rFonts w:ascii="標楷體" w:eastAsia="標楷體" w:hAnsi="Arial Unicode MS" w:cs="Arial Unicode MS" w:hint="eastAsia"/>
                <w:kern w:val="0"/>
                <w:szCs w:val="24"/>
              </w:rPr>
              <w:t>為加強證券商風險管理，爰增訂第</w:t>
            </w:r>
            <w:r w:rsidR="0080236D" w:rsidRPr="00042D95">
              <w:rPr>
                <w:rFonts w:ascii="標楷體" w:eastAsia="標楷體" w:hAnsi="Arial Unicode MS" w:cs="Arial Unicode MS" w:hint="eastAsia"/>
                <w:kern w:val="0"/>
                <w:szCs w:val="24"/>
              </w:rPr>
              <w:t>三</w:t>
            </w:r>
            <w:r w:rsidRPr="00042D95">
              <w:rPr>
                <w:rFonts w:ascii="標楷體" w:eastAsia="標楷體" w:hAnsi="Arial Unicode MS" w:cs="Arial Unicode MS" w:hint="eastAsia"/>
                <w:kern w:val="0"/>
                <w:szCs w:val="24"/>
              </w:rPr>
              <w:t>項，明定證券商應將第一項相關規範</w:t>
            </w:r>
            <w:r w:rsidRPr="00042D95">
              <w:rPr>
                <w:rFonts w:ascii="標楷體" w:eastAsia="標楷體" w:hint="eastAsia"/>
              </w:rPr>
              <w:t>納入其內部控制及內部稽核項目</w:t>
            </w:r>
            <w:r w:rsidRPr="00042D95">
              <w:rPr>
                <w:rFonts w:ascii="標楷體" w:eastAsia="標楷體" w:hAnsi="Arial Unicode MS" w:cs="Arial Unicode MS" w:hint="eastAsia"/>
                <w:kern w:val="0"/>
                <w:szCs w:val="24"/>
              </w:rPr>
              <w:t>。</w:t>
            </w:r>
          </w:p>
          <w:p w14:paraId="300603C9" w14:textId="77777777" w:rsidR="0094335E" w:rsidRPr="00042D95" w:rsidRDefault="0094335E" w:rsidP="00E900FC">
            <w:pPr>
              <w:pStyle w:val="a3"/>
              <w:spacing w:line="360" w:lineRule="exact"/>
              <w:ind w:leftChars="0" w:left="420" w:right="-6"/>
              <w:jc w:val="both"/>
              <w:rPr>
                <w:rFonts w:ascii="標楷體" w:eastAsia="標楷體" w:hAnsi="Arial Unicode MS" w:cs="Arial Unicode MS"/>
                <w:kern w:val="0"/>
                <w:sz w:val="20"/>
              </w:rPr>
            </w:pPr>
          </w:p>
        </w:tc>
      </w:tr>
    </w:tbl>
    <w:p w14:paraId="7EE8F70A" w14:textId="74DBCE2A" w:rsidR="006617EA" w:rsidRDefault="006617EA">
      <w:pPr>
        <w:widowControl/>
        <w:rPr>
          <w:b/>
          <w:bCs/>
        </w:rPr>
      </w:pPr>
    </w:p>
    <w:p w14:paraId="0F2502A9" w14:textId="5735DF95" w:rsidR="003340E7" w:rsidRDefault="003340E7">
      <w:pPr>
        <w:widowControl/>
        <w:rPr>
          <w:b/>
          <w:bCs/>
        </w:rPr>
      </w:pPr>
    </w:p>
    <w:p w14:paraId="48CF4DF7" w14:textId="2C41F1FF" w:rsidR="00502AFD" w:rsidRDefault="00502AFD">
      <w:pPr>
        <w:widowControl/>
        <w:rPr>
          <w:b/>
          <w:bCs/>
        </w:rPr>
      </w:pPr>
    </w:p>
    <w:p w14:paraId="78ED8126" w14:textId="4A8093E1" w:rsidR="00C17A56" w:rsidRDefault="00C17A56">
      <w:pPr>
        <w:widowControl/>
        <w:rPr>
          <w:b/>
          <w:bCs/>
        </w:rPr>
      </w:pPr>
    </w:p>
    <w:p w14:paraId="41B5E8FE" w14:textId="7AB83256" w:rsidR="00C17A56" w:rsidRDefault="00C17A56">
      <w:pPr>
        <w:widowControl/>
        <w:rPr>
          <w:b/>
          <w:bCs/>
        </w:rPr>
      </w:pPr>
    </w:p>
    <w:p w14:paraId="076FF3D3" w14:textId="6CE98C63" w:rsidR="00C17A56" w:rsidRDefault="00C17A56">
      <w:pPr>
        <w:widowControl/>
        <w:rPr>
          <w:b/>
          <w:bCs/>
        </w:rPr>
      </w:pPr>
    </w:p>
    <w:p w14:paraId="0D232B48" w14:textId="19402EEB" w:rsidR="00502AFD" w:rsidRDefault="00502AFD">
      <w:pPr>
        <w:widowControl/>
        <w:rPr>
          <w:b/>
          <w:bCs/>
        </w:rPr>
      </w:pPr>
    </w:p>
    <w:p w14:paraId="51899A6A" w14:textId="13E8B51D" w:rsidR="004F3382" w:rsidRDefault="004F3382" w:rsidP="0077207D">
      <w:pPr>
        <w:spacing w:afterLines="100" w:after="360" w:line="400" w:lineRule="exact"/>
        <w:ind w:rightChars="-82" w:right="-197"/>
        <w:rPr>
          <w:rFonts w:ascii="Times New Roman" w:eastAsia="標楷體" w:hAnsi="Times New Roman"/>
          <w:b/>
          <w:bCs/>
          <w:sz w:val="28"/>
          <w:szCs w:val="28"/>
        </w:rPr>
      </w:pPr>
      <w:r w:rsidRPr="004E0EB6">
        <w:rPr>
          <w:rFonts w:ascii="Times New Roman" w:eastAsia="標楷體" w:hAnsi="Times New Roman" w:hint="eastAsia"/>
          <w:b/>
          <w:bCs/>
          <w:sz w:val="28"/>
          <w:szCs w:val="28"/>
        </w:rPr>
        <w:lastRenderedPageBreak/>
        <w:t>財團法人中華民國證券櫃檯買賣中心證券商營業處所經營衍生性金融商品交易業務規則</w:t>
      </w:r>
      <w:r w:rsidRPr="00D40D00">
        <w:rPr>
          <w:rFonts w:ascii="Times New Roman" w:eastAsia="標楷體" w:hAnsi="Times New Roman" w:hint="eastAsia"/>
          <w:b/>
          <w:bCs/>
          <w:sz w:val="28"/>
          <w:szCs w:val="28"/>
        </w:rPr>
        <w:t>第</w:t>
      </w:r>
      <w:r w:rsidR="009E0F82" w:rsidRPr="00D40D00">
        <w:rPr>
          <w:rFonts w:ascii="Times New Roman" w:eastAsia="標楷體" w:hAnsi="Times New Roman" w:hint="eastAsia"/>
          <w:b/>
          <w:bCs/>
          <w:sz w:val="28"/>
          <w:szCs w:val="28"/>
        </w:rPr>
        <w:t>四十一</w:t>
      </w:r>
      <w:r w:rsidRPr="00D40D00">
        <w:rPr>
          <w:rFonts w:ascii="Times New Roman" w:eastAsia="標楷體" w:hAnsi="Times New Roman" w:hint="eastAsia"/>
          <w:b/>
          <w:bCs/>
          <w:sz w:val="28"/>
          <w:szCs w:val="28"/>
        </w:rPr>
        <w:t>條</w:t>
      </w:r>
      <w:r w:rsidR="009E0F82" w:rsidRPr="00D40D00">
        <w:rPr>
          <w:rFonts w:ascii="Times New Roman" w:eastAsia="標楷體" w:hAnsi="Times New Roman" w:hint="eastAsia"/>
          <w:b/>
          <w:bCs/>
          <w:sz w:val="28"/>
          <w:szCs w:val="28"/>
        </w:rPr>
        <w:t>之一</w:t>
      </w:r>
      <w:r w:rsidRPr="00F75A13">
        <w:rPr>
          <w:rFonts w:ascii="Times New Roman" w:eastAsia="標楷體" w:hAnsi="Times New Roman" w:hint="eastAsia"/>
          <w:b/>
          <w:bCs/>
          <w:sz w:val="28"/>
          <w:szCs w:val="28"/>
        </w:rPr>
        <w:t>修正條文對照表</w:t>
      </w:r>
    </w:p>
    <w:p w14:paraId="6178CCB6" w14:textId="631E79E3" w:rsidR="00FB410B" w:rsidRPr="00FB410B" w:rsidRDefault="00FB410B" w:rsidP="00FB410B">
      <w:pPr>
        <w:spacing w:beforeLines="50" w:before="180" w:afterLines="50" w:after="180"/>
        <w:ind w:leftChars="59" w:left="142" w:rightChars="-378" w:right="-907"/>
        <w:jc w:val="right"/>
        <w:rPr>
          <w:rFonts w:ascii="Times New Roman" w:eastAsia="標楷體" w:hAnsi="Times New Roman"/>
        </w:rPr>
      </w:pPr>
      <w:r w:rsidRPr="00556BB9">
        <w:rPr>
          <w:rFonts w:ascii="Times New Roman" w:eastAsia="標楷體" w:hAnsi="Times New Roman"/>
        </w:rPr>
        <w:t>金融監督管理委員會</w:t>
      </w:r>
      <w:r w:rsidRPr="008348E0">
        <w:rPr>
          <w:rFonts w:ascii="Times New Roman" w:eastAsia="標楷體" w:hAnsi="Times New Roman" w:hint="eastAsia"/>
        </w:rPr>
        <w:t>113</w:t>
      </w:r>
      <w:r w:rsidRPr="008348E0">
        <w:rPr>
          <w:rFonts w:ascii="Times New Roman" w:eastAsia="標楷體" w:hAnsi="Times New Roman" w:hint="eastAsia"/>
        </w:rPr>
        <w:t>年</w:t>
      </w:r>
      <w:r w:rsidRPr="008348E0">
        <w:rPr>
          <w:rFonts w:ascii="Times New Roman" w:eastAsia="標楷體" w:hAnsi="Times New Roman" w:hint="eastAsia"/>
        </w:rPr>
        <w:t>4</w:t>
      </w:r>
      <w:r w:rsidRPr="008348E0">
        <w:rPr>
          <w:rFonts w:ascii="Times New Roman" w:eastAsia="標楷體" w:hAnsi="Times New Roman" w:hint="eastAsia"/>
        </w:rPr>
        <w:t>月</w:t>
      </w:r>
      <w:r w:rsidRPr="008348E0">
        <w:rPr>
          <w:rFonts w:ascii="Times New Roman" w:eastAsia="標楷體" w:hAnsi="Times New Roman" w:hint="eastAsia"/>
        </w:rPr>
        <w:t>10</w:t>
      </w:r>
      <w:r w:rsidRPr="008348E0">
        <w:rPr>
          <w:rFonts w:ascii="Times New Roman" w:eastAsia="標楷體" w:hAnsi="Times New Roman" w:hint="eastAsia"/>
        </w:rPr>
        <w:t>日金管證券字第</w:t>
      </w:r>
      <w:r w:rsidRPr="008348E0">
        <w:rPr>
          <w:rFonts w:ascii="Times New Roman" w:eastAsia="標楷體" w:hAnsi="Times New Roman" w:hint="eastAsia"/>
        </w:rPr>
        <w:t>1130133589</w:t>
      </w:r>
      <w:r w:rsidRPr="008348E0">
        <w:rPr>
          <w:rFonts w:ascii="Times New Roman" w:eastAsia="標楷體" w:hAnsi="Times New Roman" w:hint="eastAsia"/>
        </w:rPr>
        <w:t>號函</w:t>
      </w:r>
      <w:r w:rsidRPr="00556BB9">
        <w:rPr>
          <w:rFonts w:ascii="Times New Roman" w:eastAsia="標楷體" w:hAnsi="Times New Roman"/>
        </w:rPr>
        <w:t>同意</w:t>
      </w:r>
      <w:r>
        <w:rPr>
          <w:rFonts w:ascii="Times New Roman" w:eastAsia="標楷體" w:hAnsi="Times New Roman" w:hint="eastAsia"/>
        </w:rPr>
        <w:t>照辦</w:t>
      </w:r>
    </w:p>
    <w:tbl>
      <w:tblPr>
        <w:tblW w:w="963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56"/>
        <w:gridCol w:w="3260"/>
        <w:gridCol w:w="3123"/>
      </w:tblGrid>
      <w:tr w:rsidR="00042D95" w:rsidRPr="00042D95" w14:paraId="1EA34B7B" w14:textId="77777777" w:rsidTr="0007142C">
        <w:tc>
          <w:tcPr>
            <w:tcW w:w="3256" w:type="dxa"/>
          </w:tcPr>
          <w:p w14:paraId="722E6AF5" w14:textId="77777777" w:rsidR="004F3382" w:rsidRPr="00042D95" w:rsidRDefault="004F3382" w:rsidP="00A95EA8">
            <w:pPr>
              <w:pStyle w:val="HTML"/>
              <w:jc w:val="distribute"/>
              <w:rPr>
                <w:rFonts w:eastAsia="標楷體"/>
                <w:b/>
                <w:bCs/>
                <w:color w:val="auto"/>
              </w:rPr>
            </w:pPr>
            <w:r w:rsidRPr="00042D95">
              <w:rPr>
                <w:rFonts w:ascii="Times New Roman" w:eastAsia="標楷體" w:hAnsi="Times New Roman" w:hint="eastAsia"/>
                <w:b/>
                <w:bCs/>
                <w:color w:val="auto"/>
                <w:sz w:val="24"/>
              </w:rPr>
              <w:t>修正條文</w:t>
            </w:r>
          </w:p>
        </w:tc>
        <w:tc>
          <w:tcPr>
            <w:tcW w:w="3260" w:type="dxa"/>
          </w:tcPr>
          <w:p w14:paraId="79CA409F" w14:textId="77777777" w:rsidR="004F3382" w:rsidRPr="00042D95" w:rsidRDefault="004F3382" w:rsidP="00A95EA8">
            <w:pPr>
              <w:jc w:val="distribute"/>
              <w:rPr>
                <w:rFonts w:eastAsia="標楷體"/>
                <w:b/>
                <w:bCs/>
              </w:rPr>
            </w:pPr>
            <w:r w:rsidRPr="00042D95">
              <w:rPr>
                <w:rFonts w:eastAsia="標楷體" w:hint="eastAsia"/>
                <w:b/>
                <w:bCs/>
              </w:rPr>
              <w:t>現行條文</w:t>
            </w:r>
          </w:p>
        </w:tc>
        <w:tc>
          <w:tcPr>
            <w:tcW w:w="3123" w:type="dxa"/>
          </w:tcPr>
          <w:p w14:paraId="5F1E0B45" w14:textId="77777777" w:rsidR="004F3382" w:rsidRPr="00042D95" w:rsidRDefault="004F3382" w:rsidP="00A95EA8">
            <w:pPr>
              <w:jc w:val="distribute"/>
              <w:rPr>
                <w:rFonts w:eastAsia="標楷體"/>
                <w:b/>
                <w:bCs/>
              </w:rPr>
            </w:pPr>
            <w:r w:rsidRPr="00042D95">
              <w:rPr>
                <w:rFonts w:eastAsia="標楷體" w:hint="eastAsia"/>
                <w:b/>
                <w:bCs/>
              </w:rPr>
              <w:t>說明</w:t>
            </w:r>
          </w:p>
        </w:tc>
      </w:tr>
      <w:tr w:rsidR="00042D95" w:rsidRPr="00042D95" w14:paraId="6D1140A5" w14:textId="77777777" w:rsidTr="0007142C">
        <w:tc>
          <w:tcPr>
            <w:tcW w:w="3256" w:type="dxa"/>
          </w:tcPr>
          <w:p w14:paraId="53FAAA3D" w14:textId="3E73DF5F" w:rsidR="00C406EB" w:rsidRPr="00042D95" w:rsidRDefault="00C406EB" w:rsidP="009E0F82">
            <w:pPr>
              <w:pStyle w:val="HTML"/>
              <w:spacing w:line="360" w:lineRule="exact"/>
              <w:ind w:leftChars="1" w:left="475" w:hangingChars="197" w:hanging="473"/>
              <w:jc w:val="both"/>
              <w:rPr>
                <w:rFonts w:ascii="標楷體" w:eastAsia="標楷體"/>
                <w:color w:val="auto"/>
                <w:sz w:val="24"/>
              </w:rPr>
            </w:pPr>
            <w:r w:rsidRPr="00042D95">
              <w:rPr>
                <w:rFonts w:ascii="標楷體" w:eastAsia="標楷體" w:hint="eastAsia"/>
                <w:color w:val="auto"/>
                <w:sz w:val="24"/>
              </w:rPr>
              <w:t>第</w:t>
            </w:r>
            <w:r w:rsidR="009E0F82" w:rsidRPr="00042D95">
              <w:rPr>
                <w:rFonts w:ascii="標楷體" w:eastAsia="標楷體" w:hint="eastAsia"/>
                <w:color w:val="auto"/>
                <w:sz w:val="24"/>
              </w:rPr>
              <w:t>四十一</w:t>
            </w:r>
            <w:r w:rsidRPr="00042D95">
              <w:rPr>
                <w:rFonts w:ascii="標楷體" w:eastAsia="標楷體" w:hint="eastAsia"/>
                <w:color w:val="auto"/>
                <w:sz w:val="24"/>
              </w:rPr>
              <w:t>條</w:t>
            </w:r>
            <w:r w:rsidR="009E0F82" w:rsidRPr="00042D95">
              <w:rPr>
                <w:rFonts w:ascii="標楷體" w:eastAsia="標楷體" w:hint="eastAsia"/>
                <w:color w:val="auto"/>
                <w:sz w:val="24"/>
              </w:rPr>
              <w:t>之一</w:t>
            </w:r>
          </w:p>
          <w:p w14:paraId="6DB8B00A" w14:textId="4D50FCB0" w:rsidR="009E0F82" w:rsidRPr="00042D95" w:rsidRDefault="009E0F82" w:rsidP="00C406EB">
            <w:pPr>
              <w:pStyle w:val="HTML"/>
              <w:spacing w:line="360" w:lineRule="exact"/>
              <w:ind w:firstLine="2"/>
              <w:jc w:val="both"/>
              <w:rPr>
                <w:rFonts w:ascii="標楷體" w:eastAsia="標楷體"/>
                <w:color w:val="auto"/>
                <w:sz w:val="24"/>
              </w:rPr>
            </w:pPr>
            <w:r w:rsidRPr="00042D95">
              <w:rPr>
                <w:rFonts w:ascii="標楷體" w:eastAsia="標楷體" w:hint="eastAsia"/>
                <w:color w:val="auto"/>
                <w:sz w:val="24"/>
              </w:rPr>
              <w:t>證券商從事衍生性金融商品交易，交易相對人為符合</w:t>
            </w:r>
            <w:r w:rsidRPr="00856538">
              <w:rPr>
                <w:rFonts w:ascii="標楷體" w:eastAsia="標楷體" w:hint="eastAsia"/>
                <w:color w:val="auto"/>
                <w:sz w:val="24"/>
              </w:rPr>
              <w:t>第四十一條第一項第一款至第三款</w:t>
            </w:r>
            <w:r w:rsidR="00042D95" w:rsidRPr="00856538">
              <w:rPr>
                <w:rFonts w:ascii="標楷體" w:eastAsia="標楷體" w:hint="eastAsia"/>
                <w:color w:val="auto"/>
                <w:sz w:val="24"/>
              </w:rPr>
              <w:t>之證券商關係人者</w:t>
            </w:r>
            <w:r w:rsidRPr="00042D95">
              <w:rPr>
                <w:rFonts w:ascii="標楷體" w:eastAsia="標楷體" w:hint="eastAsia"/>
                <w:color w:val="auto"/>
                <w:sz w:val="24"/>
              </w:rPr>
              <w:t>或為證券商之受僱人員，其交易條件不得優於其他同類對象。</w:t>
            </w:r>
          </w:p>
          <w:p w14:paraId="6374568F" w14:textId="0353FA34" w:rsidR="009E0F82" w:rsidRPr="00042D95" w:rsidRDefault="009E0F82" w:rsidP="00C406EB">
            <w:pPr>
              <w:pStyle w:val="HTML"/>
              <w:spacing w:line="360" w:lineRule="exact"/>
              <w:ind w:firstLine="2"/>
              <w:jc w:val="both"/>
              <w:rPr>
                <w:rFonts w:ascii="標楷體" w:eastAsia="標楷體"/>
                <w:color w:val="auto"/>
                <w:sz w:val="24"/>
              </w:rPr>
            </w:pPr>
            <w:r w:rsidRPr="00042D95">
              <w:rPr>
                <w:rFonts w:ascii="標楷體" w:eastAsia="標楷體" w:hint="eastAsia"/>
                <w:color w:val="auto"/>
                <w:sz w:val="24"/>
              </w:rPr>
              <w:t>證券商應將前項規定納入內部控制及內部稽核項目，並審慎檢核與其關係人及受僱人</w:t>
            </w:r>
            <w:r w:rsidR="00A33E11" w:rsidRPr="00042D95">
              <w:rPr>
                <w:rFonts w:ascii="標楷體" w:eastAsia="標楷體" w:hint="eastAsia"/>
                <w:color w:val="auto"/>
                <w:sz w:val="24"/>
              </w:rPr>
              <w:t>員</w:t>
            </w:r>
            <w:r w:rsidRPr="00042D95">
              <w:rPr>
                <w:rFonts w:ascii="標楷體" w:eastAsia="標楷體" w:hint="eastAsia"/>
                <w:color w:val="auto"/>
                <w:sz w:val="24"/>
              </w:rPr>
              <w:t>承作衍生性金融商品交易額度及</w:t>
            </w:r>
            <w:r w:rsidR="009D2799" w:rsidRPr="00042D95">
              <w:rPr>
                <w:rFonts w:ascii="標楷體" w:eastAsia="標楷體" w:hint="eastAsia"/>
                <w:color w:val="auto"/>
                <w:sz w:val="24"/>
              </w:rPr>
              <w:t>交易條件</w:t>
            </w:r>
            <w:r w:rsidRPr="00042D95">
              <w:rPr>
                <w:rFonts w:ascii="標楷體" w:eastAsia="標楷體" w:hint="eastAsia"/>
                <w:color w:val="auto"/>
                <w:sz w:val="24"/>
              </w:rPr>
              <w:t>之合理性。</w:t>
            </w:r>
          </w:p>
          <w:p w14:paraId="17EDE338" w14:textId="77777777" w:rsidR="00C406EB" w:rsidRPr="00042D95" w:rsidRDefault="00C406EB" w:rsidP="009E0F82">
            <w:pPr>
              <w:pStyle w:val="HTML"/>
              <w:spacing w:line="360" w:lineRule="exact"/>
              <w:ind w:firstLine="2"/>
              <w:jc w:val="both"/>
              <w:rPr>
                <w:rFonts w:ascii="標楷體" w:eastAsia="標楷體"/>
                <w:color w:val="auto"/>
                <w:sz w:val="24"/>
              </w:rPr>
            </w:pPr>
          </w:p>
        </w:tc>
        <w:tc>
          <w:tcPr>
            <w:tcW w:w="3260" w:type="dxa"/>
          </w:tcPr>
          <w:p w14:paraId="1C32AAFF" w14:textId="77777777" w:rsidR="00C406EB" w:rsidRPr="00042D95" w:rsidRDefault="00C406EB" w:rsidP="00A95EA8">
            <w:pPr>
              <w:pStyle w:val="HTML"/>
              <w:widowControl w:val="0"/>
              <w:spacing w:beforeLines="50" w:before="180" w:line="360" w:lineRule="exact"/>
              <w:ind w:left="255" w:right="-6" w:hanging="255"/>
              <w:rPr>
                <w:rFonts w:ascii="標楷體" w:eastAsia="標楷體"/>
                <w:color w:val="auto"/>
                <w:sz w:val="24"/>
              </w:rPr>
            </w:pPr>
          </w:p>
        </w:tc>
        <w:tc>
          <w:tcPr>
            <w:tcW w:w="3123" w:type="dxa"/>
          </w:tcPr>
          <w:p w14:paraId="18EC8C53" w14:textId="42982216" w:rsidR="009E0F82" w:rsidRPr="00042D95" w:rsidRDefault="009E0F82" w:rsidP="009E0F82">
            <w:pPr>
              <w:pStyle w:val="a3"/>
              <w:numPr>
                <w:ilvl w:val="0"/>
                <w:numId w:val="12"/>
              </w:numPr>
              <w:spacing w:line="360" w:lineRule="exact"/>
              <w:ind w:leftChars="0" w:right="-6"/>
              <w:jc w:val="both"/>
              <w:rPr>
                <w:rFonts w:ascii="標楷體" w:eastAsia="標楷體" w:hAnsi="Arial Unicode MS" w:cs="Arial Unicode MS"/>
                <w:kern w:val="0"/>
                <w:szCs w:val="24"/>
                <w:u w:val="single"/>
              </w:rPr>
            </w:pPr>
            <w:r w:rsidRPr="00042D95">
              <w:rPr>
                <w:rFonts w:ascii="標楷體" w:eastAsia="標楷體" w:hAnsi="Arial Unicode MS" w:cs="Arial Unicode MS" w:hint="eastAsia"/>
                <w:kern w:val="0"/>
                <w:szCs w:val="24"/>
                <w:u w:val="single"/>
              </w:rPr>
              <w:t>本條新增</w:t>
            </w:r>
            <w:r w:rsidR="002D0074" w:rsidRPr="00042D95">
              <w:rPr>
                <w:rFonts w:ascii="標楷體" w:eastAsia="標楷體" w:hAnsi="Arial Unicode MS" w:cs="Arial Unicode MS" w:hint="eastAsia"/>
                <w:kern w:val="0"/>
                <w:szCs w:val="24"/>
                <w:u w:val="single"/>
              </w:rPr>
              <w:t>。</w:t>
            </w:r>
          </w:p>
          <w:p w14:paraId="0AC13CFF" w14:textId="3BAC3F5A" w:rsidR="009E0F82" w:rsidRPr="00042D95" w:rsidRDefault="009E0F82" w:rsidP="009E0F82">
            <w:pPr>
              <w:pStyle w:val="a3"/>
              <w:numPr>
                <w:ilvl w:val="0"/>
                <w:numId w:val="12"/>
              </w:numPr>
              <w:spacing w:line="360" w:lineRule="exact"/>
              <w:ind w:leftChars="0" w:right="-6"/>
              <w:jc w:val="both"/>
              <w:rPr>
                <w:rFonts w:ascii="標楷體" w:eastAsia="標楷體" w:hAnsi="Arial Unicode MS" w:cs="Arial Unicode MS"/>
                <w:kern w:val="0"/>
                <w:szCs w:val="24"/>
                <w:u w:val="single"/>
              </w:rPr>
            </w:pPr>
            <w:r w:rsidRPr="00042D95">
              <w:rPr>
                <w:rFonts w:ascii="標楷體" w:eastAsia="標楷體" w:hAnsi="Arial Unicode MS" w:cs="Arial Unicode MS" w:hint="eastAsia"/>
                <w:kern w:val="0"/>
                <w:szCs w:val="24"/>
              </w:rPr>
              <w:t>為防範利益衝突致損及證券商權益，爰增訂本條規範證券商與其關係人及受僱人員從事衍生性金融商品交易，交易條件不得優於其他同類交易對象；並明定證券商應將本條規定納入內部控制及內部稽核項目，以加強證券商從事衍生性金融商品交易之風險管理。</w:t>
            </w:r>
          </w:p>
          <w:p w14:paraId="5ED6AF55" w14:textId="77777777" w:rsidR="00C406EB" w:rsidRPr="00042D95" w:rsidRDefault="00C406EB" w:rsidP="009E0F82">
            <w:pPr>
              <w:spacing w:line="360" w:lineRule="exact"/>
              <w:ind w:left="533" w:right="-6" w:hangingChars="222" w:hanging="533"/>
              <w:jc w:val="both"/>
              <w:rPr>
                <w:rFonts w:ascii="標楷體" w:eastAsia="標楷體" w:hAnsi="Arial Unicode MS" w:cs="Arial Unicode MS"/>
                <w:kern w:val="0"/>
                <w:szCs w:val="24"/>
                <w:u w:val="single"/>
              </w:rPr>
            </w:pPr>
          </w:p>
        </w:tc>
      </w:tr>
    </w:tbl>
    <w:p w14:paraId="567F3727" w14:textId="6973B34C" w:rsidR="004F3382" w:rsidRPr="004F3382" w:rsidRDefault="004F3382">
      <w:pPr>
        <w:widowControl/>
        <w:rPr>
          <w:b/>
          <w:bCs/>
        </w:rPr>
      </w:pPr>
    </w:p>
    <w:sectPr w:rsidR="004F3382" w:rsidRPr="004F3382">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3FAB5" w14:textId="77777777" w:rsidR="00060C32" w:rsidRDefault="00060C32" w:rsidP="008775D8">
      <w:r>
        <w:separator/>
      </w:r>
    </w:p>
  </w:endnote>
  <w:endnote w:type="continuationSeparator" w:id="0">
    <w:p w14:paraId="3E6C4F80" w14:textId="77777777" w:rsidR="00060C32" w:rsidRDefault="00060C32" w:rsidP="00877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60964"/>
      <w:docPartObj>
        <w:docPartGallery w:val="Page Numbers (Bottom of Page)"/>
        <w:docPartUnique/>
      </w:docPartObj>
    </w:sdtPr>
    <w:sdtEndPr/>
    <w:sdtContent>
      <w:p w14:paraId="68FB61ED" w14:textId="204A26ED" w:rsidR="009E7AB9" w:rsidRDefault="009E7AB9">
        <w:pPr>
          <w:pStyle w:val="a6"/>
          <w:jc w:val="right"/>
        </w:pPr>
        <w:r>
          <w:fldChar w:fldCharType="begin"/>
        </w:r>
        <w:r>
          <w:instrText>PAGE   \* MERGEFORMAT</w:instrText>
        </w:r>
        <w:r>
          <w:fldChar w:fldCharType="separate"/>
        </w:r>
        <w:r>
          <w:rPr>
            <w:lang w:val="zh-TW"/>
          </w:rPr>
          <w:t>2</w:t>
        </w:r>
        <w:r>
          <w:fldChar w:fldCharType="end"/>
        </w:r>
      </w:p>
    </w:sdtContent>
  </w:sdt>
  <w:p w14:paraId="24CED3DA" w14:textId="77777777" w:rsidR="009E7AB9" w:rsidRDefault="009E7A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35EE9" w14:textId="77777777" w:rsidR="00060C32" w:rsidRDefault="00060C32" w:rsidP="008775D8">
      <w:r>
        <w:separator/>
      </w:r>
    </w:p>
  </w:footnote>
  <w:footnote w:type="continuationSeparator" w:id="0">
    <w:p w14:paraId="114C4FAB" w14:textId="77777777" w:rsidR="00060C32" w:rsidRDefault="00060C32" w:rsidP="00877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E1C"/>
    <w:multiLevelType w:val="hybridMultilevel"/>
    <w:tmpl w:val="99CA42B0"/>
    <w:lvl w:ilvl="0" w:tplc="FFFFFFFF">
      <w:start w:val="1"/>
      <w:numFmt w:val="taiwaneseCountingThousand"/>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1A3F1B74"/>
    <w:multiLevelType w:val="hybridMultilevel"/>
    <w:tmpl w:val="1EBC9D88"/>
    <w:lvl w:ilvl="0" w:tplc="DC0665C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C19186C"/>
    <w:multiLevelType w:val="hybridMultilevel"/>
    <w:tmpl w:val="39F6192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3233F85"/>
    <w:multiLevelType w:val="hybridMultilevel"/>
    <w:tmpl w:val="99CA42B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15C5956"/>
    <w:multiLevelType w:val="hybridMultilevel"/>
    <w:tmpl w:val="898A081C"/>
    <w:lvl w:ilvl="0" w:tplc="E048D144">
      <w:start w:val="1"/>
      <w:numFmt w:val="ideographLegalTraditional"/>
      <w:suff w:val="space"/>
      <w:lvlText w:val="%1、"/>
      <w:lvlJc w:val="left"/>
      <w:pPr>
        <w:ind w:left="480" w:hanging="480"/>
      </w:pPr>
      <w:rPr>
        <w:rFonts w:hint="eastAsia"/>
      </w:rPr>
    </w:lvl>
    <w:lvl w:ilvl="1" w:tplc="4720E450">
      <w:start w:val="1"/>
      <w:numFmt w:val="taiwaneseCountingThousand"/>
      <w:lvlText w:val="(%2)"/>
      <w:lvlJc w:val="left"/>
      <w:pPr>
        <w:ind w:left="960" w:hanging="480"/>
      </w:pPr>
      <w:rPr>
        <w:rFonts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2954461"/>
    <w:multiLevelType w:val="hybridMultilevel"/>
    <w:tmpl w:val="99CA42B0"/>
    <w:lvl w:ilvl="0" w:tplc="FFFFFFFF">
      <w:start w:val="1"/>
      <w:numFmt w:val="taiwaneseCountingThousand"/>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34B0139F"/>
    <w:multiLevelType w:val="hybridMultilevel"/>
    <w:tmpl w:val="133EB45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A136639"/>
    <w:multiLevelType w:val="hybridMultilevel"/>
    <w:tmpl w:val="E3F26868"/>
    <w:lvl w:ilvl="0" w:tplc="599620C0">
      <w:start w:val="1"/>
      <w:numFmt w:val="taiwaneseCountingThousand"/>
      <w:suff w:val="space"/>
      <w:lvlText w:val="%1、"/>
      <w:lvlJc w:val="left"/>
      <w:pPr>
        <w:ind w:left="0"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4A83D0E"/>
    <w:multiLevelType w:val="hybridMultilevel"/>
    <w:tmpl w:val="CE7043B0"/>
    <w:lvl w:ilvl="0" w:tplc="5ADC3E34">
      <w:start w:val="1"/>
      <w:numFmt w:val="taiwaneseCountingThousand"/>
      <w:lvlText w:val="%1、"/>
      <w:lvlJc w:val="left"/>
      <w:pPr>
        <w:ind w:left="480" w:hanging="480"/>
      </w:pPr>
      <w:rPr>
        <w:rFonts w:asciiTheme="minorHAnsi" w:hAnsiTheme="minorHAnsi"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46538B"/>
    <w:multiLevelType w:val="hybridMultilevel"/>
    <w:tmpl w:val="A41415D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A142241"/>
    <w:multiLevelType w:val="hybridMultilevel"/>
    <w:tmpl w:val="69E4E91E"/>
    <w:lvl w:ilvl="0" w:tplc="9900159C">
      <w:start w:val="1"/>
      <w:numFmt w:val="taiwaneseCountingThousand"/>
      <w:lvlText w:val="%1、"/>
      <w:lvlJc w:val="left"/>
      <w:pPr>
        <w:ind w:left="948" w:hanging="720"/>
      </w:pPr>
      <w:rPr>
        <w:rFonts w:ascii="Times New Roman" w:hAnsi="Times New Roman" w:hint="default"/>
      </w:rPr>
    </w:lvl>
    <w:lvl w:ilvl="1" w:tplc="04090019" w:tentative="1">
      <w:start w:val="1"/>
      <w:numFmt w:val="ideographTraditional"/>
      <w:lvlText w:val="%2、"/>
      <w:lvlJc w:val="left"/>
      <w:pPr>
        <w:ind w:left="1188" w:hanging="480"/>
      </w:pPr>
    </w:lvl>
    <w:lvl w:ilvl="2" w:tplc="0409001B" w:tentative="1">
      <w:start w:val="1"/>
      <w:numFmt w:val="lowerRoman"/>
      <w:lvlText w:val="%3."/>
      <w:lvlJc w:val="right"/>
      <w:pPr>
        <w:ind w:left="1668" w:hanging="480"/>
      </w:pPr>
    </w:lvl>
    <w:lvl w:ilvl="3" w:tplc="0409000F" w:tentative="1">
      <w:start w:val="1"/>
      <w:numFmt w:val="decimal"/>
      <w:lvlText w:val="%4."/>
      <w:lvlJc w:val="left"/>
      <w:pPr>
        <w:ind w:left="2148" w:hanging="480"/>
      </w:pPr>
    </w:lvl>
    <w:lvl w:ilvl="4" w:tplc="04090019" w:tentative="1">
      <w:start w:val="1"/>
      <w:numFmt w:val="ideographTraditional"/>
      <w:lvlText w:val="%5、"/>
      <w:lvlJc w:val="left"/>
      <w:pPr>
        <w:ind w:left="2628" w:hanging="480"/>
      </w:pPr>
    </w:lvl>
    <w:lvl w:ilvl="5" w:tplc="0409001B" w:tentative="1">
      <w:start w:val="1"/>
      <w:numFmt w:val="lowerRoman"/>
      <w:lvlText w:val="%6."/>
      <w:lvlJc w:val="right"/>
      <w:pPr>
        <w:ind w:left="3108" w:hanging="480"/>
      </w:pPr>
    </w:lvl>
    <w:lvl w:ilvl="6" w:tplc="0409000F" w:tentative="1">
      <w:start w:val="1"/>
      <w:numFmt w:val="decimal"/>
      <w:lvlText w:val="%7."/>
      <w:lvlJc w:val="left"/>
      <w:pPr>
        <w:ind w:left="3588" w:hanging="480"/>
      </w:pPr>
    </w:lvl>
    <w:lvl w:ilvl="7" w:tplc="04090019" w:tentative="1">
      <w:start w:val="1"/>
      <w:numFmt w:val="ideographTraditional"/>
      <w:lvlText w:val="%8、"/>
      <w:lvlJc w:val="left"/>
      <w:pPr>
        <w:ind w:left="4068" w:hanging="480"/>
      </w:pPr>
    </w:lvl>
    <w:lvl w:ilvl="8" w:tplc="0409001B" w:tentative="1">
      <w:start w:val="1"/>
      <w:numFmt w:val="lowerRoman"/>
      <w:lvlText w:val="%9."/>
      <w:lvlJc w:val="right"/>
      <w:pPr>
        <w:ind w:left="4548" w:hanging="480"/>
      </w:pPr>
    </w:lvl>
  </w:abstractNum>
  <w:abstractNum w:abstractNumId="11" w15:restartNumberingAfterBreak="0">
    <w:nsid w:val="7B0A79C9"/>
    <w:multiLevelType w:val="hybridMultilevel"/>
    <w:tmpl w:val="B79430EA"/>
    <w:lvl w:ilvl="0" w:tplc="04090009">
      <w:start w:val="1"/>
      <w:numFmt w:val="bullet"/>
      <w:lvlText w:val=""/>
      <w:lvlJc w:val="left"/>
      <w:pPr>
        <w:ind w:left="956" w:hanging="480"/>
      </w:pPr>
      <w:rPr>
        <w:rFonts w:ascii="Wingdings" w:hAnsi="Wingdings" w:hint="default"/>
      </w:rPr>
    </w:lvl>
    <w:lvl w:ilvl="1" w:tplc="04090003" w:tentative="1">
      <w:start w:val="1"/>
      <w:numFmt w:val="bullet"/>
      <w:lvlText w:val=""/>
      <w:lvlJc w:val="left"/>
      <w:pPr>
        <w:ind w:left="1436" w:hanging="480"/>
      </w:pPr>
      <w:rPr>
        <w:rFonts w:ascii="Wingdings" w:hAnsi="Wingdings" w:hint="default"/>
      </w:rPr>
    </w:lvl>
    <w:lvl w:ilvl="2" w:tplc="04090005" w:tentative="1">
      <w:start w:val="1"/>
      <w:numFmt w:val="bullet"/>
      <w:lvlText w:val=""/>
      <w:lvlJc w:val="left"/>
      <w:pPr>
        <w:ind w:left="1916" w:hanging="480"/>
      </w:pPr>
      <w:rPr>
        <w:rFonts w:ascii="Wingdings" w:hAnsi="Wingdings" w:hint="default"/>
      </w:rPr>
    </w:lvl>
    <w:lvl w:ilvl="3" w:tplc="04090001" w:tentative="1">
      <w:start w:val="1"/>
      <w:numFmt w:val="bullet"/>
      <w:lvlText w:val=""/>
      <w:lvlJc w:val="left"/>
      <w:pPr>
        <w:ind w:left="2396" w:hanging="480"/>
      </w:pPr>
      <w:rPr>
        <w:rFonts w:ascii="Wingdings" w:hAnsi="Wingdings" w:hint="default"/>
      </w:rPr>
    </w:lvl>
    <w:lvl w:ilvl="4" w:tplc="04090003" w:tentative="1">
      <w:start w:val="1"/>
      <w:numFmt w:val="bullet"/>
      <w:lvlText w:val=""/>
      <w:lvlJc w:val="left"/>
      <w:pPr>
        <w:ind w:left="2876" w:hanging="480"/>
      </w:pPr>
      <w:rPr>
        <w:rFonts w:ascii="Wingdings" w:hAnsi="Wingdings" w:hint="default"/>
      </w:rPr>
    </w:lvl>
    <w:lvl w:ilvl="5" w:tplc="04090005" w:tentative="1">
      <w:start w:val="1"/>
      <w:numFmt w:val="bullet"/>
      <w:lvlText w:val=""/>
      <w:lvlJc w:val="left"/>
      <w:pPr>
        <w:ind w:left="3356" w:hanging="480"/>
      </w:pPr>
      <w:rPr>
        <w:rFonts w:ascii="Wingdings" w:hAnsi="Wingdings" w:hint="default"/>
      </w:rPr>
    </w:lvl>
    <w:lvl w:ilvl="6" w:tplc="04090001" w:tentative="1">
      <w:start w:val="1"/>
      <w:numFmt w:val="bullet"/>
      <w:lvlText w:val=""/>
      <w:lvlJc w:val="left"/>
      <w:pPr>
        <w:ind w:left="3836" w:hanging="480"/>
      </w:pPr>
      <w:rPr>
        <w:rFonts w:ascii="Wingdings" w:hAnsi="Wingdings" w:hint="default"/>
      </w:rPr>
    </w:lvl>
    <w:lvl w:ilvl="7" w:tplc="04090003" w:tentative="1">
      <w:start w:val="1"/>
      <w:numFmt w:val="bullet"/>
      <w:lvlText w:val=""/>
      <w:lvlJc w:val="left"/>
      <w:pPr>
        <w:ind w:left="4316" w:hanging="480"/>
      </w:pPr>
      <w:rPr>
        <w:rFonts w:ascii="Wingdings" w:hAnsi="Wingdings" w:hint="default"/>
      </w:rPr>
    </w:lvl>
    <w:lvl w:ilvl="8" w:tplc="04090005" w:tentative="1">
      <w:start w:val="1"/>
      <w:numFmt w:val="bullet"/>
      <w:lvlText w:val=""/>
      <w:lvlJc w:val="left"/>
      <w:pPr>
        <w:ind w:left="4796" w:hanging="480"/>
      </w:pPr>
      <w:rPr>
        <w:rFonts w:ascii="Wingdings" w:hAnsi="Wingdings" w:hint="default"/>
      </w:rPr>
    </w:lvl>
  </w:abstractNum>
  <w:num w:numId="1" w16cid:durableId="344982105">
    <w:abstractNumId w:val="8"/>
  </w:num>
  <w:num w:numId="2" w16cid:durableId="1160268405">
    <w:abstractNumId w:val="2"/>
  </w:num>
  <w:num w:numId="3" w16cid:durableId="1351756832">
    <w:abstractNumId w:val="11"/>
  </w:num>
  <w:num w:numId="4" w16cid:durableId="1119687917">
    <w:abstractNumId w:val="4"/>
  </w:num>
  <w:num w:numId="5" w16cid:durableId="604000252">
    <w:abstractNumId w:val="10"/>
  </w:num>
  <w:num w:numId="6" w16cid:durableId="663895475">
    <w:abstractNumId w:val="7"/>
  </w:num>
  <w:num w:numId="7" w16cid:durableId="852913070">
    <w:abstractNumId w:val="9"/>
  </w:num>
  <w:num w:numId="8" w16cid:durableId="1073967343">
    <w:abstractNumId w:val="3"/>
  </w:num>
  <w:num w:numId="9" w16cid:durableId="231084098">
    <w:abstractNumId w:val="5"/>
  </w:num>
  <w:num w:numId="10" w16cid:durableId="2011906129">
    <w:abstractNumId w:val="0"/>
  </w:num>
  <w:num w:numId="11" w16cid:durableId="1994526900">
    <w:abstractNumId w:val="1"/>
  </w:num>
  <w:num w:numId="12" w16cid:durableId="8365820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013"/>
    <w:rsid w:val="00015525"/>
    <w:rsid w:val="00030AAD"/>
    <w:rsid w:val="00031F4E"/>
    <w:rsid w:val="00042D95"/>
    <w:rsid w:val="00051AD1"/>
    <w:rsid w:val="00060C32"/>
    <w:rsid w:val="00061A5F"/>
    <w:rsid w:val="0007142C"/>
    <w:rsid w:val="00072AB3"/>
    <w:rsid w:val="00093B27"/>
    <w:rsid w:val="00093F18"/>
    <w:rsid w:val="00096834"/>
    <w:rsid w:val="000A7E3B"/>
    <w:rsid w:val="000C2114"/>
    <w:rsid w:val="000C3737"/>
    <w:rsid w:val="000F32E4"/>
    <w:rsid w:val="000F53B9"/>
    <w:rsid w:val="0010246A"/>
    <w:rsid w:val="00127FCC"/>
    <w:rsid w:val="00142099"/>
    <w:rsid w:val="00165CE0"/>
    <w:rsid w:val="001757AB"/>
    <w:rsid w:val="00181642"/>
    <w:rsid w:val="001A1F93"/>
    <w:rsid w:val="001B4ED1"/>
    <w:rsid w:val="001F2CE9"/>
    <w:rsid w:val="001F52B5"/>
    <w:rsid w:val="0020769B"/>
    <w:rsid w:val="00210F1B"/>
    <w:rsid w:val="00220902"/>
    <w:rsid w:val="00254D35"/>
    <w:rsid w:val="002867BD"/>
    <w:rsid w:val="00296C76"/>
    <w:rsid w:val="002C39EB"/>
    <w:rsid w:val="002D0074"/>
    <w:rsid w:val="002D03EB"/>
    <w:rsid w:val="002D2926"/>
    <w:rsid w:val="002F1644"/>
    <w:rsid w:val="002F1A9C"/>
    <w:rsid w:val="002F40F8"/>
    <w:rsid w:val="002F645B"/>
    <w:rsid w:val="00300022"/>
    <w:rsid w:val="00322F5D"/>
    <w:rsid w:val="003324B0"/>
    <w:rsid w:val="003340E7"/>
    <w:rsid w:val="00335027"/>
    <w:rsid w:val="00335E0A"/>
    <w:rsid w:val="00353FE7"/>
    <w:rsid w:val="00361DEA"/>
    <w:rsid w:val="00377C16"/>
    <w:rsid w:val="00380068"/>
    <w:rsid w:val="0039754C"/>
    <w:rsid w:val="003A2D2A"/>
    <w:rsid w:val="003A3808"/>
    <w:rsid w:val="003B1ACE"/>
    <w:rsid w:val="003D2F2C"/>
    <w:rsid w:val="003E5012"/>
    <w:rsid w:val="00405880"/>
    <w:rsid w:val="00416064"/>
    <w:rsid w:val="004316CA"/>
    <w:rsid w:val="00441EC4"/>
    <w:rsid w:val="00467625"/>
    <w:rsid w:val="00474058"/>
    <w:rsid w:val="004802EC"/>
    <w:rsid w:val="004917FE"/>
    <w:rsid w:val="0049710B"/>
    <w:rsid w:val="004A0366"/>
    <w:rsid w:val="004A0DBA"/>
    <w:rsid w:val="004A4220"/>
    <w:rsid w:val="004B4A46"/>
    <w:rsid w:val="004B5CDD"/>
    <w:rsid w:val="004C2AC3"/>
    <w:rsid w:val="004C5D7F"/>
    <w:rsid w:val="004D2988"/>
    <w:rsid w:val="004E0EB6"/>
    <w:rsid w:val="004F3382"/>
    <w:rsid w:val="005002E0"/>
    <w:rsid w:val="00502AFD"/>
    <w:rsid w:val="005034D1"/>
    <w:rsid w:val="005903A1"/>
    <w:rsid w:val="005D57F6"/>
    <w:rsid w:val="005E24F4"/>
    <w:rsid w:val="005E4AFC"/>
    <w:rsid w:val="005F3AA4"/>
    <w:rsid w:val="00613646"/>
    <w:rsid w:val="00615DA9"/>
    <w:rsid w:val="006166D5"/>
    <w:rsid w:val="00625425"/>
    <w:rsid w:val="006617EA"/>
    <w:rsid w:val="006628E3"/>
    <w:rsid w:val="006A0001"/>
    <w:rsid w:val="006B5DDD"/>
    <w:rsid w:val="006E5924"/>
    <w:rsid w:val="006F15BD"/>
    <w:rsid w:val="006F19B6"/>
    <w:rsid w:val="00726FEC"/>
    <w:rsid w:val="0073188C"/>
    <w:rsid w:val="00735C98"/>
    <w:rsid w:val="00736C06"/>
    <w:rsid w:val="007519D7"/>
    <w:rsid w:val="007555D2"/>
    <w:rsid w:val="0077207D"/>
    <w:rsid w:val="00782C03"/>
    <w:rsid w:val="00792BF4"/>
    <w:rsid w:val="00797C9E"/>
    <w:rsid w:val="00797ED8"/>
    <w:rsid w:val="007A28A0"/>
    <w:rsid w:val="007D49E5"/>
    <w:rsid w:val="007E1AF0"/>
    <w:rsid w:val="007F4B8C"/>
    <w:rsid w:val="0080236D"/>
    <w:rsid w:val="00836EF1"/>
    <w:rsid w:val="00847611"/>
    <w:rsid w:val="00852275"/>
    <w:rsid w:val="00856538"/>
    <w:rsid w:val="008775D8"/>
    <w:rsid w:val="008968BB"/>
    <w:rsid w:val="008A1FAF"/>
    <w:rsid w:val="008B010C"/>
    <w:rsid w:val="008B0E7E"/>
    <w:rsid w:val="008E4376"/>
    <w:rsid w:val="008F3C2B"/>
    <w:rsid w:val="009040A5"/>
    <w:rsid w:val="00923BD9"/>
    <w:rsid w:val="009316F4"/>
    <w:rsid w:val="00940A57"/>
    <w:rsid w:val="0094335E"/>
    <w:rsid w:val="009457C4"/>
    <w:rsid w:val="00952B2F"/>
    <w:rsid w:val="00970091"/>
    <w:rsid w:val="0097345C"/>
    <w:rsid w:val="009879B7"/>
    <w:rsid w:val="009A0071"/>
    <w:rsid w:val="009A1CC7"/>
    <w:rsid w:val="009B206F"/>
    <w:rsid w:val="009D2799"/>
    <w:rsid w:val="009E0F82"/>
    <w:rsid w:val="009E7399"/>
    <w:rsid w:val="009E7AB9"/>
    <w:rsid w:val="009F0013"/>
    <w:rsid w:val="009F1A52"/>
    <w:rsid w:val="00A10DA4"/>
    <w:rsid w:val="00A27938"/>
    <w:rsid w:val="00A33E11"/>
    <w:rsid w:val="00A71E12"/>
    <w:rsid w:val="00A84D69"/>
    <w:rsid w:val="00A870DD"/>
    <w:rsid w:val="00AD70C2"/>
    <w:rsid w:val="00AE34E0"/>
    <w:rsid w:val="00AF51B3"/>
    <w:rsid w:val="00B01A86"/>
    <w:rsid w:val="00B04418"/>
    <w:rsid w:val="00B107D2"/>
    <w:rsid w:val="00B15324"/>
    <w:rsid w:val="00B2427D"/>
    <w:rsid w:val="00B47663"/>
    <w:rsid w:val="00B53554"/>
    <w:rsid w:val="00B5650C"/>
    <w:rsid w:val="00B813D3"/>
    <w:rsid w:val="00B90C55"/>
    <w:rsid w:val="00BF5628"/>
    <w:rsid w:val="00BF66A4"/>
    <w:rsid w:val="00C17A56"/>
    <w:rsid w:val="00C20682"/>
    <w:rsid w:val="00C406EB"/>
    <w:rsid w:val="00C6224D"/>
    <w:rsid w:val="00C66B3E"/>
    <w:rsid w:val="00C84721"/>
    <w:rsid w:val="00C94481"/>
    <w:rsid w:val="00D14543"/>
    <w:rsid w:val="00D276DA"/>
    <w:rsid w:val="00D34E2E"/>
    <w:rsid w:val="00D40D00"/>
    <w:rsid w:val="00D43036"/>
    <w:rsid w:val="00D456EA"/>
    <w:rsid w:val="00D50410"/>
    <w:rsid w:val="00D74524"/>
    <w:rsid w:val="00DA7D61"/>
    <w:rsid w:val="00DB058D"/>
    <w:rsid w:val="00DC1209"/>
    <w:rsid w:val="00DC2D43"/>
    <w:rsid w:val="00DD5845"/>
    <w:rsid w:val="00DE6455"/>
    <w:rsid w:val="00E33672"/>
    <w:rsid w:val="00E370DF"/>
    <w:rsid w:val="00E4483F"/>
    <w:rsid w:val="00E83531"/>
    <w:rsid w:val="00E900FC"/>
    <w:rsid w:val="00E960DD"/>
    <w:rsid w:val="00E967DD"/>
    <w:rsid w:val="00EE7C82"/>
    <w:rsid w:val="00EF347D"/>
    <w:rsid w:val="00F07B9A"/>
    <w:rsid w:val="00F12B95"/>
    <w:rsid w:val="00F243EB"/>
    <w:rsid w:val="00F751A1"/>
    <w:rsid w:val="00F75A13"/>
    <w:rsid w:val="00F81DF5"/>
    <w:rsid w:val="00F90173"/>
    <w:rsid w:val="00FA0CAF"/>
    <w:rsid w:val="00FB03E5"/>
    <w:rsid w:val="00FB410B"/>
    <w:rsid w:val="00FC4984"/>
    <w:rsid w:val="00FE0EC2"/>
    <w:rsid w:val="00FE5062"/>
    <w:rsid w:val="00FF54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7372B"/>
  <w15:chartTrackingRefBased/>
  <w15:docId w15:val="{98267948-8865-4991-8495-99DB544F4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0091"/>
    <w:pPr>
      <w:ind w:leftChars="200" w:left="480"/>
    </w:pPr>
  </w:style>
  <w:style w:type="paragraph" w:styleId="a4">
    <w:name w:val="header"/>
    <w:basedOn w:val="a"/>
    <w:link w:val="a5"/>
    <w:uiPriority w:val="99"/>
    <w:unhideWhenUsed/>
    <w:rsid w:val="008775D8"/>
    <w:pPr>
      <w:tabs>
        <w:tab w:val="center" w:pos="4153"/>
        <w:tab w:val="right" w:pos="8306"/>
      </w:tabs>
      <w:snapToGrid w:val="0"/>
    </w:pPr>
    <w:rPr>
      <w:sz w:val="20"/>
      <w:szCs w:val="20"/>
    </w:rPr>
  </w:style>
  <w:style w:type="character" w:customStyle="1" w:styleId="a5">
    <w:name w:val="頁首 字元"/>
    <w:basedOn w:val="a0"/>
    <w:link w:val="a4"/>
    <w:uiPriority w:val="99"/>
    <w:rsid w:val="008775D8"/>
    <w:rPr>
      <w:sz w:val="20"/>
      <w:szCs w:val="20"/>
    </w:rPr>
  </w:style>
  <w:style w:type="paragraph" w:styleId="a6">
    <w:name w:val="footer"/>
    <w:basedOn w:val="a"/>
    <w:link w:val="a7"/>
    <w:uiPriority w:val="99"/>
    <w:unhideWhenUsed/>
    <w:rsid w:val="008775D8"/>
    <w:pPr>
      <w:tabs>
        <w:tab w:val="center" w:pos="4153"/>
        <w:tab w:val="right" w:pos="8306"/>
      </w:tabs>
      <w:snapToGrid w:val="0"/>
    </w:pPr>
    <w:rPr>
      <w:sz w:val="20"/>
      <w:szCs w:val="20"/>
    </w:rPr>
  </w:style>
  <w:style w:type="character" w:customStyle="1" w:styleId="a7">
    <w:name w:val="頁尾 字元"/>
    <w:basedOn w:val="a0"/>
    <w:link w:val="a6"/>
    <w:uiPriority w:val="99"/>
    <w:rsid w:val="008775D8"/>
    <w:rPr>
      <w:sz w:val="20"/>
      <w:szCs w:val="20"/>
    </w:rPr>
  </w:style>
  <w:style w:type="character" w:styleId="a8">
    <w:name w:val="Hyperlink"/>
    <w:basedOn w:val="a0"/>
    <w:uiPriority w:val="99"/>
    <w:unhideWhenUsed/>
    <w:rsid w:val="00300022"/>
    <w:rPr>
      <w:color w:val="0563C1" w:themeColor="hyperlink"/>
      <w:u w:val="single"/>
    </w:rPr>
  </w:style>
  <w:style w:type="character" w:styleId="a9">
    <w:name w:val="Unresolved Mention"/>
    <w:basedOn w:val="a0"/>
    <w:uiPriority w:val="99"/>
    <w:semiHidden/>
    <w:unhideWhenUsed/>
    <w:rsid w:val="00300022"/>
    <w:rPr>
      <w:color w:val="605E5C"/>
      <w:shd w:val="clear" w:color="auto" w:fill="E1DFDD"/>
    </w:rPr>
  </w:style>
  <w:style w:type="paragraph" w:styleId="HTML">
    <w:name w:val="HTML Preformatted"/>
    <w:basedOn w:val="a"/>
    <w:link w:val="HTML0"/>
    <w:uiPriority w:val="99"/>
    <w:rsid w:val="0094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pPr>
    <w:rPr>
      <w:rFonts w:ascii="Arial Unicode MS" w:eastAsia="Arial Unicode MS" w:hAnsi="Arial Unicode MS" w:cs="Times New Roman"/>
      <w:color w:val="000000"/>
      <w:kern w:val="0"/>
      <w:sz w:val="20"/>
      <w:szCs w:val="20"/>
    </w:rPr>
  </w:style>
  <w:style w:type="character" w:customStyle="1" w:styleId="HTML0">
    <w:name w:val="HTML 預設格式 字元"/>
    <w:basedOn w:val="a0"/>
    <w:link w:val="HTML"/>
    <w:uiPriority w:val="99"/>
    <w:rsid w:val="0094335E"/>
    <w:rPr>
      <w:rFonts w:ascii="Arial Unicode MS" w:eastAsia="Arial Unicode MS" w:hAnsi="Arial Unicode MS" w:cs="Times New Roman"/>
      <w:color w:val="000000"/>
      <w:kern w:val="0"/>
      <w:sz w:val="20"/>
      <w:szCs w:val="20"/>
    </w:rPr>
  </w:style>
  <w:style w:type="paragraph" w:styleId="aa">
    <w:name w:val="Revision"/>
    <w:hidden/>
    <w:uiPriority w:val="99"/>
    <w:semiHidden/>
    <w:rsid w:val="003D2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60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謝依璇</dc:creator>
  <cp:keywords/>
  <dc:description/>
  <cp:lastModifiedBy>謝依璇</cp:lastModifiedBy>
  <cp:revision>7</cp:revision>
  <cp:lastPrinted>2023-08-29T10:02:00Z</cp:lastPrinted>
  <dcterms:created xsi:type="dcterms:W3CDTF">2024-04-11T03:05:00Z</dcterms:created>
  <dcterms:modified xsi:type="dcterms:W3CDTF">2024-04-11T07:08:00Z</dcterms:modified>
</cp:coreProperties>
</file>