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99" w:rsidRPr="000D2DE6" w:rsidRDefault="00C43499" w:rsidP="00C43499">
      <w:pPr>
        <w:spacing w:line="440" w:lineRule="exact"/>
        <w:ind w:leftChars="50" w:left="841" w:hangingChars="200" w:hanging="721"/>
        <w:jc w:val="center"/>
        <w:rPr>
          <w:rStyle w:val="a5"/>
          <w:rFonts w:ascii="標楷體" w:eastAsia="標楷體" w:hAnsi="標楷體"/>
          <w:sz w:val="28"/>
          <w:szCs w:val="28"/>
        </w:rPr>
      </w:pPr>
      <w:bookmarkStart w:id="0" w:name="_Toc296518986"/>
      <w:r>
        <w:rPr>
          <w:rFonts w:ascii="標楷體" w:eastAsia="標楷體" w:hAnsi="標楷體" w:hint="eastAsia"/>
          <w:b/>
          <w:sz w:val="36"/>
          <w:szCs w:val="36"/>
        </w:rPr>
        <w:t>內部控制及內部稽核部分</w:t>
      </w:r>
    </w:p>
    <w:p w:rsidR="00C43499" w:rsidRPr="003A0F82" w:rsidRDefault="00C43499" w:rsidP="00C43499">
      <w:pPr>
        <w:spacing w:line="0" w:lineRule="atLeast"/>
        <w:rPr>
          <w:rFonts w:ascii="標楷體" w:eastAsia="標楷體" w:hAnsi="標楷體"/>
          <w:sz w:val="28"/>
          <w:szCs w:val="28"/>
        </w:rPr>
      </w:pPr>
    </w:p>
    <w:p w:rsidR="00C43499" w:rsidRPr="00386890" w:rsidRDefault="00C43499" w:rsidP="00386890">
      <w:pPr>
        <w:pStyle w:val="a3"/>
        <w:numPr>
          <w:ilvl w:val="0"/>
          <w:numId w:val="1"/>
        </w:numPr>
        <w:spacing w:line="0" w:lineRule="atLeast"/>
        <w:ind w:leftChars="0" w:left="574" w:hangingChars="205" w:hanging="574"/>
        <w:rPr>
          <w:rFonts w:ascii="標楷體" w:eastAsia="標楷體" w:hAnsi="標楷體"/>
          <w:sz w:val="28"/>
          <w:szCs w:val="28"/>
        </w:rPr>
      </w:pPr>
      <w:r w:rsidRPr="00386890">
        <w:rPr>
          <w:rFonts w:ascii="標楷體" w:eastAsia="標楷體" w:hAnsi="標楷體" w:hint="eastAsia"/>
          <w:sz w:val="28"/>
          <w:szCs w:val="28"/>
        </w:rPr>
        <w:t>內</w:t>
      </w:r>
      <w:r w:rsidRPr="00386890">
        <w:rPr>
          <w:rFonts w:ascii="標楷體" w:eastAsia="標楷體" w:hAnsi="標楷體"/>
          <w:sz w:val="28"/>
          <w:szCs w:val="28"/>
        </w:rPr>
        <w:t>部稽核</w:t>
      </w:r>
      <w:r w:rsidRPr="00386890">
        <w:rPr>
          <w:rFonts w:ascii="標楷體" w:eastAsia="標楷體" w:hAnsi="標楷體" w:hint="eastAsia"/>
          <w:sz w:val="28"/>
          <w:szCs w:val="28"/>
        </w:rPr>
        <w:t>之</w:t>
      </w:r>
      <w:r w:rsidRPr="00386890">
        <w:rPr>
          <w:rFonts w:ascii="標楷體" w:eastAsia="標楷體" w:hAnsi="標楷體"/>
          <w:sz w:val="28"/>
          <w:szCs w:val="28"/>
        </w:rPr>
        <w:t>職務代理人</w:t>
      </w:r>
      <w:r w:rsidRPr="00386890">
        <w:rPr>
          <w:rFonts w:ascii="標楷體" w:eastAsia="標楷體" w:hAnsi="標楷體" w:hint="eastAsia"/>
          <w:sz w:val="28"/>
          <w:szCs w:val="28"/>
        </w:rPr>
        <w:t>可</w:t>
      </w:r>
      <w:r w:rsidRPr="00386890">
        <w:rPr>
          <w:rFonts w:ascii="標楷體" w:eastAsia="標楷體" w:hAnsi="標楷體"/>
          <w:sz w:val="28"/>
          <w:szCs w:val="28"/>
        </w:rPr>
        <w:t>否由會計主管兼任？其</w:t>
      </w:r>
      <w:r w:rsidRPr="00386890">
        <w:rPr>
          <w:rFonts w:ascii="標楷體" w:eastAsia="標楷體" w:hAnsi="標楷體" w:hint="eastAsia"/>
          <w:sz w:val="28"/>
          <w:szCs w:val="28"/>
        </w:rPr>
        <w:t>任</w:t>
      </w:r>
      <w:r w:rsidRPr="00386890">
        <w:rPr>
          <w:rFonts w:ascii="標楷體" w:eastAsia="標楷體" w:hAnsi="標楷體"/>
          <w:sz w:val="28"/>
          <w:szCs w:val="28"/>
        </w:rPr>
        <w:t>免應否</w:t>
      </w:r>
      <w:r w:rsidRPr="00386890">
        <w:rPr>
          <w:rFonts w:ascii="標楷體" w:eastAsia="標楷體" w:hAnsi="標楷體" w:hint="eastAsia"/>
          <w:sz w:val="28"/>
          <w:szCs w:val="28"/>
        </w:rPr>
        <w:t>經</w:t>
      </w:r>
      <w:r w:rsidRPr="00386890">
        <w:rPr>
          <w:rFonts w:ascii="標楷體" w:eastAsia="標楷體" w:hAnsi="標楷體"/>
          <w:sz w:val="28"/>
          <w:szCs w:val="28"/>
        </w:rPr>
        <w:t>董事會</w:t>
      </w:r>
      <w:r w:rsidRPr="00386890">
        <w:rPr>
          <w:rFonts w:ascii="標楷體" w:eastAsia="標楷體" w:hAnsi="標楷體" w:hint="eastAsia"/>
          <w:sz w:val="28"/>
          <w:szCs w:val="28"/>
        </w:rPr>
        <w:t>通</w:t>
      </w:r>
      <w:r w:rsidRPr="00386890">
        <w:rPr>
          <w:rFonts w:ascii="標楷體" w:eastAsia="標楷體" w:hAnsi="標楷體"/>
          <w:sz w:val="28"/>
          <w:szCs w:val="28"/>
        </w:rPr>
        <w:t>過？</w:t>
      </w:r>
    </w:p>
    <w:p w:rsidR="00C43499" w:rsidRDefault="00C43499" w:rsidP="00386890">
      <w:pPr>
        <w:spacing w:line="0" w:lineRule="atLeast"/>
        <w:ind w:leftChars="3" w:left="573" w:hangingChars="202" w:hanging="566"/>
        <w:rPr>
          <w:rFonts w:ascii="標楷體" w:eastAsia="標楷體" w:hAnsi="標楷體"/>
          <w:sz w:val="28"/>
          <w:szCs w:val="28"/>
        </w:rPr>
      </w:pPr>
      <w:r w:rsidRPr="000351F2">
        <w:rPr>
          <w:rFonts w:ascii="標楷體" w:eastAsia="標楷體" w:hAnsi="標楷體" w:hint="eastAsia"/>
          <w:sz w:val="28"/>
          <w:szCs w:val="28"/>
        </w:rPr>
        <w:t>答</w:t>
      </w:r>
      <w:r w:rsidRPr="000351F2">
        <w:rPr>
          <w:rFonts w:ascii="標楷體" w:eastAsia="標楷體" w:hAnsi="標楷體"/>
          <w:sz w:val="28"/>
          <w:szCs w:val="28"/>
        </w:rPr>
        <w:t>：</w:t>
      </w:r>
      <w:r w:rsidRPr="000351F2">
        <w:rPr>
          <w:rFonts w:ascii="標楷體" w:eastAsia="標楷體" w:hAnsi="標楷體" w:hint="eastAsia"/>
          <w:sz w:val="28"/>
          <w:szCs w:val="28"/>
        </w:rPr>
        <w:t>依</w:t>
      </w:r>
      <w:r w:rsidRPr="000351F2">
        <w:rPr>
          <w:rFonts w:ascii="標楷體" w:eastAsia="標楷體" w:hAnsi="標楷體"/>
          <w:sz w:val="28"/>
          <w:szCs w:val="28"/>
        </w:rPr>
        <w:t>公開發行公司內部控制制度處理準則</w:t>
      </w:r>
      <w:r w:rsidRPr="000351F2">
        <w:rPr>
          <w:rFonts w:ascii="標楷體" w:eastAsia="標楷體" w:hAnsi="標楷體" w:hint="eastAsia"/>
          <w:sz w:val="28"/>
          <w:szCs w:val="28"/>
        </w:rPr>
        <w:t>規</w:t>
      </w:r>
      <w:r w:rsidRPr="000351F2">
        <w:rPr>
          <w:rFonts w:ascii="標楷體" w:eastAsia="標楷體" w:hAnsi="標楷體"/>
          <w:sz w:val="28"/>
          <w:szCs w:val="28"/>
        </w:rPr>
        <w:t>範</w:t>
      </w:r>
      <w:r w:rsidR="00386890">
        <w:rPr>
          <w:rFonts w:ascii="標楷體" w:eastAsia="標楷體" w:hAnsi="標楷體" w:hint="eastAsia"/>
          <w:sz w:val="28"/>
          <w:szCs w:val="28"/>
        </w:rPr>
        <w:t>，</w:t>
      </w:r>
      <w:r w:rsidRPr="000351F2">
        <w:rPr>
          <w:rFonts w:ascii="標楷體" w:eastAsia="標楷體" w:hAnsi="標楷體" w:hint="eastAsia"/>
          <w:sz w:val="28"/>
          <w:szCs w:val="28"/>
        </w:rPr>
        <w:t>內</w:t>
      </w:r>
      <w:r w:rsidRPr="000351F2">
        <w:rPr>
          <w:rFonts w:ascii="標楷體" w:eastAsia="標楷體" w:hAnsi="標楷體"/>
          <w:sz w:val="28"/>
          <w:szCs w:val="28"/>
        </w:rPr>
        <w:t>部稽核人員</w:t>
      </w:r>
      <w:r w:rsidR="00386890">
        <w:rPr>
          <w:rFonts w:ascii="標楷體" w:eastAsia="標楷體" w:hAnsi="標楷體" w:hint="eastAsia"/>
          <w:sz w:val="28"/>
          <w:szCs w:val="28"/>
        </w:rPr>
        <w:t>應</w:t>
      </w:r>
      <w:r w:rsidRPr="000351F2">
        <w:rPr>
          <w:rFonts w:ascii="標楷體" w:eastAsia="標楷體" w:hAnsi="標楷體"/>
          <w:sz w:val="28"/>
          <w:szCs w:val="28"/>
        </w:rPr>
        <w:t>為專任，惟其職務代理人</w:t>
      </w:r>
      <w:r w:rsidRPr="000351F2">
        <w:rPr>
          <w:rFonts w:ascii="標楷體" w:eastAsia="標楷體" w:hAnsi="標楷體" w:hint="eastAsia"/>
          <w:sz w:val="28"/>
          <w:szCs w:val="28"/>
        </w:rPr>
        <w:t>尚</w:t>
      </w:r>
      <w:r w:rsidRPr="000351F2">
        <w:rPr>
          <w:rFonts w:ascii="標楷體" w:eastAsia="標楷體" w:hAnsi="標楷體"/>
          <w:sz w:val="28"/>
          <w:szCs w:val="28"/>
        </w:rPr>
        <w:t>無專任之規定，可由其他部</w:t>
      </w:r>
      <w:r w:rsidRPr="000351F2">
        <w:rPr>
          <w:rFonts w:ascii="標楷體" w:eastAsia="標楷體" w:hAnsi="標楷體" w:hint="eastAsia"/>
          <w:sz w:val="28"/>
          <w:szCs w:val="28"/>
        </w:rPr>
        <w:t>門</w:t>
      </w:r>
      <w:r w:rsidRPr="000351F2">
        <w:rPr>
          <w:rFonts w:ascii="標楷體" w:eastAsia="標楷體" w:hAnsi="標楷體"/>
          <w:sz w:val="28"/>
          <w:szCs w:val="28"/>
        </w:rPr>
        <w:t>人員擔任</w:t>
      </w:r>
      <w:r w:rsidRPr="000351F2">
        <w:rPr>
          <w:rFonts w:ascii="標楷體" w:eastAsia="標楷體" w:hAnsi="標楷體" w:hint="eastAsia"/>
          <w:sz w:val="28"/>
          <w:szCs w:val="28"/>
        </w:rPr>
        <w:t>；</w:t>
      </w:r>
      <w:r w:rsidRPr="000351F2">
        <w:rPr>
          <w:rFonts w:ascii="標楷體" w:eastAsia="標楷體" w:hAnsi="標楷體"/>
          <w:sz w:val="28"/>
          <w:szCs w:val="28"/>
        </w:rPr>
        <w:t>若職務代理人由其他部門人員</w:t>
      </w:r>
      <w:r w:rsidRPr="000351F2">
        <w:rPr>
          <w:rFonts w:ascii="標楷體" w:eastAsia="標楷體" w:hAnsi="標楷體" w:hint="eastAsia"/>
          <w:sz w:val="28"/>
          <w:szCs w:val="28"/>
        </w:rPr>
        <w:t>擔</w:t>
      </w:r>
      <w:r w:rsidRPr="000351F2">
        <w:rPr>
          <w:rFonts w:ascii="標楷體" w:eastAsia="標楷體" w:hAnsi="標楷體"/>
          <w:sz w:val="28"/>
          <w:szCs w:val="28"/>
        </w:rPr>
        <w:t>任，其代理執行稽核業務</w:t>
      </w:r>
      <w:r w:rsidR="00451EE3">
        <w:rPr>
          <w:rFonts w:ascii="標楷體" w:eastAsia="標楷體" w:hAnsi="標楷體" w:hint="eastAsia"/>
          <w:sz w:val="28"/>
          <w:szCs w:val="28"/>
        </w:rPr>
        <w:t>時，</w:t>
      </w:r>
      <w:r w:rsidRPr="000351F2">
        <w:rPr>
          <w:rFonts w:ascii="標楷體" w:eastAsia="標楷體" w:hAnsi="標楷體"/>
          <w:sz w:val="28"/>
          <w:szCs w:val="28"/>
        </w:rPr>
        <w:t>應依前開準則規定迴避對其服務部門進行稽核作業，公司亦可安排代理順位使其迴避利益衝突之稽核案件。內部稽核</w:t>
      </w:r>
      <w:r w:rsidRPr="000351F2">
        <w:rPr>
          <w:rFonts w:ascii="標楷體" w:eastAsia="標楷體" w:hAnsi="標楷體" w:hint="eastAsia"/>
          <w:sz w:val="28"/>
          <w:szCs w:val="28"/>
        </w:rPr>
        <w:t>人</w:t>
      </w:r>
      <w:r w:rsidRPr="000351F2">
        <w:rPr>
          <w:rFonts w:ascii="標楷體" w:eastAsia="標楷體" w:hAnsi="標楷體"/>
          <w:sz w:val="28"/>
          <w:szCs w:val="28"/>
        </w:rPr>
        <w:t>員職務</w:t>
      </w:r>
      <w:r w:rsidRPr="000351F2">
        <w:rPr>
          <w:rFonts w:ascii="標楷體" w:eastAsia="標楷體" w:hAnsi="標楷體" w:hint="eastAsia"/>
          <w:sz w:val="28"/>
          <w:szCs w:val="28"/>
        </w:rPr>
        <w:t>代</w:t>
      </w:r>
      <w:r w:rsidRPr="000351F2">
        <w:rPr>
          <w:rFonts w:ascii="標楷體" w:eastAsia="標楷體" w:hAnsi="標楷體"/>
          <w:sz w:val="28"/>
          <w:szCs w:val="28"/>
        </w:rPr>
        <w:t>理人之任免可</w:t>
      </w:r>
      <w:r w:rsidRPr="000351F2">
        <w:rPr>
          <w:rFonts w:ascii="標楷體" w:eastAsia="標楷體" w:hAnsi="標楷體" w:hint="eastAsia"/>
          <w:sz w:val="28"/>
          <w:szCs w:val="28"/>
        </w:rPr>
        <w:t>依</w:t>
      </w:r>
      <w:r w:rsidRPr="000351F2">
        <w:rPr>
          <w:rFonts w:ascii="標楷體" w:eastAsia="標楷體" w:hAnsi="標楷體"/>
          <w:sz w:val="28"/>
          <w:szCs w:val="28"/>
        </w:rPr>
        <w:t>公司</w:t>
      </w:r>
      <w:r w:rsidRPr="000351F2">
        <w:rPr>
          <w:rFonts w:ascii="標楷體" w:eastAsia="標楷體" w:hAnsi="標楷體" w:hint="eastAsia"/>
          <w:sz w:val="28"/>
          <w:szCs w:val="28"/>
        </w:rPr>
        <w:t>職</w:t>
      </w:r>
      <w:r w:rsidRPr="000351F2">
        <w:rPr>
          <w:rFonts w:ascii="標楷體" w:eastAsia="標楷體" w:hAnsi="標楷體"/>
          <w:sz w:val="28"/>
          <w:szCs w:val="28"/>
        </w:rPr>
        <w:t>務代理人制度所定相關任免程序辦理。</w:t>
      </w:r>
    </w:p>
    <w:p w:rsidR="00DF3905" w:rsidRPr="000351F2" w:rsidRDefault="00DF3905" w:rsidP="00C43499">
      <w:pPr>
        <w:spacing w:line="0" w:lineRule="atLeast"/>
        <w:ind w:leftChars="177" w:left="921" w:hangingChars="177" w:hanging="496"/>
        <w:rPr>
          <w:rFonts w:ascii="標楷體" w:eastAsia="標楷體" w:hAnsi="標楷體"/>
          <w:sz w:val="28"/>
          <w:szCs w:val="28"/>
        </w:rPr>
      </w:pPr>
    </w:p>
    <w:p w:rsidR="00C43499" w:rsidRPr="00386890" w:rsidRDefault="00C43499" w:rsidP="00386890">
      <w:pPr>
        <w:pStyle w:val="a3"/>
        <w:numPr>
          <w:ilvl w:val="0"/>
          <w:numId w:val="1"/>
        </w:numPr>
        <w:spacing w:line="0" w:lineRule="atLeast"/>
        <w:ind w:leftChars="4" w:left="587" w:hangingChars="206" w:hanging="577"/>
        <w:rPr>
          <w:rFonts w:ascii="標楷體" w:eastAsia="標楷體" w:hAnsi="標楷體"/>
          <w:sz w:val="28"/>
          <w:szCs w:val="28"/>
        </w:rPr>
      </w:pPr>
      <w:r w:rsidRPr="00386890">
        <w:rPr>
          <w:rFonts w:ascii="標楷體" w:eastAsia="標楷體" w:hAnsi="標楷體" w:hint="eastAsia"/>
          <w:sz w:val="28"/>
          <w:szCs w:val="28"/>
        </w:rPr>
        <w:t>公</w:t>
      </w:r>
      <w:r w:rsidRPr="00386890">
        <w:rPr>
          <w:rFonts w:ascii="標楷體" w:eastAsia="標楷體" w:hAnsi="標楷體"/>
          <w:sz w:val="28"/>
          <w:szCs w:val="28"/>
        </w:rPr>
        <w:t>司為單</w:t>
      </w:r>
      <w:r w:rsidRPr="00386890">
        <w:rPr>
          <w:rFonts w:ascii="標楷體" w:eastAsia="標楷體" w:hAnsi="標楷體" w:hint="eastAsia"/>
          <w:sz w:val="28"/>
          <w:szCs w:val="28"/>
        </w:rPr>
        <w:t>純代</w:t>
      </w:r>
      <w:r w:rsidRPr="00386890">
        <w:rPr>
          <w:rFonts w:ascii="標楷體" w:eastAsia="標楷體" w:hAnsi="標楷體"/>
          <w:sz w:val="28"/>
          <w:szCs w:val="28"/>
        </w:rPr>
        <w:t>工製造業，並無</w:t>
      </w:r>
      <w:r w:rsidRPr="00386890">
        <w:rPr>
          <w:rFonts w:ascii="標楷體" w:eastAsia="標楷體" w:hAnsi="標楷體" w:hint="eastAsia"/>
          <w:sz w:val="28"/>
          <w:szCs w:val="28"/>
        </w:rPr>
        <w:t>智</w:t>
      </w:r>
      <w:r w:rsidRPr="00386890">
        <w:rPr>
          <w:rFonts w:ascii="標楷體" w:eastAsia="標楷體" w:hAnsi="標楷體"/>
          <w:sz w:val="28"/>
          <w:szCs w:val="28"/>
        </w:rPr>
        <w:t>慧財產</w:t>
      </w:r>
      <w:r w:rsidRPr="00386890">
        <w:rPr>
          <w:rFonts w:ascii="標楷體" w:eastAsia="標楷體" w:hAnsi="標楷體" w:hint="eastAsia"/>
          <w:sz w:val="28"/>
          <w:szCs w:val="28"/>
        </w:rPr>
        <w:t>權</w:t>
      </w:r>
      <w:r w:rsidRPr="00386890">
        <w:rPr>
          <w:rFonts w:ascii="標楷體" w:eastAsia="標楷體" w:hAnsi="標楷體"/>
          <w:sz w:val="28"/>
          <w:szCs w:val="28"/>
        </w:rPr>
        <w:t>取得、維護及運</w:t>
      </w:r>
      <w:r w:rsidRPr="00386890">
        <w:rPr>
          <w:rFonts w:ascii="標楷體" w:eastAsia="標楷體" w:hAnsi="標楷體" w:hint="eastAsia"/>
          <w:sz w:val="28"/>
          <w:szCs w:val="28"/>
        </w:rPr>
        <w:t>用等</w:t>
      </w:r>
      <w:r w:rsidRPr="00386890">
        <w:rPr>
          <w:rFonts w:ascii="標楷體" w:eastAsia="標楷體" w:hAnsi="標楷體"/>
          <w:sz w:val="28"/>
          <w:szCs w:val="28"/>
        </w:rPr>
        <w:t>作業</w:t>
      </w:r>
      <w:r w:rsidRPr="00386890">
        <w:rPr>
          <w:rFonts w:ascii="標楷體" w:eastAsia="標楷體" w:hAnsi="標楷體" w:hint="eastAsia"/>
          <w:sz w:val="28"/>
          <w:szCs w:val="28"/>
        </w:rPr>
        <w:t>，是</w:t>
      </w:r>
      <w:r w:rsidRPr="00386890">
        <w:rPr>
          <w:rFonts w:ascii="標楷體" w:eastAsia="標楷體" w:hAnsi="標楷體"/>
          <w:sz w:val="28"/>
          <w:szCs w:val="28"/>
        </w:rPr>
        <w:t>否仍須訂定相關內部控制作業？</w:t>
      </w:r>
    </w:p>
    <w:p w:rsidR="00C43499" w:rsidRDefault="00C43499" w:rsidP="00386890">
      <w:pPr>
        <w:spacing w:line="0" w:lineRule="atLeast"/>
        <w:ind w:leftChars="6" w:left="532" w:hangingChars="185" w:hanging="518"/>
        <w:rPr>
          <w:rFonts w:ascii="標楷體" w:eastAsia="標楷體" w:hAnsi="標楷體"/>
          <w:sz w:val="28"/>
          <w:szCs w:val="28"/>
        </w:rPr>
      </w:pPr>
      <w:r w:rsidRPr="000351F2">
        <w:rPr>
          <w:rFonts w:ascii="標楷體" w:eastAsia="標楷體" w:hAnsi="標楷體" w:hint="eastAsia"/>
          <w:sz w:val="28"/>
          <w:szCs w:val="28"/>
        </w:rPr>
        <w:t>答</w:t>
      </w:r>
      <w:r w:rsidRPr="000351F2">
        <w:rPr>
          <w:rFonts w:ascii="標楷體" w:eastAsia="標楷體" w:hAnsi="標楷體"/>
          <w:sz w:val="28"/>
          <w:szCs w:val="28"/>
        </w:rPr>
        <w:t>：公開發行公司得視企業所屬產業</w:t>
      </w:r>
      <w:r w:rsidRPr="000351F2">
        <w:rPr>
          <w:rFonts w:ascii="標楷體" w:eastAsia="標楷體" w:hAnsi="標楷體" w:hint="eastAsia"/>
          <w:sz w:val="28"/>
          <w:szCs w:val="28"/>
        </w:rPr>
        <w:t>特</w:t>
      </w:r>
      <w:r w:rsidRPr="000351F2">
        <w:rPr>
          <w:rFonts w:ascii="標楷體" w:eastAsia="標楷體" w:hAnsi="標楷體"/>
          <w:sz w:val="28"/>
          <w:szCs w:val="28"/>
        </w:rPr>
        <w:t>性，依實際營運活動自行調整必要之控制作業。</w:t>
      </w:r>
    </w:p>
    <w:p w:rsidR="00DF3905" w:rsidRPr="000351F2" w:rsidRDefault="00DF3905" w:rsidP="00C43499">
      <w:pPr>
        <w:spacing w:line="0" w:lineRule="atLeast"/>
        <w:ind w:leftChars="177" w:left="1061" w:hangingChars="227" w:hanging="636"/>
        <w:rPr>
          <w:rFonts w:ascii="標楷體" w:eastAsia="標楷體" w:hAnsi="標楷體"/>
          <w:sz w:val="28"/>
          <w:szCs w:val="28"/>
        </w:rPr>
      </w:pPr>
    </w:p>
    <w:p w:rsidR="00C43499" w:rsidRPr="000351F2" w:rsidRDefault="00C43499" w:rsidP="00386890">
      <w:pPr>
        <w:pStyle w:val="a3"/>
        <w:numPr>
          <w:ilvl w:val="0"/>
          <w:numId w:val="1"/>
        </w:numPr>
        <w:tabs>
          <w:tab w:val="left" w:pos="567"/>
        </w:tabs>
        <w:spacing w:line="0" w:lineRule="atLeast"/>
        <w:ind w:leftChars="0" w:left="560" w:hanging="560"/>
        <w:rPr>
          <w:rFonts w:ascii="標楷體" w:eastAsia="標楷體" w:hAnsi="標楷體"/>
          <w:sz w:val="28"/>
          <w:szCs w:val="28"/>
        </w:rPr>
      </w:pPr>
      <w:r w:rsidRPr="000351F2">
        <w:rPr>
          <w:rFonts w:ascii="標楷體" w:eastAsia="標楷體" w:hAnsi="標楷體" w:hint="eastAsia"/>
          <w:sz w:val="28"/>
          <w:szCs w:val="28"/>
        </w:rPr>
        <w:t>依</w:t>
      </w:r>
      <w:r w:rsidR="00451EE3">
        <w:rPr>
          <w:rFonts w:ascii="標楷體" w:eastAsia="標楷體" w:hAnsi="標楷體"/>
          <w:sz w:val="28"/>
          <w:szCs w:val="28"/>
        </w:rPr>
        <w:t>新修</w:t>
      </w:r>
      <w:r w:rsidR="00451EE3">
        <w:rPr>
          <w:rFonts w:ascii="標楷體" w:eastAsia="標楷體" w:hAnsi="標楷體" w:hint="eastAsia"/>
          <w:sz w:val="28"/>
          <w:szCs w:val="28"/>
        </w:rPr>
        <w:t>正</w:t>
      </w:r>
      <w:r w:rsidRPr="000351F2">
        <w:rPr>
          <w:rFonts w:ascii="標楷體" w:eastAsia="標楷體" w:hAnsi="標楷體"/>
          <w:sz w:val="28"/>
          <w:szCs w:val="28"/>
        </w:rPr>
        <w:t>之內</w:t>
      </w:r>
      <w:r w:rsidRPr="000351F2">
        <w:rPr>
          <w:rFonts w:ascii="標楷體" w:eastAsia="標楷體" w:hAnsi="標楷體" w:hint="eastAsia"/>
          <w:sz w:val="28"/>
          <w:szCs w:val="28"/>
        </w:rPr>
        <w:t>部</w:t>
      </w:r>
      <w:r w:rsidRPr="000351F2">
        <w:rPr>
          <w:rFonts w:ascii="標楷體" w:eastAsia="標楷體" w:hAnsi="標楷體"/>
          <w:sz w:val="28"/>
          <w:szCs w:val="28"/>
        </w:rPr>
        <w:t>控</w:t>
      </w:r>
      <w:r w:rsidRPr="000351F2">
        <w:rPr>
          <w:rFonts w:ascii="標楷體" w:eastAsia="標楷體" w:hAnsi="標楷體" w:hint="eastAsia"/>
          <w:sz w:val="28"/>
          <w:szCs w:val="28"/>
        </w:rPr>
        <w:t>制</w:t>
      </w:r>
      <w:r w:rsidRPr="000351F2">
        <w:rPr>
          <w:rFonts w:ascii="標楷體" w:eastAsia="標楷體" w:hAnsi="標楷體"/>
          <w:sz w:val="28"/>
          <w:szCs w:val="28"/>
        </w:rPr>
        <w:t>制度處理準則規定，</w:t>
      </w:r>
      <w:r w:rsidRPr="000351F2">
        <w:rPr>
          <w:rFonts w:ascii="標楷體" w:eastAsia="標楷體" w:hAnsi="標楷體" w:hint="eastAsia"/>
          <w:sz w:val="28"/>
          <w:szCs w:val="28"/>
        </w:rPr>
        <w:t>法</w:t>
      </w:r>
      <w:r w:rsidRPr="000351F2">
        <w:rPr>
          <w:rFonts w:ascii="標楷體" w:eastAsia="標楷體" w:hAnsi="標楷體"/>
          <w:sz w:val="28"/>
          <w:szCs w:val="28"/>
        </w:rPr>
        <w:t>令規章遵循</w:t>
      </w:r>
      <w:r w:rsidRPr="000351F2">
        <w:rPr>
          <w:rFonts w:ascii="標楷體" w:eastAsia="標楷體" w:hAnsi="標楷體" w:hint="eastAsia"/>
          <w:sz w:val="28"/>
          <w:szCs w:val="28"/>
        </w:rPr>
        <w:t>應</w:t>
      </w:r>
      <w:r w:rsidRPr="000351F2">
        <w:rPr>
          <w:rFonts w:ascii="標楷體" w:eastAsia="標楷體" w:hAnsi="標楷體"/>
          <w:sz w:val="28"/>
          <w:szCs w:val="28"/>
        </w:rPr>
        <w:t>納入年</w:t>
      </w:r>
      <w:r>
        <w:rPr>
          <w:rFonts w:ascii="標楷體" w:eastAsia="標楷體" w:hAnsi="標楷體" w:hint="eastAsia"/>
          <w:sz w:val="28"/>
          <w:szCs w:val="28"/>
        </w:rPr>
        <w:t xml:space="preserve"> </w:t>
      </w:r>
      <w:r w:rsidRPr="000351F2">
        <w:rPr>
          <w:rFonts w:ascii="標楷體" w:eastAsia="標楷體" w:hAnsi="標楷體"/>
          <w:sz w:val="28"/>
          <w:szCs w:val="28"/>
        </w:rPr>
        <w:t>度稽核計畫，</w:t>
      </w:r>
      <w:r w:rsidRPr="000351F2">
        <w:rPr>
          <w:rFonts w:ascii="標楷體" w:eastAsia="標楷體" w:hAnsi="標楷體" w:hint="eastAsia"/>
          <w:sz w:val="28"/>
          <w:szCs w:val="28"/>
        </w:rPr>
        <w:t>公</w:t>
      </w:r>
      <w:r w:rsidRPr="000351F2">
        <w:rPr>
          <w:rFonts w:ascii="標楷體" w:eastAsia="標楷體" w:hAnsi="標楷體"/>
          <w:sz w:val="28"/>
          <w:szCs w:val="28"/>
        </w:rPr>
        <w:t>司是否須</w:t>
      </w:r>
      <w:r w:rsidRPr="000351F2">
        <w:rPr>
          <w:rFonts w:ascii="標楷體" w:eastAsia="標楷體" w:hAnsi="標楷體" w:hint="eastAsia"/>
          <w:sz w:val="28"/>
          <w:szCs w:val="28"/>
        </w:rPr>
        <w:t>單</w:t>
      </w:r>
      <w:r w:rsidRPr="000351F2">
        <w:rPr>
          <w:rFonts w:ascii="標楷體" w:eastAsia="標楷體" w:hAnsi="標楷體"/>
          <w:sz w:val="28"/>
          <w:szCs w:val="28"/>
        </w:rPr>
        <w:t>獨</w:t>
      </w:r>
      <w:r w:rsidRPr="000351F2">
        <w:rPr>
          <w:rFonts w:ascii="標楷體" w:eastAsia="標楷體" w:hAnsi="標楷體" w:hint="eastAsia"/>
          <w:sz w:val="28"/>
          <w:szCs w:val="28"/>
        </w:rPr>
        <w:t>訂</w:t>
      </w:r>
      <w:r w:rsidRPr="000351F2">
        <w:rPr>
          <w:rFonts w:ascii="標楷體" w:eastAsia="標楷體" w:hAnsi="標楷體"/>
          <w:sz w:val="28"/>
          <w:szCs w:val="28"/>
        </w:rPr>
        <w:t>定</w:t>
      </w:r>
      <w:r w:rsidRPr="000351F2">
        <w:rPr>
          <w:rFonts w:ascii="標楷體" w:eastAsia="標楷體" w:hAnsi="標楷體" w:hint="eastAsia"/>
          <w:sz w:val="28"/>
          <w:szCs w:val="28"/>
        </w:rPr>
        <w:t>法</w:t>
      </w:r>
      <w:r w:rsidRPr="000351F2">
        <w:rPr>
          <w:rFonts w:ascii="標楷體" w:eastAsia="標楷體" w:hAnsi="標楷體"/>
          <w:sz w:val="28"/>
          <w:szCs w:val="28"/>
        </w:rPr>
        <w:t>令規章遵循之內控制度？</w:t>
      </w:r>
    </w:p>
    <w:p w:rsidR="00C43499" w:rsidRDefault="00C43499" w:rsidP="00386890">
      <w:pPr>
        <w:spacing w:line="0" w:lineRule="atLeast"/>
        <w:ind w:leftChars="12" w:left="561" w:hangingChars="190" w:hanging="532"/>
        <w:rPr>
          <w:rFonts w:ascii="標楷體" w:eastAsia="標楷體" w:hAnsi="標楷體"/>
          <w:sz w:val="28"/>
          <w:szCs w:val="28"/>
        </w:rPr>
      </w:pPr>
      <w:r w:rsidRPr="000351F2">
        <w:rPr>
          <w:rFonts w:ascii="標楷體" w:eastAsia="標楷體" w:hAnsi="標楷體" w:hint="eastAsia"/>
          <w:sz w:val="28"/>
          <w:szCs w:val="28"/>
        </w:rPr>
        <w:t>答</w:t>
      </w:r>
      <w:r w:rsidR="00386890">
        <w:rPr>
          <w:rFonts w:ascii="標楷體" w:eastAsia="標楷體" w:hAnsi="標楷體" w:hint="eastAsia"/>
          <w:sz w:val="28"/>
          <w:szCs w:val="28"/>
        </w:rPr>
        <w:t>：</w:t>
      </w:r>
      <w:r w:rsidRPr="000351F2">
        <w:rPr>
          <w:rFonts w:ascii="標楷體" w:eastAsia="標楷體" w:hAnsi="標楷體" w:hint="eastAsia"/>
          <w:sz w:val="28"/>
          <w:szCs w:val="28"/>
        </w:rPr>
        <w:t>公司應就企業所屬產業特性及實際營運活動確實進行風險評估及審慎分析，並依據風險評估結果，釐定重要法令規章稽核範圍，擬定法令規章遵循事項之年度稽核計畫。若風險評估結果顯示重要法令規章之遵循已於各營運循環之控制作業完整呈現，則法</w:t>
      </w:r>
      <w:r w:rsidRPr="000351F2">
        <w:rPr>
          <w:rFonts w:ascii="標楷體" w:eastAsia="標楷體" w:hAnsi="標楷體"/>
          <w:sz w:val="28"/>
          <w:szCs w:val="28"/>
        </w:rPr>
        <w:t>令規章</w:t>
      </w:r>
      <w:r w:rsidRPr="000351F2">
        <w:rPr>
          <w:rFonts w:ascii="標楷體" w:eastAsia="標楷體" w:hAnsi="標楷體" w:hint="eastAsia"/>
          <w:sz w:val="28"/>
          <w:szCs w:val="28"/>
        </w:rPr>
        <w:t>遵</w:t>
      </w:r>
      <w:r w:rsidRPr="000351F2">
        <w:rPr>
          <w:rFonts w:ascii="標楷體" w:eastAsia="標楷體" w:hAnsi="標楷體"/>
          <w:sz w:val="28"/>
          <w:szCs w:val="28"/>
        </w:rPr>
        <w:t>循情形可於</w:t>
      </w:r>
      <w:r w:rsidRPr="000351F2">
        <w:rPr>
          <w:rFonts w:ascii="標楷體" w:eastAsia="標楷體" w:hAnsi="標楷體" w:hint="eastAsia"/>
          <w:sz w:val="28"/>
          <w:szCs w:val="28"/>
        </w:rPr>
        <w:t>各</w:t>
      </w:r>
      <w:r w:rsidRPr="000351F2">
        <w:rPr>
          <w:rFonts w:ascii="標楷體" w:eastAsia="標楷體" w:hAnsi="標楷體"/>
          <w:sz w:val="28"/>
          <w:szCs w:val="28"/>
        </w:rPr>
        <w:t>相關營運循環之控制作業執行</w:t>
      </w:r>
      <w:r w:rsidRPr="000351F2">
        <w:rPr>
          <w:rFonts w:ascii="標楷體" w:eastAsia="標楷體" w:hAnsi="標楷體" w:hint="eastAsia"/>
          <w:sz w:val="28"/>
          <w:szCs w:val="28"/>
        </w:rPr>
        <w:t>，於</w:t>
      </w:r>
      <w:r w:rsidRPr="000351F2">
        <w:rPr>
          <w:rFonts w:ascii="標楷體" w:eastAsia="標楷體" w:hAnsi="標楷體"/>
          <w:sz w:val="28"/>
          <w:szCs w:val="28"/>
        </w:rPr>
        <w:t>年度稽核計畫中將「</w:t>
      </w:r>
      <w:r w:rsidRPr="000351F2">
        <w:rPr>
          <w:rFonts w:ascii="標楷體" w:eastAsia="標楷體" w:hAnsi="標楷體" w:hint="eastAsia"/>
          <w:sz w:val="28"/>
          <w:szCs w:val="28"/>
        </w:rPr>
        <w:t>OO</w:t>
      </w:r>
      <w:r w:rsidRPr="000351F2">
        <w:rPr>
          <w:rFonts w:ascii="標楷體" w:eastAsia="標楷體" w:hAnsi="標楷體"/>
          <w:sz w:val="28"/>
          <w:szCs w:val="28"/>
        </w:rPr>
        <w:t>循環及法令規章遵循事項」之稽核項目並列，年度稽核計畫應確實執行，並檢附工作底稿及相關資料等作成稽核報告。</w:t>
      </w:r>
    </w:p>
    <w:p w:rsidR="00C43499" w:rsidRPr="000351F2" w:rsidRDefault="00C43499" w:rsidP="00C43499">
      <w:pPr>
        <w:spacing w:line="0" w:lineRule="atLeast"/>
        <w:rPr>
          <w:rFonts w:ascii="標楷體" w:eastAsia="標楷體" w:hAnsi="標楷體"/>
          <w:sz w:val="28"/>
          <w:szCs w:val="28"/>
        </w:rPr>
      </w:pPr>
    </w:p>
    <w:p w:rsidR="00C43499" w:rsidRPr="00C43499" w:rsidRDefault="00C43499" w:rsidP="003A0F82">
      <w:pPr>
        <w:spacing w:line="440" w:lineRule="exact"/>
        <w:ind w:left="801"/>
        <w:jc w:val="center"/>
        <w:rPr>
          <w:rFonts w:ascii="標楷體" w:eastAsia="標楷體" w:hAnsi="標楷體"/>
          <w:b/>
          <w:sz w:val="36"/>
          <w:szCs w:val="36"/>
        </w:rPr>
      </w:pPr>
    </w:p>
    <w:p w:rsidR="003A0F82" w:rsidRDefault="003A0F82" w:rsidP="003A0F82">
      <w:pPr>
        <w:spacing w:line="440" w:lineRule="exact"/>
        <w:ind w:left="801"/>
        <w:jc w:val="center"/>
        <w:rPr>
          <w:rFonts w:ascii="標楷體" w:eastAsia="標楷體" w:hAnsi="標楷體"/>
          <w:b/>
          <w:sz w:val="36"/>
          <w:szCs w:val="36"/>
        </w:rPr>
      </w:pPr>
      <w:r w:rsidRPr="003A0F82">
        <w:rPr>
          <w:rFonts w:ascii="標楷體" w:eastAsia="標楷體" w:hAnsi="標楷體" w:hint="eastAsia"/>
          <w:b/>
          <w:sz w:val="36"/>
          <w:szCs w:val="36"/>
        </w:rPr>
        <w:t>資訊申報及揭露部分</w:t>
      </w:r>
    </w:p>
    <w:p w:rsidR="00803017" w:rsidRDefault="00803017" w:rsidP="003A0F82">
      <w:pPr>
        <w:spacing w:line="440" w:lineRule="exact"/>
        <w:ind w:left="801"/>
        <w:jc w:val="center"/>
        <w:rPr>
          <w:rFonts w:ascii="標楷體" w:eastAsia="標楷體" w:hAnsi="標楷體"/>
          <w:b/>
          <w:sz w:val="36"/>
          <w:szCs w:val="36"/>
        </w:rPr>
      </w:pPr>
    </w:p>
    <w:p w:rsidR="00803017" w:rsidRPr="00DF3905" w:rsidRDefault="00803017" w:rsidP="00803017">
      <w:pPr>
        <w:spacing w:afterLines="25" w:after="90" w:line="0" w:lineRule="atLeast"/>
        <w:jc w:val="both"/>
        <w:rPr>
          <w:rFonts w:ascii="標楷體" w:eastAsia="標楷體" w:hAnsi="標楷體" w:cs="Calibri"/>
          <w:bCs/>
          <w:sz w:val="28"/>
          <w:szCs w:val="28"/>
        </w:rPr>
      </w:pPr>
      <w:r w:rsidRPr="00DF3905">
        <w:rPr>
          <w:rFonts w:ascii="標楷體" w:eastAsia="標楷體" w:hAnsi="標楷體" w:hint="eastAsia"/>
          <w:bCs/>
          <w:sz w:val="28"/>
          <w:szCs w:val="28"/>
        </w:rPr>
        <w:t>四、公司發行限制員工權利新股有何應注意事項？</w:t>
      </w:r>
    </w:p>
    <w:p w:rsidR="00803017" w:rsidRPr="000351F2" w:rsidRDefault="00803017" w:rsidP="00386890">
      <w:pPr>
        <w:spacing w:line="0" w:lineRule="atLeast"/>
        <w:ind w:leftChars="6" w:left="574" w:hangingChars="200" w:hanging="560"/>
        <w:rPr>
          <w:rFonts w:ascii="標楷體" w:eastAsia="標楷體" w:hAnsi="標楷體"/>
          <w:sz w:val="28"/>
          <w:szCs w:val="28"/>
        </w:rPr>
      </w:pPr>
      <w:r w:rsidRPr="000351F2">
        <w:rPr>
          <w:rFonts w:ascii="標楷體" w:eastAsia="標楷體" w:hAnsi="標楷體" w:hint="eastAsia"/>
          <w:sz w:val="28"/>
          <w:szCs w:val="28"/>
        </w:rPr>
        <w:t>答</w:t>
      </w:r>
      <w:r w:rsidRPr="000351F2">
        <w:rPr>
          <w:rFonts w:ascii="標楷體" w:eastAsia="標楷體" w:hAnsi="標楷體"/>
          <w:sz w:val="28"/>
          <w:szCs w:val="28"/>
        </w:rPr>
        <w:t>：</w:t>
      </w:r>
      <w:r w:rsidRPr="000351F2">
        <w:rPr>
          <w:rFonts w:ascii="標楷體" w:eastAsia="標楷體" w:hAnsi="標楷體" w:hint="eastAsia"/>
          <w:sz w:val="28"/>
          <w:szCs w:val="28"/>
        </w:rPr>
        <w:t>限制員工權利新股，主要係依「發行人募集與發行有價證券處理準則」第60條之1規定：「…謂發行人依公司法第267條第8項發給員工之新股附有服務條件或績效條件等既得條件，於既得條件達成前，其股份權利受有限制」所發行之股份，有關公司發行限制員工權利新股，在公司章程、發行對象、發行辦法、發行數量及會計處理等適用疑義，可參考</w:t>
      </w:r>
      <w:proofErr w:type="gramStart"/>
      <w:r w:rsidRPr="000351F2">
        <w:rPr>
          <w:rFonts w:ascii="標楷體" w:eastAsia="標楷體" w:hAnsi="標楷體" w:hint="eastAsia"/>
          <w:sz w:val="28"/>
          <w:szCs w:val="28"/>
        </w:rPr>
        <w:t>證期局發布</w:t>
      </w:r>
      <w:proofErr w:type="gramEnd"/>
      <w:r w:rsidRPr="000351F2">
        <w:rPr>
          <w:rFonts w:ascii="標楷體" w:eastAsia="標楷體" w:hAnsi="標楷體" w:hint="eastAsia"/>
          <w:sz w:val="28"/>
          <w:szCs w:val="28"/>
        </w:rPr>
        <w:t>之「限制員工權利新股適用疑義問答」。</w:t>
      </w:r>
    </w:p>
    <w:p w:rsidR="00DF3905" w:rsidRPr="003A0F82" w:rsidRDefault="00DF3905" w:rsidP="003A0F82">
      <w:pPr>
        <w:spacing w:line="440" w:lineRule="exact"/>
        <w:ind w:left="801"/>
        <w:jc w:val="center"/>
        <w:rPr>
          <w:rFonts w:ascii="標楷體" w:eastAsia="標楷體" w:hAnsi="標楷體"/>
          <w:b/>
          <w:sz w:val="36"/>
          <w:szCs w:val="36"/>
        </w:rPr>
      </w:pPr>
    </w:p>
    <w:p w:rsidR="003A0F82" w:rsidRPr="00DF3905" w:rsidRDefault="00DF3905" w:rsidP="00DF3905">
      <w:pPr>
        <w:widowControl/>
        <w:spacing w:line="440" w:lineRule="exact"/>
        <w:ind w:leftChars="-1" w:left="563" w:hangingChars="195" w:hanging="565"/>
        <w:jc w:val="both"/>
        <w:rPr>
          <w:rStyle w:val="a5"/>
          <w:rFonts w:ascii="標楷體" w:eastAsia="標楷體" w:hAnsi="標楷體"/>
          <w:b w:val="0"/>
          <w:sz w:val="28"/>
          <w:szCs w:val="28"/>
        </w:rPr>
      </w:pPr>
      <w:r w:rsidRPr="00DF3905">
        <w:rPr>
          <w:rStyle w:val="a5"/>
          <w:rFonts w:ascii="標楷體" w:eastAsia="標楷體" w:hAnsi="標楷體" w:hint="eastAsia"/>
          <w:b w:val="0"/>
          <w:sz w:val="28"/>
          <w:szCs w:val="28"/>
        </w:rPr>
        <w:t>五</w:t>
      </w:r>
      <w:r w:rsidRPr="00DF3905">
        <w:rPr>
          <w:rFonts w:ascii="標楷體" w:eastAsia="標楷體" w:hAnsi="標楷體" w:hint="eastAsia"/>
          <w:b/>
          <w:bCs/>
          <w:sz w:val="28"/>
          <w:szCs w:val="28"/>
        </w:rPr>
        <w:t>、</w:t>
      </w:r>
      <w:r w:rsidR="003A0F82" w:rsidRPr="00DF3905">
        <w:rPr>
          <w:rStyle w:val="a5"/>
          <w:rFonts w:ascii="標楷體" w:eastAsia="標楷體" w:hAnsi="標楷體" w:hint="eastAsia"/>
          <w:b w:val="0"/>
          <w:sz w:val="28"/>
          <w:szCs w:val="28"/>
        </w:rPr>
        <w:t>外國上櫃公司無須編製個體財務報告，並無相關員工人數及員工福利費用資訊，是否仍需要申報相關資訊?</w:t>
      </w:r>
    </w:p>
    <w:p w:rsidR="003A0F82" w:rsidRPr="00C5359F" w:rsidRDefault="003A0F82" w:rsidP="00386890">
      <w:pPr>
        <w:spacing w:line="440" w:lineRule="exact"/>
        <w:ind w:leftChars="12" w:left="589" w:hangingChars="193" w:hanging="560"/>
        <w:rPr>
          <w:rStyle w:val="a5"/>
          <w:rFonts w:ascii="標楷體" w:eastAsia="標楷體" w:hAnsi="標楷體"/>
          <w:b w:val="0"/>
          <w:sz w:val="28"/>
          <w:szCs w:val="28"/>
        </w:rPr>
      </w:pPr>
      <w:r w:rsidRPr="00DF3905">
        <w:rPr>
          <w:rStyle w:val="a5"/>
          <w:rFonts w:ascii="標楷體" w:eastAsia="標楷體" w:hAnsi="標楷體" w:hint="eastAsia"/>
          <w:b w:val="0"/>
          <w:sz w:val="28"/>
          <w:szCs w:val="28"/>
        </w:rPr>
        <w:t>答：</w:t>
      </w:r>
      <w:r>
        <w:rPr>
          <w:rStyle w:val="a5"/>
          <w:rFonts w:ascii="標楷體" w:eastAsia="標楷體" w:hAnsi="標楷體" w:hint="eastAsia"/>
          <w:b w:val="0"/>
          <w:sz w:val="28"/>
          <w:szCs w:val="28"/>
        </w:rPr>
        <w:t>依</w:t>
      </w:r>
      <w:r w:rsidRPr="00434254">
        <w:rPr>
          <w:rStyle w:val="a5"/>
          <w:rFonts w:ascii="標楷體" w:eastAsia="標楷體" w:hAnsi="標楷體" w:hint="eastAsia"/>
          <w:b w:val="0"/>
          <w:sz w:val="28"/>
          <w:szCs w:val="28"/>
        </w:rPr>
        <w:t>本中心</w:t>
      </w:r>
      <w:r w:rsidR="00386890">
        <w:rPr>
          <w:rStyle w:val="a5"/>
          <w:rFonts w:ascii="標楷體" w:eastAsia="標楷體" w:hAnsi="標楷體" w:hint="eastAsia"/>
          <w:b w:val="0"/>
          <w:sz w:val="28"/>
          <w:szCs w:val="28"/>
        </w:rPr>
        <w:t>新修正</w:t>
      </w:r>
      <w:r>
        <w:rPr>
          <w:rStyle w:val="a5"/>
          <w:rFonts w:ascii="標楷體" w:eastAsia="標楷體" w:hAnsi="標楷體" w:hint="eastAsia"/>
          <w:b w:val="0"/>
          <w:sz w:val="28"/>
          <w:szCs w:val="28"/>
        </w:rPr>
        <w:t>之</w:t>
      </w:r>
      <w:r w:rsidRPr="00434254">
        <w:rPr>
          <w:rStyle w:val="a5"/>
          <w:rFonts w:ascii="標楷體" w:eastAsia="標楷體" w:hAnsi="標楷體" w:hint="eastAsia"/>
          <w:b w:val="0"/>
          <w:sz w:val="28"/>
          <w:szCs w:val="28"/>
        </w:rPr>
        <w:t>對有價證券上櫃公司資訊申報作業辦法第3條第</w:t>
      </w:r>
      <w:r>
        <w:rPr>
          <w:rStyle w:val="a5"/>
          <w:rFonts w:ascii="標楷體" w:eastAsia="標楷體" w:hAnsi="標楷體" w:hint="eastAsia"/>
          <w:b w:val="0"/>
          <w:sz w:val="28"/>
          <w:szCs w:val="28"/>
        </w:rPr>
        <w:t>1</w:t>
      </w:r>
      <w:r w:rsidRPr="00434254">
        <w:rPr>
          <w:rStyle w:val="a5"/>
          <w:rFonts w:ascii="標楷體" w:eastAsia="標楷體" w:hAnsi="標楷體" w:hint="eastAsia"/>
          <w:b w:val="0"/>
          <w:sz w:val="28"/>
          <w:szCs w:val="28"/>
        </w:rPr>
        <w:t>項第</w:t>
      </w:r>
      <w:r>
        <w:rPr>
          <w:rStyle w:val="a5"/>
          <w:rFonts w:ascii="標楷體" w:eastAsia="標楷體" w:hAnsi="標楷體" w:hint="eastAsia"/>
          <w:b w:val="0"/>
          <w:sz w:val="28"/>
          <w:szCs w:val="28"/>
        </w:rPr>
        <w:t>13款規定</w:t>
      </w:r>
      <w:r w:rsidR="00386890">
        <w:rPr>
          <w:rStyle w:val="a5"/>
          <w:rFonts w:ascii="標楷體" w:eastAsia="標楷體" w:hAnsi="標楷體" w:hint="eastAsia"/>
          <w:b w:val="0"/>
          <w:sz w:val="28"/>
          <w:szCs w:val="28"/>
        </w:rPr>
        <w:t>，</w:t>
      </w:r>
      <w:r w:rsidRPr="00C5359F">
        <w:rPr>
          <w:rStyle w:val="a5"/>
          <w:rFonts w:ascii="標楷體" w:eastAsia="標楷體" w:hAnsi="標楷體" w:hint="eastAsia"/>
          <w:b w:val="0"/>
          <w:sz w:val="28"/>
          <w:szCs w:val="28"/>
        </w:rPr>
        <w:t>本國上櫃公司</w:t>
      </w:r>
      <w:r>
        <w:rPr>
          <w:rStyle w:val="a5"/>
          <w:rFonts w:ascii="標楷體" w:eastAsia="標楷體" w:hAnsi="標楷體" w:hint="eastAsia"/>
          <w:b w:val="0"/>
          <w:sz w:val="28"/>
          <w:szCs w:val="28"/>
        </w:rPr>
        <w:t>應於會計年度終了後三</w:t>
      </w:r>
      <w:proofErr w:type="gramStart"/>
      <w:r>
        <w:rPr>
          <w:rStyle w:val="a5"/>
          <w:rFonts w:ascii="標楷體" w:eastAsia="標楷體" w:hAnsi="標楷體" w:hint="eastAsia"/>
          <w:b w:val="0"/>
          <w:sz w:val="28"/>
          <w:szCs w:val="28"/>
        </w:rPr>
        <w:t>個</w:t>
      </w:r>
      <w:proofErr w:type="gramEnd"/>
      <w:r>
        <w:rPr>
          <w:rStyle w:val="a5"/>
          <w:rFonts w:ascii="標楷體" w:eastAsia="標楷體" w:hAnsi="標楷體" w:hint="eastAsia"/>
          <w:b w:val="0"/>
          <w:sz w:val="28"/>
          <w:szCs w:val="28"/>
        </w:rPr>
        <w:t>月內申報</w:t>
      </w:r>
      <w:r w:rsidRPr="00C5359F">
        <w:rPr>
          <w:rStyle w:val="a5"/>
          <w:rFonts w:ascii="標楷體" w:eastAsia="標楷體" w:hAnsi="標楷體" w:hint="eastAsia"/>
          <w:b w:val="0"/>
          <w:sz w:val="28"/>
          <w:szCs w:val="28"/>
        </w:rPr>
        <w:t>員工人數與員</w:t>
      </w:r>
      <w:r>
        <w:rPr>
          <w:rStyle w:val="a5"/>
          <w:rFonts w:ascii="標楷體" w:eastAsia="標楷體" w:hAnsi="標楷體" w:hint="eastAsia"/>
          <w:b w:val="0"/>
          <w:sz w:val="28"/>
          <w:szCs w:val="28"/>
        </w:rPr>
        <w:t>工福利費用之年度資訊，故外國上櫃公司無須申報相關資訊。</w:t>
      </w:r>
    </w:p>
    <w:p w:rsidR="003A0F82" w:rsidRPr="00682DD2" w:rsidRDefault="003A0F82" w:rsidP="003A0F82">
      <w:pPr>
        <w:spacing w:line="440" w:lineRule="exact"/>
        <w:jc w:val="both"/>
        <w:rPr>
          <w:rStyle w:val="a5"/>
          <w:rFonts w:ascii="標楷體" w:eastAsia="標楷體" w:hAnsi="標楷體"/>
          <w:sz w:val="28"/>
          <w:szCs w:val="28"/>
        </w:rPr>
      </w:pPr>
    </w:p>
    <w:p w:rsidR="003A0F82" w:rsidRPr="00DF3905" w:rsidRDefault="00DF3905" w:rsidP="00386890">
      <w:pPr>
        <w:widowControl/>
        <w:spacing w:line="440" w:lineRule="exact"/>
        <w:ind w:left="571" w:hangingChars="197" w:hanging="571"/>
        <w:jc w:val="both"/>
        <w:rPr>
          <w:rStyle w:val="a5"/>
          <w:rFonts w:ascii="標楷體" w:eastAsia="標楷體" w:hAnsi="標楷體"/>
          <w:b w:val="0"/>
          <w:sz w:val="28"/>
          <w:szCs w:val="28"/>
        </w:rPr>
      </w:pPr>
      <w:r w:rsidRPr="00DF3905">
        <w:rPr>
          <w:rStyle w:val="a5"/>
          <w:rFonts w:ascii="標楷體" w:eastAsia="標楷體" w:hAnsi="標楷體" w:hint="eastAsia"/>
          <w:b w:val="0"/>
          <w:sz w:val="28"/>
          <w:szCs w:val="28"/>
        </w:rPr>
        <w:t>六</w:t>
      </w:r>
      <w:r w:rsidRPr="00DF3905">
        <w:rPr>
          <w:rFonts w:ascii="標楷體" w:eastAsia="標楷體" w:hAnsi="標楷體" w:hint="eastAsia"/>
          <w:b/>
          <w:bCs/>
          <w:sz w:val="28"/>
          <w:szCs w:val="28"/>
        </w:rPr>
        <w:t>、</w:t>
      </w:r>
      <w:r w:rsidR="003A0F82" w:rsidRPr="00DF3905">
        <w:rPr>
          <w:rStyle w:val="a5"/>
          <w:rFonts w:ascii="標楷體" w:eastAsia="標楷體" w:hAnsi="標楷體" w:hint="eastAsia"/>
          <w:b w:val="0"/>
          <w:sz w:val="28"/>
          <w:szCs w:val="28"/>
        </w:rPr>
        <w:t>上櫃公司應於104年底前設置公司網站，網站內容應包括</w:t>
      </w:r>
      <w:r w:rsidR="003A0F82" w:rsidRPr="00DF3905">
        <w:rPr>
          <w:rStyle w:val="a5"/>
          <w:rFonts w:ascii="新細明體" w:hAnsi="新細明體" w:hint="eastAsia"/>
          <w:b w:val="0"/>
          <w:sz w:val="28"/>
          <w:szCs w:val="28"/>
        </w:rPr>
        <w:t>「</w:t>
      </w:r>
      <w:r w:rsidR="003A0F82" w:rsidRPr="00DF3905">
        <w:rPr>
          <w:rStyle w:val="a5"/>
          <w:rFonts w:ascii="標楷體" w:eastAsia="標楷體" w:hAnsi="標楷體" w:hint="eastAsia"/>
          <w:b w:val="0"/>
          <w:sz w:val="28"/>
          <w:szCs w:val="28"/>
        </w:rPr>
        <w:t>利害關係人專區」，所謂「利害關係人專區」應有哪些資訊?</w:t>
      </w:r>
    </w:p>
    <w:p w:rsidR="000351F2" w:rsidRPr="000351F2" w:rsidRDefault="003A0F82" w:rsidP="00386890">
      <w:pPr>
        <w:spacing w:line="440" w:lineRule="exact"/>
        <w:ind w:leftChars="6" w:left="574" w:hangingChars="193" w:hanging="560"/>
        <w:jc w:val="both"/>
        <w:rPr>
          <w:rFonts w:ascii="標楷體" w:eastAsia="標楷體" w:hAnsi="標楷體"/>
          <w:sz w:val="28"/>
          <w:szCs w:val="28"/>
        </w:rPr>
      </w:pPr>
      <w:r w:rsidRPr="003805DF">
        <w:rPr>
          <w:rStyle w:val="a5"/>
          <w:rFonts w:ascii="標楷體" w:eastAsia="標楷體" w:hAnsi="標楷體" w:hint="eastAsia"/>
          <w:b w:val="0"/>
          <w:sz w:val="28"/>
          <w:szCs w:val="28"/>
        </w:rPr>
        <w:t>答：</w:t>
      </w:r>
      <w:r w:rsidR="00B76312" w:rsidRPr="00B76312">
        <w:rPr>
          <w:rStyle w:val="a5"/>
          <w:rFonts w:ascii="標楷體" w:eastAsia="標楷體" w:hAnsi="標楷體" w:hint="eastAsia"/>
          <w:b w:val="0"/>
          <w:sz w:val="28"/>
          <w:szCs w:val="28"/>
        </w:rPr>
        <w:t>為引導上櫃公司於企業網站揭露重要公司治理資訊，提昇公司財務及非財務資訊透明度，本中心前於103年9月3日以</w:t>
      </w:r>
      <w:proofErr w:type="gramStart"/>
      <w:r w:rsidR="00B76312" w:rsidRPr="00B76312">
        <w:rPr>
          <w:rStyle w:val="a5"/>
          <w:rFonts w:ascii="標楷體" w:eastAsia="標楷體" w:hAnsi="標楷體" w:hint="eastAsia"/>
          <w:b w:val="0"/>
          <w:sz w:val="28"/>
          <w:szCs w:val="28"/>
        </w:rPr>
        <w:t>證櫃監字</w:t>
      </w:r>
      <w:proofErr w:type="gramEnd"/>
      <w:r w:rsidR="00B76312" w:rsidRPr="00B76312">
        <w:rPr>
          <w:rStyle w:val="a5"/>
          <w:rFonts w:ascii="標楷體" w:eastAsia="標楷體" w:hAnsi="標楷體" w:hint="eastAsia"/>
          <w:b w:val="0"/>
          <w:sz w:val="28"/>
          <w:szCs w:val="28"/>
        </w:rPr>
        <w:t>第1030200801號函提供「上市上櫃公司網站重要必要揭露事項參考範例」，作為公司建置企業網站之參考，其中利害關係人專區，應建置利害關係人，如員工、供應商、消費者或客戶等申訴之管道，供其詢問及發表意見，以瞭解利害關係人之合理期望及需求，並提供妥適回應機制，如專欄、問答集、個案回覆等方式，處理利害關係人所關切之議題。</w:t>
      </w:r>
      <w:bookmarkEnd w:id="0"/>
    </w:p>
    <w:p w:rsidR="009C4245" w:rsidRPr="000351F2" w:rsidRDefault="009C4245" w:rsidP="009C4245">
      <w:pPr>
        <w:spacing w:line="440" w:lineRule="exact"/>
        <w:ind w:leftChars="178" w:left="973" w:hangingChars="195" w:hanging="546"/>
        <w:jc w:val="both"/>
        <w:rPr>
          <w:rFonts w:ascii="標楷體" w:eastAsia="標楷體" w:hAnsi="標楷體"/>
          <w:sz w:val="28"/>
          <w:szCs w:val="28"/>
        </w:rPr>
      </w:pPr>
    </w:p>
    <w:sectPr w:rsidR="009C4245" w:rsidRPr="000351F2" w:rsidSect="00386890">
      <w:pgSz w:w="11906" w:h="16838"/>
      <w:pgMar w:top="1440" w:right="1659" w:bottom="1440" w:left="16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33" w:rsidRDefault="009A6A33" w:rsidP="00386890">
      <w:r>
        <w:separator/>
      </w:r>
    </w:p>
  </w:endnote>
  <w:endnote w:type="continuationSeparator" w:id="0">
    <w:p w:rsidR="009A6A33" w:rsidRDefault="009A6A33" w:rsidP="0038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33" w:rsidRDefault="009A6A33" w:rsidP="00386890">
      <w:r>
        <w:separator/>
      </w:r>
    </w:p>
  </w:footnote>
  <w:footnote w:type="continuationSeparator" w:id="0">
    <w:p w:rsidR="009A6A33" w:rsidRDefault="009A6A33" w:rsidP="00386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C2359"/>
    <w:multiLevelType w:val="hybridMultilevel"/>
    <w:tmpl w:val="0D9C561A"/>
    <w:lvl w:ilvl="0" w:tplc="7640DE0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3B2255"/>
    <w:multiLevelType w:val="hybridMultilevel"/>
    <w:tmpl w:val="DAE8A7E8"/>
    <w:lvl w:ilvl="0" w:tplc="1584DA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73"/>
    <w:rsid w:val="000351F2"/>
    <w:rsid w:val="00170E9A"/>
    <w:rsid w:val="002201A8"/>
    <w:rsid w:val="00335404"/>
    <w:rsid w:val="003805DF"/>
    <w:rsid w:val="00386890"/>
    <w:rsid w:val="003A0F82"/>
    <w:rsid w:val="00451EE3"/>
    <w:rsid w:val="004A0E68"/>
    <w:rsid w:val="00565373"/>
    <w:rsid w:val="00581154"/>
    <w:rsid w:val="00687602"/>
    <w:rsid w:val="00803017"/>
    <w:rsid w:val="008F551F"/>
    <w:rsid w:val="009A6A33"/>
    <w:rsid w:val="009C4245"/>
    <w:rsid w:val="009F12BA"/>
    <w:rsid w:val="00A468E9"/>
    <w:rsid w:val="00B76312"/>
    <w:rsid w:val="00C43499"/>
    <w:rsid w:val="00D932B6"/>
    <w:rsid w:val="00D95097"/>
    <w:rsid w:val="00DF3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373"/>
    <w:pPr>
      <w:ind w:leftChars="200" w:left="480"/>
    </w:pPr>
  </w:style>
  <w:style w:type="character" w:styleId="a4">
    <w:name w:val="Hyperlink"/>
    <w:basedOn w:val="a0"/>
    <w:uiPriority w:val="99"/>
    <w:semiHidden/>
    <w:unhideWhenUsed/>
    <w:rsid w:val="000351F2"/>
    <w:rPr>
      <w:color w:val="0000FF"/>
      <w:u w:val="single"/>
    </w:rPr>
  </w:style>
  <w:style w:type="character" w:styleId="a5">
    <w:name w:val="Book Title"/>
    <w:uiPriority w:val="33"/>
    <w:qFormat/>
    <w:rsid w:val="003A0F82"/>
    <w:rPr>
      <w:b/>
      <w:bCs/>
      <w:smallCaps/>
      <w:spacing w:val="5"/>
    </w:rPr>
  </w:style>
  <w:style w:type="paragraph" w:styleId="a6">
    <w:name w:val="header"/>
    <w:basedOn w:val="a"/>
    <w:link w:val="a7"/>
    <w:uiPriority w:val="99"/>
    <w:unhideWhenUsed/>
    <w:rsid w:val="00386890"/>
    <w:pPr>
      <w:tabs>
        <w:tab w:val="center" w:pos="4153"/>
        <w:tab w:val="right" w:pos="8306"/>
      </w:tabs>
      <w:snapToGrid w:val="0"/>
    </w:pPr>
    <w:rPr>
      <w:sz w:val="20"/>
      <w:szCs w:val="20"/>
    </w:rPr>
  </w:style>
  <w:style w:type="character" w:customStyle="1" w:styleId="a7">
    <w:name w:val="頁首 字元"/>
    <w:basedOn w:val="a0"/>
    <w:link w:val="a6"/>
    <w:uiPriority w:val="99"/>
    <w:rsid w:val="00386890"/>
    <w:rPr>
      <w:sz w:val="20"/>
      <w:szCs w:val="20"/>
    </w:rPr>
  </w:style>
  <w:style w:type="paragraph" w:styleId="a8">
    <w:name w:val="footer"/>
    <w:basedOn w:val="a"/>
    <w:link w:val="a9"/>
    <w:uiPriority w:val="99"/>
    <w:unhideWhenUsed/>
    <w:rsid w:val="00386890"/>
    <w:pPr>
      <w:tabs>
        <w:tab w:val="center" w:pos="4153"/>
        <w:tab w:val="right" w:pos="8306"/>
      </w:tabs>
      <w:snapToGrid w:val="0"/>
    </w:pPr>
    <w:rPr>
      <w:sz w:val="20"/>
      <w:szCs w:val="20"/>
    </w:rPr>
  </w:style>
  <w:style w:type="character" w:customStyle="1" w:styleId="a9">
    <w:name w:val="頁尾 字元"/>
    <w:basedOn w:val="a0"/>
    <w:link w:val="a8"/>
    <w:uiPriority w:val="99"/>
    <w:rsid w:val="003868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373"/>
    <w:pPr>
      <w:ind w:leftChars="200" w:left="480"/>
    </w:pPr>
  </w:style>
  <w:style w:type="character" w:styleId="a4">
    <w:name w:val="Hyperlink"/>
    <w:basedOn w:val="a0"/>
    <w:uiPriority w:val="99"/>
    <w:semiHidden/>
    <w:unhideWhenUsed/>
    <w:rsid w:val="000351F2"/>
    <w:rPr>
      <w:color w:val="0000FF"/>
      <w:u w:val="single"/>
    </w:rPr>
  </w:style>
  <w:style w:type="character" w:styleId="a5">
    <w:name w:val="Book Title"/>
    <w:uiPriority w:val="33"/>
    <w:qFormat/>
    <w:rsid w:val="003A0F82"/>
    <w:rPr>
      <w:b/>
      <w:bCs/>
      <w:smallCaps/>
      <w:spacing w:val="5"/>
    </w:rPr>
  </w:style>
  <w:style w:type="paragraph" w:styleId="a6">
    <w:name w:val="header"/>
    <w:basedOn w:val="a"/>
    <w:link w:val="a7"/>
    <w:uiPriority w:val="99"/>
    <w:unhideWhenUsed/>
    <w:rsid w:val="00386890"/>
    <w:pPr>
      <w:tabs>
        <w:tab w:val="center" w:pos="4153"/>
        <w:tab w:val="right" w:pos="8306"/>
      </w:tabs>
      <w:snapToGrid w:val="0"/>
    </w:pPr>
    <w:rPr>
      <w:sz w:val="20"/>
      <w:szCs w:val="20"/>
    </w:rPr>
  </w:style>
  <w:style w:type="character" w:customStyle="1" w:styleId="a7">
    <w:name w:val="頁首 字元"/>
    <w:basedOn w:val="a0"/>
    <w:link w:val="a6"/>
    <w:uiPriority w:val="99"/>
    <w:rsid w:val="00386890"/>
    <w:rPr>
      <w:sz w:val="20"/>
      <w:szCs w:val="20"/>
    </w:rPr>
  </w:style>
  <w:style w:type="paragraph" w:styleId="a8">
    <w:name w:val="footer"/>
    <w:basedOn w:val="a"/>
    <w:link w:val="a9"/>
    <w:uiPriority w:val="99"/>
    <w:unhideWhenUsed/>
    <w:rsid w:val="00386890"/>
    <w:pPr>
      <w:tabs>
        <w:tab w:val="center" w:pos="4153"/>
        <w:tab w:val="right" w:pos="8306"/>
      </w:tabs>
      <w:snapToGrid w:val="0"/>
    </w:pPr>
    <w:rPr>
      <w:sz w:val="20"/>
      <w:szCs w:val="20"/>
    </w:rPr>
  </w:style>
  <w:style w:type="character" w:customStyle="1" w:styleId="a9">
    <w:name w:val="頁尾 字元"/>
    <w:basedOn w:val="a0"/>
    <w:link w:val="a8"/>
    <w:uiPriority w:val="99"/>
    <w:rsid w:val="003868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陳巧芝</dc:creator>
  <cp:lastModifiedBy>鄭智蔚</cp:lastModifiedBy>
  <cp:revision>5</cp:revision>
  <cp:lastPrinted>2015-01-27T02:40:00Z</cp:lastPrinted>
  <dcterms:created xsi:type="dcterms:W3CDTF">2015-01-23T05:46:00Z</dcterms:created>
  <dcterms:modified xsi:type="dcterms:W3CDTF">2015-01-27T02:40:00Z</dcterms:modified>
</cp:coreProperties>
</file>