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ECF" w:rsidRDefault="002B7ECF" w:rsidP="002B7ECF">
      <w:pPr>
        <w:spacing w:line="440" w:lineRule="exact"/>
        <w:ind w:left="801"/>
        <w:jc w:val="center"/>
        <w:rPr>
          <w:rFonts w:ascii="標楷體" w:eastAsia="標楷體" w:hAnsi="標楷體"/>
          <w:b/>
          <w:sz w:val="44"/>
          <w:szCs w:val="44"/>
        </w:rPr>
      </w:pPr>
      <w:r w:rsidRPr="00CB4BFF">
        <w:rPr>
          <w:rFonts w:ascii="標楷體" w:eastAsia="標楷體" w:hAnsi="標楷體" w:hint="eastAsia"/>
          <w:b/>
          <w:sz w:val="44"/>
          <w:szCs w:val="44"/>
        </w:rPr>
        <w:t>10</w:t>
      </w:r>
      <w:r>
        <w:rPr>
          <w:rFonts w:ascii="標楷體" w:eastAsia="標楷體" w:hAnsi="標楷體"/>
          <w:b/>
          <w:sz w:val="44"/>
          <w:szCs w:val="44"/>
        </w:rPr>
        <w:t>7</w:t>
      </w:r>
      <w:r w:rsidRPr="00CB4BFF">
        <w:rPr>
          <w:rFonts w:ascii="標楷體" w:eastAsia="標楷體" w:hAnsi="標楷體" w:hint="eastAsia"/>
          <w:b/>
          <w:sz w:val="44"/>
          <w:szCs w:val="44"/>
        </w:rPr>
        <w:t>年</w:t>
      </w:r>
      <w:r w:rsidRPr="00D51AF7">
        <w:rPr>
          <w:rFonts w:ascii="標楷體" w:eastAsia="標楷體" w:hAnsi="標楷體" w:hint="eastAsia"/>
          <w:b/>
          <w:sz w:val="44"/>
          <w:szCs w:val="44"/>
        </w:rPr>
        <w:t>上櫃</w:t>
      </w:r>
      <w:r>
        <w:rPr>
          <w:rFonts w:ascii="標楷體" w:eastAsia="標楷體" w:hAnsi="標楷體" w:hint="eastAsia"/>
          <w:b/>
          <w:sz w:val="44"/>
          <w:szCs w:val="44"/>
        </w:rPr>
        <w:t>興櫃</w:t>
      </w:r>
      <w:r w:rsidRPr="00D51AF7">
        <w:rPr>
          <w:rFonts w:ascii="標楷體" w:eastAsia="標楷體" w:hAnsi="標楷體" w:hint="eastAsia"/>
          <w:b/>
          <w:sz w:val="44"/>
          <w:szCs w:val="44"/>
        </w:rPr>
        <w:t>公司應辦事項宣導會</w:t>
      </w:r>
    </w:p>
    <w:p w:rsidR="002B7ECF" w:rsidRPr="00CB4BFF" w:rsidRDefault="002B7ECF" w:rsidP="002B7ECF">
      <w:pPr>
        <w:spacing w:line="440" w:lineRule="exact"/>
        <w:ind w:left="801"/>
        <w:jc w:val="center"/>
        <w:rPr>
          <w:rFonts w:ascii="標楷體" w:eastAsia="標楷體" w:hAnsi="標楷體" w:cs="Times New Roman"/>
          <w:b/>
          <w:sz w:val="44"/>
          <w:szCs w:val="44"/>
        </w:rPr>
      </w:pPr>
      <w:r w:rsidRPr="00CB4BFF">
        <w:rPr>
          <w:rFonts w:ascii="標楷體" w:eastAsia="標楷體" w:hAnsi="標楷體" w:hint="eastAsia"/>
          <w:b/>
          <w:sz w:val="44"/>
          <w:szCs w:val="44"/>
        </w:rPr>
        <w:t>問答集</w:t>
      </w:r>
    </w:p>
    <w:p w:rsidR="002B7ECF" w:rsidRDefault="002B7ECF" w:rsidP="002B7ECF">
      <w:pPr>
        <w:spacing w:line="440" w:lineRule="exact"/>
        <w:ind w:left="801"/>
        <w:jc w:val="center"/>
        <w:rPr>
          <w:rFonts w:ascii="Times New Roman" w:eastAsia="標楷體" w:hAnsi="Times New Roman" w:cs="Times New Roman"/>
          <w:b/>
          <w:sz w:val="40"/>
          <w:szCs w:val="40"/>
        </w:rPr>
      </w:pPr>
    </w:p>
    <w:p w:rsidR="002B7ECF" w:rsidRDefault="002B7ECF" w:rsidP="002B7ECF">
      <w:pPr>
        <w:spacing w:line="440" w:lineRule="exact"/>
        <w:ind w:left="801"/>
        <w:jc w:val="center"/>
        <w:rPr>
          <w:rFonts w:ascii="Times New Roman" w:eastAsia="標楷體" w:hAnsi="Times New Roman" w:cs="Times New Roman"/>
          <w:b/>
          <w:sz w:val="40"/>
          <w:szCs w:val="40"/>
        </w:rPr>
      </w:pPr>
      <w:r w:rsidRPr="002D22DB">
        <w:rPr>
          <w:rFonts w:ascii="Times New Roman" w:eastAsia="標楷體" w:hAnsi="Times New Roman" w:cs="Times New Roman"/>
          <w:b/>
          <w:sz w:val="40"/>
          <w:szCs w:val="40"/>
        </w:rPr>
        <w:t>內部控制及內部稽核</w:t>
      </w:r>
    </w:p>
    <w:p w:rsidR="002B7ECF" w:rsidRDefault="002B7ECF" w:rsidP="002B7ECF">
      <w:pPr>
        <w:spacing w:line="440" w:lineRule="exact"/>
        <w:ind w:left="801"/>
        <w:jc w:val="center"/>
        <w:rPr>
          <w:rFonts w:ascii="Times New Roman" w:eastAsia="標楷體" w:hAnsi="Times New Roman" w:cs="Times New Roman"/>
          <w:b/>
          <w:sz w:val="40"/>
          <w:szCs w:val="40"/>
        </w:rPr>
      </w:pPr>
    </w:p>
    <w:p w:rsidR="002B7ECF" w:rsidRDefault="002B7ECF" w:rsidP="002B7ECF">
      <w:pPr>
        <w:pStyle w:val="a3"/>
        <w:numPr>
          <w:ilvl w:val="0"/>
          <w:numId w:val="1"/>
        </w:numPr>
        <w:spacing w:line="500" w:lineRule="exact"/>
        <w:ind w:left="567" w:hanging="567"/>
        <w:jc w:val="both"/>
        <w:rPr>
          <w:rFonts w:ascii="標楷體" w:eastAsia="標楷體" w:hAnsi="標楷體"/>
          <w:b/>
          <w:szCs w:val="28"/>
        </w:rPr>
      </w:pPr>
      <w:r>
        <w:rPr>
          <w:rFonts w:ascii="標楷體" w:eastAsia="標楷體" w:hAnsi="標楷體" w:hint="eastAsia"/>
          <w:b/>
          <w:szCs w:val="28"/>
        </w:rPr>
        <w:t>公司</w:t>
      </w:r>
      <w:r w:rsidRPr="00AA2DAC">
        <w:rPr>
          <w:rFonts w:ascii="標楷體" w:eastAsia="標楷體" w:hAnsi="標楷體" w:hint="eastAsia"/>
          <w:b/>
          <w:szCs w:val="28"/>
        </w:rPr>
        <w:t>背書保證使用</w:t>
      </w:r>
      <w:r>
        <w:rPr>
          <w:rFonts w:ascii="標楷體" w:eastAsia="標楷體" w:hAnsi="標楷體" w:hint="eastAsia"/>
          <w:b/>
          <w:szCs w:val="28"/>
        </w:rPr>
        <w:t>之</w:t>
      </w:r>
      <w:r w:rsidRPr="00AA2DAC">
        <w:rPr>
          <w:rFonts w:ascii="標楷體" w:eastAsia="標楷體" w:hAnsi="標楷體" w:hint="eastAsia"/>
          <w:b/>
          <w:szCs w:val="28"/>
        </w:rPr>
        <w:t>印鑑，</w:t>
      </w:r>
      <w:r>
        <w:rPr>
          <w:rFonts w:ascii="標楷體" w:eastAsia="標楷體" w:hAnsi="標楷體" w:hint="eastAsia"/>
          <w:b/>
          <w:szCs w:val="28"/>
        </w:rPr>
        <w:t>可</w:t>
      </w:r>
      <w:r w:rsidRPr="00AA2DAC">
        <w:rPr>
          <w:rFonts w:ascii="標楷體" w:eastAsia="標楷體" w:hAnsi="標楷體" w:hint="eastAsia"/>
          <w:b/>
          <w:szCs w:val="28"/>
        </w:rPr>
        <w:t>在</w:t>
      </w:r>
      <w:r>
        <w:rPr>
          <w:rFonts w:ascii="標楷體" w:eastAsia="標楷體" w:hAnsi="標楷體" w:hint="eastAsia"/>
          <w:b/>
          <w:szCs w:val="28"/>
        </w:rPr>
        <w:t>背書保證之</w:t>
      </w:r>
      <w:r w:rsidRPr="00AA2DAC">
        <w:rPr>
          <w:rFonts w:ascii="標楷體" w:eastAsia="標楷體" w:hAnsi="標楷體" w:hint="eastAsia"/>
          <w:b/>
          <w:szCs w:val="28"/>
        </w:rPr>
        <w:t>作業程序</w:t>
      </w:r>
      <w:r>
        <w:rPr>
          <w:rFonts w:ascii="標楷體" w:eastAsia="標楷體" w:hAnsi="標楷體" w:hint="eastAsia"/>
          <w:b/>
          <w:szCs w:val="28"/>
        </w:rPr>
        <w:t>內制定</w:t>
      </w:r>
      <w:r w:rsidRPr="00AA2DAC">
        <w:rPr>
          <w:rFonts w:ascii="標楷體" w:eastAsia="標楷體" w:hAnsi="標楷體" w:hint="eastAsia"/>
          <w:b/>
          <w:szCs w:val="28"/>
        </w:rPr>
        <w:t>授權董事長指派保管人嗎?其保管人需經董事會決議通過嗎?</w:t>
      </w:r>
      <w:r>
        <w:rPr>
          <w:rFonts w:ascii="標楷體" w:eastAsia="標楷體" w:hAnsi="標楷體" w:hint="eastAsia"/>
          <w:b/>
          <w:szCs w:val="28"/>
        </w:rPr>
        <w:t>上開情事須</w:t>
      </w:r>
      <w:r w:rsidRPr="00AA2DAC">
        <w:rPr>
          <w:rFonts w:ascii="標楷體" w:eastAsia="標楷體" w:hAnsi="標楷體" w:hint="eastAsia"/>
          <w:b/>
          <w:szCs w:val="28"/>
        </w:rPr>
        <w:t>經董事會決議有法源依據嗎?若公司不做背書保證的話仍需要董事會決議嗎</w:t>
      </w:r>
      <w:r w:rsidRPr="00AA2DAC">
        <w:rPr>
          <w:rFonts w:ascii="標楷體" w:eastAsia="標楷體" w:hAnsi="標楷體"/>
          <w:b/>
          <w:szCs w:val="28"/>
        </w:rPr>
        <w:t>?</w:t>
      </w:r>
    </w:p>
    <w:p w:rsidR="002B7ECF" w:rsidRPr="00DF2F26" w:rsidRDefault="002B7ECF" w:rsidP="002B7ECF">
      <w:pPr>
        <w:widowControl w:val="0"/>
        <w:adjustRightInd w:val="0"/>
        <w:snapToGrid w:val="0"/>
        <w:spacing w:line="500" w:lineRule="exact"/>
        <w:ind w:leftChars="59" w:left="563" w:hangingChars="145" w:hanging="421"/>
        <w:jc w:val="both"/>
        <w:rPr>
          <w:rFonts w:ascii="標楷體" w:eastAsia="標楷體" w:hAnsi="標楷體" w:cstheme="minorBidi"/>
          <w:sz w:val="28"/>
          <w:szCs w:val="22"/>
        </w:rPr>
      </w:pPr>
      <w:r w:rsidRPr="00DF2F26">
        <w:rPr>
          <w:rStyle w:val="a5"/>
          <w:rFonts w:ascii="Times New Roman" w:eastAsia="標楷體" w:hAnsi="Times New Roman" w:cs="Times New Roman"/>
          <w:sz w:val="28"/>
          <w:szCs w:val="28"/>
        </w:rPr>
        <w:t>答：</w:t>
      </w:r>
      <w:r w:rsidRPr="00DF2F26">
        <w:rPr>
          <w:rFonts w:ascii="標楷體" w:eastAsia="標楷體" w:hAnsi="標楷體" w:hint="eastAsia"/>
          <w:sz w:val="28"/>
        </w:rPr>
        <w:t>依公開發行公司資金貸與及背書保證處理準則第17條第4項規定，公開發行公司應以向經濟部申請登記之公司印章為背書保證之專用印鑑章，該印鑑章應由經董事會同意之專責人員保管。</w:t>
      </w:r>
    </w:p>
    <w:p w:rsidR="002B7ECF" w:rsidRPr="00995FCA" w:rsidRDefault="002B7ECF" w:rsidP="002B7ECF">
      <w:pPr>
        <w:widowControl w:val="0"/>
        <w:adjustRightInd w:val="0"/>
        <w:snapToGrid w:val="0"/>
        <w:spacing w:line="500" w:lineRule="exact"/>
        <w:ind w:leftChars="236" w:left="658" w:hangingChars="42" w:hanging="92"/>
        <w:jc w:val="both"/>
        <w:rPr>
          <w:rFonts w:ascii="標楷體" w:eastAsia="標楷體" w:hAnsi="標楷體"/>
          <w:sz w:val="22"/>
        </w:rPr>
      </w:pPr>
    </w:p>
    <w:p w:rsidR="002B7ECF" w:rsidRPr="00DF2F26" w:rsidRDefault="002B7ECF" w:rsidP="002B7ECF">
      <w:pPr>
        <w:widowControl w:val="0"/>
        <w:adjustRightInd w:val="0"/>
        <w:snapToGrid w:val="0"/>
        <w:spacing w:line="500" w:lineRule="exact"/>
        <w:ind w:leftChars="235" w:left="564"/>
        <w:jc w:val="both"/>
        <w:rPr>
          <w:rFonts w:ascii="標楷體" w:eastAsia="標楷體" w:hAnsi="標楷體"/>
          <w:sz w:val="28"/>
        </w:rPr>
      </w:pPr>
      <w:r w:rsidRPr="00DF2F26">
        <w:rPr>
          <w:rFonts w:ascii="標楷體" w:eastAsia="標楷體" w:hAnsi="標楷體" w:hint="eastAsia"/>
          <w:sz w:val="28"/>
        </w:rPr>
        <w:t>另依處理準則第11條第3項規定，公開發行公司不擬為他人背書或提供保證者，得提報董事會通過後，免予訂定背書保證作業程序。嗣後如欲辦理背書保證，仍應依處理準則之相關規定辦理。</w:t>
      </w:r>
    </w:p>
    <w:p w:rsidR="009A69FA" w:rsidRDefault="009A69FA"/>
    <w:p w:rsidR="002B7ECF" w:rsidRPr="002B7ECF" w:rsidRDefault="002B7ECF" w:rsidP="002B7ECF">
      <w:pPr>
        <w:pStyle w:val="a3"/>
        <w:numPr>
          <w:ilvl w:val="0"/>
          <w:numId w:val="1"/>
        </w:numPr>
        <w:spacing w:line="500" w:lineRule="exact"/>
        <w:ind w:left="567" w:hanging="567"/>
        <w:jc w:val="both"/>
        <w:rPr>
          <w:rFonts w:ascii="標楷體" w:eastAsia="標楷體" w:hAnsi="標楷體"/>
          <w:b/>
          <w:szCs w:val="28"/>
        </w:rPr>
      </w:pPr>
      <w:r w:rsidRPr="002B7ECF">
        <w:rPr>
          <w:rFonts w:ascii="標楷體" w:eastAsia="標楷體" w:hAnsi="標楷體" w:hint="eastAsia"/>
          <w:b/>
          <w:szCs w:val="28"/>
        </w:rPr>
        <w:t>審計委員會若有關係人利益迴避，是否仍須經董事會決議?</w:t>
      </w:r>
    </w:p>
    <w:p w:rsidR="002B7ECF" w:rsidRPr="00DF2F26" w:rsidRDefault="002B7ECF" w:rsidP="002B7ECF">
      <w:pPr>
        <w:widowControl w:val="0"/>
        <w:adjustRightInd w:val="0"/>
        <w:snapToGrid w:val="0"/>
        <w:spacing w:line="500" w:lineRule="exact"/>
        <w:ind w:leftChars="59" w:left="560" w:hangingChars="144" w:hanging="418"/>
        <w:jc w:val="both"/>
        <w:rPr>
          <w:rFonts w:ascii="標楷體" w:eastAsia="標楷體" w:hAnsi="標楷體" w:cstheme="minorBidi"/>
          <w:sz w:val="28"/>
          <w:szCs w:val="22"/>
        </w:rPr>
      </w:pPr>
      <w:r w:rsidRPr="00DF2F26">
        <w:rPr>
          <w:rStyle w:val="a5"/>
          <w:rFonts w:ascii="Times New Roman" w:eastAsia="標楷體" w:hAnsi="Times New Roman" w:cs="Times New Roman"/>
          <w:sz w:val="28"/>
          <w:szCs w:val="28"/>
        </w:rPr>
        <w:t>答：</w:t>
      </w:r>
      <w:r w:rsidRPr="00DF2F26">
        <w:rPr>
          <w:rFonts w:ascii="標楷體" w:eastAsia="標楷體" w:hAnsi="標楷體" w:hint="eastAsia"/>
          <w:sz w:val="28"/>
        </w:rPr>
        <w:t>依「公開發行公司審計委員會行使職權辦法」第九條第1項規定，審計委員會之獨立董事成員對於會議事項，與其自身有利害關係者，應說明其利害關係之重要內容，如有害於公司利益之虞時，不得加入討論及表決，且討論及表決時應予迴避，並不得代理其他獨立董事成員行使其表決權。另同條第2項規定，因前項規定，致委員會無法決議者，應向董事會報告，由董事會為決議。</w:t>
      </w:r>
    </w:p>
    <w:p w:rsidR="002B7ECF" w:rsidRDefault="002B7ECF" w:rsidP="002B7ECF">
      <w:pPr>
        <w:widowControl w:val="0"/>
        <w:adjustRightInd w:val="0"/>
        <w:snapToGrid w:val="0"/>
        <w:spacing w:line="500" w:lineRule="exact"/>
        <w:ind w:leftChars="59" w:left="545" w:hangingChars="144" w:hanging="403"/>
        <w:jc w:val="both"/>
        <w:rPr>
          <w:rFonts w:ascii="標楷體" w:eastAsia="標楷體" w:hAnsi="標楷體"/>
          <w:sz w:val="28"/>
        </w:rPr>
      </w:pPr>
    </w:p>
    <w:p w:rsidR="002B7ECF" w:rsidRPr="00DF2F26" w:rsidRDefault="002B7ECF" w:rsidP="002B7ECF">
      <w:pPr>
        <w:widowControl w:val="0"/>
        <w:adjustRightInd w:val="0"/>
        <w:snapToGrid w:val="0"/>
        <w:spacing w:line="500" w:lineRule="exact"/>
        <w:ind w:leftChars="236" w:left="566" w:firstLineChars="7" w:firstLine="20"/>
        <w:jc w:val="both"/>
        <w:rPr>
          <w:rFonts w:ascii="微軟正黑體" w:eastAsia="微軟正黑體" w:hAnsi="微軟正黑體"/>
          <w:sz w:val="28"/>
        </w:rPr>
      </w:pPr>
      <w:r w:rsidRPr="00DF2F26">
        <w:rPr>
          <w:rFonts w:ascii="標楷體" w:eastAsia="標楷體" w:hAnsi="標楷體" w:hint="eastAsia"/>
          <w:sz w:val="28"/>
        </w:rPr>
        <w:t>故依上開職權辦法規定，審計委員會之獨立董事成員對於會議事項若有關係人利益迴避，致委員會無法決議者，應須由董事會決議</w:t>
      </w:r>
      <w:r w:rsidRPr="00DF2F26">
        <w:rPr>
          <w:rFonts w:ascii="微軟正黑體" w:eastAsia="微軟正黑體" w:hAnsi="微軟正黑體" w:hint="eastAsia"/>
          <w:sz w:val="28"/>
        </w:rPr>
        <w:t>。</w:t>
      </w:r>
    </w:p>
    <w:p w:rsidR="002B7ECF" w:rsidRDefault="002B7ECF" w:rsidP="002B7ECF">
      <w:pPr>
        <w:tabs>
          <w:tab w:val="left" w:pos="567"/>
        </w:tabs>
        <w:spacing w:line="440" w:lineRule="exact"/>
        <w:jc w:val="center"/>
        <w:rPr>
          <w:rFonts w:eastAsia="標楷體"/>
          <w:b/>
          <w:sz w:val="40"/>
          <w:szCs w:val="40"/>
        </w:rPr>
      </w:pPr>
      <w:r w:rsidRPr="002B7ECF">
        <w:rPr>
          <w:rFonts w:eastAsia="標楷體" w:hint="eastAsia"/>
          <w:b/>
          <w:sz w:val="40"/>
          <w:szCs w:val="40"/>
        </w:rPr>
        <w:lastRenderedPageBreak/>
        <w:t>重大訊息</w:t>
      </w:r>
    </w:p>
    <w:p w:rsidR="002B7ECF" w:rsidRPr="002B7ECF" w:rsidRDefault="002B7ECF" w:rsidP="002B7ECF">
      <w:pPr>
        <w:tabs>
          <w:tab w:val="left" w:pos="567"/>
        </w:tabs>
        <w:spacing w:line="440" w:lineRule="exact"/>
        <w:jc w:val="center"/>
        <w:rPr>
          <w:rFonts w:eastAsia="標楷體"/>
          <w:b/>
          <w:sz w:val="40"/>
          <w:szCs w:val="40"/>
        </w:rPr>
      </w:pPr>
    </w:p>
    <w:p w:rsidR="002B7ECF" w:rsidRDefault="002B7ECF" w:rsidP="002B7ECF">
      <w:pPr>
        <w:pStyle w:val="a6"/>
        <w:numPr>
          <w:ilvl w:val="0"/>
          <w:numId w:val="1"/>
        </w:numPr>
        <w:spacing w:line="500" w:lineRule="exact"/>
        <w:ind w:leftChars="0" w:left="567" w:hanging="567"/>
        <w:rPr>
          <w:rFonts w:ascii="標楷體" w:eastAsia="標楷體" w:hAnsi="標楷體"/>
          <w:b/>
          <w:sz w:val="28"/>
          <w:szCs w:val="28"/>
        </w:rPr>
      </w:pPr>
      <w:r>
        <w:rPr>
          <w:rFonts w:ascii="標楷體" w:eastAsia="標楷體" w:hAnsi="標楷體" w:hint="eastAsia"/>
          <w:b/>
          <w:sz w:val="28"/>
          <w:szCs w:val="28"/>
        </w:rPr>
        <w:t>上櫃公司</w:t>
      </w:r>
      <w:r w:rsidRPr="00D81617">
        <w:rPr>
          <w:rFonts w:ascii="標楷體" w:eastAsia="標楷體" w:hAnsi="標楷體" w:hint="eastAsia"/>
          <w:b/>
          <w:sz w:val="28"/>
          <w:szCs w:val="28"/>
        </w:rPr>
        <w:t>重要子公司</w:t>
      </w:r>
      <w:r>
        <w:rPr>
          <w:rFonts w:ascii="標楷體" w:eastAsia="標楷體" w:hAnsi="標楷體" w:hint="eastAsia"/>
          <w:b/>
          <w:sz w:val="28"/>
          <w:szCs w:val="28"/>
        </w:rPr>
        <w:t>之子公司(即孫公司)</w:t>
      </w:r>
      <w:r w:rsidRPr="00AA2DAC">
        <w:rPr>
          <w:rFonts w:ascii="標楷體" w:eastAsia="標楷體" w:hAnsi="標楷體" w:hint="eastAsia"/>
          <w:b/>
          <w:sz w:val="28"/>
          <w:szCs w:val="28"/>
        </w:rPr>
        <w:t>盈餘轉增資</w:t>
      </w:r>
      <w:r>
        <w:rPr>
          <w:rFonts w:ascii="標楷體" w:eastAsia="標楷體" w:hAnsi="標楷體" w:hint="eastAsia"/>
          <w:b/>
          <w:sz w:val="28"/>
          <w:szCs w:val="28"/>
        </w:rPr>
        <w:t>，其重要</w:t>
      </w:r>
      <w:r w:rsidRPr="00AA2DAC">
        <w:rPr>
          <w:rFonts w:ascii="標楷體" w:eastAsia="標楷體" w:hAnsi="標楷體" w:hint="eastAsia"/>
          <w:b/>
          <w:sz w:val="28"/>
          <w:szCs w:val="28"/>
        </w:rPr>
        <w:t>子公司</w:t>
      </w:r>
      <w:r>
        <w:rPr>
          <w:rFonts w:ascii="標楷體" w:eastAsia="標楷體" w:hAnsi="標楷體" w:hint="eastAsia"/>
          <w:b/>
          <w:sz w:val="28"/>
          <w:szCs w:val="28"/>
        </w:rPr>
        <w:t>收到股利，上櫃公司</w:t>
      </w:r>
      <w:r w:rsidRPr="00AA2DAC">
        <w:rPr>
          <w:rFonts w:ascii="標楷體" w:eastAsia="標楷體" w:hAnsi="標楷體" w:hint="eastAsia"/>
          <w:b/>
          <w:sz w:val="28"/>
          <w:szCs w:val="28"/>
        </w:rPr>
        <w:t>需代重要子公司發重訊及取處公告嗎?</w:t>
      </w:r>
    </w:p>
    <w:p w:rsidR="002B7ECF" w:rsidRDefault="002B7ECF" w:rsidP="00D92EB6">
      <w:pPr>
        <w:widowControl w:val="0"/>
        <w:adjustRightInd w:val="0"/>
        <w:snapToGrid w:val="0"/>
        <w:spacing w:line="500" w:lineRule="exact"/>
        <w:ind w:leftChars="59" w:left="563" w:hangingChars="145" w:hanging="421"/>
        <w:jc w:val="both"/>
        <w:rPr>
          <w:rFonts w:ascii="標楷體" w:eastAsia="標楷體" w:hAnsi="標楷體"/>
          <w:color w:val="000000" w:themeColor="text1"/>
          <w:sz w:val="28"/>
          <w:szCs w:val="28"/>
        </w:rPr>
      </w:pPr>
      <w:r w:rsidRPr="00DF2F26">
        <w:rPr>
          <w:rStyle w:val="a5"/>
          <w:rFonts w:ascii="Times New Roman" w:eastAsia="標楷體" w:hAnsi="Times New Roman" w:cs="Times New Roman"/>
          <w:sz w:val="28"/>
          <w:szCs w:val="28"/>
        </w:rPr>
        <w:t>答：</w:t>
      </w:r>
      <w:r w:rsidRPr="00EA0244">
        <w:rPr>
          <w:rFonts w:ascii="標楷體" w:eastAsia="標楷體" w:hAnsi="標楷體" w:hint="eastAsia"/>
          <w:color w:val="000000" w:themeColor="text1"/>
          <w:sz w:val="28"/>
          <w:szCs w:val="28"/>
        </w:rPr>
        <w:t>孫公司盈餘轉增資一事，倘孫公司亦屬</w:t>
      </w:r>
      <w:r>
        <w:rPr>
          <w:rFonts w:ascii="標楷體" w:eastAsia="標楷體" w:hAnsi="標楷體" w:hint="eastAsia"/>
          <w:color w:val="000000" w:themeColor="text1"/>
          <w:sz w:val="28"/>
          <w:szCs w:val="28"/>
        </w:rPr>
        <w:t>「會計師查核簽證財務報表規則」所認定為</w:t>
      </w:r>
      <w:r w:rsidRPr="00EA0244">
        <w:rPr>
          <w:rFonts w:ascii="標楷體" w:eastAsia="標楷體" w:hAnsi="標楷體" w:hint="eastAsia"/>
          <w:color w:val="000000" w:themeColor="text1"/>
          <w:sz w:val="28"/>
          <w:szCs w:val="28"/>
        </w:rPr>
        <w:t>上櫃公司之重要子公司，則上櫃公司需代</w:t>
      </w:r>
      <w:r>
        <w:rPr>
          <w:rFonts w:ascii="標楷體" w:eastAsia="標楷體" w:hAnsi="標楷體" w:hint="eastAsia"/>
          <w:color w:val="000000" w:themeColor="text1"/>
          <w:sz w:val="28"/>
          <w:szCs w:val="28"/>
        </w:rPr>
        <w:t>孫</w:t>
      </w:r>
      <w:r w:rsidRPr="00EA0244">
        <w:rPr>
          <w:rFonts w:ascii="標楷體" w:eastAsia="標楷體" w:hAnsi="標楷體" w:hint="eastAsia"/>
          <w:color w:val="000000" w:themeColor="text1"/>
          <w:sz w:val="28"/>
          <w:szCs w:val="28"/>
        </w:rPr>
        <w:t>公司發重訊，說明孫公司盈餘轉增資一事。至於重要子公司收到孫公司所發放之股利，依據「公開發行公司取得或處分資產處理準則問答集」第19題，不視為重要子公司取得資產，上櫃公司自不須代重要子公司發布取得資產之公告及重大訊息；惟若取得盈餘或資本公積轉增資股票，涉「在大陸地區從事投資或技術合作許可辦法」規定須向經濟部投資審議委員會申報者，即屬「公開發行公司取得或處分資產處理準則」(下稱取處準則)第4條第1項第6款所規範之大陸地區投資，應依取處準則相關規定辦理，若取得金額大於取處準則所規範應行公告之標準，則上櫃公司才須代重要子公司發布取得資產之公告及重大訊息。</w:t>
      </w:r>
    </w:p>
    <w:p w:rsidR="002B7ECF" w:rsidRDefault="002B7ECF" w:rsidP="002B7ECF">
      <w:pPr>
        <w:widowControl w:val="0"/>
        <w:adjustRightInd w:val="0"/>
        <w:snapToGrid w:val="0"/>
        <w:spacing w:line="500" w:lineRule="exact"/>
        <w:ind w:leftChars="59" w:left="548" w:hangingChars="145" w:hanging="406"/>
        <w:jc w:val="both"/>
        <w:rPr>
          <w:rFonts w:ascii="標楷體" w:eastAsia="標楷體" w:hAnsi="標楷體"/>
          <w:color w:val="000000" w:themeColor="text1"/>
          <w:sz w:val="28"/>
          <w:szCs w:val="28"/>
        </w:rPr>
      </w:pPr>
    </w:p>
    <w:p w:rsidR="002B7ECF" w:rsidRDefault="002B7ECF" w:rsidP="002B7ECF">
      <w:pPr>
        <w:pStyle w:val="a6"/>
        <w:numPr>
          <w:ilvl w:val="0"/>
          <w:numId w:val="1"/>
        </w:numPr>
        <w:spacing w:line="500" w:lineRule="exact"/>
        <w:ind w:leftChars="0" w:left="567" w:hanging="567"/>
        <w:rPr>
          <w:rFonts w:ascii="標楷體" w:eastAsia="標楷體" w:hAnsi="標楷體"/>
          <w:b/>
          <w:sz w:val="28"/>
          <w:szCs w:val="28"/>
        </w:rPr>
      </w:pPr>
      <w:r w:rsidRPr="00D81617">
        <w:rPr>
          <w:rFonts w:ascii="標楷體" w:eastAsia="標楷體" w:hAnsi="標楷體" w:hint="eastAsia"/>
          <w:b/>
          <w:sz w:val="28"/>
          <w:szCs w:val="28"/>
        </w:rPr>
        <w:t>請問一週排二到三家研究機構約訪是否構成法說會的實質認定?</w:t>
      </w:r>
      <w:r>
        <w:rPr>
          <w:rFonts w:ascii="標楷體" w:eastAsia="標楷體" w:hAnsi="標楷體" w:hint="eastAsia"/>
          <w:b/>
          <w:sz w:val="28"/>
          <w:szCs w:val="28"/>
        </w:rPr>
        <w:t>另</w:t>
      </w:r>
      <w:r w:rsidRPr="00D81617">
        <w:rPr>
          <w:rFonts w:ascii="標楷體" w:eastAsia="標楷體" w:hAnsi="標楷體" w:hint="eastAsia"/>
          <w:b/>
          <w:sz w:val="28"/>
          <w:szCs w:val="28"/>
        </w:rPr>
        <w:t>所說明的同一時間兩家以上研究機構約訪，則視為法說會，其中同一時間如何認定?</w:t>
      </w:r>
    </w:p>
    <w:p w:rsidR="00D92EB6" w:rsidRPr="00D92EB6" w:rsidRDefault="002B7ECF" w:rsidP="00D92EB6">
      <w:pPr>
        <w:spacing w:line="500" w:lineRule="exact"/>
        <w:ind w:leftChars="59" w:left="566" w:hangingChars="146" w:hanging="424"/>
        <w:rPr>
          <w:rFonts w:ascii="標楷體" w:eastAsia="標楷體" w:hAnsi="標楷體"/>
          <w:color w:val="000000" w:themeColor="text1"/>
          <w:sz w:val="28"/>
          <w:szCs w:val="28"/>
        </w:rPr>
      </w:pPr>
      <w:r w:rsidRPr="00DF2F26">
        <w:rPr>
          <w:rStyle w:val="a5"/>
          <w:rFonts w:ascii="Times New Roman" w:eastAsia="標楷體" w:hAnsi="Times New Roman" w:cs="Times New Roman"/>
          <w:sz w:val="28"/>
          <w:szCs w:val="28"/>
        </w:rPr>
        <w:t>答：</w:t>
      </w:r>
      <w:r w:rsidR="00D92EB6" w:rsidRPr="00D92EB6">
        <w:rPr>
          <w:rFonts w:ascii="標楷體" w:eastAsia="標楷體" w:hAnsi="標楷體" w:hint="eastAsia"/>
          <w:color w:val="000000" w:themeColor="text1"/>
          <w:sz w:val="28"/>
          <w:szCs w:val="28"/>
        </w:rPr>
        <w:t>基於資訊揭露公平原則，「法人說明會」相關規範係為避免因資訊不對稱，產生交易不公平情事，故是否為「法人說明會」應考量實質面向，而非僅以名稱認定之。上櫃公司召開或參與相關財務業</w:t>
      </w:r>
      <w:r w:rsidR="006D7E44">
        <w:rPr>
          <w:rFonts w:ascii="標楷體" w:eastAsia="標楷體" w:hAnsi="標楷體" w:hint="eastAsia"/>
          <w:color w:val="000000" w:themeColor="text1"/>
          <w:sz w:val="28"/>
          <w:szCs w:val="28"/>
        </w:rPr>
        <w:t>務</w:t>
      </w:r>
      <w:bookmarkStart w:id="0" w:name="_GoBack"/>
      <w:bookmarkEnd w:id="0"/>
      <w:r w:rsidR="00D92EB6" w:rsidRPr="00D92EB6">
        <w:rPr>
          <w:rFonts w:ascii="標楷體" w:eastAsia="標楷體" w:hAnsi="標楷體" w:hint="eastAsia"/>
          <w:color w:val="000000" w:themeColor="text1"/>
          <w:sz w:val="28"/>
          <w:szCs w:val="28"/>
        </w:rPr>
        <w:t>資訊說明活動，不論其名稱、性質、參與人數多寡或召開方式為何，倘對特定機構或人員說明公司財務、業務或營運展望等資訊，即屬「法人說明會」範疇，需辦理相關公</w:t>
      </w:r>
      <w:r w:rsidR="00D92EB6" w:rsidRPr="00D92EB6">
        <w:rPr>
          <w:rFonts w:ascii="標楷體" w:eastAsia="標楷體" w:hAnsi="標楷體" w:hint="eastAsia"/>
          <w:color w:val="000000" w:themeColor="text1"/>
          <w:sz w:val="28"/>
          <w:szCs w:val="28"/>
        </w:rPr>
        <w:lastRenderedPageBreak/>
        <w:t>告申報作業，並發布重大訊息，以符資訊普及性、對稱性及公平揭露之意旨，並保障投資人權益。</w:t>
      </w:r>
    </w:p>
    <w:p w:rsidR="002B7ECF" w:rsidRPr="002B7ECF" w:rsidRDefault="00D92EB6" w:rsidP="00842716">
      <w:pPr>
        <w:spacing w:line="500" w:lineRule="exact"/>
        <w:ind w:left="567"/>
        <w:rPr>
          <w:rFonts w:ascii="標楷體" w:eastAsia="標楷體" w:hAnsi="標楷體" w:cstheme="minorBidi"/>
          <w:sz w:val="28"/>
          <w:szCs w:val="22"/>
        </w:rPr>
      </w:pPr>
      <w:r w:rsidRPr="00D92EB6">
        <w:rPr>
          <w:rFonts w:ascii="標楷體" w:eastAsia="標楷體" w:hAnsi="標楷體" w:hint="eastAsia"/>
          <w:color w:val="000000" w:themeColor="text1"/>
          <w:sz w:val="28"/>
          <w:szCs w:val="28"/>
        </w:rPr>
        <w:t>惟有關機構投資人、研究分析人員等個別(單獨一間機構)參訪行程，考量其業務特性，原則上予以排除，但上櫃公司仍須注意法令規定與資訊對稱及公平揭露原則。換言之，上櫃公司接受機構投資人或研究分析人員訪談時，判斷是否為法人說明會，並非以上櫃公司約訪之頻率為依據，而係以上櫃公司同一時間進行訪談之機構家數而定，倘上櫃公司同時與兩家或兩家以上之機構投資人、研究分析人員進行訪談開會(即各家機構一起與上櫃公司開會)，且說明內容係上櫃公司之財務、業務或營運展望等資訊(無論現場有無投影片資料之製播)，即屬「法人說明會」之範疇，需辦理相關公告申報作業。</w:t>
      </w:r>
    </w:p>
    <w:p w:rsidR="002B7ECF" w:rsidRDefault="002B7ECF"/>
    <w:p w:rsidR="00842716" w:rsidRDefault="00842716"/>
    <w:p w:rsidR="00842716" w:rsidRPr="002B7ECF" w:rsidRDefault="00842716"/>
    <w:p w:rsidR="002B7ECF" w:rsidRDefault="002B7ECF" w:rsidP="002B7ECF"/>
    <w:p w:rsidR="002B7ECF" w:rsidRDefault="002B7ECF" w:rsidP="002B7ECF">
      <w:pPr>
        <w:spacing w:line="440" w:lineRule="exact"/>
        <w:ind w:left="801"/>
        <w:jc w:val="center"/>
        <w:rPr>
          <w:rFonts w:ascii="標楷體" w:eastAsia="標楷體" w:hAnsi="標楷體"/>
          <w:b/>
          <w:sz w:val="40"/>
          <w:szCs w:val="40"/>
        </w:rPr>
      </w:pPr>
      <w:r>
        <w:rPr>
          <w:rFonts w:ascii="標楷體" w:eastAsia="標楷體" w:hAnsi="標楷體" w:hint="eastAsia"/>
          <w:b/>
          <w:sz w:val="40"/>
          <w:szCs w:val="40"/>
        </w:rPr>
        <w:t>資訊申報及揭露</w:t>
      </w:r>
    </w:p>
    <w:p w:rsidR="002B7ECF" w:rsidRDefault="002B7ECF" w:rsidP="002B7ECF"/>
    <w:p w:rsidR="002B7ECF" w:rsidRDefault="002B7ECF" w:rsidP="002B7ECF">
      <w:pPr>
        <w:pStyle w:val="a6"/>
        <w:numPr>
          <w:ilvl w:val="0"/>
          <w:numId w:val="1"/>
        </w:numPr>
        <w:spacing w:line="500" w:lineRule="exact"/>
        <w:ind w:leftChars="0" w:left="567" w:hanging="567"/>
        <w:rPr>
          <w:rFonts w:ascii="標楷體" w:eastAsia="標楷體" w:hAnsi="標楷體"/>
          <w:b/>
          <w:sz w:val="28"/>
          <w:szCs w:val="28"/>
        </w:rPr>
      </w:pPr>
      <w:r w:rsidRPr="00D81617">
        <w:rPr>
          <w:rFonts w:ascii="標楷體" w:eastAsia="標楷體" w:hAnsi="標楷體" w:hint="eastAsia"/>
          <w:b/>
          <w:sz w:val="28"/>
          <w:szCs w:val="28"/>
        </w:rPr>
        <w:t>衍生性商品所公告的</w:t>
      </w:r>
      <w:r>
        <w:rPr>
          <w:rFonts w:ascii="標楷體" w:eastAsia="標楷體" w:hAnsi="標楷體" w:hint="eastAsia"/>
          <w:b/>
          <w:sz w:val="28"/>
          <w:szCs w:val="28"/>
        </w:rPr>
        <w:t>已</w:t>
      </w:r>
      <w:r w:rsidRPr="00D81617">
        <w:rPr>
          <w:rFonts w:ascii="標楷體" w:eastAsia="標楷體" w:hAnsi="標楷體" w:hint="eastAsia"/>
          <w:b/>
          <w:sz w:val="28"/>
          <w:szCs w:val="28"/>
        </w:rPr>
        <w:t>沖銷契約總金額，</w:t>
      </w:r>
      <w:r>
        <w:rPr>
          <w:rFonts w:ascii="標楷體" w:eastAsia="標楷體" w:hAnsi="標楷體" w:hint="eastAsia"/>
          <w:b/>
          <w:sz w:val="28"/>
          <w:szCs w:val="28"/>
        </w:rPr>
        <w:t>係</w:t>
      </w:r>
      <w:r w:rsidRPr="00D81617">
        <w:rPr>
          <w:rFonts w:ascii="標楷體" w:eastAsia="標楷體" w:hAnsi="標楷體" w:hint="eastAsia"/>
          <w:b/>
          <w:sz w:val="28"/>
          <w:szCs w:val="28"/>
        </w:rPr>
        <w:t>指不論有成交、未成交契約都要計入已沖銷契約總金額嗎?</w:t>
      </w:r>
      <w:r w:rsidRPr="00D81617">
        <w:rPr>
          <w:rFonts w:ascii="標楷體" w:eastAsia="標楷體" w:hAnsi="標楷體"/>
          <w:b/>
          <w:sz w:val="28"/>
          <w:szCs w:val="28"/>
        </w:rPr>
        <w:t xml:space="preserve"> </w:t>
      </w:r>
      <w:r>
        <w:rPr>
          <w:rFonts w:ascii="標楷體" w:eastAsia="標楷體" w:hAnsi="標楷體"/>
          <w:b/>
          <w:sz w:val="28"/>
          <w:szCs w:val="28"/>
        </w:rPr>
        <w:t>上開揭示金額係</w:t>
      </w:r>
      <w:r w:rsidRPr="00D81617">
        <w:rPr>
          <w:rFonts w:ascii="標楷體" w:eastAsia="標楷體" w:hAnsi="標楷體" w:hint="eastAsia"/>
          <w:b/>
          <w:sz w:val="28"/>
          <w:szCs w:val="28"/>
        </w:rPr>
        <w:t>指累計的金額嗎?</w:t>
      </w:r>
    </w:p>
    <w:p w:rsidR="002B7ECF" w:rsidRPr="002B7ECF" w:rsidRDefault="002B7ECF" w:rsidP="002B7ECF">
      <w:pPr>
        <w:spacing w:line="500" w:lineRule="exact"/>
        <w:ind w:leftChars="60" w:left="568" w:hangingChars="146" w:hanging="424"/>
        <w:jc w:val="both"/>
        <w:rPr>
          <w:rStyle w:val="a5"/>
          <w:rFonts w:ascii="標楷體" w:eastAsia="標楷體" w:hAnsi="標楷體"/>
          <w:sz w:val="28"/>
          <w:szCs w:val="28"/>
        </w:rPr>
      </w:pPr>
      <w:r w:rsidRPr="00DF2F26">
        <w:rPr>
          <w:rStyle w:val="a5"/>
          <w:rFonts w:ascii="Times New Roman" w:eastAsia="標楷體" w:hAnsi="Times New Roman" w:cs="Times New Roman"/>
          <w:sz w:val="28"/>
          <w:szCs w:val="28"/>
        </w:rPr>
        <w:t>答：</w:t>
      </w:r>
      <w:r w:rsidRPr="002B7ECF">
        <w:rPr>
          <w:rStyle w:val="a5"/>
          <w:rFonts w:ascii="標楷體" w:eastAsia="標楷體" w:hAnsi="標楷體" w:hint="eastAsia"/>
          <w:b w:val="0"/>
          <w:sz w:val="28"/>
          <w:szCs w:val="28"/>
        </w:rPr>
        <w:t>是的，所謂「已沖銷」係指契約到期、出售、解約、執行、觸價失效等符合金融資產及金融負債除列事實者，另</w:t>
      </w:r>
      <w:r w:rsidRPr="002B7ECF">
        <w:rPr>
          <w:rFonts w:ascii="Times New Roman" w:eastAsia="標楷體" w:hAnsi="標楷體" w:cs="Times New Roman"/>
          <w:sz w:val="28"/>
          <w:szCs w:val="28"/>
        </w:rPr>
        <w:t>「已沖銷契約總金額」係指</w:t>
      </w:r>
      <w:r w:rsidRPr="002B7ECF">
        <w:rPr>
          <w:rFonts w:ascii="Times New Roman" w:eastAsia="標楷體" w:hAnsi="標楷體" w:cs="Times New Roman" w:hint="eastAsia"/>
          <w:sz w:val="28"/>
          <w:szCs w:val="28"/>
        </w:rPr>
        <w:t>申報</w:t>
      </w:r>
      <w:r w:rsidRPr="002B7ECF">
        <w:rPr>
          <w:rFonts w:ascii="Times New Roman" w:eastAsia="標楷體" w:hAnsi="標楷體" w:cs="Times New Roman"/>
          <w:sz w:val="28"/>
          <w:szCs w:val="28"/>
        </w:rPr>
        <w:t>年度累計至上月底已沖銷契約之名目本金金額合計數，跨年度應重新累計公告之</w:t>
      </w:r>
      <w:r w:rsidRPr="002B7ECF">
        <w:rPr>
          <w:rStyle w:val="a5"/>
          <w:rFonts w:ascii="標楷體" w:eastAsia="標楷體" w:hAnsi="標楷體" w:hint="eastAsia"/>
          <w:sz w:val="28"/>
          <w:szCs w:val="28"/>
        </w:rPr>
        <w:t>。</w:t>
      </w:r>
    </w:p>
    <w:p w:rsidR="002B7ECF" w:rsidRDefault="002B7ECF" w:rsidP="002B7ECF">
      <w:pPr>
        <w:spacing w:line="500" w:lineRule="exact"/>
        <w:ind w:leftChars="235" w:left="564" w:firstLine="2"/>
        <w:rPr>
          <w:rStyle w:val="a5"/>
          <w:rFonts w:ascii="標楷體" w:eastAsia="標楷體" w:hAnsi="標楷體"/>
          <w:sz w:val="28"/>
          <w:szCs w:val="28"/>
        </w:rPr>
      </w:pPr>
      <w:r w:rsidRPr="002B7ECF">
        <w:rPr>
          <w:rStyle w:val="a5"/>
          <w:rFonts w:ascii="標楷體" w:eastAsia="標楷體" w:hAnsi="標楷體" w:hint="eastAsia"/>
          <w:b w:val="0"/>
          <w:sz w:val="28"/>
          <w:szCs w:val="28"/>
        </w:rPr>
        <w:t>有關衍生性商品申報作業相關資料，建議可參考申報端中『衍生性商品交易資訊申報欄位定義說明』</w:t>
      </w:r>
      <w:r w:rsidRPr="00695644">
        <w:rPr>
          <w:rStyle w:val="a5"/>
          <w:rFonts w:ascii="標楷體" w:eastAsia="標楷體" w:hAnsi="標楷體" w:hint="eastAsia"/>
          <w:sz w:val="28"/>
          <w:szCs w:val="28"/>
        </w:rPr>
        <w:t>。</w:t>
      </w:r>
    </w:p>
    <w:p w:rsidR="002B7ECF" w:rsidRDefault="002B7ECF" w:rsidP="002B7ECF">
      <w:pPr>
        <w:spacing w:line="500" w:lineRule="exact"/>
        <w:ind w:leftChars="235" w:left="564" w:firstLine="2"/>
        <w:rPr>
          <w:rFonts w:ascii="標楷體" w:eastAsia="標楷體" w:hAnsi="標楷體" w:cstheme="minorBidi"/>
          <w:sz w:val="28"/>
          <w:szCs w:val="22"/>
        </w:rPr>
      </w:pPr>
    </w:p>
    <w:p w:rsidR="002B7ECF" w:rsidRDefault="002B7ECF" w:rsidP="002B7ECF">
      <w:pPr>
        <w:pStyle w:val="a6"/>
        <w:numPr>
          <w:ilvl w:val="0"/>
          <w:numId w:val="1"/>
        </w:numPr>
        <w:spacing w:line="500" w:lineRule="exact"/>
        <w:ind w:leftChars="0" w:left="567" w:hanging="567"/>
        <w:rPr>
          <w:rFonts w:ascii="標楷體" w:eastAsia="標楷體" w:hAnsi="標楷體"/>
          <w:b/>
          <w:sz w:val="28"/>
          <w:szCs w:val="28"/>
        </w:rPr>
      </w:pPr>
      <w:r w:rsidRPr="00F0036D">
        <w:rPr>
          <w:rFonts w:ascii="標楷體" w:eastAsia="標楷體" w:hAnsi="標楷體" w:hint="eastAsia"/>
          <w:b/>
          <w:sz w:val="28"/>
          <w:szCs w:val="28"/>
        </w:rPr>
        <w:lastRenderedPageBreak/>
        <w:t>若公司今年度發放現金股利無股票股利，是否須辦理有價證券</w:t>
      </w:r>
      <w:r w:rsidRPr="00D81617">
        <w:rPr>
          <w:rFonts w:ascii="標楷體" w:eastAsia="標楷體" w:hAnsi="標楷體" w:hint="eastAsia"/>
          <w:b/>
          <w:sz w:val="28"/>
          <w:szCs w:val="28"/>
        </w:rPr>
        <w:t>交付或發放股利前之公告嗎</w:t>
      </w:r>
      <w:r>
        <w:rPr>
          <w:rFonts w:ascii="標楷體" w:eastAsia="標楷體" w:hAnsi="標楷體" w:hint="eastAsia"/>
          <w:b/>
          <w:sz w:val="28"/>
          <w:szCs w:val="28"/>
        </w:rPr>
        <w:t>(</w:t>
      </w:r>
      <w:r w:rsidRPr="00F55783">
        <w:rPr>
          <w:rFonts w:ascii="標楷體" w:eastAsia="標楷體" w:hAnsi="標楷體" w:hint="eastAsia"/>
          <w:b/>
          <w:sz w:val="28"/>
          <w:szCs w:val="28"/>
        </w:rPr>
        <w:t>公司法第</w:t>
      </w:r>
      <w:r w:rsidRPr="00F55783">
        <w:rPr>
          <w:rFonts w:ascii="標楷體" w:eastAsia="標楷體" w:hAnsi="標楷體"/>
          <w:b/>
          <w:sz w:val="28"/>
          <w:szCs w:val="28"/>
        </w:rPr>
        <w:t>252條及273條</w:t>
      </w:r>
      <w:r>
        <w:rPr>
          <w:rFonts w:ascii="標楷體" w:eastAsia="標楷體" w:hAnsi="標楷體" w:hint="eastAsia"/>
          <w:b/>
          <w:sz w:val="28"/>
          <w:szCs w:val="28"/>
        </w:rPr>
        <w:t>)</w:t>
      </w:r>
      <w:r w:rsidRPr="00D81617">
        <w:rPr>
          <w:rFonts w:ascii="標楷體" w:eastAsia="標楷體" w:hAnsi="標楷體" w:hint="eastAsia"/>
          <w:b/>
          <w:sz w:val="28"/>
          <w:szCs w:val="28"/>
        </w:rPr>
        <w:t>?</w:t>
      </w:r>
    </w:p>
    <w:p w:rsidR="002B7ECF" w:rsidRPr="00475922" w:rsidRDefault="002B7ECF" w:rsidP="002B7ECF">
      <w:pPr>
        <w:spacing w:line="500" w:lineRule="exact"/>
        <w:ind w:firstLineChars="48" w:firstLine="139"/>
        <w:rPr>
          <w:rFonts w:ascii="標楷體" w:eastAsia="標楷體" w:hAnsi="標楷體"/>
          <w:sz w:val="28"/>
          <w:szCs w:val="28"/>
        </w:rPr>
      </w:pPr>
      <w:r w:rsidRPr="00DF2F26">
        <w:rPr>
          <w:rStyle w:val="a5"/>
          <w:rFonts w:ascii="Times New Roman" w:eastAsia="標楷體" w:hAnsi="Times New Roman" w:cs="Times New Roman"/>
          <w:sz w:val="28"/>
          <w:szCs w:val="28"/>
        </w:rPr>
        <w:t>答：</w:t>
      </w:r>
      <w:r w:rsidRPr="00475922">
        <w:rPr>
          <w:rFonts w:ascii="標楷體" w:eastAsia="標楷體" w:hAnsi="標楷體" w:hint="eastAsia"/>
          <w:sz w:val="28"/>
          <w:szCs w:val="28"/>
        </w:rPr>
        <w:t>依『發行人募集與發行有價證券處理準則』第9條第1項規定</w:t>
      </w:r>
    </w:p>
    <w:p w:rsidR="002B7ECF" w:rsidRDefault="002B7ECF" w:rsidP="002B7ECF">
      <w:pPr>
        <w:spacing w:line="500" w:lineRule="exact"/>
        <w:ind w:left="567"/>
        <w:rPr>
          <w:rFonts w:ascii="標楷體" w:eastAsia="標楷體" w:hAnsi="標楷體"/>
          <w:sz w:val="28"/>
          <w:szCs w:val="28"/>
        </w:rPr>
      </w:pPr>
      <w:r w:rsidRPr="00475922">
        <w:rPr>
          <w:rFonts w:ascii="標楷體" w:eastAsia="標楷體" w:hAnsi="標楷體" w:hint="eastAsia"/>
          <w:sz w:val="28"/>
          <w:szCs w:val="28"/>
        </w:rPr>
        <w:t>，發行人募集與發行有價證券，經申報生效後，於申報生效通知到達之日起三十日內，依公司法第</w:t>
      </w:r>
      <w:r>
        <w:rPr>
          <w:rFonts w:ascii="標楷體" w:eastAsia="標楷體" w:hAnsi="標楷體" w:hint="eastAsia"/>
          <w:sz w:val="28"/>
          <w:szCs w:val="28"/>
        </w:rPr>
        <w:t>252</w:t>
      </w:r>
      <w:r w:rsidRPr="00475922">
        <w:rPr>
          <w:rFonts w:ascii="標楷體" w:eastAsia="標楷體" w:hAnsi="標楷體" w:hint="eastAsia"/>
          <w:sz w:val="28"/>
          <w:szCs w:val="28"/>
        </w:rPr>
        <w:t>條或第</w:t>
      </w:r>
      <w:r>
        <w:rPr>
          <w:rFonts w:ascii="標楷體" w:eastAsia="標楷體" w:hAnsi="標楷體" w:hint="eastAsia"/>
          <w:sz w:val="28"/>
          <w:szCs w:val="28"/>
        </w:rPr>
        <w:t>273</w:t>
      </w:r>
      <w:r w:rsidRPr="00475922">
        <w:rPr>
          <w:rFonts w:ascii="標楷體" w:eastAsia="標楷體" w:hAnsi="標楷體"/>
          <w:sz w:val="28"/>
          <w:szCs w:val="28"/>
        </w:rPr>
        <w:t>條規定辦理，</w:t>
      </w:r>
      <w:r w:rsidRPr="00475922">
        <w:rPr>
          <w:rFonts w:ascii="標楷體" w:eastAsia="標楷體" w:hAnsi="標楷體" w:hint="eastAsia"/>
          <w:sz w:val="28"/>
          <w:szCs w:val="28"/>
        </w:rPr>
        <w:t>因發放現金股利非發行新股，非屬『發行人募集與發行有價證券處理準則』及公司法第</w:t>
      </w:r>
      <w:r>
        <w:rPr>
          <w:rFonts w:ascii="標楷體" w:eastAsia="標楷體" w:hAnsi="標楷體" w:hint="eastAsia"/>
          <w:sz w:val="28"/>
          <w:szCs w:val="28"/>
        </w:rPr>
        <w:t>273</w:t>
      </w:r>
      <w:r w:rsidRPr="00475922">
        <w:rPr>
          <w:rFonts w:ascii="標楷體" w:eastAsia="標楷體" w:hAnsi="標楷體"/>
          <w:sz w:val="28"/>
          <w:szCs w:val="28"/>
        </w:rPr>
        <w:t>條規定</w:t>
      </w:r>
      <w:r w:rsidRPr="00475922">
        <w:rPr>
          <w:rFonts w:ascii="標楷體" w:eastAsia="標楷體" w:hAnsi="標楷體" w:hint="eastAsia"/>
          <w:sz w:val="28"/>
          <w:szCs w:val="28"/>
        </w:rPr>
        <w:t>之範圍，故</w:t>
      </w:r>
      <w:r w:rsidRPr="00475922">
        <w:rPr>
          <w:rFonts w:ascii="標楷體" w:eastAsia="標楷體" w:hAnsi="標楷體"/>
          <w:sz w:val="28"/>
          <w:szCs w:val="28"/>
        </w:rPr>
        <w:t>若公司</w:t>
      </w:r>
      <w:r w:rsidRPr="00475922">
        <w:rPr>
          <w:rFonts w:ascii="標楷體" w:eastAsia="標楷體" w:hAnsi="標楷體" w:hint="eastAsia"/>
          <w:sz w:val="28"/>
          <w:szCs w:val="28"/>
        </w:rPr>
        <w:t>僅</w:t>
      </w:r>
      <w:r w:rsidRPr="00475922">
        <w:rPr>
          <w:rFonts w:ascii="標楷體" w:eastAsia="標楷體" w:hAnsi="標楷體"/>
          <w:sz w:val="28"/>
          <w:szCs w:val="28"/>
        </w:rPr>
        <w:t>發放現金股利</w:t>
      </w:r>
      <w:r w:rsidRPr="00475922">
        <w:rPr>
          <w:rFonts w:ascii="標楷體" w:eastAsia="標楷體" w:hAnsi="標楷體" w:hint="eastAsia"/>
          <w:sz w:val="28"/>
          <w:szCs w:val="28"/>
        </w:rPr>
        <w:t>無股票股利，即無須辦理公司法第</w:t>
      </w:r>
      <w:r>
        <w:rPr>
          <w:rFonts w:ascii="標楷體" w:eastAsia="標楷體" w:hAnsi="標楷體" w:hint="eastAsia"/>
          <w:sz w:val="28"/>
          <w:szCs w:val="28"/>
        </w:rPr>
        <w:t>273</w:t>
      </w:r>
      <w:r w:rsidRPr="00475922">
        <w:rPr>
          <w:rFonts w:ascii="標楷體" w:eastAsia="標楷體" w:hAnsi="標楷體"/>
          <w:sz w:val="28"/>
          <w:szCs w:val="28"/>
        </w:rPr>
        <w:t>條</w:t>
      </w:r>
      <w:r w:rsidRPr="00475922">
        <w:rPr>
          <w:rFonts w:ascii="標楷體" w:eastAsia="標楷體" w:hAnsi="標楷體" w:hint="eastAsia"/>
          <w:sz w:val="28"/>
          <w:szCs w:val="28"/>
        </w:rPr>
        <w:t>之公告</w:t>
      </w:r>
      <w:r w:rsidRPr="00475922">
        <w:rPr>
          <w:rFonts w:ascii="標楷體" w:eastAsia="標楷體" w:hAnsi="標楷體"/>
          <w:sz w:val="28"/>
          <w:szCs w:val="28"/>
        </w:rPr>
        <w:t>。</w:t>
      </w:r>
    </w:p>
    <w:p w:rsidR="00F0036D" w:rsidRDefault="00F0036D" w:rsidP="002B7ECF">
      <w:pPr>
        <w:spacing w:line="500" w:lineRule="exact"/>
        <w:ind w:left="567"/>
        <w:rPr>
          <w:rFonts w:ascii="標楷體" w:eastAsia="標楷體" w:hAnsi="標楷體"/>
          <w:sz w:val="28"/>
          <w:szCs w:val="28"/>
        </w:rPr>
      </w:pPr>
    </w:p>
    <w:p w:rsidR="00F0036D" w:rsidRDefault="00F0036D" w:rsidP="00F0036D">
      <w:pPr>
        <w:pStyle w:val="a6"/>
        <w:numPr>
          <w:ilvl w:val="0"/>
          <w:numId w:val="1"/>
        </w:numPr>
        <w:spacing w:line="500" w:lineRule="exact"/>
        <w:ind w:leftChars="0" w:left="567" w:hanging="567"/>
        <w:rPr>
          <w:rFonts w:ascii="標楷體" w:eastAsia="標楷體" w:hAnsi="標楷體"/>
          <w:b/>
          <w:sz w:val="28"/>
          <w:szCs w:val="28"/>
        </w:rPr>
      </w:pPr>
      <w:r>
        <w:rPr>
          <w:rFonts w:ascii="標楷體" w:eastAsia="標楷體" w:hAnsi="標楷體" w:hint="eastAsia"/>
          <w:b/>
          <w:sz w:val="28"/>
          <w:szCs w:val="28"/>
        </w:rPr>
        <w:t>董事</w:t>
      </w:r>
      <w:r w:rsidRPr="00384745">
        <w:rPr>
          <w:rFonts w:ascii="標楷體" w:eastAsia="標楷體" w:hAnsi="標楷體" w:hint="eastAsia"/>
          <w:b/>
          <w:sz w:val="28"/>
          <w:szCs w:val="28"/>
        </w:rPr>
        <w:t>領</w:t>
      </w:r>
      <w:r>
        <w:rPr>
          <w:rFonts w:ascii="標楷體" w:eastAsia="標楷體" w:hAnsi="標楷體" w:hint="eastAsia"/>
          <w:b/>
          <w:sz w:val="28"/>
          <w:szCs w:val="28"/>
        </w:rPr>
        <w:t>有</w:t>
      </w:r>
      <w:r w:rsidRPr="00384745">
        <w:rPr>
          <w:rFonts w:ascii="標楷體" w:eastAsia="標楷體" w:hAnsi="標楷體" w:hint="eastAsia"/>
          <w:b/>
          <w:sz w:val="28"/>
          <w:szCs w:val="28"/>
        </w:rPr>
        <w:t>員工薪資</w:t>
      </w:r>
      <w:r>
        <w:rPr>
          <w:rFonts w:ascii="標楷體" w:eastAsia="標楷體" w:hAnsi="標楷體" w:hint="eastAsia"/>
          <w:b/>
          <w:sz w:val="28"/>
          <w:szCs w:val="28"/>
        </w:rPr>
        <w:t>但未</w:t>
      </w:r>
      <w:r w:rsidRPr="00384745">
        <w:rPr>
          <w:rFonts w:ascii="標楷體" w:eastAsia="標楷體" w:hAnsi="標楷體" w:hint="eastAsia"/>
          <w:b/>
          <w:sz w:val="28"/>
          <w:szCs w:val="28"/>
        </w:rPr>
        <w:t>掛員工</w:t>
      </w:r>
      <w:r>
        <w:rPr>
          <w:rFonts w:ascii="標楷體" w:eastAsia="標楷體" w:hAnsi="標楷體" w:hint="eastAsia"/>
          <w:b/>
          <w:sz w:val="28"/>
          <w:szCs w:val="28"/>
        </w:rPr>
        <w:t>，</w:t>
      </w:r>
      <w:r w:rsidRPr="00D81617">
        <w:rPr>
          <w:rFonts w:ascii="標楷體" w:eastAsia="標楷體" w:hAnsi="標楷體" w:hint="eastAsia"/>
          <w:b/>
          <w:sz w:val="28"/>
          <w:szCs w:val="28"/>
        </w:rPr>
        <w:t>未來就</w:t>
      </w:r>
      <w:r>
        <w:rPr>
          <w:rFonts w:ascii="標楷體" w:eastAsia="標楷體" w:hAnsi="標楷體" w:hint="eastAsia"/>
          <w:b/>
          <w:color w:val="000000"/>
          <w:spacing w:val="8"/>
          <w:sz w:val="28"/>
          <w:szCs w:val="28"/>
        </w:rPr>
        <w:t>非擔任主管職務全時員工薪資申報應如何揭露</w:t>
      </w:r>
      <w:r w:rsidRPr="00D81617">
        <w:rPr>
          <w:rFonts w:ascii="標楷體" w:eastAsia="標楷體" w:hAnsi="標楷體" w:hint="eastAsia"/>
          <w:b/>
          <w:sz w:val="28"/>
          <w:szCs w:val="28"/>
        </w:rPr>
        <w:t>?</w:t>
      </w:r>
    </w:p>
    <w:p w:rsidR="00F0036D" w:rsidRDefault="00F0036D" w:rsidP="00F0036D">
      <w:pPr>
        <w:spacing w:line="500" w:lineRule="exact"/>
        <w:ind w:leftChars="60" w:left="568" w:hangingChars="146" w:hanging="424"/>
        <w:rPr>
          <w:rFonts w:ascii="標楷體" w:eastAsia="標楷體" w:hAnsi="標楷體"/>
          <w:sz w:val="28"/>
          <w:szCs w:val="28"/>
        </w:rPr>
      </w:pPr>
      <w:r w:rsidRPr="00DF2F26">
        <w:rPr>
          <w:rStyle w:val="a5"/>
          <w:rFonts w:ascii="Times New Roman" w:eastAsia="標楷體" w:hAnsi="Times New Roman" w:cs="Times New Roman"/>
          <w:sz w:val="28"/>
          <w:szCs w:val="28"/>
        </w:rPr>
        <w:t>答：</w:t>
      </w:r>
      <w:r w:rsidRPr="00F0036D">
        <w:rPr>
          <w:rFonts w:ascii="標楷體" w:eastAsia="標楷體" w:hAnsi="標楷體" w:hint="eastAsia"/>
          <w:sz w:val="28"/>
          <w:szCs w:val="28"/>
        </w:rPr>
        <w:t>公司董事未掛員工，該董事非屬『非擔任主管職務全時員工薪資資訊』申報範圍，相關申報內容可詳閱「非擔任主管職務之全時員工薪資資訊」申報作業說明。</w:t>
      </w:r>
    </w:p>
    <w:p w:rsidR="00F0036D" w:rsidRDefault="00F0036D" w:rsidP="00F0036D">
      <w:pPr>
        <w:spacing w:line="500" w:lineRule="exact"/>
        <w:ind w:leftChars="60" w:left="553" w:hangingChars="146" w:hanging="409"/>
        <w:rPr>
          <w:rFonts w:ascii="標楷體" w:eastAsia="標楷體" w:hAnsi="標楷體"/>
          <w:sz w:val="28"/>
          <w:szCs w:val="28"/>
        </w:rPr>
      </w:pPr>
    </w:p>
    <w:p w:rsidR="00F0036D" w:rsidRDefault="00F0036D" w:rsidP="00F0036D">
      <w:pPr>
        <w:pStyle w:val="a6"/>
        <w:numPr>
          <w:ilvl w:val="0"/>
          <w:numId w:val="1"/>
        </w:numPr>
        <w:spacing w:line="500" w:lineRule="exact"/>
        <w:ind w:leftChars="0" w:left="567" w:hanging="567"/>
        <w:rPr>
          <w:rFonts w:ascii="標楷體" w:eastAsia="標楷體" w:hAnsi="標楷體"/>
          <w:b/>
          <w:sz w:val="28"/>
          <w:szCs w:val="28"/>
        </w:rPr>
      </w:pPr>
      <w:r w:rsidRPr="00475922">
        <w:rPr>
          <w:rFonts w:ascii="標楷體" w:eastAsia="標楷體" w:hAnsi="標楷體" w:hint="eastAsia"/>
          <w:b/>
          <w:color w:val="000000" w:themeColor="text1"/>
          <w:sz w:val="28"/>
          <w:szCs w:val="28"/>
        </w:rPr>
        <w:t>電子公文收文信箱如何修改</w:t>
      </w:r>
      <w:r w:rsidRPr="00D81617">
        <w:rPr>
          <w:rFonts w:ascii="標楷體" w:eastAsia="標楷體" w:hAnsi="標楷體" w:hint="eastAsia"/>
          <w:b/>
          <w:sz w:val="28"/>
          <w:szCs w:val="28"/>
        </w:rPr>
        <w:t>?</w:t>
      </w:r>
    </w:p>
    <w:p w:rsidR="00F0036D" w:rsidRDefault="00F0036D" w:rsidP="00F0036D">
      <w:pPr>
        <w:spacing w:line="500" w:lineRule="exact"/>
        <w:ind w:leftChars="60" w:left="568" w:hangingChars="146" w:hanging="424"/>
        <w:rPr>
          <w:rFonts w:ascii="標楷體" w:eastAsia="標楷體" w:hAnsi="標楷體"/>
          <w:sz w:val="28"/>
          <w:szCs w:val="28"/>
        </w:rPr>
      </w:pPr>
      <w:r w:rsidRPr="00DF2F26">
        <w:rPr>
          <w:rStyle w:val="a5"/>
          <w:rFonts w:ascii="Times New Roman" w:eastAsia="標楷體" w:hAnsi="Times New Roman" w:cs="Times New Roman"/>
          <w:sz w:val="28"/>
          <w:szCs w:val="28"/>
        </w:rPr>
        <w:t>答：</w:t>
      </w:r>
      <w:r w:rsidRPr="00475922">
        <w:rPr>
          <w:rFonts w:ascii="標楷體" w:eastAsia="標楷體" w:hAnsi="標楷體" w:hint="eastAsia"/>
          <w:sz w:val="28"/>
          <w:szCs w:val="28"/>
        </w:rPr>
        <w:t>有關公司電子公文收文信箱之修改，可於證券櫃檯買賣中心網站（</w:t>
      </w:r>
      <w:r w:rsidRPr="00475922">
        <w:rPr>
          <w:rFonts w:ascii="標楷體" w:eastAsia="標楷體" w:hAnsi="標楷體"/>
          <w:sz w:val="28"/>
          <w:szCs w:val="28"/>
        </w:rPr>
        <w:t>http://www.tpex.org.tw/web/issuer/?l=zh-tw）</w:t>
      </w:r>
      <w:r w:rsidRPr="00475922">
        <w:rPr>
          <w:rFonts w:ascii="標楷體" w:eastAsia="標楷體" w:hAnsi="標楷體" w:hint="eastAsia"/>
          <w:sz w:val="28"/>
          <w:szCs w:val="28"/>
        </w:rPr>
        <w:t>下載『上</w:t>
      </w:r>
      <w:r w:rsidRPr="00475922">
        <w:rPr>
          <w:rFonts w:ascii="標楷體" w:eastAsia="標楷體" w:hAnsi="標楷體"/>
          <w:sz w:val="28"/>
          <w:szCs w:val="28"/>
        </w:rPr>
        <w:t>/興櫃公司專用電子信箱使用手冊</w:t>
      </w:r>
      <w:r w:rsidRPr="00475922">
        <w:rPr>
          <w:rFonts w:ascii="標楷體" w:eastAsia="標楷體" w:hAnsi="標楷體" w:hint="eastAsia"/>
          <w:sz w:val="28"/>
          <w:szCs w:val="28"/>
        </w:rPr>
        <w:t>』重新設定。</w:t>
      </w:r>
    </w:p>
    <w:p w:rsidR="00F0036D" w:rsidRDefault="00F0036D" w:rsidP="00F0036D">
      <w:pPr>
        <w:spacing w:line="500" w:lineRule="exact"/>
        <w:ind w:leftChars="60" w:left="553" w:hangingChars="146" w:hanging="409"/>
        <w:rPr>
          <w:rFonts w:ascii="標楷體" w:eastAsia="標楷體" w:hAnsi="標楷體"/>
          <w:sz w:val="28"/>
          <w:szCs w:val="28"/>
        </w:rPr>
      </w:pPr>
    </w:p>
    <w:sectPr w:rsidR="00F0036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40" w:rsidRDefault="00917340" w:rsidP="00D92EB6">
      <w:r>
        <w:separator/>
      </w:r>
    </w:p>
  </w:endnote>
  <w:endnote w:type="continuationSeparator" w:id="0">
    <w:p w:rsidR="00917340" w:rsidRDefault="00917340" w:rsidP="00D9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40" w:rsidRDefault="00917340" w:rsidP="00D92EB6">
      <w:r>
        <w:separator/>
      </w:r>
    </w:p>
  </w:footnote>
  <w:footnote w:type="continuationSeparator" w:id="0">
    <w:p w:rsidR="00917340" w:rsidRDefault="00917340" w:rsidP="00D92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D6C"/>
    <w:multiLevelType w:val="hybridMultilevel"/>
    <w:tmpl w:val="A9DA7A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BF21A21"/>
    <w:multiLevelType w:val="hybridMultilevel"/>
    <w:tmpl w:val="C2EC5EFE"/>
    <w:lvl w:ilvl="0" w:tplc="04090015">
      <w:start w:val="1"/>
      <w:numFmt w:val="taiwaneseCountingThousand"/>
      <w:lvlText w:val="%1、"/>
      <w:lvlJc w:val="left"/>
      <w:pPr>
        <w:ind w:left="622" w:hanging="480"/>
      </w:pPr>
      <w:rPr>
        <w:rFonts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2" w15:restartNumberingAfterBreak="0">
    <w:nsid w:val="5C9D2E42"/>
    <w:multiLevelType w:val="hybridMultilevel"/>
    <w:tmpl w:val="A9943C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CF"/>
    <w:rsid w:val="002B7ECF"/>
    <w:rsid w:val="006D7E44"/>
    <w:rsid w:val="00842716"/>
    <w:rsid w:val="008B1B69"/>
    <w:rsid w:val="00917340"/>
    <w:rsid w:val="009A69FA"/>
    <w:rsid w:val="00C53716"/>
    <w:rsid w:val="00D92EB6"/>
    <w:rsid w:val="00F0036D"/>
    <w:rsid w:val="00F36EB5"/>
    <w:rsid w:val="00F46A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49F8D1-5BC8-4FA1-BA25-45E19914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ECF"/>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B7ECF"/>
    <w:pPr>
      <w:widowControl w:val="0"/>
    </w:pPr>
    <w:rPr>
      <w:rFonts w:ascii="Calibri" w:hAnsi="Courier New" w:cs="Courier New"/>
      <w:kern w:val="2"/>
      <w:sz w:val="28"/>
    </w:rPr>
  </w:style>
  <w:style w:type="character" w:customStyle="1" w:styleId="a4">
    <w:name w:val="純文字 字元"/>
    <w:basedOn w:val="a0"/>
    <w:link w:val="a3"/>
    <w:uiPriority w:val="99"/>
    <w:semiHidden/>
    <w:rsid w:val="002B7ECF"/>
    <w:rPr>
      <w:rFonts w:ascii="Calibri" w:eastAsia="新細明體" w:hAnsi="Courier New" w:cs="Courier New"/>
      <w:sz w:val="28"/>
      <w:szCs w:val="24"/>
    </w:rPr>
  </w:style>
  <w:style w:type="character" w:styleId="a5">
    <w:name w:val="Book Title"/>
    <w:uiPriority w:val="33"/>
    <w:qFormat/>
    <w:rsid w:val="002B7ECF"/>
    <w:rPr>
      <w:b/>
      <w:bCs/>
      <w:smallCaps/>
      <w:spacing w:val="5"/>
    </w:rPr>
  </w:style>
  <w:style w:type="paragraph" w:styleId="a6">
    <w:name w:val="List Paragraph"/>
    <w:basedOn w:val="a"/>
    <w:uiPriority w:val="34"/>
    <w:qFormat/>
    <w:rsid w:val="002B7ECF"/>
    <w:pPr>
      <w:ind w:leftChars="200" w:left="480"/>
    </w:pPr>
  </w:style>
  <w:style w:type="paragraph" w:styleId="a7">
    <w:name w:val="Balloon Text"/>
    <w:basedOn w:val="a"/>
    <w:link w:val="a8"/>
    <w:uiPriority w:val="99"/>
    <w:semiHidden/>
    <w:unhideWhenUsed/>
    <w:rsid w:val="00F0036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0036D"/>
    <w:rPr>
      <w:rFonts w:asciiTheme="majorHAnsi" w:eastAsiaTheme="majorEastAsia" w:hAnsiTheme="majorHAnsi" w:cstheme="majorBidi"/>
      <w:kern w:val="0"/>
      <w:sz w:val="18"/>
      <w:szCs w:val="18"/>
    </w:rPr>
  </w:style>
  <w:style w:type="paragraph" w:styleId="a9">
    <w:name w:val="header"/>
    <w:basedOn w:val="a"/>
    <w:link w:val="aa"/>
    <w:uiPriority w:val="99"/>
    <w:unhideWhenUsed/>
    <w:rsid w:val="00D92EB6"/>
    <w:pPr>
      <w:tabs>
        <w:tab w:val="center" w:pos="4153"/>
        <w:tab w:val="right" w:pos="8306"/>
      </w:tabs>
      <w:snapToGrid w:val="0"/>
    </w:pPr>
    <w:rPr>
      <w:sz w:val="20"/>
      <w:szCs w:val="20"/>
    </w:rPr>
  </w:style>
  <w:style w:type="character" w:customStyle="1" w:styleId="aa">
    <w:name w:val="頁首 字元"/>
    <w:basedOn w:val="a0"/>
    <w:link w:val="a9"/>
    <w:uiPriority w:val="99"/>
    <w:rsid w:val="00D92EB6"/>
    <w:rPr>
      <w:rFonts w:ascii="新細明體" w:eastAsia="新細明體" w:hAnsi="新細明體" w:cs="新細明體"/>
      <w:kern w:val="0"/>
      <w:sz w:val="20"/>
      <w:szCs w:val="20"/>
    </w:rPr>
  </w:style>
  <w:style w:type="paragraph" w:styleId="ab">
    <w:name w:val="footer"/>
    <w:basedOn w:val="a"/>
    <w:link w:val="ac"/>
    <w:uiPriority w:val="99"/>
    <w:unhideWhenUsed/>
    <w:rsid w:val="00D92EB6"/>
    <w:pPr>
      <w:tabs>
        <w:tab w:val="center" w:pos="4153"/>
        <w:tab w:val="right" w:pos="8306"/>
      </w:tabs>
      <w:snapToGrid w:val="0"/>
    </w:pPr>
    <w:rPr>
      <w:sz w:val="20"/>
      <w:szCs w:val="20"/>
    </w:rPr>
  </w:style>
  <w:style w:type="character" w:customStyle="1" w:styleId="ac">
    <w:name w:val="頁尾 字元"/>
    <w:basedOn w:val="a0"/>
    <w:link w:val="ab"/>
    <w:uiPriority w:val="99"/>
    <w:rsid w:val="00D92EB6"/>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王承美</dc:creator>
  <cp:keywords/>
  <dc:description/>
  <cp:lastModifiedBy>王承美</cp:lastModifiedBy>
  <cp:revision>5</cp:revision>
  <cp:lastPrinted>2018-10-19T03:52:00Z</cp:lastPrinted>
  <dcterms:created xsi:type="dcterms:W3CDTF">2018-10-18T07:33:00Z</dcterms:created>
  <dcterms:modified xsi:type="dcterms:W3CDTF">2018-10-19T06:08:00Z</dcterms:modified>
</cp:coreProperties>
</file>