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070" w:rsidRPr="00D21D94" w:rsidRDefault="007B1C7E" w:rsidP="00EA7D26">
      <w:pPr>
        <w:pStyle w:val="13"/>
        <w:ind w:left="1"/>
        <w:jc w:val="both"/>
      </w:pPr>
      <w:bookmarkStart w:id="0" w:name="_Toc521333964"/>
      <w:proofErr w:type="spellStart"/>
      <w:r w:rsidRPr="007B1C7E">
        <w:rPr>
          <w:rFonts w:hint="eastAsia"/>
        </w:rPr>
        <w:t>財團法人中華民國證券櫃檯買賣中心指數股票型基金受益憑證買賣辦法</w:t>
      </w:r>
      <w:r w:rsidR="00AE527E">
        <w:rPr>
          <w:rFonts w:hint="eastAsia"/>
          <w:lang w:eastAsia="zh-TW"/>
        </w:rPr>
        <w:t>部分條文</w:t>
      </w:r>
      <w:r w:rsidRPr="007B1C7E">
        <w:rPr>
          <w:rFonts w:hint="eastAsia"/>
        </w:rPr>
        <w:t>修正條文對照表</w:t>
      </w:r>
      <w:bookmarkEnd w:id="0"/>
      <w:proofErr w:type="spellEnd"/>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85"/>
        <w:gridCol w:w="3289"/>
        <w:gridCol w:w="3276"/>
      </w:tblGrid>
      <w:tr w:rsidR="000405B6" w:rsidTr="00EE34D4">
        <w:trPr>
          <w:tblHeader/>
        </w:trPr>
        <w:tc>
          <w:tcPr>
            <w:tcW w:w="3285" w:type="dxa"/>
            <w:hideMark/>
          </w:tcPr>
          <w:p w:rsidR="000405B6" w:rsidRPr="00640E09" w:rsidRDefault="000405B6" w:rsidP="00981035">
            <w:pPr>
              <w:ind w:leftChars="57" w:left="137" w:rightChars="71" w:right="170"/>
              <w:jc w:val="center"/>
              <w:rPr>
                <w:rFonts w:ascii="標楷體" w:eastAsia="標楷體" w:hAnsi="標楷體"/>
              </w:rPr>
            </w:pPr>
            <w:r w:rsidRPr="00640E09">
              <w:rPr>
                <w:rFonts w:ascii="標楷體" w:eastAsia="標楷體" w:hAnsi="標楷體" w:hint="eastAsia"/>
              </w:rPr>
              <w:t>修正條文</w:t>
            </w:r>
          </w:p>
        </w:tc>
        <w:tc>
          <w:tcPr>
            <w:tcW w:w="3289" w:type="dxa"/>
            <w:hideMark/>
          </w:tcPr>
          <w:p w:rsidR="000405B6" w:rsidRPr="00640E09" w:rsidRDefault="000405B6" w:rsidP="00981035">
            <w:pPr>
              <w:ind w:leftChars="57" w:left="137" w:rightChars="71" w:right="170"/>
              <w:jc w:val="center"/>
              <w:rPr>
                <w:rFonts w:ascii="標楷體" w:eastAsia="標楷體" w:hAnsi="標楷體"/>
              </w:rPr>
            </w:pPr>
            <w:r w:rsidRPr="00640E09">
              <w:rPr>
                <w:rFonts w:ascii="標楷體" w:eastAsia="標楷體" w:hAnsi="標楷體" w:hint="eastAsia"/>
              </w:rPr>
              <w:t>現行條文</w:t>
            </w:r>
          </w:p>
        </w:tc>
        <w:tc>
          <w:tcPr>
            <w:tcW w:w="3276" w:type="dxa"/>
            <w:hideMark/>
          </w:tcPr>
          <w:p w:rsidR="000405B6" w:rsidRPr="00640E09" w:rsidRDefault="000405B6" w:rsidP="00981035">
            <w:pPr>
              <w:ind w:leftChars="57" w:left="137" w:rightChars="71" w:right="170"/>
              <w:jc w:val="center"/>
              <w:rPr>
                <w:rFonts w:ascii="標楷體" w:eastAsia="標楷體" w:hAnsi="標楷體"/>
              </w:rPr>
            </w:pPr>
            <w:r w:rsidRPr="00640E09">
              <w:rPr>
                <w:rFonts w:ascii="標楷體" w:eastAsia="標楷體" w:hAnsi="標楷體" w:hint="eastAsia"/>
              </w:rPr>
              <w:t>說明</w:t>
            </w:r>
          </w:p>
        </w:tc>
      </w:tr>
      <w:tr w:rsidR="000405B6" w:rsidTr="000405B6">
        <w:tc>
          <w:tcPr>
            <w:tcW w:w="3285" w:type="dxa"/>
          </w:tcPr>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Pr>
                <w:rFonts w:ascii="標楷體" w:eastAsia="標楷體" w:hAnsi="標楷體" w:cs="細明體" w:hint="eastAsia"/>
                <w:kern w:val="0"/>
              </w:rPr>
              <w:t>第二條　指數股票型基金受益憑證，其買賣依本辦法之規定，本辦法未規定者，適用本中心章則有關規定辦理。</w:t>
            </w:r>
          </w:p>
          <w:p w:rsidR="000405B6" w:rsidRDefault="000405B6">
            <w:pPr>
              <w:ind w:leftChars="100" w:left="240" w:firstLineChars="200" w:firstLine="480"/>
              <w:jc w:val="both"/>
              <w:rPr>
                <w:rFonts w:ascii="標楷體" w:eastAsia="標楷體" w:hAnsi="標楷體"/>
                <w:szCs w:val="24"/>
              </w:rPr>
            </w:pPr>
            <w:r>
              <w:rPr>
                <w:rFonts w:ascii="標楷體" w:eastAsia="標楷體" w:hAnsi="標楷體" w:cs="細明體" w:hint="eastAsia"/>
                <w:kern w:val="0"/>
              </w:rPr>
              <w:t>本辦法所稱之指數股票型基金受益憑證，係指</w:t>
            </w:r>
            <w:r>
              <w:rPr>
                <w:rFonts w:ascii="標楷體" w:eastAsia="標楷體" w:hAnsi="標楷體" w:hint="eastAsia"/>
                <w:szCs w:val="24"/>
              </w:rPr>
              <w:t>證券投資</w:t>
            </w:r>
            <w:r>
              <w:rPr>
                <w:rFonts w:ascii="標楷體" w:eastAsia="標楷體" w:hAnsi="標楷體" w:cs="細明體" w:hint="eastAsia"/>
                <w:kern w:val="0"/>
                <w:szCs w:val="24"/>
              </w:rPr>
              <w:t>信託</w:t>
            </w:r>
            <w:r>
              <w:rPr>
                <w:rFonts w:ascii="標楷體" w:eastAsia="標楷體" w:hAnsi="標楷體" w:hint="eastAsia"/>
                <w:szCs w:val="24"/>
              </w:rPr>
              <w:t>事業依</w:t>
            </w:r>
            <w:r>
              <w:rPr>
                <w:rFonts w:ascii="標楷體" w:eastAsia="標楷體" w:hAnsi="標楷體" w:cs="細明體" w:hint="eastAsia"/>
                <w:kern w:val="0"/>
              </w:rPr>
              <w:t>證券投資信託基金管理辦法</w:t>
            </w:r>
            <w:r>
              <w:rPr>
                <w:rFonts w:ascii="標楷體" w:eastAsia="標楷體" w:hAnsi="標楷體" w:cs="細明體" w:hint="eastAsia"/>
                <w:color w:val="FF0000"/>
                <w:kern w:val="0"/>
                <w:u w:val="single"/>
              </w:rPr>
              <w:t>或期貨信託事業依期貨信託基金管理辦法</w:t>
            </w:r>
            <w:r>
              <w:rPr>
                <w:rFonts w:ascii="標楷體" w:eastAsia="標楷體" w:hAnsi="標楷體" w:hint="eastAsia"/>
                <w:szCs w:val="24"/>
              </w:rPr>
              <w:t>募集</w:t>
            </w:r>
            <w:r>
              <w:rPr>
                <w:rFonts w:ascii="標楷體" w:eastAsia="標楷體" w:hAnsi="標楷體" w:cs="細明體" w:hint="eastAsia"/>
                <w:kern w:val="0"/>
              </w:rPr>
              <w:t>指數股票型基金</w:t>
            </w:r>
            <w:r>
              <w:rPr>
                <w:rFonts w:ascii="標楷體" w:eastAsia="標楷體" w:hAnsi="標楷體" w:hint="eastAsia"/>
                <w:szCs w:val="24"/>
              </w:rPr>
              <w:t>（Exchange Traded Fund，簡稱ETF）所發行之下列受益憑證：</w:t>
            </w:r>
          </w:p>
          <w:p w:rsidR="000405B6" w:rsidRDefault="000405B6" w:rsidP="000D6299">
            <w:pPr>
              <w:tabs>
                <w:tab w:val="left" w:pos="737"/>
              </w:tabs>
              <w:ind w:leftChars="100" w:left="720" w:hangingChars="200" w:hanging="480"/>
              <w:jc w:val="both"/>
              <w:rPr>
                <w:rFonts w:ascii="標楷體" w:eastAsia="標楷體" w:hAnsi="標楷體"/>
                <w:szCs w:val="24"/>
              </w:rPr>
            </w:pPr>
            <w:r>
              <w:rPr>
                <w:rFonts w:ascii="標楷體" w:eastAsia="標楷體" w:hAnsi="標楷體" w:hint="eastAsia"/>
                <w:szCs w:val="24"/>
              </w:rPr>
              <w:t>一、</w:t>
            </w:r>
            <w:r w:rsidR="000D6299">
              <w:rPr>
                <w:rFonts w:ascii="標楷體" w:eastAsia="標楷體" w:hAnsi="標楷體"/>
                <w:szCs w:val="24"/>
              </w:rPr>
              <w:tab/>
            </w:r>
            <w:r>
              <w:rPr>
                <w:rFonts w:ascii="標楷體" w:eastAsia="標楷體" w:hAnsi="標楷體" w:hint="eastAsia"/>
                <w:color w:val="FF0000"/>
                <w:szCs w:val="24"/>
                <w:u w:val="single"/>
              </w:rPr>
              <w:t>證券投資信託事業募集指數股票型證券投資信託基金（簡稱指數股票型證券投資信託基金）所發行之受益憑證（簡稱指數股票型證券投資信託基金受益憑證）：</w:t>
            </w:r>
          </w:p>
          <w:p w:rsidR="000405B6" w:rsidRDefault="000405B6" w:rsidP="000D6299">
            <w:pPr>
              <w:tabs>
                <w:tab w:val="left" w:pos="1073"/>
              </w:tabs>
              <w:ind w:leftChars="200" w:left="1080" w:hangingChars="250" w:hanging="600"/>
              <w:jc w:val="both"/>
              <w:rPr>
                <w:rFonts w:ascii="標楷體" w:eastAsia="標楷體" w:hAnsi="標楷體"/>
                <w:szCs w:val="24"/>
              </w:rPr>
            </w:pPr>
            <w:r>
              <w:rPr>
                <w:rFonts w:ascii="標楷體" w:eastAsia="標楷體" w:hAnsi="標楷體" w:hint="eastAsia"/>
                <w:szCs w:val="24"/>
              </w:rPr>
              <w:t>(</w:t>
            </w:r>
            <w:proofErr w:type="gramStart"/>
            <w:r>
              <w:rPr>
                <w:rFonts w:ascii="標楷體" w:eastAsia="標楷體" w:hAnsi="標楷體" w:hint="eastAsia"/>
                <w:szCs w:val="24"/>
              </w:rPr>
              <w:t>一</w:t>
            </w:r>
            <w:proofErr w:type="gramEnd"/>
            <w:r>
              <w:rPr>
                <w:rFonts w:ascii="標楷體" w:eastAsia="標楷體" w:hAnsi="標楷體" w:hint="eastAsia"/>
                <w:szCs w:val="24"/>
              </w:rPr>
              <w:t>)</w:t>
            </w:r>
            <w:r w:rsidR="000D6299">
              <w:rPr>
                <w:rFonts w:ascii="標楷體" w:eastAsia="標楷體" w:hAnsi="標楷體"/>
                <w:szCs w:val="24"/>
              </w:rPr>
              <w:tab/>
            </w:r>
            <w:r>
              <w:rPr>
                <w:rFonts w:ascii="標楷體" w:eastAsia="標楷體" w:hAnsi="標楷體" w:hint="eastAsia"/>
                <w:szCs w:val="24"/>
              </w:rPr>
              <w:t>國內成分證券指數股票型</w:t>
            </w:r>
            <w:r>
              <w:rPr>
                <w:rFonts w:ascii="標楷體" w:eastAsia="標楷體" w:hAnsi="標楷體" w:hint="eastAsia"/>
                <w:color w:val="FF0000"/>
                <w:szCs w:val="24"/>
                <w:u w:val="single"/>
              </w:rPr>
              <w:t>證券投資信託</w:t>
            </w:r>
            <w:r>
              <w:rPr>
                <w:rFonts w:ascii="標楷體" w:eastAsia="標楷體" w:hAnsi="標楷體" w:hint="eastAsia"/>
                <w:szCs w:val="24"/>
              </w:rPr>
              <w:t>基金：指該基金之標的指數成分證券全部為國內有價證券者。</w:t>
            </w:r>
          </w:p>
          <w:p w:rsidR="000405B6" w:rsidRDefault="000405B6" w:rsidP="000D6299">
            <w:pPr>
              <w:tabs>
                <w:tab w:val="left" w:pos="1073"/>
              </w:tabs>
              <w:ind w:leftChars="200" w:left="1080" w:hangingChars="250" w:hanging="600"/>
              <w:jc w:val="both"/>
              <w:rPr>
                <w:rFonts w:ascii="標楷體" w:eastAsia="標楷體" w:hAnsi="標楷體"/>
                <w:szCs w:val="24"/>
              </w:rPr>
            </w:pPr>
            <w:r>
              <w:rPr>
                <w:rFonts w:ascii="標楷體" w:eastAsia="標楷體" w:hAnsi="標楷體" w:hint="eastAsia"/>
                <w:szCs w:val="24"/>
              </w:rPr>
              <w:t>(二)</w:t>
            </w:r>
            <w:r w:rsidR="000D6299">
              <w:rPr>
                <w:rFonts w:ascii="標楷體" w:eastAsia="標楷體" w:hAnsi="標楷體"/>
                <w:szCs w:val="24"/>
              </w:rPr>
              <w:tab/>
            </w:r>
            <w:r>
              <w:rPr>
                <w:rFonts w:ascii="標楷體" w:eastAsia="標楷體" w:hAnsi="標楷體" w:hint="eastAsia"/>
                <w:szCs w:val="24"/>
              </w:rPr>
              <w:t>國外成分證券指數股票型</w:t>
            </w:r>
            <w:r>
              <w:rPr>
                <w:rFonts w:ascii="標楷體" w:eastAsia="標楷體" w:hAnsi="標楷體" w:hint="eastAsia"/>
                <w:color w:val="FF0000"/>
                <w:szCs w:val="24"/>
                <w:u w:val="single"/>
              </w:rPr>
              <w:t>證券投資信託</w:t>
            </w:r>
            <w:r>
              <w:rPr>
                <w:rFonts w:ascii="標楷體" w:eastAsia="標楷體" w:hAnsi="標楷體" w:hint="eastAsia"/>
                <w:szCs w:val="24"/>
              </w:rPr>
              <w:t>基金：指該基金之標的指數成分證券含一種以上國外有價證券者。</w:t>
            </w:r>
          </w:p>
          <w:p w:rsidR="000405B6" w:rsidRDefault="000405B6" w:rsidP="000D6299">
            <w:pPr>
              <w:tabs>
                <w:tab w:val="left" w:pos="1073"/>
              </w:tabs>
              <w:ind w:leftChars="200" w:left="1080" w:hangingChars="250" w:hanging="600"/>
              <w:jc w:val="both"/>
              <w:rPr>
                <w:rFonts w:ascii="標楷體" w:eastAsia="標楷體" w:hAnsi="標楷體"/>
                <w:szCs w:val="24"/>
              </w:rPr>
            </w:pPr>
            <w:r>
              <w:rPr>
                <w:rFonts w:ascii="標楷體" w:eastAsia="標楷體" w:hAnsi="標楷體" w:hint="eastAsia"/>
                <w:szCs w:val="24"/>
              </w:rPr>
              <w:t>(三)</w:t>
            </w:r>
            <w:r w:rsidR="000D6299">
              <w:rPr>
                <w:rFonts w:ascii="標楷體" w:eastAsia="標楷體" w:hAnsi="標楷體"/>
                <w:szCs w:val="24"/>
              </w:rPr>
              <w:tab/>
            </w:r>
            <w:r>
              <w:rPr>
                <w:rFonts w:ascii="標楷體" w:eastAsia="標楷體" w:hAnsi="標楷體" w:hint="eastAsia"/>
                <w:szCs w:val="24"/>
              </w:rPr>
              <w:t>槓桿反向指數股票型</w:t>
            </w:r>
            <w:r>
              <w:rPr>
                <w:rFonts w:ascii="標楷體" w:eastAsia="標楷體" w:hAnsi="標楷體" w:hint="eastAsia"/>
                <w:color w:val="FF0000"/>
                <w:szCs w:val="24"/>
                <w:u w:val="single"/>
              </w:rPr>
              <w:t>證券投資信託</w:t>
            </w:r>
            <w:r>
              <w:rPr>
                <w:rFonts w:ascii="標楷體" w:eastAsia="標楷體" w:hAnsi="標楷體" w:hint="eastAsia"/>
                <w:szCs w:val="24"/>
              </w:rPr>
              <w:t>基金：指該基金以追蹤、模擬或複製標的指數之正向倍數（簡稱槓桿型 ETF）或反向倍數（簡稱反向型 ETF）</w:t>
            </w:r>
            <w:r>
              <w:rPr>
                <w:rFonts w:ascii="標楷體" w:eastAsia="標楷體" w:hAnsi="標楷體" w:hint="eastAsia"/>
                <w:szCs w:val="24"/>
              </w:rPr>
              <w:lastRenderedPageBreak/>
              <w:t>表現者。</w:t>
            </w:r>
          </w:p>
          <w:p w:rsidR="000405B6" w:rsidRDefault="000405B6" w:rsidP="000D6299">
            <w:pPr>
              <w:tabs>
                <w:tab w:val="left" w:pos="737"/>
              </w:tabs>
              <w:ind w:leftChars="100" w:left="720" w:hangingChars="200" w:hanging="480"/>
              <w:jc w:val="both"/>
              <w:rPr>
                <w:rFonts w:ascii="標楷體" w:eastAsia="標楷體" w:hAnsi="標楷體" w:cs="細明體"/>
                <w:kern w:val="0"/>
              </w:rPr>
            </w:pPr>
            <w:r>
              <w:rPr>
                <w:rFonts w:ascii="標楷體" w:eastAsia="標楷體" w:hAnsi="標楷體" w:hint="eastAsia"/>
                <w:color w:val="FF0000"/>
                <w:szCs w:val="24"/>
                <w:u w:val="single"/>
              </w:rPr>
              <w:t>二、</w:t>
            </w:r>
            <w:r w:rsidR="000D6299">
              <w:rPr>
                <w:rFonts w:ascii="標楷體" w:eastAsia="標楷體" w:hAnsi="標楷體"/>
                <w:color w:val="FF0000"/>
                <w:szCs w:val="24"/>
                <w:u w:val="single"/>
              </w:rPr>
              <w:tab/>
            </w:r>
            <w:r>
              <w:rPr>
                <w:rFonts w:ascii="標楷體" w:eastAsia="標楷體" w:hAnsi="標楷體" w:hint="eastAsia"/>
                <w:color w:val="FF0000"/>
                <w:szCs w:val="24"/>
                <w:u w:val="single"/>
              </w:rPr>
              <w:t>期貨信託事業募集指數股票型期貨信託基金（簡稱指數股票型期貨信託基金）所發行之受益憑證（簡稱指數股票型期貨信託基金受益憑證）。該基金以追蹤、模擬或複製標的指數之正向倍數（簡稱槓桿型期貨ETF）或反向倍數（簡稱反向型期貨ETF）表現者，稱為槓桿反向指數股票型期貨信託基金。</w:t>
            </w:r>
          </w:p>
        </w:tc>
        <w:tc>
          <w:tcPr>
            <w:tcW w:w="3289" w:type="dxa"/>
          </w:tcPr>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Pr>
                <w:rFonts w:ascii="標楷體" w:eastAsia="標楷體" w:hAnsi="標楷體" w:cs="細明體" w:hint="eastAsia"/>
                <w:kern w:val="0"/>
              </w:rPr>
              <w:lastRenderedPageBreak/>
              <w:t>第二條　指數股票型基金受益憑證，其買賣依本辦法之規定，本辦法未規定者，適用本中心章則有關規定辦理。</w:t>
            </w:r>
          </w:p>
          <w:p w:rsidR="000405B6" w:rsidRDefault="000405B6">
            <w:pPr>
              <w:ind w:leftChars="100" w:left="240" w:firstLineChars="200" w:firstLine="480"/>
              <w:jc w:val="both"/>
              <w:rPr>
                <w:rFonts w:ascii="標楷體" w:eastAsia="標楷體" w:hAnsi="標楷體"/>
                <w:szCs w:val="24"/>
              </w:rPr>
            </w:pPr>
            <w:r>
              <w:rPr>
                <w:rFonts w:ascii="標楷體" w:eastAsia="標楷體" w:hAnsi="標楷體" w:cs="細明體" w:hint="eastAsia"/>
                <w:kern w:val="0"/>
              </w:rPr>
              <w:t>本辦法所稱之指數股票型基金受益憑證，係指</w:t>
            </w:r>
            <w:r>
              <w:rPr>
                <w:rFonts w:ascii="標楷體" w:eastAsia="標楷體" w:hAnsi="標楷體" w:hint="eastAsia"/>
                <w:szCs w:val="24"/>
              </w:rPr>
              <w:t>證券投資</w:t>
            </w:r>
            <w:r>
              <w:rPr>
                <w:rFonts w:ascii="標楷體" w:eastAsia="標楷體" w:hAnsi="標楷體" w:cs="細明體" w:hint="eastAsia"/>
                <w:kern w:val="0"/>
                <w:szCs w:val="24"/>
              </w:rPr>
              <w:t>信託</w:t>
            </w:r>
            <w:r>
              <w:rPr>
                <w:rFonts w:ascii="標楷體" w:eastAsia="標楷體" w:hAnsi="標楷體" w:hint="eastAsia"/>
                <w:szCs w:val="24"/>
              </w:rPr>
              <w:t>事業依</w:t>
            </w:r>
            <w:r>
              <w:rPr>
                <w:rFonts w:ascii="標楷體" w:eastAsia="標楷體" w:hAnsi="標楷體" w:cs="細明體" w:hint="eastAsia"/>
                <w:kern w:val="0"/>
              </w:rPr>
              <w:t>證券投資信託基金管理辦法</w:t>
            </w:r>
            <w:r>
              <w:rPr>
                <w:rFonts w:ascii="標楷體" w:eastAsia="標楷體" w:hAnsi="標楷體" w:hint="eastAsia"/>
                <w:szCs w:val="24"/>
              </w:rPr>
              <w:t>募集</w:t>
            </w:r>
            <w:r>
              <w:rPr>
                <w:rFonts w:ascii="標楷體" w:eastAsia="標楷體" w:hAnsi="標楷體" w:cs="細明體" w:hint="eastAsia"/>
                <w:kern w:val="0"/>
              </w:rPr>
              <w:t>指數股票型基金</w:t>
            </w:r>
            <w:r>
              <w:rPr>
                <w:rFonts w:ascii="標楷體" w:eastAsia="標楷體" w:hAnsi="標楷體" w:hint="eastAsia"/>
                <w:szCs w:val="24"/>
              </w:rPr>
              <w:t>（Exchange Traded Fund，簡稱ETF）所發行之下列受益憑證：</w:t>
            </w:r>
          </w:p>
          <w:p w:rsidR="000405B6" w:rsidRDefault="000405B6">
            <w:pPr>
              <w:ind w:leftChars="100" w:left="720" w:hangingChars="200" w:hanging="480"/>
              <w:jc w:val="both"/>
              <w:rPr>
                <w:rFonts w:ascii="標楷體" w:eastAsia="標楷體" w:hAnsi="標楷體"/>
                <w:szCs w:val="24"/>
              </w:rPr>
            </w:pPr>
          </w:p>
          <w:p w:rsidR="000405B6" w:rsidRDefault="000405B6">
            <w:pPr>
              <w:ind w:leftChars="100" w:left="720" w:hangingChars="200" w:hanging="480"/>
              <w:jc w:val="both"/>
              <w:rPr>
                <w:rFonts w:ascii="標楷體" w:eastAsia="標楷體" w:hAnsi="標楷體"/>
                <w:szCs w:val="24"/>
              </w:rPr>
            </w:pPr>
          </w:p>
          <w:p w:rsidR="000405B6" w:rsidRDefault="000405B6">
            <w:pPr>
              <w:ind w:leftChars="100" w:left="720" w:hangingChars="200" w:hanging="480"/>
              <w:jc w:val="both"/>
              <w:rPr>
                <w:rFonts w:ascii="標楷體" w:eastAsia="標楷體" w:hAnsi="標楷體"/>
                <w:szCs w:val="24"/>
              </w:rPr>
            </w:pPr>
          </w:p>
          <w:p w:rsidR="000405B6" w:rsidRDefault="000405B6">
            <w:pPr>
              <w:ind w:leftChars="100" w:left="720" w:hangingChars="200" w:hanging="480"/>
              <w:jc w:val="both"/>
              <w:rPr>
                <w:rFonts w:ascii="標楷體" w:eastAsia="標楷體" w:hAnsi="標楷體"/>
                <w:szCs w:val="24"/>
              </w:rPr>
            </w:pPr>
          </w:p>
          <w:p w:rsidR="000405B6" w:rsidRDefault="000405B6">
            <w:pPr>
              <w:ind w:leftChars="100" w:left="720" w:hangingChars="200" w:hanging="480"/>
              <w:jc w:val="both"/>
              <w:rPr>
                <w:rFonts w:ascii="標楷體" w:eastAsia="標楷體" w:hAnsi="標楷體"/>
                <w:szCs w:val="24"/>
              </w:rPr>
            </w:pPr>
          </w:p>
          <w:p w:rsidR="000405B6" w:rsidRDefault="000405B6">
            <w:pPr>
              <w:ind w:leftChars="100" w:left="720" w:hangingChars="200" w:hanging="480"/>
              <w:jc w:val="both"/>
              <w:rPr>
                <w:rFonts w:ascii="標楷體" w:eastAsia="標楷體" w:hAnsi="標楷體"/>
                <w:szCs w:val="24"/>
              </w:rPr>
            </w:pPr>
          </w:p>
          <w:p w:rsidR="000405B6" w:rsidRDefault="000405B6">
            <w:pPr>
              <w:ind w:leftChars="100" w:left="720" w:hangingChars="200" w:hanging="480"/>
              <w:jc w:val="both"/>
              <w:rPr>
                <w:rFonts w:ascii="標楷體" w:eastAsia="標楷體" w:hAnsi="標楷體"/>
                <w:szCs w:val="24"/>
              </w:rPr>
            </w:pPr>
          </w:p>
          <w:p w:rsidR="000405B6" w:rsidRDefault="000405B6">
            <w:pPr>
              <w:ind w:leftChars="100" w:left="720" w:hangingChars="200" w:hanging="480"/>
              <w:jc w:val="both"/>
              <w:rPr>
                <w:rFonts w:ascii="標楷體" w:eastAsia="標楷體" w:hAnsi="標楷體"/>
                <w:szCs w:val="24"/>
              </w:rPr>
            </w:pPr>
          </w:p>
          <w:p w:rsidR="000405B6" w:rsidRDefault="000405B6">
            <w:pPr>
              <w:ind w:leftChars="100" w:left="720" w:hangingChars="200" w:hanging="480"/>
              <w:jc w:val="both"/>
              <w:rPr>
                <w:rFonts w:ascii="標楷體" w:eastAsia="標楷體" w:hAnsi="標楷體"/>
                <w:szCs w:val="24"/>
              </w:rPr>
            </w:pPr>
          </w:p>
          <w:p w:rsidR="000405B6" w:rsidRPr="000D6299" w:rsidRDefault="000D6299" w:rsidP="000D6299">
            <w:pPr>
              <w:tabs>
                <w:tab w:val="left" w:pos="737"/>
              </w:tabs>
              <w:ind w:leftChars="100" w:left="720" w:hangingChars="200" w:hanging="480"/>
              <w:jc w:val="both"/>
              <w:rPr>
                <w:rFonts w:ascii="標楷體" w:eastAsia="標楷體" w:hAnsi="標楷體"/>
                <w:szCs w:val="24"/>
              </w:rPr>
            </w:pPr>
            <w:r>
              <w:rPr>
                <w:rFonts w:ascii="標楷體" w:eastAsia="標楷體" w:hAnsi="標楷體" w:hint="eastAsia"/>
                <w:szCs w:val="24"/>
              </w:rPr>
              <w:t>一、</w:t>
            </w:r>
            <w:r>
              <w:rPr>
                <w:rFonts w:ascii="標楷體" w:eastAsia="標楷體" w:hAnsi="標楷體"/>
                <w:szCs w:val="24"/>
              </w:rPr>
              <w:tab/>
            </w:r>
            <w:r w:rsidR="000405B6" w:rsidRPr="000D6299">
              <w:rPr>
                <w:rFonts w:ascii="標楷體" w:eastAsia="標楷體" w:hAnsi="標楷體" w:hint="eastAsia"/>
                <w:szCs w:val="24"/>
              </w:rPr>
              <w:t>國內成分證券指數股票型基金：指該基金之標的指數成分證券全部為國內有價證券者。</w:t>
            </w:r>
          </w:p>
          <w:p w:rsidR="000405B6" w:rsidRDefault="000405B6">
            <w:pPr>
              <w:ind w:leftChars="100" w:left="720" w:hangingChars="200" w:hanging="480"/>
              <w:jc w:val="both"/>
              <w:rPr>
                <w:rFonts w:ascii="標楷體" w:eastAsia="標楷體" w:hAnsi="標楷體"/>
                <w:szCs w:val="24"/>
              </w:rPr>
            </w:pPr>
          </w:p>
          <w:p w:rsidR="000405B6" w:rsidRPr="000D6299" w:rsidRDefault="000405B6" w:rsidP="00D47379">
            <w:pPr>
              <w:pStyle w:val="a4"/>
              <w:numPr>
                <w:ilvl w:val="0"/>
                <w:numId w:val="5"/>
              </w:numPr>
              <w:tabs>
                <w:tab w:val="left" w:pos="737"/>
              </w:tabs>
              <w:ind w:leftChars="0"/>
              <w:jc w:val="both"/>
              <w:rPr>
                <w:rFonts w:ascii="標楷體" w:eastAsia="標楷體" w:hAnsi="標楷體"/>
                <w:szCs w:val="24"/>
              </w:rPr>
            </w:pPr>
            <w:r w:rsidRPr="000D6299">
              <w:rPr>
                <w:rFonts w:ascii="標楷體" w:eastAsia="標楷體" w:hAnsi="標楷體" w:hint="eastAsia"/>
                <w:szCs w:val="24"/>
              </w:rPr>
              <w:t>國外成分證券指數股票型基金：指該基金之標的指數成分證券含一種以上國外有價證券者。</w:t>
            </w:r>
          </w:p>
          <w:p w:rsidR="000405B6" w:rsidRDefault="000405B6" w:rsidP="000D6299">
            <w:pPr>
              <w:tabs>
                <w:tab w:val="left" w:pos="737"/>
              </w:tabs>
              <w:ind w:leftChars="100" w:left="720" w:hangingChars="200" w:hanging="480"/>
              <w:jc w:val="both"/>
              <w:rPr>
                <w:rFonts w:ascii="標楷體" w:eastAsia="標楷體" w:hAnsi="標楷體"/>
                <w:szCs w:val="24"/>
              </w:rPr>
            </w:pPr>
          </w:p>
          <w:p w:rsidR="005F5E68" w:rsidRPr="005F5E68" w:rsidRDefault="005F5E68" w:rsidP="000D6299">
            <w:pPr>
              <w:tabs>
                <w:tab w:val="left" w:pos="737"/>
              </w:tabs>
              <w:ind w:leftChars="100" w:left="720" w:hangingChars="200" w:hanging="480"/>
              <w:jc w:val="both"/>
              <w:rPr>
                <w:rFonts w:ascii="標楷體" w:eastAsia="標楷體" w:hAnsi="標楷體"/>
                <w:szCs w:val="24"/>
              </w:rPr>
            </w:pPr>
          </w:p>
          <w:p w:rsidR="000405B6" w:rsidRDefault="000D6299" w:rsidP="000D6299">
            <w:pPr>
              <w:tabs>
                <w:tab w:val="left" w:pos="737"/>
              </w:tabs>
              <w:ind w:leftChars="100" w:left="720" w:hangingChars="200" w:hanging="480"/>
              <w:jc w:val="both"/>
              <w:rPr>
                <w:rFonts w:ascii="標楷體" w:eastAsia="標楷體" w:hAnsi="標楷體"/>
                <w:szCs w:val="24"/>
              </w:rPr>
            </w:pPr>
            <w:r>
              <w:rPr>
                <w:rFonts w:ascii="標楷體" w:eastAsia="標楷體" w:hAnsi="標楷體" w:hint="eastAsia"/>
                <w:szCs w:val="24"/>
              </w:rPr>
              <w:t>三、</w:t>
            </w:r>
            <w:r w:rsidR="000405B6">
              <w:rPr>
                <w:rFonts w:ascii="標楷體" w:eastAsia="標楷體" w:hAnsi="標楷體" w:hint="eastAsia"/>
                <w:szCs w:val="24"/>
              </w:rPr>
              <w:t>槓桿反向指數股票型基金：指該基金以追蹤、模擬或複製標的指數之正向倍數（簡稱槓桿型 ETF）或反向倍數（簡稱反向型 ETF）表現者。</w:t>
            </w:r>
          </w:p>
          <w:p w:rsidR="000405B6" w:rsidRDefault="000405B6">
            <w:pPr>
              <w:ind w:leftChars="100" w:left="720" w:hangingChars="200" w:hanging="480"/>
              <w:jc w:val="both"/>
              <w:rPr>
                <w:rFonts w:ascii="標楷體" w:eastAsia="標楷體" w:hAnsi="標楷體" w:cs="細明體"/>
                <w:color w:val="FF0000"/>
                <w:kern w:val="0"/>
                <w:u w:val="single"/>
              </w:rPr>
            </w:pPr>
          </w:p>
          <w:p w:rsidR="000D6299" w:rsidRDefault="000D6299">
            <w:pPr>
              <w:ind w:leftChars="100" w:left="720" w:hangingChars="200" w:hanging="480"/>
              <w:jc w:val="both"/>
              <w:rPr>
                <w:rFonts w:ascii="標楷體" w:eastAsia="標楷體" w:hAnsi="標楷體" w:cs="細明體"/>
                <w:color w:val="FF0000"/>
                <w:kern w:val="0"/>
                <w:u w:val="single"/>
              </w:rPr>
            </w:pPr>
          </w:p>
          <w:p w:rsidR="000405B6" w:rsidRPr="000405B6" w:rsidRDefault="000405B6">
            <w:pPr>
              <w:ind w:leftChars="100" w:left="720" w:hangingChars="200" w:hanging="480"/>
              <w:jc w:val="center"/>
              <w:rPr>
                <w:rFonts w:ascii="標楷體" w:eastAsia="標楷體" w:hAnsi="標楷體" w:cs="細明體"/>
                <w:color w:val="FF0000"/>
                <w:kern w:val="0"/>
              </w:rPr>
            </w:pPr>
            <w:r w:rsidRPr="000405B6">
              <w:rPr>
                <w:rFonts w:ascii="標楷體" w:eastAsia="標楷體" w:hAnsi="標楷體" w:cs="細明體" w:hint="eastAsia"/>
                <w:color w:val="FF0000"/>
                <w:kern w:val="0"/>
              </w:rPr>
              <w:t>（本款新增）</w:t>
            </w:r>
          </w:p>
          <w:p w:rsidR="000405B6" w:rsidRDefault="000405B6">
            <w:pPr>
              <w:ind w:leftChars="100" w:left="720" w:hangingChars="200" w:hanging="480"/>
              <w:jc w:val="both"/>
              <w:rPr>
                <w:rFonts w:ascii="標楷體" w:eastAsia="標楷體" w:hAnsi="標楷體" w:cs="細明體"/>
                <w:color w:val="FF0000"/>
                <w:kern w:val="0"/>
                <w:u w:val="single"/>
              </w:rPr>
            </w:pPr>
          </w:p>
        </w:tc>
        <w:tc>
          <w:tcPr>
            <w:tcW w:w="3276" w:type="dxa"/>
          </w:tcPr>
          <w:p w:rsidR="000405B6" w:rsidRDefault="000405B6" w:rsidP="0026126C">
            <w:pPr>
              <w:pStyle w:val="af3"/>
              <w:tabs>
                <w:tab w:val="left" w:pos="490"/>
              </w:tabs>
              <w:kinsoku w:val="0"/>
              <w:overflowPunct w:val="0"/>
              <w:autoSpaceDE w:val="0"/>
              <w:autoSpaceDN w:val="0"/>
              <w:adjustRightInd w:val="0"/>
              <w:ind w:left="480" w:hangingChars="200" w:hanging="480"/>
              <w:rPr>
                <w:color w:val="000000"/>
                <w:sz w:val="24"/>
              </w:rPr>
            </w:pPr>
            <w:r>
              <w:rPr>
                <w:rFonts w:hint="eastAsia"/>
                <w:color w:val="000000"/>
                <w:sz w:val="24"/>
              </w:rPr>
              <w:lastRenderedPageBreak/>
              <w:t>一、</w:t>
            </w:r>
            <w:r w:rsidR="0026126C">
              <w:rPr>
                <w:color w:val="000000"/>
                <w:sz w:val="24"/>
              </w:rPr>
              <w:tab/>
            </w:r>
            <w:r>
              <w:rPr>
                <w:rFonts w:hint="eastAsia"/>
                <w:color w:val="000000"/>
                <w:sz w:val="24"/>
              </w:rPr>
              <w:t>明定本辦法所稱之指數股票型基金受益憑證包括期貨信託事業依期貨信託基金管理辦法募集之指數股票型基金，</w:t>
            </w:r>
            <w:proofErr w:type="gramStart"/>
            <w:r>
              <w:rPr>
                <w:rFonts w:hint="eastAsia"/>
                <w:color w:val="000000"/>
                <w:sz w:val="24"/>
              </w:rPr>
              <w:t>爰</w:t>
            </w:r>
            <w:proofErr w:type="gramEnd"/>
            <w:r>
              <w:rPr>
                <w:rFonts w:hint="eastAsia"/>
                <w:color w:val="000000"/>
                <w:sz w:val="24"/>
              </w:rPr>
              <w:t>修正第2項之規定。</w:t>
            </w:r>
          </w:p>
          <w:p w:rsidR="000405B6" w:rsidRDefault="000405B6" w:rsidP="0026126C">
            <w:pPr>
              <w:pStyle w:val="af3"/>
              <w:tabs>
                <w:tab w:val="left" w:pos="490"/>
              </w:tabs>
              <w:kinsoku w:val="0"/>
              <w:overflowPunct w:val="0"/>
              <w:autoSpaceDE w:val="0"/>
              <w:autoSpaceDN w:val="0"/>
              <w:adjustRightInd w:val="0"/>
              <w:ind w:left="480" w:hangingChars="200" w:hanging="480"/>
              <w:rPr>
                <w:color w:val="000000"/>
                <w:sz w:val="24"/>
              </w:rPr>
            </w:pPr>
            <w:r>
              <w:rPr>
                <w:rFonts w:hint="eastAsia"/>
                <w:color w:val="000000"/>
                <w:sz w:val="24"/>
              </w:rPr>
              <w:t>二、</w:t>
            </w:r>
            <w:r w:rsidR="0026126C">
              <w:rPr>
                <w:color w:val="000000"/>
                <w:sz w:val="24"/>
              </w:rPr>
              <w:tab/>
            </w:r>
            <w:r>
              <w:rPr>
                <w:rFonts w:hint="eastAsia"/>
                <w:color w:val="000000"/>
                <w:sz w:val="24"/>
              </w:rPr>
              <w:t>另為明確區分證券投資信託事業及期貨信託事業所募集發行之指數股票型基金，第2項第1款至第3款調整為第2項第1款第1目至第3目，並增訂第2項第2款有關期貨信託事業募集發行之指數股票型基金受益憑證之規定。</w:t>
            </w:r>
          </w:p>
          <w:p w:rsidR="000405B6" w:rsidRDefault="000405B6">
            <w:pPr>
              <w:pStyle w:val="af3"/>
              <w:tabs>
                <w:tab w:val="left" w:pos="551"/>
              </w:tabs>
              <w:kinsoku w:val="0"/>
              <w:overflowPunct w:val="0"/>
              <w:autoSpaceDE w:val="0"/>
              <w:autoSpaceDN w:val="0"/>
              <w:adjustRightInd w:val="0"/>
              <w:rPr>
                <w:color w:val="000000"/>
                <w:sz w:val="24"/>
              </w:rPr>
            </w:pPr>
          </w:p>
        </w:tc>
      </w:tr>
      <w:tr w:rsidR="000405B6" w:rsidTr="000405B6">
        <w:tc>
          <w:tcPr>
            <w:tcW w:w="3285" w:type="dxa"/>
          </w:tcPr>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Pr>
                <w:rFonts w:ascii="標楷體" w:eastAsia="標楷體" w:hAnsi="標楷體" w:cs="細明體" w:hint="eastAsia"/>
                <w:kern w:val="0"/>
              </w:rPr>
              <w:t>第三條　於本中心上櫃買賣之指數股票型基金受益憑證，委由證券集中保管事業辦理帳簿劃撥給付結算，且委託人不得申請領回該受益憑證。</w:t>
            </w:r>
          </w:p>
          <w:p w:rsidR="000405B6" w:rsidRDefault="000405B6">
            <w:pPr>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rPr>
              <w:t>委託人買賣</w:t>
            </w:r>
            <w:r>
              <w:rPr>
                <w:rFonts w:ascii="標楷體" w:eastAsia="標楷體" w:hAnsi="標楷體" w:cs="細明體" w:hint="eastAsia"/>
                <w:color w:val="FF0000"/>
                <w:kern w:val="0"/>
                <w:u w:val="single"/>
              </w:rPr>
              <w:t>指數股票型期貨信託基金</w:t>
            </w:r>
            <w:r w:rsidR="00FF104D">
              <w:rPr>
                <w:rFonts w:ascii="標楷體" w:eastAsia="標楷體" w:hAnsi="標楷體" w:cs="細明體" w:hint="eastAsia"/>
                <w:color w:val="FF0000"/>
                <w:kern w:val="0"/>
                <w:u w:val="single"/>
              </w:rPr>
              <w:t>（含槓桿反向指數股票型期貨信託基金）</w:t>
            </w:r>
            <w:r>
              <w:rPr>
                <w:rFonts w:ascii="標楷體" w:eastAsia="標楷體" w:hAnsi="標楷體" w:cs="細明體" w:hint="eastAsia"/>
                <w:color w:val="FF0000"/>
                <w:kern w:val="0"/>
                <w:u w:val="single"/>
              </w:rPr>
              <w:t>、</w:t>
            </w:r>
            <w:r>
              <w:rPr>
                <w:rFonts w:ascii="標楷體" w:eastAsia="標楷體" w:hAnsi="標楷體" w:cs="細明體" w:hint="eastAsia"/>
                <w:kern w:val="0"/>
              </w:rPr>
              <w:t>槓桿反向指數股票型</w:t>
            </w:r>
            <w:r>
              <w:rPr>
                <w:rFonts w:ascii="標楷體" w:eastAsia="標楷體" w:hAnsi="標楷體" w:cs="細明體" w:hint="eastAsia"/>
                <w:color w:val="FF0000"/>
                <w:kern w:val="0"/>
                <w:u w:val="single"/>
              </w:rPr>
              <w:t>證券投資信託</w:t>
            </w:r>
            <w:r>
              <w:rPr>
                <w:rFonts w:ascii="標楷體" w:eastAsia="標楷體" w:hAnsi="標楷體" w:cs="細明體" w:hint="eastAsia"/>
                <w:kern w:val="0"/>
              </w:rPr>
              <w:t>基金及高收益債券指數股票型</w:t>
            </w:r>
            <w:r>
              <w:rPr>
                <w:rFonts w:ascii="標楷體" w:eastAsia="標楷體" w:hAnsi="標楷體" w:cs="細明體" w:hint="eastAsia"/>
                <w:color w:val="FF0000"/>
                <w:kern w:val="0"/>
                <w:u w:val="single"/>
              </w:rPr>
              <w:t>證券投資信託</w:t>
            </w:r>
            <w:r>
              <w:rPr>
                <w:rFonts w:ascii="標楷體" w:eastAsia="標楷體" w:hAnsi="標楷體" w:cs="細明體" w:hint="eastAsia"/>
                <w:kern w:val="0"/>
              </w:rPr>
              <w:t>基金受益憑證時，應簽具風險預告書，證券商始得接受其委託。但專業機構投資人、證券投資信託事業所經理之私募證券投資信託基金、期貨信託事業對符合一定資格條件之人募集之期貨信託基金、證券投資信託事業或證券投資顧問事業或證券經紀商兼營證券投資顧問事業所經理之全權委託投資帳戶及期貨經理事業所經理之全權委託投資帳戶得免簽具風險預告書。</w:t>
            </w:r>
          </w:p>
          <w:p w:rsidR="000405B6" w:rsidRDefault="000405B6">
            <w:pPr>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rPr>
              <w:t>前項所稱專業機構投資人，係指境外結構型商品管理</w:t>
            </w:r>
            <w:r>
              <w:rPr>
                <w:rFonts w:ascii="標楷體" w:eastAsia="標楷體" w:hAnsi="標楷體" w:cs="細明體" w:hint="eastAsia"/>
                <w:kern w:val="0"/>
              </w:rPr>
              <w:lastRenderedPageBreak/>
              <w:t>規則所定之專業機構投資人。</w:t>
            </w:r>
          </w:p>
          <w:p w:rsidR="000405B6" w:rsidRDefault="000405B6">
            <w:pPr>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rPr>
              <w:t>第二項風險預告書應行記載事項，由本中心另訂之。</w:t>
            </w:r>
          </w:p>
        </w:tc>
        <w:tc>
          <w:tcPr>
            <w:tcW w:w="3289" w:type="dxa"/>
          </w:tcPr>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Pr>
                <w:rFonts w:ascii="標楷體" w:eastAsia="標楷體" w:hAnsi="標楷體" w:cs="細明體" w:hint="eastAsia"/>
                <w:kern w:val="0"/>
              </w:rPr>
              <w:lastRenderedPageBreak/>
              <w:t>第三條　於本中心上櫃買賣之指數股票型基金受益憑證，委由證券集中保管事業辦理帳簿劃撥給付結算，且委託人不得申請領回該受益憑證。</w:t>
            </w:r>
          </w:p>
          <w:p w:rsidR="000405B6" w:rsidRDefault="000405B6">
            <w:pPr>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rPr>
              <w:t>委託人買賣槓桿反向指數股票型基金及高收益債券指數股票型基金受益憑證時，應簽具風險預告書，證券商始得接受其委託。但專業機構投資人、證券投資信託事業所經理之私募證券投資信託基金、期貨信託事業對符合一定資格條件之人募集之期貨信託基金、證券投資信託事業或證券投資顧問事業或證券經紀商兼營證券投資顧問事業所經理之全權委託投資帳戶及期貨經理事業所經理之全權委託投資帳戶得免簽具風險預告書。</w:t>
            </w:r>
          </w:p>
          <w:p w:rsidR="000405B6" w:rsidRDefault="000405B6">
            <w:pPr>
              <w:ind w:leftChars="100" w:left="240" w:firstLineChars="200" w:firstLine="480"/>
              <w:jc w:val="both"/>
              <w:rPr>
                <w:rFonts w:ascii="標楷體" w:eastAsia="標楷體" w:hAnsi="標楷體" w:cs="細明體"/>
                <w:kern w:val="0"/>
              </w:rPr>
            </w:pPr>
          </w:p>
          <w:p w:rsidR="000405B6" w:rsidRDefault="000405B6">
            <w:pPr>
              <w:ind w:leftChars="100" w:left="240" w:firstLineChars="200" w:firstLine="480"/>
              <w:jc w:val="both"/>
              <w:rPr>
                <w:rFonts w:ascii="標楷體" w:eastAsia="標楷體" w:hAnsi="標楷體" w:cs="細明體"/>
                <w:kern w:val="0"/>
              </w:rPr>
            </w:pPr>
          </w:p>
          <w:p w:rsidR="00FF2F24" w:rsidRDefault="00FF2F24">
            <w:pPr>
              <w:ind w:leftChars="100" w:left="240" w:firstLineChars="200" w:firstLine="480"/>
              <w:jc w:val="both"/>
              <w:rPr>
                <w:rFonts w:ascii="標楷體" w:eastAsia="標楷體" w:hAnsi="標楷體" w:cs="細明體"/>
                <w:kern w:val="0"/>
              </w:rPr>
            </w:pPr>
          </w:p>
          <w:p w:rsidR="000405B6" w:rsidRDefault="000405B6">
            <w:pPr>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rPr>
              <w:t>前項所稱專業機構投資人，係指境外結構型商品管理</w:t>
            </w:r>
            <w:r>
              <w:rPr>
                <w:rFonts w:ascii="標楷體" w:eastAsia="標楷體" w:hAnsi="標楷體" w:cs="細明體" w:hint="eastAsia"/>
                <w:kern w:val="0"/>
              </w:rPr>
              <w:lastRenderedPageBreak/>
              <w:t>規則所定之專業機構投資人。</w:t>
            </w:r>
          </w:p>
          <w:p w:rsidR="000405B6" w:rsidRDefault="000405B6">
            <w:pPr>
              <w:ind w:leftChars="100" w:left="240" w:firstLineChars="200" w:firstLine="480"/>
              <w:jc w:val="both"/>
              <w:rPr>
                <w:rFonts w:ascii="標楷體" w:eastAsia="標楷體" w:hAnsi="標楷體" w:cs="細明體"/>
                <w:color w:val="FF0000"/>
                <w:kern w:val="0"/>
                <w:u w:val="single"/>
              </w:rPr>
            </w:pPr>
            <w:r>
              <w:rPr>
                <w:rFonts w:ascii="標楷體" w:eastAsia="標楷體" w:hAnsi="標楷體" w:cs="細明體" w:hint="eastAsia"/>
                <w:kern w:val="0"/>
              </w:rPr>
              <w:t>第二項風險預告書應行記載事項，由本中心另訂之。</w:t>
            </w:r>
          </w:p>
        </w:tc>
        <w:tc>
          <w:tcPr>
            <w:tcW w:w="3276" w:type="dxa"/>
            <w:hideMark/>
          </w:tcPr>
          <w:p w:rsidR="000405B6" w:rsidRDefault="000405B6">
            <w:pPr>
              <w:pStyle w:val="af3"/>
              <w:tabs>
                <w:tab w:val="left" w:pos="551"/>
              </w:tabs>
              <w:kinsoku w:val="0"/>
              <w:overflowPunct w:val="0"/>
              <w:autoSpaceDE w:val="0"/>
              <w:autoSpaceDN w:val="0"/>
              <w:adjustRightInd w:val="0"/>
              <w:rPr>
                <w:rFonts w:ascii="Calibri" w:hAnsi="Calibri"/>
                <w:color w:val="000000"/>
                <w:sz w:val="24"/>
              </w:rPr>
            </w:pPr>
            <w:r>
              <w:rPr>
                <w:rFonts w:ascii="Calibri" w:hAnsi="Calibri" w:hint="eastAsia"/>
                <w:color w:val="000000"/>
                <w:sz w:val="24"/>
              </w:rPr>
              <w:lastRenderedPageBreak/>
              <w:t>明定投資人買賣指數股票型期貨信託基金受益憑證應簽署風險預告書後，始得委託證券商買賣，</w:t>
            </w:r>
            <w:proofErr w:type="gramStart"/>
            <w:r>
              <w:rPr>
                <w:rFonts w:ascii="Calibri" w:hAnsi="Calibri" w:hint="eastAsia"/>
                <w:color w:val="000000"/>
                <w:sz w:val="24"/>
              </w:rPr>
              <w:t>爰</w:t>
            </w:r>
            <w:proofErr w:type="gramEnd"/>
            <w:r>
              <w:rPr>
                <w:rFonts w:ascii="Calibri" w:hAnsi="Calibri" w:hint="eastAsia"/>
                <w:color w:val="000000"/>
                <w:sz w:val="24"/>
              </w:rPr>
              <w:t>修正第</w:t>
            </w:r>
            <w:r>
              <w:rPr>
                <w:rFonts w:ascii="Calibri" w:hAnsi="Calibri"/>
                <w:color w:val="000000"/>
                <w:sz w:val="24"/>
              </w:rPr>
              <w:t>2</w:t>
            </w:r>
            <w:r>
              <w:rPr>
                <w:rFonts w:ascii="Calibri" w:hAnsi="Calibri" w:hint="eastAsia"/>
                <w:color w:val="000000"/>
                <w:sz w:val="24"/>
              </w:rPr>
              <w:t>項之規定。</w:t>
            </w:r>
          </w:p>
        </w:tc>
      </w:tr>
      <w:tr w:rsidR="000405B6" w:rsidTr="000405B6">
        <w:tc>
          <w:tcPr>
            <w:tcW w:w="3285" w:type="dxa"/>
            <w:hideMark/>
          </w:tcPr>
          <w:p w:rsidR="000405B6" w:rsidRDefault="005F5E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Pr>
                <w:rFonts w:ascii="標楷體" w:eastAsia="標楷體" w:hAnsi="標楷體" w:cs="細明體" w:hint="eastAsia"/>
                <w:kern w:val="0"/>
              </w:rPr>
              <w:t>第</w:t>
            </w:r>
            <w:r w:rsidRPr="005F5E68">
              <w:rPr>
                <w:rFonts w:ascii="標楷體" w:eastAsia="標楷體" w:hAnsi="標楷體" w:cs="細明體" w:hint="eastAsia"/>
                <w:kern w:val="0"/>
              </w:rPr>
              <w:t>三</w:t>
            </w:r>
            <w:r>
              <w:rPr>
                <w:rFonts w:ascii="標楷體" w:eastAsia="標楷體" w:hAnsi="標楷體" w:cs="細明體" w:hint="eastAsia"/>
                <w:kern w:val="0"/>
              </w:rPr>
              <w:t>條</w:t>
            </w:r>
            <w:r w:rsidRPr="005F5E68">
              <w:rPr>
                <w:rFonts w:ascii="標楷體" w:eastAsia="標楷體" w:hAnsi="標楷體" w:cs="細明體" w:hint="eastAsia"/>
                <w:kern w:val="0"/>
              </w:rPr>
              <w:t>之</w:t>
            </w:r>
            <w:proofErr w:type="gramStart"/>
            <w:r w:rsidRPr="005F5E68">
              <w:rPr>
                <w:rFonts w:ascii="標楷體" w:eastAsia="標楷體" w:hAnsi="標楷體" w:cs="細明體" w:hint="eastAsia"/>
                <w:kern w:val="0"/>
              </w:rPr>
              <w:t>一</w:t>
            </w:r>
            <w:proofErr w:type="gramEnd"/>
            <w:r w:rsidR="000405B6">
              <w:rPr>
                <w:rFonts w:ascii="標楷體" w:eastAsia="標楷體" w:hAnsi="標楷體" w:cs="細明體" w:hint="eastAsia"/>
                <w:kern w:val="0"/>
              </w:rPr>
              <w:t xml:space="preserve">　委託人首次買賣槓桿反向指數股票型</w:t>
            </w:r>
            <w:r w:rsidR="000405B6">
              <w:rPr>
                <w:rFonts w:ascii="標楷體" w:eastAsia="標楷體" w:hAnsi="標楷體" w:cs="細明體" w:hint="eastAsia"/>
                <w:color w:val="FF0000"/>
                <w:kern w:val="0"/>
                <w:u w:val="single"/>
              </w:rPr>
              <w:t>證券投資信託</w:t>
            </w:r>
            <w:r w:rsidR="000405B6">
              <w:rPr>
                <w:rFonts w:ascii="標楷體" w:eastAsia="標楷體" w:hAnsi="標楷體" w:cs="細明體" w:hint="eastAsia"/>
                <w:kern w:val="0"/>
              </w:rPr>
              <w:t>基金受益憑證</w:t>
            </w:r>
            <w:r w:rsidR="000405B6">
              <w:rPr>
                <w:rFonts w:ascii="標楷體" w:eastAsia="標楷體" w:hAnsi="標楷體" w:cs="細明體" w:hint="eastAsia"/>
                <w:color w:val="FF0000"/>
                <w:kern w:val="0"/>
                <w:u w:val="single"/>
              </w:rPr>
              <w:t>及槓桿反向指數股票型期貨信託基金受益憑證</w:t>
            </w:r>
            <w:r w:rsidR="000405B6">
              <w:rPr>
                <w:rFonts w:ascii="標楷體" w:eastAsia="標楷體" w:hAnsi="標楷體" w:cs="細明體" w:hint="eastAsia"/>
                <w:kern w:val="0"/>
              </w:rPr>
              <w:t>時，應具備下列條件之</w:t>
            </w:r>
            <w:proofErr w:type="gramStart"/>
            <w:r w:rsidR="000405B6">
              <w:rPr>
                <w:rFonts w:ascii="標楷體" w:eastAsia="標楷體" w:hAnsi="標楷體" w:cs="細明體" w:hint="eastAsia"/>
                <w:kern w:val="0"/>
              </w:rPr>
              <w:t>一</w:t>
            </w:r>
            <w:proofErr w:type="gramEnd"/>
            <w:r w:rsidR="000405B6">
              <w:rPr>
                <w:rFonts w:ascii="標楷體" w:eastAsia="標楷體" w:hAnsi="標楷體" w:cs="細明體" w:hint="eastAsia"/>
                <w:kern w:val="0"/>
              </w:rPr>
              <w:t>：</w:t>
            </w:r>
          </w:p>
          <w:p w:rsidR="000405B6" w:rsidRDefault="000405B6" w:rsidP="000D6299">
            <w:pPr>
              <w:tabs>
                <w:tab w:val="left" w:pos="723"/>
              </w:tabs>
              <w:ind w:leftChars="100" w:left="720" w:hangingChars="200" w:hanging="480"/>
              <w:jc w:val="both"/>
              <w:rPr>
                <w:rFonts w:ascii="標楷體" w:eastAsia="標楷體" w:hAnsi="標楷體" w:cs="細明體"/>
                <w:kern w:val="0"/>
              </w:rPr>
            </w:pPr>
            <w:r>
              <w:rPr>
                <w:rFonts w:ascii="標楷體" w:eastAsia="標楷體" w:hAnsi="標楷體" w:cs="細明體" w:hint="eastAsia"/>
                <w:kern w:val="0"/>
              </w:rPr>
              <w:t>一、</w:t>
            </w:r>
            <w:r w:rsidR="000D6299">
              <w:rPr>
                <w:rFonts w:ascii="標楷體" w:eastAsia="標楷體" w:hAnsi="標楷體" w:cs="細明體"/>
                <w:kern w:val="0"/>
              </w:rPr>
              <w:tab/>
            </w:r>
            <w:r>
              <w:rPr>
                <w:rFonts w:ascii="標楷體" w:eastAsia="標楷體" w:hAnsi="標楷體" w:cs="細明體" w:hint="eastAsia"/>
                <w:kern w:val="0"/>
              </w:rPr>
              <w:t>已開立信用交易帳戶。</w:t>
            </w:r>
          </w:p>
          <w:p w:rsidR="000405B6" w:rsidRDefault="000405B6" w:rsidP="000D6299">
            <w:pPr>
              <w:tabs>
                <w:tab w:val="left" w:pos="723"/>
              </w:tabs>
              <w:ind w:leftChars="100" w:left="720" w:hangingChars="200" w:hanging="480"/>
              <w:jc w:val="both"/>
              <w:rPr>
                <w:rFonts w:ascii="標楷體" w:eastAsia="標楷體" w:hAnsi="標楷體" w:cs="細明體"/>
                <w:kern w:val="0"/>
              </w:rPr>
            </w:pPr>
            <w:r>
              <w:rPr>
                <w:rFonts w:ascii="標楷體" w:eastAsia="標楷體" w:hAnsi="標楷體" w:cs="細明體" w:hint="eastAsia"/>
                <w:kern w:val="0"/>
              </w:rPr>
              <w:t>二、</w:t>
            </w:r>
            <w:r w:rsidR="000D6299">
              <w:rPr>
                <w:rFonts w:ascii="標楷體" w:eastAsia="標楷體" w:hAnsi="標楷體" w:cs="細明體"/>
                <w:kern w:val="0"/>
              </w:rPr>
              <w:tab/>
            </w:r>
            <w:r>
              <w:rPr>
                <w:rFonts w:ascii="標楷體" w:eastAsia="標楷體" w:hAnsi="標楷體" w:cs="細明體" w:hint="eastAsia"/>
                <w:kern w:val="0"/>
              </w:rPr>
              <w:t>最近</w:t>
            </w:r>
            <w:proofErr w:type="gramStart"/>
            <w:r>
              <w:rPr>
                <w:rFonts w:ascii="標楷體" w:eastAsia="標楷體" w:hAnsi="標楷體" w:cs="細明體" w:hint="eastAsia"/>
                <w:kern w:val="0"/>
              </w:rPr>
              <w:t>一</w:t>
            </w:r>
            <w:proofErr w:type="gramEnd"/>
            <w:r>
              <w:rPr>
                <w:rFonts w:ascii="標楷體" w:eastAsia="標楷體" w:hAnsi="標楷體" w:cs="細明體" w:hint="eastAsia"/>
                <w:kern w:val="0"/>
              </w:rPr>
              <w:t>年內委託買賣認購（售）權證成交達十筆（含）以上。</w:t>
            </w:r>
          </w:p>
          <w:p w:rsidR="000405B6" w:rsidRDefault="000405B6" w:rsidP="000D6299">
            <w:pPr>
              <w:tabs>
                <w:tab w:val="left" w:pos="723"/>
              </w:tabs>
              <w:ind w:leftChars="100" w:left="720" w:hangingChars="200" w:hanging="480"/>
              <w:jc w:val="both"/>
              <w:rPr>
                <w:rFonts w:ascii="標楷體" w:eastAsia="標楷體" w:hAnsi="標楷體" w:cs="細明體"/>
                <w:kern w:val="0"/>
              </w:rPr>
            </w:pPr>
            <w:r>
              <w:rPr>
                <w:rFonts w:ascii="標楷體" w:eastAsia="標楷體" w:hAnsi="標楷體" w:cs="細明體" w:hint="eastAsia"/>
                <w:kern w:val="0"/>
              </w:rPr>
              <w:t>三、</w:t>
            </w:r>
            <w:r w:rsidR="000D6299">
              <w:rPr>
                <w:rFonts w:ascii="標楷體" w:eastAsia="標楷體" w:hAnsi="標楷體" w:cs="細明體"/>
                <w:kern w:val="0"/>
              </w:rPr>
              <w:tab/>
            </w:r>
            <w:r>
              <w:rPr>
                <w:rFonts w:ascii="標楷體" w:eastAsia="標楷體" w:hAnsi="標楷體" w:cs="細明體" w:hint="eastAsia"/>
                <w:kern w:val="0"/>
              </w:rPr>
              <w:t>最近</w:t>
            </w:r>
            <w:proofErr w:type="gramStart"/>
            <w:r>
              <w:rPr>
                <w:rFonts w:ascii="標楷體" w:eastAsia="標楷體" w:hAnsi="標楷體" w:cs="細明體" w:hint="eastAsia"/>
                <w:kern w:val="0"/>
              </w:rPr>
              <w:t>一</w:t>
            </w:r>
            <w:proofErr w:type="gramEnd"/>
            <w:r>
              <w:rPr>
                <w:rFonts w:ascii="標楷體" w:eastAsia="標楷體" w:hAnsi="標楷體" w:cs="細明體" w:hint="eastAsia"/>
                <w:kern w:val="0"/>
              </w:rPr>
              <w:t>年內委託買賣臺灣期貨交易所上市之期貨交易契約成交達十筆（含）以上。</w:t>
            </w:r>
          </w:p>
          <w:p w:rsidR="000405B6" w:rsidRPr="003674EC" w:rsidRDefault="000405B6" w:rsidP="000D6299">
            <w:pPr>
              <w:tabs>
                <w:tab w:val="left" w:pos="723"/>
              </w:tabs>
              <w:ind w:leftChars="100" w:left="720" w:hangingChars="200" w:hanging="480"/>
              <w:jc w:val="both"/>
              <w:rPr>
                <w:rFonts w:ascii="標楷體" w:eastAsia="標楷體" w:hAnsi="標楷體" w:cs="細明體"/>
                <w:color w:val="FF0000"/>
                <w:kern w:val="0"/>
                <w:u w:val="single"/>
              </w:rPr>
            </w:pPr>
            <w:r w:rsidRPr="007E40C9">
              <w:rPr>
                <w:rFonts w:ascii="標楷體" w:eastAsia="標楷體" w:hAnsi="標楷體" w:cs="細明體" w:hint="eastAsia"/>
                <w:kern w:val="0"/>
              </w:rPr>
              <w:t>四、</w:t>
            </w:r>
            <w:r w:rsidR="000D6299" w:rsidRPr="007E40C9">
              <w:rPr>
                <w:rFonts w:ascii="標楷體" w:eastAsia="標楷體" w:hAnsi="標楷體" w:cs="細明體"/>
                <w:kern w:val="0"/>
              </w:rPr>
              <w:tab/>
            </w:r>
            <w:r w:rsidRPr="007E40C9">
              <w:rPr>
                <w:rFonts w:ascii="標楷體" w:eastAsia="標楷體" w:hAnsi="標楷體" w:cs="細明體" w:hint="eastAsia"/>
                <w:kern w:val="0"/>
              </w:rPr>
              <w:t>有槓桿反向指數股票型證券投資信託基金受益憑證或槓桿反向指數股票型期貨信託基金受益憑證買進成交紀錄。</w:t>
            </w:r>
          </w:p>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rPr>
              <w:t>委託人得</w:t>
            </w:r>
            <w:proofErr w:type="gramStart"/>
            <w:r>
              <w:rPr>
                <w:rFonts w:ascii="標楷體" w:eastAsia="標楷體" w:hAnsi="標楷體" w:cs="細明體" w:hint="eastAsia"/>
                <w:kern w:val="0"/>
              </w:rPr>
              <w:t>採</w:t>
            </w:r>
            <w:proofErr w:type="gramEnd"/>
            <w:r>
              <w:rPr>
                <w:rFonts w:ascii="標楷體" w:eastAsia="標楷體" w:hAnsi="標楷體" w:cs="細明體" w:hint="eastAsia"/>
                <w:kern w:val="0"/>
              </w:rPr>
              <w:t>足以確認為本人及其意思表示之通信或電子化方式向證券商申請。</w:t>
            </w:r>
          </w:p>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rPr>
              <w:t>符合境外結構型商品管理規則所稱專業投資人、證券投資信託事業所經理之私募證券投資信託基金、期貨信託事業對符合一定資格條件之人募集之期貨信託基金、證券投資信託事業或證券投資顧問事業或證券經紀商兼營證券投資顧問事業所經理之全權委託投資帳戶及期貨經理事業所經理之全權委託投資帳戶，不適用第一項規定。</w:t>
            </w:r>
          </w:p>
          <w:p w:rsidR="000405B6" w:rsidRPr="003674EC"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color w:val="FF0000"/>
                <w:kern w:val="0"/>
                <w:u w:val="single"/>
              </w:rPr>
            </w:pPr>
            <w:r w:rsidRPr="007E40C9">
              <w:rPr>
                <w:rFonts w:ascii="標楷體" w:eastAsia="標楷體" w:hAnsi="標楷體" w:cs="細明體" w:hint="eastAsia"/>
                <w:kern w:val="0"/>
              </w:rPr>
              <w:t>委託人為達第一項之條件而有從事異常買賣時，證券商應評估委託人是否具有第</w:t>
            </w:r>
            <w:r w:rsidRPr="007E40C9">
              <w:rPr>
                <w:rFonts w:ascii="標楷體" w:eastAsia="標楷體" w:hAnsi="標楷體" w:cs="細明體" w:hint="eastAsia"/>
                <w:kern w:val="0"/>
              </w:rPr>
              <w:lastRenderedPageBreak/>
              <w:t>一項受益憑證實質買賣經驗，必要時得予拒絕受託買賣。</w:t>
            </w:r>
          </w:p>
        </w:tc>
        <w:tc>
          <w:tcPr>
            <w:tcW w:w="3289" w:type="dxa"/>
          </w:tcPr>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Pr>
                <w:rFonts w:ascii="標楷體" w:eastAsia="標楷體" w:hAnsi="標楷體" w:cs="細明體" w:hint="eastAsia"/>
                <w:kern w:val="0"/>
              </w:rPr>
              <w:lastRenderedPageBreak/>
              <w:t>第</w:t>
            </w:r>
            <w:r w:rsidRPr="005F5E68">
              <w:rPr>
                <w:rFonts w:ascii="標楷體" w:eastAsia="標楷體" w:hAnsi="標楷體" w:cs="細明體" w:hint="eastAsia"/>
                <w:kern w:val="0"/>
              </w:rPr>
              <w:t>三</w:t>
            </w:r>
            <w:r>
              <w:rPr>
                <w:rFonts w:ascii="標楷體" w:eastAsia="標楷體" w:hAnsi="標楷體" w:cs="細明體" w:hint="eastAsia"/>
                <w:kern w:val="0"/>
              </w:rPr>
              <w:t>條</w:t>
            </w:r>
            <w:r w:rsidRPr="005F5E68">
              <w:rPr>
                <w:rFonts w:ascii="標楷體" w:eastAsia="標楷體" w:hAnsi="標楷體" w:cs="細明體" w:hint="eastAsia"/>
                <w:kern w:val="0"/>
              </w:rPr>
              <w:t>之</w:t>
            </w:r>
            <w:proofErr w:type="gramStart"/>
            <w:r w:rsidRPr="005F5E68">
              <w:rPr>
                <w:rFonts w:ascii="標楷體" w:eastAsia="標楷體" w:hAnsi="標楷體" w:cs="細明體" w:hint="eastAsia"/>
                <w:kern w:val="0"/>
              </w:rPr>
              <w:t>一</w:t>
            </w:r>
            <w:proofErr w:type="gramEnd"/>
            <w:r>
              <w:rPr>
                <w:rFonts w:ascii="標楷體" w:eastAsia="標楷體" w:hAnsi="標楷體" w:cs="細明體" w:hint="eastAsia"/>
                <w:kern w:val="0"/>
              </w:rPr>
              <w:t xml:space="preserve">　委託人首次買賣槓桿反向指數股票型基金受益憑證時，應具備下列條件之</w:t>
            </w:r>
            <w:proofErr w:type="gramStart"/>
            <w:r>
              <w:rPr>
                <w:rFonts w:ascii="標楷體" w:eastAsia="標楷體" w:hAnsi="標楷體" w:cs="細明體" w:hint="eastAsia"/>
                <w:kern w:val="0"/>
              </w:rPr>
              <w:t>一</w:t>
            </w:r>
            <w:proofErr w:type="gramEnd"/>
            <w:r>
              <w:rPr>
                <w:rFonts w:ascii="標楷體" w:eastAsia="標楷體" w:hAnsi="標楷體" w:cs="細明體" w:hint="eastAsia"/>
                <w:kern w:val="0"/>
              </w:rPr>
              <w:t>：</w:t>
            </w:r>
          </w:p>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p>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p>
          <w:p w:rsidR="000405B6" w:rsidRDefault="000405B6" w:rsidP="000D6299">
            <w:pPr>
              <w:tabs>
                <w:tab w:val="left" w:pos="723"/>
              </w:tabs>
              <w:ind w:leftChars="100" w:left="720" w:hangingChars="200" w:hanging="480"/>
              <w:jc w:val="both"/>
              <w:rPr>
                <w:rFonts w:ascii="標楷體" w:eastAsia="標楷體" w:hAnsi="標楷體" w:cs="細明體"/>
                <w:kern w:val="0"/>
              </w:rPr>
            </w:pPr>
            <w:r>
              <w:rPr>
                <w:rFonts w:ascii="標楷體" w:eastAsia="標楷體" w:hAnsi="標楷體" w:cs="細明體" w:hint="eastAsia"/>
                <w:kern w:val="0"/>
              </w:rPr>
              <w:t>一、已開立信用交易帳戶。</w:t>
            </w:r>
          </w:p>
          <w:p w:rsidR="000405B6" w:rsidRDefault="000405B6" w:rsidP="000D6299">
            <w:pPr>
              <w:tabs>
                <w:tab w:val="left" w:pos="723"/>
              </w:tabs>
              <w:ind w:leftChars="100" w:left="720" w:hangingChars="200" w:hanging="480"/>
              <w:jc w:val="both"/>
              <w:rPr>
                <w:rFonts w:ascii="標楷體" w:eastAsia="標楷體" w:hAnsi="標楷體" w:cs="細明體"/>
                <w:kern w:val="0"/>
              </w:rPr>
            </w:pPr>
            <w:r>
              <w:rPr>
                <w:rFonts w:ascii="標楷體" w:eastAsia="標楷體" w:hAnsi="標楷體" w:cs="細明體" w:hint="eastAsia"/>
                <w:kern w:val="0"/>
              </w:rPr>
              <w:t>二、</w:t>
            </w:r>
            <w:r w:rsidR="000D6299">
              <w:rPr>
                <w:rFonts w:ascii="標楷體" w:eastAsia="標楷體" w:hAnsi="標楷體" w:cs="細明體"/>
                <w:kern w:val="0"/>
              </w:rPr>
              <w:tab/>
            </w:r>
            <w:r>
              <w:rPr>
                <w:rFonts w:ascii="標楷體" w:eastAsia="標楷體" w:hAnsi="標楷體" w:cs="細明體" w:hint="eastAsia"/>
                <w:kern w:val="0"/>
              </w:rPr>
              <w:t>最近</w:t>
            </w:r>
            <w:proofErr w:type="gramStart"/>
            <w:r>
              <w:rPr>
                <w:rFonts w:ascii="標楷體" w:eastAsia="標楷體" w:hAnsi="標楷體" w:cs="細明體" w:hint="eastAsia"/>
                <w:kern w:val="0"/>
              </w:rPr>
              <w:t>一</w:t>
            </w:r>
            <w:proofErr w:type="gramEnd"/>
            <w:r>
              <w:rPr>
                <w:rFonts w:ascii="標楷體" w:eastAsia="標楷體" w:hAnsi="標楷體" w:cs="細明體" w:hint="eastAsia"/>
                <w:kern w:val="0"/>
              </w:rPr>
              <w:t>年內委託買賣認購（售）權證成交達十筆（含）以上。</w:t>
            </w:r>
          </w:p>
          <w:p w:rsidR="000405B6" w:rsidRDefault="000405B6" w:rsidP="000D6299">
            <w:pPr>
              <w:tabs>
                <w:tab w:val="left" w:pos="723"/>
              </w:tabs>
              <w:ind w:leftChars="100" w:left="720" w:hangingChars="200" w:hanging="480"/>
              <w:jc w:val="both"/>
              <w:rPr>
                <w:rFonts w:ascii="標楷體" w:eastAsia="標楷體" w:hAnsi="標楷體" w:cs="細明體"/>
                <w:kern w:val="0"/>
              </w:rPr>
            </w:pPr>
            <w:r>
              <w:rPr>
                <w:rFonts w:ascii="標楷體" w:eastAsia="標楷體" w:hAnsi="標楷體" w:cs="細明體" w:hint="eastAsia"/>
                <w:kern w:val="0"/>
              </w:rPr>
              <w:t>三、</w:t>
            </w:r>
            <w:r w:rsidR="000D6299">
              <w:rPr>
                <w:rFonts w:ascii="標楷體" w:eastAsia="標楷體" w:hAnsi="標楷體" w:cs="細明體"/>
                <w:kern w:val="0"/>
              </w:rPr>
              <w:tab/>
            </w:r>
            <w:r>
              <w:rPr>
                <w:rFonts w:ascii="標楷體" w:eastAsia="標楷體" w:hAnsi="標楷體" w:cs="細明體" w:hint="eastAsia"/>
                <w:kern w:val="0"/>
              </w:rPr>
              <w:t>最近</w:t>
            </w:r>
            <w:proofErr w:type="gramStart"/>
            <w:r>
              <w:rPr>
                <w:rFonts w:ascii="標楷體" w:eastAsia="標楷體" w:hAnsi="標楷體" w:cs="細明體" w:hint="eastAsia"/>
                <w:kern w:val="0"/>
              </w:rPr>
              <w:t>一</w:t>
            </w:r>
            <w:proofErr w:type="gramEnd"/>
            <w:r>
              <w:rPr>
                <w:rFonts w:ascii="標楷體" w:eastAsia="標楷體" w:hAnsi="標楷體" w:cs="細明體" w:hint="eastAsia"/>
                <w:kern w:val="0"/>
              </w:rPr>
              <w:t>年內委託買賣臺灣期貨交易所上市之期貨交易契約成交達十筆（含）以上。</w:t>
            </w:r>
          </w:p>
          <w:p w:rsidR="000405B6" w:rsidRPr="003674EC" w:rsidRDefault="007E40C9" w:rsidP="007E40C9">
            <w:pPr>
              <w:tabs>
                <w:tab w:val="left" w:pos="723"/>
              </w:tabs>
              <w:ind w:leftChars="100" w:left="720" w:hangingChars="200" w:hanging="480"/>
              <w:jc w:val="both"/>
              <w:rPr>
                <w:rFonts w:ascii="標楷體" w:eastAsia="標楷體" w:hAnsi="標楷體" w:cs="細明體"/>
                <w:kern w:val="0"/>
              </w:rPr>
            </w:pPr>
            <w:r w:rsidRPr="007E40C9">
              <w:rPr>
                <w:rFonts w:ascii="標楷體" w:eastAsia="標楷體" w:hAnsi="標楷體" w:cs="細明體" w:hint="eastAsia"/>
                <w:kern w:val="0"/>
              </w:rPr>
              <w:t>四、</w:t>
            </w:r>
            <w:r w:rsidRPr="007E40C9">
              <w:rPr>
                <w:rFonts w:ascii="標楷體" w:eastAsia="標楷體" w:hAnsi="標楷體" w:cs="細明體"/>
                <w:kern w:val="0"/>
              </w:rPr>
              <w:tab/>
            </w:r>
            <w:r w:rsidRPr="007E40C9">
              <w:rPr>
                <w:rFonts w:ascii="標楷體" w:eastAsia="標楷體" w:hAnsi="標楷體" w:cs="細明體" w:hint="eastAsia"/>
                <w:kern w:val="0"/>
              </w:rPr>
              <w:t>有槓桿反向指數股票型證券投資信託基金受益憑證或槓桿反向指數股票型期貨信託基金受益憑證買進成交紀錄。</w:t>
            </w:r>
          </w:p>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rPr>
              <w:t>委託人得</w:t>
            </w:r>
            <w:proofErr w:type="gramStart"/>
            <w:r>
              <w:rPr>
                <w:rFonts w:ascii="標楷體" w:eastAsia="標楷體" w:hAnsi="標楷體" w:cs="細明體" w:hint="eastAsia"/>
                <w:kern w:val="0"/>
              </w:rPr>
              <w:t>採</w:t>
            </w:r>
            <w:proofErr w:type="gramEnd"/>
            <w:r>
              <w:rPr>
                <w:rFonts w:ascii="標楷體" w:eastAsia="標楷體" w:hAnsi="標楷體" w:cs="細明體" w:hint="eastAsia"/>
                <w:kern w:val="0"/>
              </w:rPr>
              <w:t>足以確認為本人及其意思表示之通信或電子化方式向證券商申請。</w:t>
            </w:r>
          </w:p>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rPr>
              <w:t>符合境外結構型商品管理規則所稱專業投資人、證券投資信託事業所經理之私募證券投資信託基金、期貨信託事業對符合一定資格條件之人募集之期貨信託基金、證券投資信託事業或證券投資顧問事業或證券經紀商兼營證券投資顧問事業所經理之全權委託投資帳戶及期貨經理事業所經理之全權委託投資帳戶，不適用第一項規定。</w:t>
            </w:r>
          </w:p>
          <w:p w:rsidR="000405B6" w:rsidRPr="00AA5EC0" w:rsidRDefault="007E40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color w:val="FF0000"/>
                <w:kern w:val="0"/>
                <w:u w:val="single"/>
              </w:rPr>
            </w:pPr>
            <w:r w:rsidRPr="007E40C9">
              <w:rPr>
                <w:rFonts w:ascii="標楷體" w:eastAsia="標楷體" w:hAnsi="標楷體" w:cs="細明體" w:hint="eastAsia"/>
                <w:kern w:val="0"/>
              </w:rPr>
              <w:t>委託人為達第一項之條件而有從事異常買賣時，證券商應評估委託人是否具有第</w:t>
            </w:r>
            <w:r w:rsidRPr="007E40C9">
              <w:rPr>
                <w:rFonts w:ascii="標楷體" w:eastAsia="標楷體" w:hAnsi="標楷體" w:cs="細明體" w:hint="eastAsia"/>
                <w:kern w:val="0"/>
              </w:rPr>
              <w:lastRenderedPageBreak/>
              <w:t>一項受益憑證實質買賣經驗，必要時得予拒絕受託買賣。</w:t>
            </w:r>
          </w:p>
        </w:tc>
        <w:tc>
          <w:tcPr>
            <w:tcW w:w="3276" w:type="dxa"/>
          </w:tcPr>
          <w:p w:rsidR="000405B6" w:rsidRDefault="000405B6">
            <w:pPr>
              <w:pStyle w:val="af3"/>
              <w:tabs>
                <w:tab w:val="left" w:pos="485"/>
              </w:tabs>
              <w:kinsoku w:val="0"/>
              <w:overflowPunct w:val="0"/>
              <w:autoSpaceDE w:val="0"/>
              <w:autoSpaceDN w:val="0"/>
              <w:adjustRightInd w:val="0"/>
              <w:ind w:left="480" w:hangingChars="200" w:hanging="480"/>
              <w:rPr>
                <w:snapToGrid w:val="0"/>
                <w:sz w:val="24"/>
              </w:rPr>
            </w:pPr>
            <w:r>
              <w:rPr>
                <w:rFonts w:hint="eastAsia"/>
                <w:snapToGrid w:val="0"/>
                <w:sz w:val="24"/>
              </w:rPr>
              <w:lastRenderedPageBreak/>
              <w:t>一、</w:t>
            </w:r>
            <w:r>
              <w:rPr>
                <w:rFonts w:hint="eastAsia"/>
                <w:snapToGrid w:val="0"/>
                <w:sz w:val="24"/>
              </w:rPr>
              <w:tab/>
              <w:t>考量槓桿反向指數股票型期貨信託基金之商品特性及投資人保護，明定除專業投資人等外，投資人應具備一定條件始得交易，</w:t>
            </w:r>
            <w:proofErr w:type="gramStart"/>
            <w:r>
              <w:rPr>
                <w:rFonts w:hint="eastAsia"/>
                <w:snapToGrid w:val="0"/>
                <w:sz w:val="24"/>
              </w:rPr>
              <w:t>爰</w:t>
            </w:r>
            <w:proofErr w:type="gramEnd"/>
            <w:r>
              <w:rPr>
                <w:rFonts w:hint="eastAsia"/>
                <w:snapToGrid w:val="0"/>
                <w:sz w:val="24"/>
              </w:rPr>
              <w:t>修正第1項之規定。</w:t>
            </w:r>
          </w:p>
          <w:p w:rsidR="000405B6" w:rsidRDefault="007E40C9">
            <w:pPr>
              <w:pStyle w:val="af3"/>
              <w:tabs>
                <w:tab w:val="left" w:pos="485"/>
              </w:tabs>
              <w:kinsoku w:val="0"/>
              <w:overflowPunct w:val="0"/>
              <w:autoSpaceDE w:val="0"/>
              <w:autoSpaceDN w:val="0"/>
              <w:adjustRightInd w:val="0"/>
              <w:ind w:left="480" w:hangingChars="200" w:hanging="480"/>
              <w:rPr>
                <w:snapToGrid w:val="0"/>
                <w:sz w:val="24"/>
              </w:rPr>
            </w:pPr>
            <w:r>
              <w:rPr>
                <w:rFonts w:hint="eastAsia"/>
                <w:snapToGrid w:val="0"/>
                <w:sz w:val="24"/>
              </w:rPr>
              <w:t>二</w:t>
            </w:r>
            <w:r w:rsidR="000405B6">
              <w:rPr>
                <w:rFonts w:hint="eastAsia"/>
                <w:snapToGrid w:val="0"/>
                <w:sz w:val="24"/>
              </w:rPr>
              <w:t>、</w:t>
            </w:r>
            <w:r w:rsidR="00AA5EC0">
              <w:rPr>
                <w:snapToGrid w:val="0"/>
                <w:sz w:val="24"/>
              </w:rPr>
              <w:tab/>
            </w:r>
            <w:r w:rsidR="000405B6">
              <w:rPr>
                <w:rFonts w:hint="eastAsia"/>
                <w:snapToGrid w:val="0"/>
                <w:sz w:val="24"/>
              </w:rPr>
              <w:t>配合第</w:t>
            </w:r>
            <w:r w:rsidR="000405B6" w:rsidRPr="00235E0D">
              <w:rPr>
                <w:rFonts w:asciiTheme="minorHAnsi" w:hAnsiTheme="minorHAnsi"/>
                <w:snapToGrid w:val="0"/>
                <w:sz w:val="24"/>
              </w:rPr>
              <w:t>2</w:t>
            </w:r>
            <w:r w:rsidR="000405B6" w:rsidRPr="00235E0D">
              <w:rPr>
                <w:rFonts w:asciiTheme="minorHAnsi" w:hAnsiTheme="minorHAnsi"/>
                <w:snapToGrid w:val="0"/>
                <w:sz w:val="24"/>
              </w:rPr>
              <w:t>條第</w:t>
            </w:r>
            <w:r w:rsidR="000405B6" w:rsidRPr="00235E0D">
              <w:rPr>
                <w:rFonts w:asciiTheme="minorHAnsi" w:hAnsiTheme="minorHAnsi"/>
                <w:snapToGrid w:val="0"/>
                <w:sz w:val="24"/>
              </w:rPr>
              <w:t>2</w:t>
            </w:r>
            <w:r w:rsidR="000405B6" w:rsidRPr="00235E0D">
              <w:rPr>
                <w:rFonts w:asciiTheme="minorHAnsi" w:hAnsiTheme="minorHAnsi"/>
                <w:snapToGrid w:val="0"/>
                <w:sz w:val="24"/>
              </w:rPr>
              <w:t>項之修正，</w:t>
            </w:r>
            <w:proofErr w:type="gramStart"/>
            <w:r w:rsidR="000405B6" w:rsidRPr="00235E0D">
              <w:rPr>
                <w:rFonts w:asciiTheme="minorHAnsi" w:hAnsiTheme="minorHAnsi"/>
                <w:snapToGrid w:val="0"/>
                <w:sz w:val="24"/>
              </w:rPr>
              <w:t>爰酌修</w:t>
            </w:r>
            <w:proofErr w:type="gramEnd"/>
            <w:r w:rsidR="000405B6" w:rsidRPr="00235E0D">
              <w:rPr>
                <w:rFonts w:asciiTheme="minorHAnsi" w:hAnsiTheme="minorHAnsi"/>
                <w:snapToGrid w:val="0"/>
                <w:sz w:val="24"/>
              </w:rPr>
              <w:t>第</w:t>
            </w:r>
            <w:r w:rsidR="000405B6" w:rsidRPr="00235E0D">
              <w:rPr>
                <w:rFonts w:asciiTheme="minorHAnsi" w:hAnsiTheme="minorHAnsi"/>
                <w:snapToGrid w:val="0"/>
                <w:sz w:val="24"/>
              </w:rPr>
              <w:t>1</w:t>
            </w:r>
            <w:r w:rsidR="000405B6">
              <w:rPr>
                <w:rFonts w:hint="eastAsia"/>
                <w:snapToGrid w:val="0"/>
                <w:sz w:val="24"/>
              </w:rPr>
              <w:t>項文字。</w:t>
            </w:r>
          </w:p>
          <w:p w:rsidR="000405B6" w:rsidRDefault="000405B6">
            <w:pPr>
              <w:pStyle w:val="af3"/>
              <w:tabs>
                <w:tab w:val="left" w:pos="485"/>
              </w:tabs>
              <w:kinsoku w:val="0"/>
              <w:overflowPunct w:val="0"/>
              <w:autoSpaceDE w:val="0"/>
              <w:autoSpaceDN w:val="0"/>
              <w:adjustRightInd w:val="0"/>
              <w:rPr>
                <w:rFonts w:ascii="Calibri" w:hAnsi="Calibri"/>
                <w:color w:val="000000"/>
                <w:sz w:val="24"/>
              </w:rPr>
            </w:pPr>
          </w:p>
        </w:tc>
      </w:tr>
      <w:tr w:rsidR="000405B6" w:rsidTr="000405B6">
        <w:tc>
          <w:tcPr>
            <w:tcW w:w="3285" w:type="dxa"/>
          </w:tcPr>
          <w:p w:rsidR="000405B6" w:rsidRDefault="00F8303B" w:rsidP="00F830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Pr>
                <w:rFonts w:ascii="標楷體" w:eastAsia="標楷體" w:hAnsi="標楷體" w:cs="細明體" w:hint="eastAsia"/>
                <w:kern w:val="0"/>
              </w:rPr>
              <w:t>第</w:t>
            </w:r>
            <w:r w:rsidRPr="00F8303B">
              <w:rPr>
                <w:rFonts w:ascii="標楷體" w:eastAsia="標楷體" w:hAnsi="標楷體" w:cs="細明體" w:hint="eastAsia"/>
                <w:kern w:val="0"/>
              </w:rPr>
              <w:t>四</w:t>
            </w:r>
            <w:r>
              <w:rPr>
                <w:rFonts w:ascii="標楷體" w:eastAsia="標楷體" w:hAnsi="標楷體" w:cs="細明體" w:hint="eastAsia"/>
                <w:kern w:val="0"/>
              </w:rPr>
              <w:t>條</w:t>
            </w:r>
            <w:r w:rsidRPr="00F8303B">
              <w:rPr>
                <w:rFonts w:ascii="標楷體" w:eastAsia="標楷體" w:hAnsi="標楷體" w:cs="細明體" w:hint="eastAsia"/>
                <w:kern w:val="0"/>
              </w:rPr>
              <w:t>之</w:t>
            </w:r>
            <w:proofErr w:type="gramStart"/>
            <w:r w:rsidRPr="00F8303B">
              <w:rPr>
                <w:rFonts w:ascii="標楷體" w:eastAsia="標楷體" w:hAnsi="標楷體" w:cs="細明體" w:hint="eastAsia"/>
                <w:kern w:val="0"/>
              </w:rPr>
              <w:t>一</w:t>
            </w:r>
            <w:proofErr w:type="gramEnd"/>
            <w:r>
              <w:rPr>
                <w:rFonts w:ascii="標楷體" w:eastAsia="標楷體" w:hAnsi="標楷體" w:cs="細明體" w:hint="eastAsia"/>
                <w:kern w:val="0"/>
              </w:rPr>
              <w:t xml:space="preserve">　</w:t>
            </w:r>
            <w:r w:rsidR="000405B6">
              <w:rPr>
                <w:rFonts w:ascii="標楷體" w:eastAsia="標楷體" w:hAnsi="標楷體" w:cs="細明體" w:hint="eastAsia"/>
                <w:kern w:val="0"/>
              </w:rPr>
              <w:t>國外成分證券指數股票型</w:t>
            </w:r>
            <w:r w:rsidR="000405B6">
              <w:rPr>
                <w:rFonts w:ascii="標楷體" w:eastAsia="標楷體" w:hAnsi="標楷體" w:cs="細明體" w:hint="eastAsia"/>
                <w:color w:val="FF0000"/>
                <w:kern w:val="0"/>
                <w:u w:val="single"/>
              </w:rPr>
              <w:t>證券投資信託</w:t>
            </w:r>
            <w:r w:rsidR="000405B6">
              <w:rPr>
                <w:rFonts w:ascii="標楷體" w:eastAsia="標楷體" w:hAnsi="標楷體" w:cs="細明體" w:hint="eastAsia"/>
                <w:kern w:val="0"/>
              </w:rPr>
              <w:t>基金之標的指數成分證券，其國外有價證券流通市場休市時，該受益憑證得繼續在櫃檯買賣市場交易。</w:t>
            </w:r>
          </w:p>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rPr>
              <w:t>槓桿反向指數股票型</w:t>
            </w:r>
            <w:r>
              <w:rPr>
                <w:rFonts w:ascii="標楷體" w:eastAsia="標楷體" w:hAnsi="標楷體" w:cs="細明體" w:hint="eastAsia"/>
                <w:color w:val="FF0000"/>
                <w:kern w:val="0"/>
                <w:u w:val="single"/>
              </w:rPr>
              <w:t>證券投資信託</w:t>
            </w:r>
            <w:r>
              <w:rPr>
                <w:rFonts w:ascii="標楷體" w:eastAsia="標楷體" w:hAnsi="標楷體" w:cs="細明體" w:hint="eastAsia"/>
                <w:kern w:val="0"/>
              </w:rPr>
              <w:t>基金之標的指數成分證券含一種以上之國外有價證券者，其國外有價證券流通市場或投資標的交易市場休市時，該受益憑證得繼續在櫃檯買賣市場交易。</w:t>
            </w:r>
          </w:p>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color w:val="FF0000"/>
                <w:kern w:val="0"/>
                <w:u w:val="single"/>
              </w:rPr>
            </w:pPr>
            <w:r>
              <w:rPr>
                <w:rFonts w:ascii="標楷體" w:eastAsia="標楷體" w:hAnsi="標楷體" w:cs="細明體" w:hint="eastAsia"/>
                <w:color w:val="FF0000"/>
                <w:kern w:val="0"/>
                <w:u w:val="single"/>
              </w:rPr>
              <w:t>指數股票型期貨信託基金之標的指數成分，其國外期貨契約交易市場休市時，該受益憑證得繼續在櫃檯買賣市場交易。</w:t>
            </w:r>
          </w:p>
        </w:tc>
        <w:tc>
          <w:tcPr>
            <w:tcW w:w="3289" w:type="dxa"/>
          </w:tcPr>
          <w:p w:rsidR="000405B6" w:rsidRDefault="000405B6" w:rsidP="00F830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Pr>
                <w:rFonts w:ascii="標楷體" w:eastAsia="標楷體" w:hAnsi="標楷體" w:cs="細明體" w:hint="eastAsia"/>
                <w:kern w:val="0"/>
              </w:rPr>
              <w:t>第</w:t>
            </w:r>
            <w:r w:rsidRPr="00F8303B">
              <w:rPr>
                <w:rFonts w:ascii="標楷體" w:eastAsia="標楷體" w:hAnsi="標楷體" w:cs="細明體" w:hint="eastAsia"/>
                <w:kern w:val="0"/>
              </w:rPr>
              <w:t>四</w:t>
            </w:r>
            <w:r>
              <w:rPr>
                <w:rFonts w:ascii="標楷體" w:eastAsia="標楷體" w:hAnsi="標楷體" w:cs="細明體" w:hint="eastAsia"/>
                <w:kern w:val="0"/>
              </w:rPr>
              <w:t>條</w:t>
            </w:r>
            <w:r w:rsidRPr="00F8303B">
              <w:rPr>
                <w:rFonts w:ascii="標楷體" w:eastAsia="標楷體" w:hAnsi="標楷體" w:cs="細明體" w:hint="eastAsia"/>
                <w:kern w:val="0"/>
              </w:rPr>
              <w:t>之</w:t>
            </w:r>
            <w:proofErr w:type="gramStart"/>
            <w:r w:rsidRPr="00F8303B">
              <w:rPr>
                <w:rFonts w:ascii="標楷體" w:eastAsia="標楷體" w:hAnsi="標楷體" w:cs="細明體" w:hint="eastAsia"/>
                <w:kern w:val="0"/>
              </w:rPr>
              <w:t>一</w:t>
            </w:r>
            <w:proofErr w:type="gramEnd"/>
            <w:r>
              <w:rPr>
                <w:rFonts w:ascii="標楷體" w:eastAsia="標楷體" w:hAnsi="標楷體" w:cs="細明體" w:hint="eastAsia"/>
                <w:kern w:val="0"/>
              </w:rPr>
              <w:t xml:space="preserve">　國外成分證券指數股票型基金之標的指數成分證券，其國外有價證券流通市場休市時，該受益憑證得繼續在櫃檯買賣市場交易。</w:t>
            </w:r>
          </w:p>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p>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rPr>
              <w:t>槓桿反向指數股票型基金之標的指數成分證券含一種以上之國外有價證券者，其國外有價證券流通市場或投資標的交易市場休市時，該受益憑證得繼續在櫃檯買賣市場交易。</w:t>
            </w:r>
          </w:p>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jc w:val="center"/>
              <w:rPr>
                <w:rFonts w:ascii="標楷體" w:eastAsia="標楷體" w:hAnsi="標楷體" w:cs="細明體"/>
                <w:color w:val="FF0000"/>
                <w:kern w:val="0"/>
              </w:rPr>
            </w:pPr>
            <w:r>
              <w:rPr>
                <w:rFonts w:ascii="標楷體" w:eastAsia="標楷體" w:hAnsi="標楷體" w:cs="細明體" w:hint="eastAsia"/>
                <w:color w:val="FF0000"/>
                <w:kern w:val="0"/>
                <w:u w:val="single"/>
              </w:rPr>
              <w:t>（本項新增）</w:t>
            </w:r>
          </w:p>
        </w:tc>
        <w:tc>
          <w:tcPr>
            <w:tcW w:w="3276" w:type="dxa"/>
            <w:hideMark/>
          </w:tcPr>
          <w:p w:rsidR="000405B6" w:rsidRDefault="000405B6" w:rsidP="00F8303B">
            <w:pPr>
              <w:pStyle w:val="a4"/>
              <w:widowControl/>
              <w:tabs>
                <w:tab w:val="left" w:pos="4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hangingChars="200" w:hanging="480"/>
              <w:jc w:val="both"/>
              <w:rPr>
                <w:rFonts w:eastAsia="標楷體"/>
                <w:color w:val="000000"/>
                <w:kern w:val="0"/>
              </w:rPr>
            </w:pPr>
            <w:r>
              <w:rPr>
                <w:rFonts w:eastAsia="標楷體" w:hint="eastAsia"/>
                <w:color w:val="000000"/>
                <w:kern w:val="0"/>
              </w:rPr>
              <w:t>一、</w:t>
            </w:r>
            <w:r w:rsidR="00F8303B">
              <w:rPr>
                <w:rFonts w:eastAsia="標楷體"/>
                <w:color w:val="000000"/>
                <w:kern w:val="0"/>
              </w:rPr>
              <w:tab/>
            </w:r>
            <w:r>
              <w:rPr>
                <w:rFonts w:eastAsia="標楷體" w:hint="eastAsia"/>
                <w:color w:val="000000"/>
                <w:kern w:val="0"/>
              </w:rPr>
              <w:t>明定指數股票型期貨信託基金標的指數成分之國外期貨契約交易市場休市時，該受益憑證仍得繼續在本中心交易，</w:t>
            </w:r>
            <w:proofErr w:type="gramStart"/>
            <w:r>
              <w:rPr>
                <w:rFonts w:eastAsia="標楷體" w:hint="eastAsia"/>
                <w:color w:val="000000"/>
                <w:kern w:val="0"/>
              </w:rPr>
              <w:t>爰</w:t>
            </w:r>
            <w:proofErr w:type="gramEnd"/>
            <w:r>
              <w:rPr>
                <w:rFonts w:eastAsia="標楷體" w:hint="eastAsia"/>
                <w:color w:val="000000"/>
                <w:kern w:val="0"/>
              </w:rPr>
              <w:t>增訂第</w:t>
            </w:r>
            <w:r>
              <w:rPr>
                <w:rFonts w:eastAsia="標楷體"/>
                <w:color w:val="000000"/>
                <w:kern w:val="0"/>
              </w:rPr>
              <w:t>3</w:t>
            </w:r>
            <w:r>
              <w:rPr>
                <w:rFonts w:eastAsia="標楷體" w:hint="eastAsia"/>
                <w:color w:val="000000"/>
                <w:kern w:val="0"/>
              </w:rPr>
              <w:t>項之規定。</w:t>
            </w:r>
          </w:p>
          <w:p w:rsidR="000405B6" w:rsidRDefault="00F8303B" w:rsidP="00F8303B">
            <w:pPr>
              <w:pStyle w:val="a4"/>
              <w:widowControl/>
              <w:tabs>
                <w:tab w:val="left" w:pos="4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hangingChars="200" w:hanging="480"/>
              <w:jc w:val="both"/>
              <w:rPr>
                <w:rFonts w:eastAsia="標楷體" w:cs="細明體"/>
                <w:color w:val="000000"/>
                <w:kern w:val="0"/>
              </w:rPr>
            </w:pPr>
            <w:r>
              <w:rPr>
                <w:rFonts w:eastAsia="標楷體" w:hint="eastAsia"/>
                <w:color w:val="000000"/>
                <w:kern w:val="0"/>
              </w:rPr>
              <w:t>二</w:t>
            </w:r>
            <w:r w:rsidR="000405B6">
              <w:rPr>
                <w:rFonts w:eastAsia="標楷體" w:hint="eastAsia"/>
                <w:color w:val="000000"/>
                <w:kern w:val="0"/>
              </w:rPr>
              <w:t>、</w:t>
            </w:r>
            <w:r>
              <w:rPr>
                <w:rFonts w:eastAsia="標楷體"/>
                <w:color w:val="000000"/>
                <w:kern w:val="0"/>
              </w:rPr>
              <w:tab/>
            </w:r>
            <w:r w:rsidR="000405B6">
              <w:rPr>
                <w:rFonts w:eastAsia="標楷體" w:cs="細明體" w:hint="eastAsia"/>
                <w:color w:val="000000"/>
                <w:kern w:val="0"/>
              </w:rPr>
              <w:t>配合第</w:t>
            </w:r>
            <w:r w:rsidR="000405B6">
              <w:rPr>
                <w:rFonts w:eastAsia="標楷體" w:cs="細明體"/>
                <w:color w:val="000000"/>
                <w:kern w:val="0"/>
              </w:rPr>
              <w:t>2</w:t>
            </w:r>
            <w:r w:rsidR="000405B6">
              <w:rPr>
                <w:rFonts w:eastAsia="標楷體" w:cs="細明體" w:hint="eastAsia"/>
                <w:color w:val="000000"/>
                <w:kern w:val="0"/>
              </w:rPr>
              <w:t>條第</w:t>
            </w:r>
            <w:r w:rsidR="000405B6">
              <w:rPr>
                <w:rFonts w:eastAsia="標楷體" w:cs="細明體"/>
                <w:color w:val="000000"/>
                <w:kern w:val="0"/>
              </w:rPr>
              <w:t>2</w:t>
            </w:r>
            <w:r w:rsidR="000405B6">
              <w:rPr>
                <w:rFonts w:eastAsia="標楷體" w:cs="細明體" w:hint="eastAsia"/>
                <w:color w:val="000000"/>
                <w:kern w:val="0"/>
              </w:rPr>
              <w:t>項之修正，</w:t>
            </w:r>
            <w:proofErr w:type="gramStart"/>
            <w:r w:rsidR="000405B6">
              <w:rPr>
                <w:rFonts w:eastAsia="標楷體" w:cs="細明體" w:hint="eastAsia"/>
                <w:color w:val="000000"/>
                <w:kern w:val="0"/>
              </w:rPr>
              <w:t>爰酌修</w:t>
            </w:r>
            <w:proofErr w:type="gramEnd"/>
            <w:r w:rsidR="000405B6">
              <w:rPr>
                <w:rFonts w:eastAsia="標楷體" w:cs="細明體" w:hint="eastAsia"/>
                <w:color w:val="000000"/>
                <w:kern w:val="0"/>
              </w:rPr>
              <w:t>第</w:t>
            </w:r>
            <w:r w:rsidR="000405B6">
              <w:rPr>
                <w:rFonts w:eastAsia="標楷體" w:cs="細明體"/>
                <w:color w:val="000000"/>
                <w:kern w:val="0"/>
              </w:rPr>
              <w:t>1</w:t>
            </w:r>
            <w:r w:rsidR="000405B6">
              <w:rPr>
                <w:rFonts w:eastAsia="標楷體" w:cs="細明體" w:hint="eastAsia"/>
                <w:color w:val="000000"/>
                <w:kern w:val="0"/>
              </w:rPr>
              <w:t>項及第</w:t>
            </w:r>
            <w:r w:rsidR="000405B6">
              <w:rPr>
                <w:rFonts w:eastAsia="標楷體" w:cs="細明體"/>
                <w:color w:val="000000"/>
                <w:kern w:val="0"/>
              </w:rPr>
              <w:t>2</w:t>
            </w:r>
            <w:r w:rsidR="000405B6">
              <w:rPr>
                <w:rFonts w:eastAsia="標楷體" w:cs="細明體" w:hint="eastAsia"/>
                <w:color w:val="000000"/>
                <w:kern w:val="0"/>
              </w:rPr>
              <w:t>項文字。</w:t>
            </w:r>
          </w:p>
        </w:tc>
      </w:tr>
      <w:tr w:rsidR="000405B6" w:rsidTr="000405B6">
        <w:tc>
          <w:tcPr>
            <w:tcW w:w="3285" w:type="dxa"/>
          </w:tcPr>
          <w:p w:rsidR="000405B6" w:rsidRPr="000D6299" w:rsidRDefault="00F830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Pr>
                <w:rFonts w:ascii="標楷體" w:eastAsia="標楷體" w:hAnsi="標楷體" w:cs="細明體" w:hint="eastAsia"/>
                <w:kern w:val="0"/>
              </w:rPr>
              <w:t>第</w:t>
            </w:r>
            <w:r w:rsidRPr="00F8303B">
              <w:rPr>
                <w:rFonts w:ascii="標楷體" w:eastAsia="標楷體" w:hAnsi="標楷體" w:cs="細明體" w:hint="eastAsia"/>
                <w:kern w:val="0"/>
              </w:rPr>
              <w:t>七</w:t>
            </w:r>
            <w:r>
              <w:rPr>
                <w:rFonts w:ascii="標楷體" w:eastAsia="標楷體" w:hAnsi="標楷體" w:cs="細明體" w:hint="eastAsia"/>
                <w:kern w:val="0"/>
              </w:rPr>
              <w:t>條</w:t>
            </w:r>
            <w:r w:rsidR="000405B6">
              <w:rPr>
                <w:rFonts w:ascii="標楷體" w:eastAsia="標楷體" w:hAnsi="標楷體" w:cs="細明體" w:hint="eastAsia"/>
                <w:kern w:val="0"/>
              </w:rPr>
              <w:t xml:space="preserve">　指數股票型基金受益憑證上櫃後，其每營業日成交價格升降幅度，</w:t>
            </w:r>
            <w:proofErr w:type="gramStart"/>
            <w:r w:rsidR="000405B6">
              <w:rPr>
                <w:rFonts w:ascii="標楷體" w:eastAsia="標楷體" w:hAnsi="標楷體" w:cs="細明體" w:hint="eastAsia"/>
                <w:kern w:val="0"/>
              </w:rPr>
              <w:t>準</w:t>
            </w:r>
            <w:proofErr w:type="gramEnd"/>
            <w:r w:rsidR="000405B6">
              <w:rPr>
                <w:rFonts w:ascii="標楷體" w:eastAsia="標楷體" w:hAnsi="標楷體" w:cs="細明體" w:hint="eastAsia"/>
                <w:kern w:val="0"/>
              </w:rPr>
              <w:t>用上櫃股票之有關規定辦理。但</w:t>
            </w:r>
            <w:r w:rsidR="000405B6">
              <w:rPr>
                <w:rFonts w:ascii="標楷體" w:eastAsia="標楷體" w:hAnsi="標楷體" w:cs="細明體" w:hint="eastAsia"/>
                <w:color w:val="FF0000"/>
                <w:kern w:val="0"/>
                <w:u w:val="single"/>
              </w:rPr>
              <w:t>下列受益憑證</w:t>
            </w:r>
            <w:proofErr w:type="gramStart"/>
            <w:r w:rsidR="000405B6">
              <w:rPr>
                <w:rFonts w:ascii="標楷體" w:eastAsia="標楷體" w:hAnsi="標楷體" w:cs="細明體" w:hint="eastAsia"/>
                <w:color w:val="FF0000"/>
                <w:kern w:val="0"/>
                <w:u w:val="single"/>
              </w:rPr>
              <w:t>採</w:t>
            </w:r>
            <w:proofErr w:type="gramEnd"/>
            <w:r w:rsidR="000405B6" w:rsidRPr="000D6299">
              <w:rPr>
                <w:rFonts w:ascii="標楷體" w:eastAsia="標楷體" w:hAnsi="標楷體" w:cs="細明體" w:hint="eastAsia"/>
                <w:color w:val="FF0000"/>
                <w:kern w:val="0"/>
                <w:u w:val="single"/>
              </w:rPr>
              <w:t>無升降幅度限制：</w:t>
            </w:r>
          </w:p>
          <w:p w:rsidR="000405B6" w:rsidRPr="000D6299" w:rsidRDefault="000405B6" w:rsidP="000D6299">
            <w:pPr>
              <w:tabs>
                <w:tab w:val="left" w:pos="723"/>
              </w:tabs>
              <w:ind w:leftChars="100" w:left="720" w:hangingChars="200" w:hanging="480"/>
              <w:jc w:val="both"/>
              <w:rPr>
                <w:rFonts w:ascii="標楷體" w:eastAsia="標楷體" w:hAnsi="標楷體" w:cs="細明體"/>
                <w:color w:val="FF0000"/>
                <w:u w:val="single"/>
              </w:rPr>
            </w:pPr>
            <w:r w:rsidRPr="000D6299">
              <w:rPr>
                <w:rFonts w:ascii="標楷體" w:eastAsia="標楷體" w:hAnsi="標楷體" w:cs="細明體" w:hint="eastAsia"/>
                <w:color w:val="FF0000"/>
                <w:u w:val="single"/>
              </w:rPr>
              <w:t>一、</w:t>
            </w:r>
            <w:r w:rsidR="000D6299">
              <w:rPr>
                <w:rFonts w:ascii="標楷體" w:eastAsia="標楷體" w:hAnsi="標楷體" w:cs="細明體"/>
                <w:color w:val="FF0000"/>
                <w:u w:val="single"/>
              </w:rPr>
              <w:tab/>
            </w:r>
            <w:r w:rsidRPr="000D6299">
              <w:rPr>
                <w:rFonts w:ascii="標楷體" w:eastAsia="標楷體" w:hAnsi="標楷體" w:cs="細明體" w:hint="eastAsia"/>
                <w:color w:val="FF0000"/>
                <w:u w:val="single"/>
              </w:rPr>
              <w:t>國外成分證券指數股票型</w:t>
            </w:r>
            <w:r w:rsidRPr="000D6299">
              <w:rPr>
                <w:rFonts w:ascii="標楷體" w:eastAsia="標楷體" w:hAnsi="標楷體" w:hint="eastAsia"/>
                <w:snapToGrid w:val="0"/>
                <w:color w:val="FF0000"/>
                <w:u w:val="single"/>
              </w:rPr>
              <w:t>證券投資</w:t>
            </w:r>
            <w:r w:rsidRPr="000D6299">
              <w:rPr>
                <w:rFonts w:ascii="標楷體" w:eastAsia="標楷體" w:hAnsi="標楷體" w:cs="細明體" w:hint="eastAsia"/>
                <w:color w:val="FF0000"/>
                <w:u w:val="single"/>
              </w:rPr>
              <w:t>信託基金受益憑證。</w:t>
            </w:r>
          </w:p>
          <w:p w:rsidR="000405B6" w:rsidRPr="000D6299" w:rsidRDefault="000405B6" w:rsidP="000D6299">
            <w:pPr>
              <w:tabs>
                <w:tab w:val="left" w:pos="723"/>
              </w:tabs>
              <w:ind w:leftChars="100" w:left="720" w:hangingChars="200" w:hanging="480"/>
              <w:jc w:val="both"/>
              <w:rPr>
                <w:rFonts w:ascii="標楷體" w:eastAsia="標楷體" w:hAnsi="標楷體" w:cs="細明體"/>
                <w:color w:val="FF0000"/>
                <w:u w:val="single"/>
              </w:rPr>
            </w:pPr>
            <w:r w:rsidRPr="000D6299">
              <w:rPr>
                <w:rFonts w:ascii="標楷體" w:eastAsia="標楷體" w:hAnsi="標楷體" w:cs="細明體" w:hint="eastAsia"/>
                <w:color w:val="FF0000"/>
                <w:u w:val="single"/>
              </w:rPr>
              <w:t>二、</w:t>
            </w:r>
            <w:r w:rsidR="000D6299">
              <w:rPr>
                <w:rFonts w:ascii="標楷體" w:eastAsia="標楷體" w:hAnsi="標楷體" w:cs="細明體"/>
                <w:color w:val="FF0000"/>
                <w:u w:val="single"/>
              </w:rPr>
              <w:tab/>
            </w:r>
            <w:r w:rsidRPr="000D6299">
              <w:rPr>
                <w:rFonts w:ascii="標楷體" w:eastAsia="標楷體" w:hAnsi="標楷體" w:cs="細明體" w:hint="eastAsia"/>
                <w:color w:val="FF0000"/>
                <w:u w:val="single"/>
              </w:rPr>
              <w:t>追蹤國外期貨指數之指數股票型期貨信託基金受益憑證。</w:t>
            </w:r>
          </w:p>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color w:val="FF0000"/>
                <w:kern w:val="0"/>
                <w:u w:val="single"/>
              </w:rPr>
            </w:pPr>
            <w:r>
              <w:rPr>
                <w:rFonts w:ascii="標楷體" w:eastAsia="標楷體" w:hAnsi="標楷體" w:cs="細明體" w:hint="eastAsia"/>
                <w:kern w:val="0"/>
              </w:rPr>
              <w:t>槓桿反向指數股票型</w:t>
            </w:r>
            <w:r>
              <w:rPr>
                <w:rFonts w:ascii="標楷體" w:eastAsia="標楷體" w:hAnsi="標楷體" w:hint="eastAsia"/>
                <w:snapToGrid w:val="0"/>
                <w:color w:val="FF0000"/>
                <w:kern w:val="0"/>
                <w:szCs w:val="24"/>
                <w:u w:val="single"/>
              </w:rPr>
              <w:t>證券投資</w:t>
            </w:r>
            <w:r>
              <w:rPr>
                <w:rFonts w:ascii="標楷體" w:eastAsia="標楷體" w:hAnsi="標楷體" w:cs="細明體" w:hint="eastAsia"/>
                <w:color w:val="FF0000"/>
                <w:kern w:val="0"/>
                <w:szCs w:val="24"/>
                <w:u w:val="single"/>
              </w:rPr>
              <w:t>信託</w:t>
            </w:r>
            <w:r>
              <w:rPr>
                <w:rFonts w:ascii="標楷體" w:eastAsia="標楷體" w:hAnsi="標楷體" w:cs="細明體" w:hint="eastAsia"/>
                <w:kern w:val="0"/>
              </w:rPr>
              <w:t>基金之標的指數成分</w:t>
            </w:r>
            <w:proofErr w:type="gramStart"/>
            <w:r>
              <w:rPr>
                <w:rFonts w:ascii="標楷體" w:eastAsia="標楷體" w:hAnsi="標楷體" w:cs="細明體" w:hint="eastAsia"/>
                <w:kern w:val="0"/>
              </w:rPr>
              <w:t>證券均為國內</w:t>
            </w:r>
            <w:proofErr w:type="gramEnd"/>
            <w:r>
              <w:rPr>
                <w:rFonts w:ascii="標楷體" w:eastAsia="標楷體" w:hAnsi="標楷體" w:cs="細明體" w:hint="eastAsia"/>
                <w:kern w:val="0"/>
              </w:rPr>
              <w:t>有價證券者，該受益憑證每日市價升降幅度以百分之十乘以該基金之倍數；標的指數成分證券含一種以上國外有價證券者，該受益憑證</w:t>
            </w:r>
            <w:proofErr w:type="gramStart"/>
            <w:r>
              <w:rPr>
                <w:rFonts w:ascii="標楷體" w:eastAsia="標楷體" w:hAnsi="標楷體" w:cs="細明體" w:hint="eastAsia"/>
                <w:kern w:val="0"/>
              </w:rPr>
              <w:t>採</w:t>
            </w:r>
            <w:proofErr w:type="gramEnd"/>
            <w:r>
              <w:rPr>
                <w:rFonts w:ascii="標楷體" w:eastAsia="標楷體" w:hAnsi="標楷體" w:cs="細明體" w:hint="eastAsia"/>
                <w:kern w:val="0"/>
              </w:rPr>
              <w:t>無升降幅度限制。</w:t>
            </w:r>
          </w:p>
        </w:tc>
        <w:tc>
          <w:tcPr>
            <w:tcW w:w="3289" w:type="dxa"/>
          </w:tcPr>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Pr>
                <w:rFonts w:ascii="標楷體" w:eastAsia="標楷體" w:hAnsi="標楷體" w:cs="細明體" w:hint="eastAsia"/>
                <w:kern w:val="0"/>
              </w:rPr>
              <w:t>第</w:t>
            </w:r>
            <w:r w:rsidRPr="00F8303B">
              <w:rPr>
                <w:rFonts w:ascii="標楷體" w:eastAsia="標楷體" w:hAnsi="標楷體" w:cs="細明體" w:hint="eastAsia"/>
                <w:kern w:val="0"/>
              </w:rPr>
              <w:t>七</w:t>
            </w:r>
            <w:r>
              <w:rPr>
                <w:rFonts w:ascii="標楷體" w:eastAsia="標楷體" w:hAnsi="標楷體" w:cs="細明體" w:hint="eastAsia"/>
                <w:kern w:val="0"/>
              </w:rPr>
              <w:t>條　指數股票型基金受益憑證上櫃後，其每營業日成交價格升降幅度，</w:t>
            </w:r>
            <w:proofErr w:type="gramStart"/>
            <w:r>
              <w:rPr>
                <w:rFonts w:ascii="標楷體" w:eastAsia="標楷體" w:hAnsi="標楷體" w:cs="細明體" w:hint="eastAsia"/>
                <w:kern w:val="0"/>
              </w:rPr>
              <w:t>準</w:t>
            </w:r>
            <w:proofErr w:type="gramEnd"/>
            <w:r>
              <w:rPr>
                <w:rFonts w:ascii="標楷體" w:eastAsia="標楷體" w:hAnsi="標楷體" w:cs="細明體" w:hint="eastAsia"/>
                <w:kern w:val="0"/>
              </w:rPr>
              <w:t>用上櫃股票之有關規定辦理。但</w:t>
            </w:r>
            <w:r>
              <w:rPr>
                <w:rFonts w:ascii="標楷體" w:eastAsia="標楷體" w:hAnsi="標楷體" w:cs="細明體" w:hint="eastAsia"/>
                <w:color w:val="FF0000"/>
                <w:kern w:val="0"/>
                <w:u w:val="single"/>
              </w:rPr>
              <w:t>指數股票型基金受益憑證所追蹤、模擬或複製之標的指數成分證券含有外國有價證券者，</w:t>
            </w:r>
            <w:proofErr w:type="gramStart"/>
            <w:r>
              <w:rPr>
                <w:rFonts w:ascii="標楷體" w:eastAsia="標楷體" w:hAnsi="標楷體" w:cs="細明體" w:hint="eastAsia"/>
                <w:color w:val="FF0000"/>
                <w:kern w:val="0"/>
                <w:u w:val="single"/>
              </w:rPr>
              <w:t>採</w:t>
            </w:r>
            <w:proofErr w:type="gramEnd"/>
            <w:r>
              <w:rPr>
                <w:rFonts w:ascii="標楷體" w:eastAsia="標楷體" w:hAnsi="標楷體" w:cs="細明體" w:hint="eastAsia"/>
                <w:color w:val="FF0000"/>
                <w:kern w:val="0"/>
                <w:u w:val="single"/>
              </w:rPr>
              <w:t>無升降幅度限制</w:t>
            </w:r>
            <w:r>
              <w:rPr>
                <w:rFonts w:ascii="標楷體" w:eastAsia="標楷體" w:hAnsi="標楷體" w:cs="細明體" w:hint="eastAsia"/>
                <w:kern w:val="0"/>
              </w:rPr>
              <w:t>。</w:t>
            </w:r>
          </w:p>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FF0000"/>
                <w:kern w:val="0"/>
                <w:u w:val="single"/>
              </w:rPr>
            </w:pPr>
          </w:p>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FF0000"/>
                <w:kern w:val="0"/>
                <w:u w:val="single"/>
              </w:rPr>
            </w:pPr>
          </w:p>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FF0000"/>
                <w:kern w:val="0"/>
                <w:u w:val="single"/>
              </w:rPr>
            </w:pPr>
          </w:p>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rPr>
              <w:t>槓桿反向指數股票型基金之標的指數成分</w:t>
            </w:r>
            <w:proofErr w:type="gramStart"/>
            <w:r>
              <w:rPr>
                <w:rFonts w:ascii="標楷體" w:eastAsia="標楷體" w:hAnsi="標楷體" w:cs="細明體" w:hint="eastAsia"/>
                <w:kern w:val="0"/>
              </w:rPr>
              <w:t>證券均為國內</w:t>
            </w:r>
            <w:proofErr w:type="gramEnd"/>
            <w:r>
              <w:rPr>
                <w:rFonts w:ascii="標楷體" w:eastAsia="標楷體" w:hAnsi="標楷體" w:cs="細明體" w:hint="eastAsia"/>
                <w:kern w:val="0"/>
              </w:rPr>
              <w:t>有價證券者，該受益憑證每日市價升降幅度以百分之十乘以該基金之倍數；標的指數成分證券含一種以上國外有價證券者，該受益憑證</w:t>
            </w:r>
            <w:proofErr w:type="gramStart"/>
            <w:r>
              <w:rPr>
                <w:rFonts w:ascii="標楷體" w:eastAsia="標楷體" w:hAnsi="標楷體" w:cs="細明體" w:hint="eastAsia"/>
                <w:kern w:val="0"/>
              </w:rPr>
              <w:t>採</w:t>
            </w:r>
            <w:proofErr w:type="gramEnd"/>
            <w:r>
              <w:rPr>
                <w:rFonts w:ascii="標楷體" w:eastAsia="標楷體" w:hAnsi="標楷體" w:cs="細明體" w:hint="eastAsia"/>
                <w:kern w:val="0"/>
              </w:rPr>
              <w:t>無升降幅度限制。</w:t>
            </w:r>
          </w:p>
        </w:tc>
        <w:tc>
          <w:tcPr>
            <w:tcW w:w="3276" w:type="dxa"/>
          </w:tcPr>
          <w:p w:rsidR="000405B6" w:rsidRPr="00F8303B" w:rsidRDefault="000405B6" w:rsidP="00F8303B">
            <w:pPr>
              <w:pStyle w:val="a4"/>
              <w:widowControl/>
              <w:tabs>
                <w:tab w:val="left" w:pos="4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hangingChars="200" w:hanging="480"/>
              <w:jc w:val="both"/>
              <w:rPr>
                <w:rFonts w:eastAsia="標楷體"/>
                <w:color w:val="000000"/>
                <w:kern w:val="0"/>
              </w:rPr>
            </w:pPr>
            <w:r>
              <w:rPr>
                <w:rFonts w:ascii="標楷體" w:eastAsia="標楷體" w:hAnsi="標楷體" w:hint="eastAsia"/>
              </w:rPr>
              <w:t>一、</w:t>
            </w:r>
            <w:r w:rsidR="00F8303B">
              <w:rPr>
                <w:rFonts w:ascii="標楷體" w:eastAsia="標楷體" w:hAnsi="標楷體"/>
              </w:rPr>
              <w:tab/>
            </w:r>
            <w:r>
              <w:rPr>
                <w:rFonts w:eastAsia="標楷體" w:hint="eastAsia"/>
                <w:color w:val="000000"/>
                <w:kern w:val="0"/>
              </w:rPr>
              <w:t>明定追蹤國外期貨指數之指數股票型期貨信託基金受益憑證無漲跌幅度限制</w:t>
            </w:r>
            <w:r>
              <w:rPr>
                <w:rFonts w:eastAsia="標楷體" w:hint="eastAsia"/>
              </w:rPr>
              <w:t>，</w:t>
            </w:r>
            <w:proofErr w:type="gramStart"/>
            <w:r>
              <w:rPr>
                <w:rFonts w:eastAsia="標楷體" w:hint="eastAsia"/>
              </w:rPr>
              <w:t>爰</w:t>
            </w:r>
            <w:proofErr w:type="gramEnd"/>
            <w:r>
              <w:rPr>
                <w:rFonts w:eastAsia="標楷體" w:hint="eastAsia"/>
              </w:rPr>
              <w:t>增訂</w:t>
            </w:r>
            <w:r w:rsidRPr="00F8303B">
              <w:rPr>
                <w:rFonts w:eastAsia="標楷體" w:hint="eastAsia"/>
                <w:color w:val="000000"/>
                <w:kern w:val="0"/>
              </w:rPr>
              <w:t>第</w:t>
            </w:r>
            <w:r w:rsidRPr="00F8303B">
              <w:rPr>
                <w:rFonts w:eastAsia="標楷體"/>
                <w:color w:val="000000"/>
                <w:kern w:val="0"/>
              </w:rPr>
              <w:t>1</w:t>
            </w:r>
            <w:r w:rsidRPr="00F8303B">
              <w:rPr>
                <w:rFonts w:eastAsia="標楷體" w:hint="eastAsia"/>
                <w:color w:val="000000"/>
                <w:kern w:val="0"/>
              </w:rPr>
              <w:t>項第</w:t>
            </w:r>
            <w:r w:rsidRPr="00F8303B">
              <w:rPr>
                <w:rFonts w:eastAsia="標楷體"/>
                <w:color w:val="000000"/>
                <w:kern w:val="0"/>
              </w:rPr>
              <w:t>2</w:t>
            </w:r>
            <w:r w:rsidRPr="00F8303B">
              <w:rPr>
                <w:rFonts w:eastAsia="標楷體" w:hint="eastAsia"/>
                <w:color w:val="000000"/>
                <w:kern w:val="0"/>
              </w:rPr>
              <w:t>款之規定，並將原第</w:t>
            </w:r>
            <w:r w:rsidRPr="00F8303B">
              <w:rPr>
                <w:rFonts w:eastAsia="標楷體"/>
                <w:color w:val="000000"/>
                <w:kern w:val="0"/>
              </w:rPr>
              <w:t>1</w:t>
            </w:r>
            <w:r w:rsidRPr="00F8303B">
              <w:rPr>
                <w:rFonts w:eastAsia="標楷體" w:hint="eastAsia"/>
                <w:color w:val="000000"/>
                <w:kern w:val="0"/>
              </w:rPr>
              <w:t>項</w:t>
            </w:r>
            <w:r w:rsidR="00235E0D">
              <w:rPr>
                <w:rFonts w:eastAsia="標楷體" w:hint="eastAsia"/>
                <w:color w:val="000000"/>
                <w:kern w:val="0"/>
              </w:rPr>
              <w:t>但書</w:t>
            </w:r>
            <w:r w:rsidRPr="00F8303B">
              <w:rPr>
                <w:rFonts w:eastAsia="標楷體" w:hint="eastAsia"/>
                <w:color w:val="000000"/>
                <w:kern w:val="0"/>
              </w:rPr>
              <w:t>調整為第</w:t>
            </w:r>
            <w:r w:rsidRPr="00F8303B">
              <w:rPr>
                <w:rFonts w:eastAsia="標楷體"/>
                <w:color w:val="000000"/>
                <w:kern w:val="0"/>
              </w:rPr>
              <w:t>1</w:t>
            </w:r>
            <w:r w:rsidRPr="00F8303B">
              <w:rPr>
                <w:rFonts w:eastAsia="標楷體" w:hint="eastAsia"/>
                <w:color w:val="000000"/>
                <w:kern w:val="0"/>
              </w:rPr>
              <w:t>項第</w:t>
            </w:r>
            <w:r w:rsidRPr="00F8303B">
              <w:rPr>
                <w:rFonts w:eastAsia="標楷體"/>
                <w:color w:val="000000"/>
                <w:kern w:val="0"/>
              </w:rPr>
              <w:t>1</w:t>
            </w:r>
            <w:r w:rsidRPr="00F8303B">
              <w:rPr>
                <w:rFonts w:eastAsia="標楷體" w:hint="eastAsia"/>
                <w:color w:val="000000"/>
                <w:kern w:val="0"/>
              </w:rPr>
              <w:t>款。</w:t>
            </w:r>
          </w:p>
          <w:p w:rsidR="000405B6" w:rsidRDefault="00F8303B" w:rsidP="00F8303B">
            <w:pPr>
              <w:pStyle w:val="a4"/>
              <w:widowControl/>
              <w:tabs>
                <w:tab w:val="left" w:pos="4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hangingChars="200" w:hanging="480"/>
              <w:jc w:val="both"/>
              <w:rPr>
                <w:rFonts w:eastAsia="標楷體"/>
              </w:rPr>
            </w:pPr>
            <w:r w:rsidRPr="00F8303B">
              <w:rPr>
                <w:rFonts w:eastAsia="標楷體" w:hint="eastAsia"/>
                <w:color w:val="000000"/>
                <w:kern w:val="0"/>
              </w:rPr>
              <w:t>二</w:t>
            </w:r>
            <w:r w:rsidR="000405B6" w:rsidRPr="00F8303B">
              <w:rPr>
                <w:rFonts w:eastAsia="標楷體" w:hint="eastAsia"/>
                <w:color w:val="000000"/>
                <w:kern w:val="0"/>
              </w:rPr>
              <w:t>、</w:t>
            </w:r>
            <w:r>
              <w:rPr>
                <w:rFonts w:eastAsia="標楷體"/>
                <w:color w:val="000000"/>
                <w:kern w:val="0"/>
              </w:rPr>
              <w:tab/>
            </w:r>
            <w:r w:rsidR="000405B6" w:rsidRPr="00F8303B">
              <w:rPr>
                <w:rFonts w:eastAsia="標楷體" w:hint="eastAsia"/>
                <w:color w:val="000000"/>
                <w:kern w:val="0"/>
              </w:rPr>
              <w:t>配合</w:t>
            </w:r>
            <w:r w:rsidR="000405B6">
              <w:rPr>
                <w:rFonts w:eastAsia="標楷體" w:hint="eastAsia"/>
              </w:rPr>
              <w:t>第</w:t>
            </w:r>
            <w:r w:rsidR="000405B6">
              <w:rPr>
                <w:rFonts w:eastAsia="標楷體"/>
              </w:rPr>
              <w:t>2</w:t>
            </w:r>
            <w:r w:rsidR="000405B6">
              <w:rPr>
                <w:rFonts w:eastAsia="標楷體" w:hint="eastAsia"/>
              </w:rPr>
              <w:t>條第</w:t>
            </w:r>
            <w:r w:rsidR="000405B6">
              <w:rPr>
                <w:rFonts w:eastAsia="標楷體"/>
              </w:rPr>
              <w:t>2</w:t>
            </w:r>
            <w:r w:rsidR="000405B6">
              <w:rPr>
                <w:rFonts w:eastAsia="標楷體" w:hint="eastAsia"/>
              </w:rPr>
              <w:t>項之修正，</w:t>
            </w:r>
            <w:proofErr w:type="gramStart"/>
            <w:r w:rsidR="000405B6">
              <w:rPr>
                <w:rFonts w:eastAsia="標楷體" w:hint="eastAsia"/>
              </w:rPr>
              <w:t>爰酌修</w:t>
            </w:r>
            <w:proofErr w:type="gramEnd"/>
            <w:r w:rsidR="000405B6">
              <w:rPr>
                <w:rFonts w:eastAsia="標楷體" w:hint="eastAsia"/>
              </w:rPr>
              <w:t>第</w:t>
            </w:r>
            <w:r w:rsidR="000405B6">
              <w:rPr>
                <w:rFonts w:eastAsia="標楷體"/>
              </w:rPr>
              <w:t>2</w:t>
            </w:r>
            <w:r w:rsidR="000405B6">
              <w:rPr>
                <w:rFonts w:eastAsia="標楷體" w:hint="eastAsia"/>
              </w:rPr>
              <w:t>項文字。</w:t>
            </w:r>
          </w:p>
          <w:p w:rsidR="000405B6" w:rsidRDefault="000405B6">
            <w:pPr>
              <w:pStyle w:val="a4"/>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hangingChars="200" w:hanging="480"/>
              <w:jc w:val="both"/>
              <w:rPr>
                <w:rFonts w:eastAsia="標楷體" w:hAnsi="標楷體"/>
                <w:color w:val="000000"/>
                <w:kern w:val="0"/>
              </w:rPr>
            </w:pPr>
          </w:p>
        </w:tc>
      </w:tr>
      <w:tr w:rsidR="000405B6" w:rsidTr="000405B6">
        <w:tc>
          <w:tcPr>
            <w:tcW w:w="3285" w:type="dxa"/>
            <w:hideMark/>
          </w:tcPr>
          <w:p w:rsidR="000405B6" w:rsidRPr="00A30D6A"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color w:val="FF0000"/>
                <w:kern w:val="0"/>
                <w:szCs w:val="24"/>
                <w:u w:val="single"/>
              </w:rPr>
            </w:pPr>
            <w:r w:rsidRPr="00A30D6A">
              <w:rPr>
                <w:rFonts w:ascii="標楷體" w:eastAsia="標楷體" w:hAnsi="標楷體" w:cs="細明體" w:hint="eastAsia"/>
                <w:kern w:val="0"/>
                <w:szCs w:val="24"/>
              </w:rPr>
              <w:lastRenderedPageBreak/>
              <w:t>第</w:t>
            </w:r>
            <w:r w:rsidR="00F8303B" w:rsidRPr="00A30D6A">
              <w:rPr>
                <w:rFonts w:ascii="標楷體" w:eastAsia="標楷體" w:hAnsi="標楷體" w:cs="細明體" w:hint="eastAsia"/>
                <w:kern w:val="0"/>
                <w:szCs w:val="24"/>
              </w:rPr>
              <w:t>八</w:t>
            </w:r>
            <w:r w:rsidRPr="00A30D6A">
              <w:rPr>
                <w:rFonts w:ascii="標楷體" w:eastAsia="標楷體" w:hAnsi="標楷體" w:cs="細明體" w:hint="eastAsia"/>
                <w:kern w:val="0"/>
                <w:szCs w:val="24"/>
              </w:rPr>
              <w:t>條</w:t>
            </w:r>
            <w:r w:rsidRPr="00A30D6A">
              <w:rPr>
                <w:rFonts w:ascii="標楷體" w:eastAsia="標楷體" w:hAnsi="標楷體" w:cs="細明體" w:hint="eastAsia"/>
                <w:kern w:val="0"/>
              </w:rPr>
              <w:t xml:space="preserve">　</w:t>
            </w:r>
            <w:r w:rsidRPr="00A30D6A">
              <w:rPr>
                <w:rFonts w:ascii="標楷體" w:eastAsia="標楷體" w:hAnsi="標楷體" w:cs="細明體" w:hint="eastAsia"/>
                <w:kern w:val="0"/>
                <w:szCs w:val="24"/>
              </w:rPr>
              <w:t>初次上櫃之指數股票型基金受益憑證櫃檯買賣開始日之參考價格</w:t>
            </w:r>
            <w:r w:rsidR="000A06DB" w:rsidRPr="00A30D6A">
              <w:rPr>
                <w:rFonts w:ascii="標楷體" w:eastAsia="標楷體" w:hAnsi="標楷體" w:cs="細明體" w:hint="eastAsia"/>
                <w:color w:val="FF0000"/>
                <w:kern w:val="0"/>
                <w:szCs w:val="24"/>
                <w:u w:val="single"/>
              </w:rPr>
              <w:t>及升降幅度</w:t>
            </w:r>
            <w:r w:rsidR="00945C5D" w:rsidRPr="00A30D6A">
              <w:rPr>
                <w:rFonts w:ascii="標楷體" w:eastAsia="標楷體" w:hAnsi="標楷體" w:cs="細明體" w:hint="eastAsia"/>
                <w:color w:val="FF0000"/>
                <w:kern w:val="0"/>
                <w:szCs w:val="24"/>
                <w:u w:val="single"/>
              </w:rPr>
              <w:t>計算</w:t>
            </w:r>
            <w:r w:rsidR="000A06DB" w:rsidRPr="00A30D6A">
              <w:rPr>
                <w:rFonts w:ascii="標楷體" w:eastAsia="標楷體" w:hAnsi="標楷體" w:cs="細明體" w:hint="eastAsia"/>
                <w:color w:val="FF0000"/>
                <w:kern w:val="0"/>
                <w:szCs w:val="24"/>
                <w:u w:val="single"/>
              </w:rPr>
              <w:t>之</w:t>
            </w:r>
            <w:r w:rsidR="00945C5D" w:rsidRPr="00A30D6A">
              <w:rPr>
                <w:rFonts w:ascii="標楷體" w:eastAsia="標楷體" w:hAnsi="標楷體" w:cs="細明體" w:hint="eastAsia"/>
                <w:color w:val="FF0000"/>
                <w:kern w:val="0"/>
                <w:szCs w:val="24"/>
                <w:u w:val="single"/>
              </w:rPr>
              <w:t>基準</w:t>
            </w:r>
            <w:r w:rsidRPr="00A30D6A">
              <w:rPr>
                <w:rFonts w:ascii="標楷體" w:eastAsia="標楷體" w:hAnsi="標楷體" w:cs="細明體" w:hint="eastAsia"/>
                <w:kern w:val="0"/>
                <w:szCs w:val="24"/>
              </w:rPr>
              <w:t>，</w:t>
            </w:r>
            <w:r w:rsidRPr="00A30D6A">
              <w:rPr>
                <w:rFonts w:ascii="標楷體" w:eastAsia="標楷體" w:hAnsi="標楷體" w:cs="細明體" w:hint="eastAsia"/>
                <w:color w:val="FF0000"/>
                <w:kern w:val="0"/>
                <w:szCs w:val="24"/>
                <w:u w:val="single"/>
              </w:rPr>
              <w:t>於</w:t>
            </w:r>
            <w:r w:rsidRPr="00A30D6A">
              <w:rPr>
                <w:rFonts w:ascii="標楷體" w:eastAsia="標楷體" w:hAnsi="標楷體" w:cs="細明體" w:hint="eastAsia"/>
                <w:kern w:val="0"/>
                <w:szCs w:val="24"/>
              </w:rPr>
              <w:t>上櫃日之前一營業日</w:t>
            </w:r>
            <w:r w:rsidRPr="00A30D6A">
              <w:rPr>
                <w:rFonts w:ascii="標楷體" w:eastAsia="標楷體" w:hAnsi="標楷體" w:cs="細明體" w:hint="eastAsia"/>
                <w:color w:val="FF0000"/>
                <w:kern w:val="0"/>
                <w:szCs w:val="24"/>
                <w:u w:val="single"/>
              </w:rPr>
              <w:t>分別依下列規定辦理：</w:t>
            </w:r>
          </w:p>
          <w:p w:rsidR="000405B6" w:rsidRPr="00A30D6A" w:rsidRDefault="000405B6" w:rsidP="003C6697">
            <w:pPr>
              <w:tabs>
                <w:tab w:val="left" w:pos="723"/>
              </w:tabs>
              <w:ind w:leftChars="100" w:left="720" w:hangingChars="200" w:hanging="480"/>
              <w:jc w:val="both"/>
              <w:rPr>
                <w:rFonts w:ascii="標楷體" w:eastAsia="標楷體" w:hAnsi="標楷體" w:cs="細明體"/>
              </w:rPr>
            </w:pPr>
            <w:r w:rsidRPr="00A30D6A">
              <w:rPr>
                <w:rFonts w:ascii="標楷體" w:eastAsia="標楷體" w:hAnsi="標楷體" w:cs="細明體" w:hint="eastAsia"/>
                <w:color w:val="FF0000"/>
                <w:u w:val="single"/>
              </w:rPr>
              <w:t>一、</w:t>
            </w:r>
            <w:r w:rsidR="003C6697" w:rsidRPr="00A30D6A">
              <w:rPr>
                <w:rFonts w:ascii="標楷體" w:eastAsia="標楷體" w:hAnsi="標楷體" w:cs="細明體"/>
                <w:color w:val="FF0000"/>
                <w:u w:val="single"/>
              </w:rPr>
              <w:tab/>
            </w:r>
            <w:r w:rsidRPr="00A30D6A">
              <w:rPr>
                <w:rFonts w:ascii="標楷體" w:eastAsia="標楷體" w:hAnsi="標楷體" w:cs="細明體" w:hint="eastAsia"/>
                <w:color w:val="FF0000"/>
                <w:u w:val="single"/>
              </w:rPr>
              <w:t>證券投資信託</w:t>
            </w:r>
            <w:r w:rsidRPr="00A30D6A">
              <w:rPr>
                <w:rFonts w:ascii="標楷體" w:eastAsia="標楷體" w:hAnsi="標楷體" w:cs="細明體" w:hint="eastAsia"/>
              </w:rPr>
              <w:t>事業</w:t>
            </w:r>
            <w:r w:rsidRPr="00A30D6A">
              <w:rPr>
                <w:rFonts w:ascii="標楷體" w:eastAsia="標楷體" w:hAnsi="標楷體" w:hint="eastAsia"/>
                <w:snapToGrid w:val="0"/>
                <w:color w:val="FF0000"/>
                <w:u w:val="single"/>
              </w:rPr>
              <w:t>募集之證券投資</w:t>
            </w:r>
            <w:r w:rsidRPr="00A30D6A">
              <w:rPr>
                <w:rFonts w:ascii="標楷體" w:eastAsia="標楷體" w:hAnsi="標楷體" w:hint="eastAsia"/>
                <w:color w:val="FF0000"/>
                <w:u w:val="single"/>
              </w:rPr>
              <w:t>信託基金</w:t>
            </w:r>
            <w:r w:rsidRPr="00A30D6A">
              <w:rPr>
                <w:rFonts w:ascii="標楷體" w:eastAsia="標楷體" w:hAnsi="標楷體" w:cs="細明體" w:hint="eastAsia"/>
              </w:rPr>
              <w:t>依證券投資</w:t>
            </w:r>
            <w:r w:rsidRPr="00A30D6A">
              <w:rPr>
                <w:rFonts w:ascii="標楷體" w:eastAsia="標楷體" w:hAnsi="標楷體" w:hint="eastAsia"/>
                <w:snapToGrid w:val="0"/>
              </w:rPr>
              <w:t>信託基金</w:t>
            </w:r>
            <w:r w:rsidRPr="00A30D6A">
              <w:rPr>
                <w:rFonts w:ascii="標楷體" w:eastAsia="標楷體" w:hAnsi="標楷體" w:cs="細明體" w:hint="eastAsia"/>
              </w:rPr>
              <w:t>管理辦法第七十二條可算得最近一營業日之每受益權單位淨資產價值。</w:t>
            </w:r>
          </w:p>
          <w:p w:rsidR="000405B6" w:rsidRPr="00A30D6A" w:rsidRDefault="000405B6" w:rsidP="003C6697">
            <w:pPr>
              <w:tabs>
                <w:tab w:val="left" w:pos="723"/>
              </w:tabs>
              <w:ind w:leftChars="100" w:left="720" w:hangingChars="200" w:hanging="480"/>
              <w:jc w:val="both"/>
              <w:rPr>
                <w:rFonts w:ascii="標楷體" w:eastAsia="標楷體" w:hAnsi="標楷體" w:cs="細明體"/>
                <w:color w:val="FF0000"/>
                <w:u w:val="single"/>
              </w:rPr>
            </w:pPr>
            <w:r w:rsidRPr="00A30D6A">
              <w:rPr>
                <w:rFonts w:ascii="標楷體" w:eastAsia="標楷體" w:hAnsi="標楷體" w:cs="細明體" w:hint="eastAsia"/>
                <w:color w:val="FF0000"/>
                <w:u w:val="single"/>
              </w:rPr>
              <w:t>二、</w:t>
            </w:r>
            <w:r w:rsidRPr="00A30D6A">
              <w:rPr>
                <w:rFonts w:ascii="標楷體" w:eastAsia="標楷體" w:hAnsi="標楷體" w:cs="細明體" w:hint="eastAsia"/>
                <w:color w:val="FF0000"/>
                <w:u w:val="single"/>
              </w:rPr>
              <w:tab/>
              <w:t>期貨信託事業募集之期貨信託基金依期貨信託基金管理辦法第七十六條可算得之最近一營業日之每受益權單位淨資產價值。</w:t>
            </w:r>
          </w:p>
          <w:p w:rsidR="003A268A" w:rsidRPr="00A30D6A" w:rsidRDefault="009008E1" w:rsidP="009008E1">
            <w:pPr>
              <w:ind w:leftChars="100" w:left="240" w:firstLineChars="200" w:firstLine="480"/>
              <w:jc w:val="both"/>
              <w:rPr>
                <w:rFonts w:ascii="標楷體" w:eastAsia="標楷體" w:hAnsi="標楷體" w:cs="細明體"/>
                <w:u w:val="single"/>
              </w:rPr>
            </w:pPr>
            <w:r w:rsidRPr="00A30D6A">
              <w:rPr>
                <w:rFonts w:ascii="標楷體" w:eastAsia="標楷體" w:hAnsi="標楷體" w:cs="細明體" w:hint="eastAsia"/>
                <w:color w:val="FF0000"/>
                <w:u w:val="single"/>
              </w:rPr>
              <w:t>前項受益憑證櫃檯買賣開始日之</w:t>
            </w:r>
            <w:r w:rsidR="000A06DB" w:rsidRPr="00A30D6A">
              <w:rPr>
                <w:rFonts w:ascii="標楷體" w:eastAsia="標楷體" w:hAnsi="標楷體" w:cs="細明體" w:hint="eastAsia"/>
                <w:color w:val="FF0000"/>
                <w:u w:val="single"/>
              </w:rPr>
              <w:t>開始交易基準價</w:t>
            </w:r>
            <w:r w:rsidRPr="00A30D6A">
              <w:rPr>
                <w:rFonts w:ascii="標楷體" w:eastAsia="標楷體" w:hAnsi="標楷體" w:cs="細明體" w:hint="eastAsia"/>
                <w:color w:val="FF0000"/>
                <w:u w:val="single"/>
              </w:rPr>
              <w:t>，為同項所訂基準依第六條第二項規定辦理後之價格。</w:t>
            </w:r>
          </w:p>
        </w:tc>
        <w:tc>
          <w:tcPr>
            <w:tcW w:w="3289" w:type="dxa"/>
            <w:hideMark/>
          </w:tcPr>
          <w:p w:rsidR="000405B6" w:rsidRPr="00A30D6A"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sidRPr="00A30D6A">
              <w:rPr>
                <w:rFonts w:ascii="標楷體" w:eastAsia="標楷體" w:hAnsi="標楷體" w:cs="細明體" w:hint="eastAsia"/>
                <w:kern w:val="0"/>
                <w:szCs w:val="24"/>
              </w:rPr>
              <w:t>第八條</w:t>
            </w:r>
            <w:r w:rsidRPr="00A30D6A">
              <w:rPr>
                <w:rFonts w:ascii="標楷體" w:eastAsia="標楷體" w:hAnsi="標楷體" w:cs="細明體" w:hint="eastAsia"/>
                <w:kern w:val="0"/>
              </w:rPr>
              <w:t xml:space="preserve">　</w:t>
            </w:r>
            <w:r w:rsidRPr="00A30D6A">
              <w:rPr>
                <w:rFonts w:ascii="標楷體" w:eastAsia="標楷體" w:hAnsi="標楷體" w:cs="細明體" w:hint="eastAsia"/>
                <w:kern w:val="0"/>
                <w:szCs w:val="24"/>
              </w:rPr>
              <w:t>初次上櫃之指數股票型基金受益憑證櫃檯買賣開始日之參考價格，</w:t>
            </w:r>
            <w:r w:rsidRPr="00A30D6A">
              <w:rPr>
                <w:rFonts w:ascii="標楷體" w:eastAsia="標楷體" w:hAnsi="標楷體" w:cs="細明體" w:hint="eastAsia"/>
                <w:color w:val="FF0000"/>
                <w:kern w:val="0"/>
                <w:szCs w:val="24"/>
                <w:u w:val="single"/>
              </w:rPr>
              <w:t>以</w:t>
            </w:r>
            <w:r w:rsidRPr="00A30D6A">
              <w:rPr>
                <w:rFonts w:ascii="標楷體" w:eastAsia="標楷體" w:hAnsi="標楷體" w:cs="細明體" w:hint="eastAsia"/>
                <w:kern w:val="0"/>
                <w:szCs w:val="24"/>
              </w:rPr>
              <w:t>上櫃日之前一營業日</w:t>
            </w:r>
            <w:r w:rsidRPr="00A30D6A">
              <w:rPr>
                <w:rFonts w:ascii="標楷體" w:eastAsia="標楷體" w:hAnsi="標楷體" w:cs="細明體" w:hint="eastAsia"/>
                <w:color w:val="FF0000"/>
                <w:kern w:val="0"/>
                <w:szCs w:val="24"/>
                <w:u w:val="single"/>
              </w:rPr>
              <w:t>投信</w:t>
            </w:r>
            <w:r w:rsidRPr="00A30D6A">
              <w:rPr>
                <w:rFonts w:ascii="標楷體" w:eastAsia="標楷體" w:hAnsi="標楷體" w:cs="細明體" w:hint="eastAsia"/>
                <w:kern w:val="0"/>
                <w:szCs w:val="24"/>
              </w:rPr>
              <w:t>事業依證券投資信託基金管理辦法第七十二條可算得最近一營業日之每受益權單位淨資產價值</w:t>
            </w:r>
            <w:r w:rsidRPr="00A30D6A">
              <w:rPr>
                <w:rFonts w:ascii="標楷體" w:eastAsia="標楷體" w:hAnsi="標楷體" w:cs="細明體" w:hint="eastAsia"/>
                <w:color w:val="FF0000"/>
                <w:kern w:val="0"/>
                <w:szCs w:val="24"/>
                <w:u w:val="single"/>
              </w:rPr>
              <w:t>為參考基準</w:t>
            </w:r>
            <w:r w:rsidRPr="00A30D6A">
              <w:rPr>
                <w:rFonts w:ascii="標楷體" w:eastAsia="標楷體" w:hAnsi="標楷體" w:cs="細明體" w:hint="eastAsia"/>
                <w:kern w:val="0"/>
                <w:szCs w:val="24"/>
              </w:rPr>
              <w:t>。</w:t>
            </w:r>
          </w:p>
        </w:tc>
        <w:tc>
          <w:tcPr>
            <w:tcW w:w="3276" w:type="dxa"/>
            <w:hideMark/>
          </w:tcPr>
          <w:p w:rsidR="000405B6" w:rsidRPr="00A30D6A" w:rsidRDefault="003A268A" w:rsidP="003A268A">
            <w:pPr>
              <w:pStyle w:val="a4"/>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20" w:hangingChars="175" w:hanging="420"/>
              <w:jc w:val="both"/>
              <w:rPr>
                <w:rFonts w:eastAsia="標楷體" w:hAnsi="標楷體"/>
                <w:color w:val="000000"/>
                <w:kern w:val="0"/>
              </w:rPr>
            </w:pPr>
            <w:r w:rsidRPr="00A30D6A">
              <w:rPr>
                <w:rFonts w:eastAsia="標楷體" w:hAnsi="標楷體" w:hint="eastAsia"/>
                <w:color w:val="000000"/>
                <w:kern w:val="0"/>
              </w:rPr>
              <w:t>一、</w:t>
            </w:r>
            <w:r w:rsidR="000405B6" w:rsidRPr="00A30D6A">
              <w:rPr>
                <w:rFonts w:eastAsia="標楷體" w:hAnsi="標楷體" w:hint="eastAsia"/>
                <w:color w:val="000000"/>
                <w:kern w:val="0"/>
              </w:rPr>
              <w:t>考量時差因素，</w:t>
            </w:r>
            <w:proofErr w:type="gramStart"/>
            <w:r w:rsidR="000405B6" w:rsidRPr="00A30D6A">
              <w:rPr>
                <w:rFonts w:eastAsia="標楷體" w:hAnsi="標楷體" w:hint="eastAsia"/>
                <w:color w:val="000000"/>
                <w:kern w:val="0"/>
              </w:rPr>
              <w:t>爰</w:t>
            </w:r>
            <w:proofErr w:type="gramEnd"/>
            <w:r w:rsidR="000405B6" w:rsidRPr="00A30D6A">
              <w:rPr>
                <w:rFonts w:eastAsia="標楷體" w:hAnsi="標楷體" w:hint="eastAsia"/>
                <w:color w:val="000000"/>
                <w:kern w:val="0"/>
              </w:rPr>
              <w:t>以上櫃日之前一營業日依主管機關法規可算得之最近一營業日每受益權單位淨資產價值，作為指數股票型期貨信託基金受益憑證</w:t>
            </w:r>
            <w:r w:rsidR="000405B6" w:rsidRPr="00A30D6A">
              <w:rPr>
                <w:rFonts w:ascii="標楷體" w:eastAsia="標楷體" w:hAnsi="標楷體" w:cs="細明體" w:hint="eastAsia"/>
                <w:kern w:val="0"/>
                <w:szCs w:val="24"/>
              </w:rPr>
              <w:t>櫃檯買賣開始日之</w:t>
            </w:r>
            <w:r w:rsidR="000405B6" w:rsidRPr="00A30D6A">
              <w:rPr>
                <w:rFonts w:eastAsia="標楷體" w:hAnsi="標楷體" w:hint="eastAsia"/>
                <w:color w:val="000000"/>
                <w:kern w:val="0"/>
              </w:rPr>
              <w:t>參考價格，</w:t>
            </w:r>
            <w:proofErr w:type="gramStart"/>
            <w:r w:rsidR="000405B6" w:rsidRPr="00A30D6A">
              <w:rPr>
                <w:rFonts w:eastAsia="標楷體" w:hAnsi="標楷體" w:hint="eastAsia"/>
                <w:color w:val="000000"/>
                <w:kern w:val="0"/>
              </w:rPr>
              <w:t>爰</w:t>
            </w:r>
            <w:proofErr w:type="gramEnd"/>
            <w:r w:rsidR="000405B6" w:rsidRPr="00A30D6A">
              <w:rPr>
                <w:rFonts w:eastAsia="標楷體" w:hAnsi="標楷體" w:hint="eastAsia"/>
                <w:color w:val="000000"/>
                <w:kern w:val="0"/>
              </w:rPr>
              <w:t>增訂第</w:t>
            </w:r>
            <w:r w:rsidR="000405B6" w:rsidRPr="00A30D6A">
              <w:rPr>
                <w:rFonts w:eastAsia="標楷體" w:hAnsi="標楷體"/>
                <w:color w:val="000000"/>
                <w:kern w:val="0"/>
              </w:rPr>
              <w:t>2</w:t>
            </w:r>
            <w:r w:rsidR="000405B6" w:rsidRPr="00A30D6A">
              <w:rPr>
                <w:rFonts w:eastAsia="標楷體" w:hAnsi="標楷體" w:hint="eastAsia"/>
                <w:color w:val="000000"/>
                <w:kern w:val="0"/>
              </w:rPr>
              <w:t>款之規定</w:t>
            </w:r>
            <w:r w:rsidR="000405B6" w:rsidRPr="00A30D6A">
              <w:rPr>
                <w:rFonts w:eastAsia="標楷體" w:hint="eastAsia"/>
              </w:rPr>
              <w:t>，並將原第</w:t>
            </w:r>
            <w:r w:rsidR="000405B6" w:rsidRPr="00A30D6A">
              <w:rPr>
                <w:rFonts w:eastAsia="標楷體"/>
              </w:rPr>
              <w:t>1</w:t>
            </w:r>
            <w:r w:rsidR="000405B6" w:rsidRPr="00A30D6A">
              <w:rPr>
                <w:rFonts w:eastAsia="標楷體" w:hint="eastAsia"/>
              </w:rPr>
              <w:t>項</w:t>
            </w:r>
            <w:r w:rsidR="000803EB" w:rsidRPr="00A30D6A">
              <w:rPr>
                <w:rFonts w:eastAsia="標楷體" w:hint="eastAsia"/>
              </w:rPr>
              <w:t>規定</w:t>
            </w:r>
            <w:r w:rsidR="000405B6" w:rsidRPr="00A30D6A">
              <w:rPr>
                <w:rFonts w:eastAsia="標楷體" w:hint="eastAsia"/>
              </w:rPr>
              <w:t>調整為第</w:t>
            </w:r>
            <w:r w:rsidR="000405B6" w:rsidRPr="00A30D6A">
              <w:rPr>
                <w:rFonts w:eastAsia="標楷體"/>
              </w:rPr>
              <w:t>1</w:t>
            </w:r>
            <w:r w:rsidR="000405B6" w:rsidRPr="00A30D6A">
              <w:rPr>
                <w:rFonts w:eastAsia="標楷體" w:hint="eastAsia"/>
              </w:rPr>
              <w:t>款</w:t>
            </w:r>
            <w:r w:rsidR="000405B6" w:rsidRPr="00A30D6A">
              <w:rPr>
                <w:rFonts w:eastAsia="標楷體" w:hAnsi="標楷體" w:hint="eastAsia"/>
                <w:color w:val="000000"/>
                <w:kern w:val="0"/>
              </w:rPr>
              <w:t>。</w:t>
            </w:r>
          </w:p>
          <w:p w:rsidR="009678B7" w:rsidRPr="00A30D6A" w:rsidRDefault="009678B7" w:rsidP="003A268A">
            <w:pPr>
              <w:pStyle w:val="a4"/>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20" w:hangingChars="175" w:hanging="420"/>
              <w:jc w:val="both"/>
              <w:rPr>
                <w:rFonts w:eastAsia="標楷體"/>
                <w:color w:val="000000"/>
                <w:kern w:val="0"/>
              </w:rPr>
            </w:pPr>
            <w:r w:rsidRPr="00A30D6A">
              <w:rPr>
                <w:rFonts w:eastAsia="標楷體" w:hint="eastAsia"/>
                <w:color w:val="000000"/>
                <w:kern w:val="0"/>
              </w:rPr>
              <w:t>二、</w:t>
            </w:r>
            <w:r w:rsidR="00CE552F" w:rsidRPr="00A30D6A">
              <w:rPr>
                <w:rFonts w:eastAsia="標楷體" w:hint="eastAsia"/>
                <w:color w:val="000000"/>
                <w:kern w:val="0"/>
              </w:rPr>
              <w:t>配合</w:t>
            </w:r>
            <w:r w:rsidR="008E368B" w:rsidRPr="00A30D6A">
              <w:rPr>
                <w:rFonts w:eastAsia="標楷體" w:hint="eastAsia"/>
                <w:color w:val="000000"/>
                <w:kern w:val="0"/>
              </w:rPr>
              <w:t>現行實務作業，明定受益憑證櫃檯買賣開始日之</w:t>
            </w:r>
            <w:r w:rsidR="000A06DB" w:rsidRPr="00A30D6A">
              <w:rPr>
                <w:rFonts w:eastAsia="標楷體" w:hint="eastAsia"/>
                <w:color w:val="000000"/>
                <w:kern w:val="0"/>
              </w:rPr>
              <w:t>開始交易基準價</w:t>
            </w:r>
            <w:r w:rsidR="00987774" w:rsidRPr="00A30D6A">
              <w:rPr>
                <w:rFonts w:eastAsia="標楷體" w:hint="eastAsia"/>
                <w:color w:val="000000"/>
                <w:kern w:val="0"/>
              </w:rPr>
              <w:t>應</w:t>
            </w:r>
            <w:r w:rsidR="00C72C11" w:rsidRPr="00A30D6A">
              <w:rPr>
                <w:rFonts w:eastAsia="標楷體" w:hint="eastAsia"/>
                <w:color w:val="000000"/>
                <w:kern w:val="0"/>
              </w:rPr>
              <w:t>依</w:t>
            </w:r>
            <w:r w:rsidR="008E368B" w:rsidRPr="00A30D6A">
              <w:rPr>
                <w:rFonts w:eastAsia="標楷體" w:hint="eastAsia"/>
                <w:color w:val="000000"/>
                <w:kern w:val="0"/>
              </w:rPr>
              <w:t>第</w:t>
            </w:r>
            <w:r w:rsidR="008E368B" w:rsidRPr="00A30D6A">
              <w:rPr>
                <w:rFonts w:eastAsia="標楷體" w:hint="eastAsia"/>
                <w:color w:val="000000"/>
                <w:kern w:val="0"/>
              </w:rPr>
              <w:t>6</w:t>
            </w:r>
            <w:r w:rsidR="008E368B" w:rsidRPr="00A30D6A">
              <w:rPr>
                <w:rFonts w:eastAsia="標楷體" w:hint="eastAsia"/>
                <w:color w:val="000000"/>
                <w:kern w:val="0"/>
              </w:rPr>
              <w:t>條第</w:t>
            </w:r>
            <w:r w:rsidR="008E368B" w:rsidRPr="00A30D6A">
              <w:rPr>
                <w:rFonts w:eastAsia="標楷體" w:hint="eastAsia"/>
                <w:color w:val="000000"/>
                <w:kern w:val="0"/>
              </w:rPr>
              <w:t>2</w:t>
            </w:r>
            <w:r w:rsidR="008E368B" w:rsidRPr="00A30D6A">
              <w:rPr>
                <w:rFonts w:eastAsia="標楷體" w:hint="eastAsia"/>
                <w:color w:val="000000"/>
                <w:kern w:val="0"/>
              </w:rPr>
              <w:t>項</w:t>
            </w:r>
            <w:r w:rsidR="00987774" w:rsidRPr="00A30D6A">
              <w:rPr>
                <w:rFonts w:eastAsia="標楷體" w:hint="eastAsia"/>
                <w:color w:val="000000"/>
                <w:kern w:val="0"/>
              </w:rPr>
              <w:t>規定</w:t>
            </w:r>
            <w:r w:rsidR="00C72C11" w:rsidRPr="00A30D6A">
              <w:rPr>
                <w:rFonts w:eastAsia="標楷體" w:hint="eastAsia"/>
                <w:color w:val="000000"/>
                <w:kern w:val="0"/>
              </w:rPr>
              <w:t>辦理</w:t>
            </w:r>
            <w:r w:rsidR="00FE1E31" w:rsidRPr="00A30D6A">
              <w:rPr>
                <w:rFonts w:eastAsia="標楷體" w:hint="eastAsia"/>
                <w:color w:val="000000"/>
                <w:kern w:val="0"/>
              </w:rPr>
              <w:t>，</w:t>
            </w:r>
            <w:proofErr w:type="gramStart"/>
            <w:r w:rsidR="00FE1E31" w:rsidRPr="00A30D6A">
              <w:rPr>
                <w:rFonts w:eastAsia="標楷體" w:hint="eastAsia"/>
                <w:color w:val="000000"/>
                <w:kern w:val="0"/>
              </w:rPr>
              <w:t>爰</w:t>
            </w:r>
            <w:proofErr w:type="gramEnd"/>
            <w:r w:rsidR="000A06DB" w:rsidRPr="00A30D6A">
              <w:rPr>
                <w:rFonts w:eastAsia="標楷體" w:hint="eastAsia"/>
                <w:color w:val="000000"/>
                <w:kern w:val="0"/>
              </w:rPr>
              <w:t>新增</w:t>
            </w:r>
            <w:r w:rsidR="00FE1E31" w:rsidRPr="00A30D6A">
              <w:rPr>
                <w:rFonts w:eastAsia="標楷體" w:hint="eastAsia"/>
                <w:color w:val="000000"/>
                <w:kern w:val="0"/>
              </w:rPr>
              <w:t>第</w:t>
            </w:r>
            <w:r w:rsidR="00FE1E31" w:rsidRPr="00A30D6A">
              <w:rPr>
                <w:rFonts w:eastAsia="標楷體" w:hint="eastAsia"/>
                <w:color w:val="000000"/>
                <w:kern w:val="0"/>
              </w:rPr>
              <w:t>2</w:t>
            </w:r>
            <w:r w:rsidR="00FE1E31" w:rsidRPr="00A30D6A">
              <w:rPr>
                <w:rFonts w:eastAsia="標楷體" w:hint="eastAsia"/>
                <w:color w:val="000000"/>
                <w:kern w:val="0"/>
              </w:rPr>
              <w:t>項之規定</w:t>
            </w:r>
            <w:r w:rsidR="008E368B" w:rsidRPr="00A30D6A">
              <w:rPr>
                <w:rFonts w:eastAsia="標楷體" w:hint="eastAsia"/>
                <w:color w:val="000000"/>
                <w:kern w:val="0"/>
              </w:rPr>
              <w:t>。</w:t>
            </w:r>
          </w:p>
        </w:tc>
      </w:tr>
      <w:tr w:rsidR="000405B6" w:rsidTr="000405B6">
        <w:tc>
          <w:tcPr>
            <w:tcW w:w="3285" w:type="dxa"/>
            <w:hideMark/>
          </w:tcPr>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szCs w:val="24"/>
              </w:rPr>
            </w:pPr>
            <w:r>
              <w:rPr>
                <w:rFonts w:ascii="標楷體" w:eastAsia="標楷體" w:hAnsi="標楷體" w:hint="eastAsia"/>
                <w:szCs w:val="24"/>
              </w:rPr>
              <w:t>第</w:t>
            </w:r>
            <w:r w:rsidR="00F8303B" w:rsidRPr="00F8303B">
              <w:rPr>
                <w:rFonts w:ascii="標楷體" w:eastAsia="標楷體" w:hAnsi="標楷體" w:hint="eastAsia"/>
                <w:szCs w:val="24"/>
              </w:rPr>
              <w:t>十</w:t>
            </w:r>
            <w:r>
              <w:rPr>
                <w:rFonts w:ascii="標楷體" w:eastAsia="標楷體" w:hAnsi="標楷體" w:hint="eastAsia"/>
                <w:szCs w:val="24"/>
              </w:rPr>
              <w:t>條　指數股票型基金受益憑證之買賣，於證券投資信託事業依證券投資信託基金管理辦法第七十七條</w:t>
            </w:r>
            <w:r>
              <w:rPr>
                <w:rFonts w:ascii="標楷體" w:eastAsia="標楷體" w:hAnsi="標楷體" w:hint="eastAsia"/>
                <w:color w:val="FF0000"/>
                <w:szCs w:val="24"/>
                <w:u w:val="single"/>
              </w:rPr>
              <w:t>或期貨信託事業依期貨信託基金管理辦法第七十八條</w:t>
            </w:r>
            <w:r>
              <w:rPr>
                <w:rFonts w:ascii="標楷體" w:eastAsia="標楷體" w:hAnsi="標楷體" w:hint="eastAsia"/>
                <w:szCs w:val="24"/>
              </w:rPr>
              <w:t>規定分配收益，而於停止變更受益人名簿記載日以後辦理給付結算者，應為除息交易。其除息交易開始日之參考價格計算方式，</w:t>
            </w:r>
            <w:proofErr w:type="gramStart"/>
            <w:r>
              <w:rPr>
                <w:rFonts w:ascii="標楷體" w:eastAsia="標楷體" w:hAnsi="標楷體" w:hint="eastAsia"/>
                <w:szCs w:val="24"/>
              </w:rPr>
              <w:t>準</w:t>
            </w:r>
            <w:proofErr w:type="gramEnd"/>
            <w:r>
              <w:rPr>
                <w:rFonts w:ascii="標楷體" w:eastAsia="標楷體" w:hAnsi="標楷體" w:hint="eastAsia"/>
                <w:szCs w:val="24"/>
              </w:rPr>
              <w:t>用本中心業務規則有關上櫃股票之有關規定。</w:t>
            </w:r>
          </w:p>
        </w:tc>
        <w:tc>
          <w:tcPr>
            <w:tcW w:w="3289" w:type="dxa"/>
            <w:hideMark/>
          </w:tcPr>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szCs w:val="24"/>
              </w:rPr>
            </w:pPr>
            <w:r>
              <w:rPr>
                <w:rFonts w:ascii="標楷體" w:eastAsia="標楷體" w:hAnsi="標楷體" w:hint="eastAsia"/>
                <w:szCs w:val="24"/>
              </w:rPr>
              <w:t>第</w:t>
            </w:r>
            <w:r w:rsidRPr="00F8303B">
              <w:rPr>
                <w:rFonts w:ascii="標楷體" w:eastAsia="標楷體" w:hAnsi="標楷體" w:hint="eastAsia"/>
                <w:szCs w:val="24"/>
              </w:rPr>
              <w:t>十</w:t>
            </w:r>
            <w:r>
              <w:rPr>
                <w:rFonts w:ascii="標楷體" w:eastAsia="標楷體" w:hAnsi="標楷體" w:hint="eastAsia"/>
                <w:szCs w:val="24"/>
              </w:rPr>
              <w:t>條　指數股票型基金受益憑證之買賣，於證券投資信託事業依證券投資信託基金管理辦法第七十七條規定分配收益，而於停止變更受益人名簿記載日以後辦理給付結算者，應為除息交易。其除息交易開始日之參考價格計算方式，</w:t>
            </w:r>
            <w:proofErr w:type="gramStart"/>
            <w:r>
              <w:rPr>
                <w:rFonts w:ascii="標楷體" w:eastAsia="標楷體" w:hAnsi="標楷體" w:hint="eastAsia"/>
                <w:szCs w:val="24"/>
              </w:rPr>
              <w:t>準</w:t>
            </w:r>
            <w:proofErr w:type="gramEnd"/>
            <w:r>
              <w:rPr>
                <w:rFonts w:ascii="標楷體" w:eastAsia="標楷體" w:hAnsi="標楷體" w:hint="eastAsia"/>
                <w:szCs w:val="24"/>
              </w:rPr>
              <w:t>用本中心業務規則有關上櫃股票之有關規定。</w:t>
            </w:r>
          </w:p>
        </w:tc>
        <w:tc>
          <w:tcPr>
            <w:tcW w:w="3276" w:type="dxa"/>
            <w:hideMark/>
          </w:tcPr>
          <w:p w:rsidR="000405B6" w:rsidRDefault="000405B6" w:rsidP="00F8303B">
            <w:pPr>
              <w:pStyle w:val="a4"/>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0"/>
              <w:jc w:val="both"/>
              <w:rPr>
                <w:rFonts w:ascii="標楷體" w:eastAsia="標楷體" w:hAnsi="標楷體"/>
              </w:rPr>
            </w:pPr>
            <w:r>
              <w:rPr>
                <w:rFonts w:ascii="Book Antiqua" w:eastAsia="標楷體" w:hAnsi="標楷體" w:hint="eastAsia"/>
              </w:rPr>
              <w:t>配合</w:t>
            </w:r>
            <w:r>
              <w:rPr>
                <w:rFonts w:ascii="標楷體" w:eastAsia="標楷體" w:hAnsi="標楷體" w:hint="eastAsia"/>
              </w:rPr>
              <w:t>指數股票型</w:t>
            </w:r>
            <w:r>
              <w:rPr>
                <w:rFonts w:ascii="標楷體" w:eastAsia="標楷體" w:hAnsi="標楷體" w:cs="細明體" w:hint="eastAsia"/>
                <w:kern w:val="0"/>
              </w:rPr>
              <w:t>期貨信託基金之發行，增訂</w:t>
            </w:r>
            <w:r>
              <w:rPr>
                <w:rFonts w:ascii="標楷體" w:eastAsia="標楷體" w:hAnsi="標楷體" w:hint="eastAsia"/>
              </w:rPr>
              <w:t>期貨信託事業依期貨信託基金管理辦法第七十八條收益分配之相關規定，</w:t>
            </w:r>
            <w:proofErr w:type="gramStart"/>
            <w:r>
              <w:rPr>
                <w:rFonts w:ascii="標楷體" w:eastAsia="標楷體" w:hAnsi="標楷體" w:hint="eastAsia"/>
              </w:rPr>
              <w:t>爰</w:t>
            </w:r>
            <w:proofErr w:type="gramEnd"/>
            <w:r>
              <w:rPr>
                <w:rFonts w:ascii="標楷體" w:eastAsia="標楷體" w:hAnsi="標楷體" w:hint="eastAsia"/>
              </w:rPr>
              <w:t>修正本條規定。</w:t>
            </w:r>
          </w:p>
        </w:tc>
      </w:tr>
      <w:tr w:rsidR="000405B6" w:rsidTr="000405B6">
        <w:tc>
          <w:tcPr>
            <w:tcW w:w="3285" w:type="dxa"/>
          </w:tcPr>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Pr>
                <w:rFonts w:ascii="標楷體" w:eastAsia="標楷體" w:hAnsi="標楷體" w:cs="細明體" w:hint="eastAsia"/>
                <w:kern w:val="0"/>
              </w:rPr>
              <w:t>第十</w:t>
            </w:r>
            <w:r w:rsidR="00F8303B" w:rsidRPr="00F8303B">
              <w:rPr>
                <w:rFonts w:ascii="標楷體" w:eastAsia="標楷體" w:hAnsi="標楷體" w:cs="細明體" w:hint="eastAsia"/>
                <w:kern w:val="0"/>
              </w:rPr>
              <w:t>二</w:t>
            </w:r>
            <w:r>
              <w:rPr>
                <w:rFonts w:ascii="標楷體" w:eastAsia="標楷體" w:hAnsi="標楷體" w:cs="細明體" w:hint="eastAsia"/>
                <w:kern w:val="0"/>
              </w:rPr>
              <w:t>條　證券商受託或自行辦理指數股票型</w:t>
            </w:r>
            <w:r>
              <w:rPr>
                <w:rFonts w:ascii="標楷體" w:eastAsia="標楷體" w:hAnsi="標楷體" w:cs="細明體" w:hint="eastAsia"/>
                <w:color w:val="FF0000"/>
                <w:kern w:val="0"/>
                <w:u w:val="single"/>
              </w:rPr>
              <w:t>證券投資信託</w:t>
            </w:r>
            <w:r>
              <w:rPr>
                <w:rFonts w:ascii="標楷體" w:eastAsia="標楷體" w:hAnsi="標楷體" w:cs="細明體" w:hint="eastAsia"/>
                <w:kern w:val="0"/>
              </w:rPr>
              <w:t>基金受益憑證之申購、買回相關作業，應先與證券投資信託事業簽訂參與契約，始得辦理。</w:t>
            </w:r>
          </w:p>
          <w:p w:rsidR="000405B6" w:rsidRDefault="000405B6">
            <w:pPr>
              <w:ind w:leftChars="100" w:left="240" w:firstLineChars="200" w:firstLine="480"/>
              <w:jc w:val="both"/>
              <w:rPr>
                <w:rFonts w:ascii="標楷體" w:eastAsia="標楷體" w:hAnsi="標楷體" w:cs="細明體"/>
                <w:color w:val="FF0000"/>
                <w:kern w:val="0"/>
                <w:u w:val="single"/>
              </w:rPr>
            </w:pPr>
            <w:r>
              <w:rPr>
                <w:rFonts w:ascii="標楷體" w:eastAsia="標楷體" w:hAnsi="標楷體" w:cs="細明體" w:hint="eastAsia"/>
                <w:color w:val="FF0000"/>
                <w:kern w:val="0"/>
                <w:u w:val="single"/>
              </w:rPr>
              <w:t>證券商受託或自行辦理</w:t>
            </w:r>
            <w:r>
              <w:rPr>
                <w:rFonts w:ascii="標楷體" w:eastAsia="標楷體" w:hAnsi="標楷體" w:cs="細明體" w:hint="eastAsia"/>
                <w:color w:val="FF0000"/>
                <w:kern w:val="0"/>
                <w:u w:val="single"/>
              </w:rPr>
              <w:lastRenderedPageBreak/>
              <w:t>指數股票型期貨信託基金受益憑證之申購、買回相關作業，應先與期貨信託事業簽訂參與契約，始得辦理。</w:t>
            </w:r>
          </w:p>
          <w:p w:rsidR="000405B6" w:rsidRDefault="000405B6">
            <w:pPr>
              <w:ind w:leftChars="100" w:left="240" w:firstLineChars="200" w:firstLine="480"/>
              <w:jc w:val="both"/>
              <w:rPr>
                <w:rFonts w:ascii="標楷體" w:eastAsia="標楷體" w:hAnsi="標楷體"/>
                <w:szCs w:val="24"/>
              </w:rPr>
            </w:pPr>
            <w:r>
              <w:rPr>
                <w:rFonts w:ascii="標楷體" w:eastAsia="標楷體" w:hAnsi="標楷體" w:cs="細明體" w:hint="eastAsia"/>
                <w:kern w:val="0"/>
              </w:rPr>
              <w:t>證券商受託或自行辦理指數股票型基金受益憑證之申購、買回作業，應向本中心申報，其相關作業規定由本中心另訂之。</w:t>
            </w:r>
          </w:p>
        </w:tc>
        <w:tc>
          <w:tcPr>
            <w:tcW w:w="3289" w:type="dxa"/>
          </w:tcPr>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Pr>
                <w:rFonts w:ascii="標楷體" w:eastAsia="標楷體" w:hAnsi="標楷體" w:cs="細明體" w:hint="eastAsia"/>
                <w:kern w:val="0"/>
              </w:rPr>
              <w:lastRenderedPageBreak/>
              <w:t>第十</w:t>
            </w:r>
            <w:r w:rsidRPr="00F8303B">
              <w:rPr>
                <w:rFonts w:ascii="標楷體" w:eastAsia="標楷體" w:hAnsi="標楷體" w:cs="細明體" w:hint="eastAsia"/>
                <w:kern w:val="0"/>
              </w:rPr>
              <w:t>二</w:t>
            </w:r>
            <w:r>
              <w:rPr>
                <w:rFonts w:ascii="標楷體" w:eastAsia="標楷體" w:hAnsi="標楷體" w:cs="細明體" w:hint="eastAsia"/>
                <w:kern w:val="0"/>
              </w:rPr>
              <w:t>條　證券商受託或自行辦理指數股票型基金受益憑證之申購、買回相關作業，應先與證券投資信託事業簽訂參與契約，始得辦理。</w:t>
            </w:r>
          </w:p>
          <w:p w:rsidR="00EC0C64" w:rsidRDefault="00EC0C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center"/>
              <w:rPr>
                <w:rFonts w:ascii="標楷體" w:eastAsia="標楷體" w:hAnsi="標楷體" w:cs="細明體"/>
                <w:color w:val="FF0000"/>
                <w:kern w:val="0"/>
                <w:u w:val="single"/>
              </w:rPr>
            </w:pPr>
          </w:p>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center"/>
              <w:rPr>
                <w:rFonts w:ascii="標楷體" w:eastAsia="標楷體" w:hAnsi="標楷體" w:cs="細明體"/>
                <w:color w:val="FF0000"/>
                <w:kern w:val="0"/>
                <w:u w:val="single"/>
              </w:rPr>
            </w:pPr>
            <w:r>
              <w:rPr>
                <w:rFonts w:ascii="標楷體" w:eastAsia="標楷體" w:hAnsi="標楷體" w:cs="細明體" w:hint="eastAsia"/>
                <w:color w:val="FF0000"/>
                <w:kern w:val="0"/>
                <w:u w:val="single"/>
              </w:rPr>
              <w:t>（本項新增）</w:t>
            </w:r>
          </w:p>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p>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p>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p>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p>
          <w:p w:rsidR="000405B6" w:rsidRDefault="000405B6">
            <w:pPr>
              <w:ind w:leftChars="100" w:left="240" w:firstLineChars="200" w:firstLine="480"/>
              <w:jc w:val="both"/>
              <w:rPr>
                <w:rFonts w:ascii="標楷體" w:eastAsia="標楷體" w:hAnsi="標楷體"/>
                <w:szCs w:val="24"/>
              </w:rPr>
            </w:pPr>
            <w:r>
              <w:rPr>
                <w:rFonts w:ascii="標楷體" w:eastAsia="標楷體" w:hAnsi="標楷體" w:cs="細明體" w:hint="eastAsia"/>
                <w:kern w:val="0"/>
              </w:rPr>
              <w:t>證券商受託或自行辦理指數股票型基金受益憑證之申購、買回作業，應向本中心申報，其相關作業規定由本中心另訂之。</w:t>
            </w:r>
          </w:p>
        </w:tc>
        <w:tc>
          <w:tcPr>
            <w:tcW w:w="3276" w:type="dxa"/>
            <w:hideMark/>
          </w:tcPr>
          <w:p w:rsidR="000405B6" w:rsidRDefault="000405B6" w:rsidP="00F8303B">
            <w:pPr>
              <w:pStyle w:val="a4"/>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0"/>
              <w:jc w:val="both"/>
              <w:rPr>
                <w:rFonts w:ascii="標楷體" w:eastAsia="標楷體" w:hAnsi="標楷體"/>
              </w:rPr>
            </w:pPr>
            <w:r>
              <w:rPr>
                <w:rFonts w:ascii="Book Antiqua" w:eastAsia="標楷體" w:hAnsi="標楷體" w:hint="eastAsia"/>
              </w:rPr>
              <w:lastRenderedPageBreak/>
              <w:t>明定</w:t>
            </w:r>
            <w:r>
              <w:rPr>
                <w:rFonts w:eastAsia="標楷體" w:hint="eastAsia"/>
                <w:color w:val="000000"/>
              </w:rPr>
              <w:t>指數股票型期貨信託基金適用參與證券商辦理申購、買回作業之相關規定，</w:t>
            </w:r>
            <w:proofErr w:type="gramStart"/>
            <w:r>
              <w:rPr>
                <w:rFonts w:eastAsia="標楷體" w:hint="eastAsia"/>
                <w:color w:val="000000"/>
              </w:rPr>
              <w:t>爰</w:t>
            </w:r>
            <w:proofErr w:type="gramEnd"/>
            <w:r>
              <w:rPr>
                <w:rFonts w:eastAsia="標楷體" w:hint="eastAsia"/>
                <w:color w:val="000000"/>
              </w:rPr>
              <w:t>新增第</w:t>
            </w:r>
            <w:r>
              <w:rPr>
                <w:rFonts w:eastAsia="標楷體"/>
                <w:color w:val="000000"/>
              </w:rPr>
              <w:t>2</w:t>
            </w:r>
            <w:r>
              <w:rPr>
                <w:rFonts w:eastAsia="標楷體" w:hint="eastAsia"/>
                <w:color w:val="000000"/>
              </w:rPr>
              <w:t>項規定。</w:t>
            </w:r>
          </w:p>
        </w:tc>
      </w:tr>
      <w:tr w:rsidR="000405B6" w:rsidTr="000405B6">
        <w:tc>
          <w:tcPr>
            <w:tcW w:w="3285" w:type="dxa"/>
          </w:tcPr>
          <w:p w:rsidR="000405B6" w:rsidRDefault="00F8303B">
            <w:pPr>
              <w:ind w:left="240" w:hangingChars="100" w:hanging="240"/>
              <w:jc w:val="both"/>
              <w:rPr>
                <w:rFonts w:ascii="標楷體" w:eastAsia="標楷體" w:hAnsi="標楷體"/>
                <w:szCs w:val="24"/>
              </w:rPr>
            </w:pPr>
            <w:r>
              <w:rPr>
                <w:rFonts w:ascii="標楷體" w:eastAsia="標楷體" w:hAnsi="標楷體" w:hint="eastAsia"/>
                <w:szCs w:val="24"/>
              </w:rPr>
              <w:t>第十</w:t>
            </w:r>
            <w:r w:rsidRPr="00F8303B">
              <w:rPr>
                <w:rFonts w:ascii="標楷體" w:eastAsia="標楷體" w:hAnsi="標楷體" w:hint="eastAsia"/>
                <w:szCs w:val="24"/>
              </w:rPr>
              <w:t>二</w:t>
            </w:r>
            <w:r>
              <w:rPr>
                <w:rFonts w:ascii="標楷體" w:eastAsia="標楷體" w:hAnsi="標楷體" w:hint="eastAsia"/>
                <w:szCs w:val="24"/>
              </w:rPr>
              <w:t>條</w:t>
            </w:r>
            <w:r w:rsidRPr="00F8303B">
              <w:rPr>
                <w:rFonts w:ascii="標楷體" w:eastAsia="標楷體" w:hAnsi="標楷體" w:hint="eastAsia"/>
                <w:szCs w:val="24"/>
              </w:rPr>
              <w:t>之</w:t>
            </w:r>
            <w:proofErr w:type="gramStart"/>
            <w:r w:rsidRPr="00F8303B">
              <w:rPr>
                <w:rFonts w:ascii="標楷體" w:eastAsia="標楷體" w:hAnsi="標楷體" w:hint="eastAsia"/>
                <w:szCs w:val="24"/>
              </w:rPr>
              <w:t>一</w:t>
            </w:r>
            <w:proofErr w:type="gramEnd"/>
            <w:r w:rsidR="000405B6">
              <w:rPr>
                <w:rFonts w:ascii="標楷體" w:eastAsia="標楷體" w:hAnsi="標楷體" w:hint="eastAsia"/>
                <w:szCs w:val="24"/>
              </w:rPr>
              <w:t xml:space="preserve">　證券商與證券投資信託事業</w:t>
            </w:r>
            <w:r w:rsidR="000405B6">
              <w:rPr>
                <w:rFonts w:ascii="標楷體" w:eastAsia="標楷體" w:hAnsi="標楷體" w:hint="eastAsia"/>
                <w:color w:val="FF0000"/>
                <w:szCs w:val="24"/>
                <w:u w:val="single"/>
              </w:rPr>
              <w:t>或期貨信託事業</w:t>
            </w:r>
            <w:r w:rsidR="000405B6">
              <w:rPr>
                <w:rFonts w:ascii="標楷體" w:eastAsia="標楷體" w:hAnsi="標楷體" w:hint="eastAsia"/>
                <w:szCs w:val="24"/>
              </w:rPr>
              <w:t>簽訂前條第一項</w:t>
            </w:r>
            <w:r w:rsidR="000405B6">
              <w:rPr>
                <w:rFonts w:ascii="標楷體" w:eastAsia="標楷體" w:hAnsi="標楷體" w:hint="eastAsia"/>
                <w:color w:val="FF0000"/>
                <w:szCs w:val="24"/>
                <w:u w:val="single"/>
              </w:rPr>
              <w:t>或第二項</w:t>
            </w:r>
            <w:r w:rsidR="000405B6">
              <w:rPr>
                <w:rFonts w:ascii="標楷體" w:eastAsia="標楷體" w:hAnsi="標楷體" w:hint="eastAsia"/>
                <w:szCs w:val="24"/>
              </w:rPr>
              <w:t>之相關契約者，稱為參與證券商，其應符合下列條件，並經本中心審查後核發許可函：</w:t>
            </w:r>
          </w:p>
          <w:p w:rsidR="000405B6" w:rsidRDefault="000405B6" w:rsidP="003C6697">
            <w:pPr>
              <w:tabs>
                <w:tab w:val="left" w:pos="723"/>
              </w:tabs>
              <w:ind w:leftChars="100" w:left="720" w:hangingChars="200" w:hanging="480"/>
              <w:jc w:val="both"/>
              <w:rPr>
                <w:rFonts w:ascii="標楷體" w:eastAsia="標楷體" w:hAnsi="標楷體"/>
                <w:szCs w:val="24"/>
              </w:rPr>
            </w:pPr>
            <w:r>
              <w:rPr>
                <w:rFonts w:ascii="標楷體" w:eastAsia="標楷體" w:hAnsi="標楷體" w:hint="eastAsia"/>
                <w:szCs w:val="24"/>
              </w:rPr>
              <w:t>一、</w:t>
            </w:r>
            <w:r w:rsidR="003C6697">
              <w:rPr>
                <w:rFonts w:ascii="標楷體" w:eastAsia="標楷體" w:hAnsi="標楷體"/>
                <w:szCs w:val="24"/>
              </w:rPr>
              <w:tab/>
            </w:r>
            <w:r>
              <w:rPr>
                <w:rFonts w:ascii="標楷體" w:eastAsia="標楷體" w:hAnsi="標楷體" w:hint="eastAsia"/>
                <w:szCs w:val="24"/>
              </w:rPr>
              <w:t>證券商除由金融機構兼營者之</w:t>
            </w:r>
            <w:r w:rsidRPr="003C6697">
              <w:rPr>
                <w:rFonts w:ascii="標楷體" w:eastAsia="標楷體" w:hAnsi="標楷體" w:cs="細明體" w:hint="eastAsia"/>
              </w:rPr>
              <w:t>資本</w:t>
            </w:r>
            <w:r>
              <w:rPr>
                <w:rFonts w:ascii="標楷體" w:eastAsia="標楷體" w:hAnsi="標楷體" w:hint="eastAsia"/>
                <w:szCs w:val="24"/>
              </w:rPr>
              <w:t>適足比率，依銀行法第四十四條資本適足率相關規定外，其最近6個月自有資本適足</w:t>
            </w:r>
            <w:proofErr w:type="gramStart"/>
            <w:r>
              <w:rPr>
                <w:rFonts w:ascii="標楷體" w:eastAsia="標楷體" w:hAnsi="標楷體" w:hint="eastAsia"/>
                <w:szCs w:val="24"/>
              </w:rPr>
              <w:t>比率均逾百分之一百五十</w:t>
            </w:r>
            <w:proofErr w:type="gramEnd"/>
            <w:r>
              <w:rPr>
                <w:rFonts w:ascii="標楷體" w:eastAsia="標楷體" w:hAnsi="標楷體" w:hint="eastAsia"/>
                <w:szCs w:val="24"/>
              </w:rPr>
              <w:t>。但外國證券商在台分公司如其母國總公司已依其當地國法令之規定計算自有資本適足比率，且將在台分公司之經營風險列入計算，符合標準並經金融監督管理委員會核准免適用國內證券商自有資本管理之規定，不在此限。</w:t>
            </w:r>
          </w:p>
          <w:p w:rsidR="000405B6" w:rsidRDefault="000405B6" w:rsidP="003C6697">
            <w:pPr>
              <w:tabs>
                <w:tab w:val="left" w:pos="723"/>
              </w:tabs>
              <w:ind w:leftChars="100" w:left="720" w:hangingChars="200" w:hanging="480"/>
              <w:jc w:val="both"/>
              <w:rPr>
                <w:rFonts w:ascii="標楷體" w:eastAsia="標楷體" w:hAnsi="標楷體"/>
                <w:szCs w:val="24"/>
              </w:rPr>
            </w:pPr>
            <w:r>
              <w:rPr>
                <w:rFonts w:ascii="標楷體" w:eastAsia="標楷體" w:hAnsi="標楷體" w:hint="eastAsia"/>
                <w:szCs w:val="24"/>
              </w:rPr>
              <w:t>二、</w:t>
            </w:r>
            <w:r w:rsidR="003C6697">
              <w:rPr>
                <w:rFonts w:ascii="標楷體" w:eastAsia="標楷體" w:hAnsi="標楷體"/>
                <w:szCs w:val="24"/>
              </w:rPr>
              <w:tab/>
            </w:r>
            <w:r>
              <w:rPr>
                <w:rFonts w:ascii="標楷體" w:eastAsia="標楷體" w:hAnsi="標楷體" w:hint="eastAsia"/>
                <w:szCs w:val="24"/>
              </w:rPr>
              <w:t>應取得信用評等機構評定之長期債務信用評等達一定等級以上：中華信用評等股份有限公司評級為</w:t>
            </w:r>
            <w:proofErr w:type="spellStart"/>
            <w:r>
              <w:rPr>
                <w:rFonts w:ascii="標楷體" w:eastAsia="標楷體" w:hAnsi="標楷體" w:hint="eastAsia"/>
                <w:szCs w:val="24"/>
              </w:rPr>
              <w:t>twBB</w:t>
            </w:r>
            <w:proofErr w:type="spellEnd"/>
            <w:r>
              <w:rPr>
                <w:rFonts w:ascii="標楷體" w:eastAsia="標楷體" w:hAnsi="標楷體" w:hint="eastAsia"/>
                <w:szCs w:val="24"/>
              </w:rPr>
              <w:t xml:space="preserve">-級以上，或Moody's Service評級Ba3級以上，或Standard &amp; Poor's Corp.評級 BB-級以上，或 </w:t>
            </w:r>
            <w:proofErr w:type="spellStart"/>
            <w:r>
              <w:rPr>
                <w:rFonts w:ascii="標楷體" w:eastAsia="標楷體" w:hAnsi="標楷體" w:hint="eastAsia"/>
                <w:szCs w:val="24"/>
              </w:rPr>
              <w:lastRenderedPageBreak/>
              <w:t>FitchInc</w:t>
            </w:r>
            <w:proofErr w:type="spellEnd"/>
            <w:r>
              <w:rPr>
                <w:rFonts w:ascii="標楷體" w:eastAsia="標楷體" w:hAnsi="標楷體" w:hint="eastAsia"/>
                <w:szCs w:val="24"/>
              </w:rPr>
              <w:t>.評級 BB-級以上之信用評等。金融機構兼營者得</w:t>
            </w:r>
            <w:proofErr w:type="gramStart"/>
            <w:r>
              <w:rPr>
                <w:rFonts w:ascii="標楷體" w:eastAsia="標楷體" w:hAnsi="標楷體" w:hint="eastAsia"/>
                <w:szCs w:val="24"/>
              </w:rPr>
              <w:t>採</w:t>
            </w:r>
            <w:proofErr w:type="gramEnd"/>
            <w:r>
              <w:rPr>
                <w:rFonts w:ascii="標楷體" w:eastAsia="標楷體" w:hAnsi="標楷體" w:hint="eastAsia"/>
                <w:szCs w:val="24"/>
              </w:rPr>
              <w:t>金融機構之信用評級，外國證券商在台分公司得</w:t>
            </w:r>
            <w:proofErr w:type="gramStart"/>
            <w:r>
              <w:rPr>
                <w:rFonts w:ascii="標楷體" w:eastAsia="標楷體" w:hAnsi="標楷體" w:hint="eastAsia"/>
                <w:szCs w:val="24"/>
              </w:rPr>
              <w:t>採</w:t>
            </w:r>
            <w:proofErr w:type="gramEnd"/>
            <w:r>
              <w:rPr>
                <w:rFonts w:ascii="標楷體" w:eastAsia="標楷體" w:hAnsi="標楷體" w:hint="eastAsia"/>
                <w:szCs w:val="24"/>
              </w:rPr>
              <w:t>集團控股公司之信用評級。</w:t>
            </w:r>
          </w:p>
          <w:p w:rsidR="000405B6" w:rsidRDefault="000405B6">
            <w:pPr>
              <w:ind w:leftChars="100" w:left="240" w:firstLineChars="200" w:firstLine="480"/>
              <w:jc w:val="both"/>
              <w:rPr>
                <w:rFonts w:ascii="標楷體" w:eastAsia="標楷體" w:hAnsi="標楷體"/>
                <w:szCs w:val="24"/>
              </w:rPr>
            </w:pPr>
            <w:r>
              <w:rPr>
                <w:rFonts w:ascii="標楷體" w:eastAsia="標楷體" w:hAnsi="標楷體" w:hint="eastAsia"/>
                <w:szCs w:val="24"/>
              </w:rPr>
              <w:t>證券商應於取得本中心許可函後三</w:t>
            </w:r>
            <w:proofErr w:type="gramStart"/>
            <w:r>
              <w:rPr>
                <w:rFonts w:ascii="標楷體" w:eastAsia="標楷體" w:hAnsi="標楷體" w:hint="eastAsia"/>
                <w:szCs w:val="24"/>
              </w:rPr>
              <w:t>個</w:t>
            </w:r>
            <w:proofErr w:type="gramEnd"/>
            <w:r>
              <w:rPr>
                <w:rFonts w:ascii="標楷體" w:eastAsia="標楷體" w:hAnsi="標楷體" w:hint="eastAsia"/>
                <w:szCs w:val="24"/>
              </w:rPr>
              <w:t>月內，與發行指數股票型基金受益憑證之證券投資信託事業</w:t>
            </w:r>
            <w:r>
              <w:rPr>
                <w:rFonts w:ascii="標楷體" w:eastAsia="標楷體" w:hAnsi="標楷體" w:hint="eastAsia"/>
                <w:color w:val="FF0000"/>
                <w:szCs w:val="24"/>
                <w:u w:val="single"/>
              </w:rPr>
              <w:t>或期貨信託事業</w:t>
            </w:r>
            <w:r>
              <w:rPr>
                <w:rFonts w:ascii="標楷體" w:eastAsia="標楷體" w:hAnsi="標楷體" w:hint="eastAsia"/>
                <w:szCs w:val="24"/>
              </w:rPr>
              <w:t>簽訂參與契約，始得成為參與證券商。</w:t>
            </w:r>
          </w:p>
          <w:p w:rsidR="000405B6" w:rsidRDefault="000405B6">
            <w:pPr>
              <w:ind w:leftChars="100" w:left="240" w:firstLineChars="200" w:firstLine="480"/>
              <w:jc w:val="both"/>
              <w:rPr>
                <w:rFonts w:ascii="標楷體" w:eastAsia="標楷體" w:hAnsi="標楷體" w:cs="細明體"/>
                <w:kern w:val="0"/>
              </w:rPr>
            </w:pPr>
            <w:r>
              <w:rPr>
                <w:rFonts w:ascii="標楷體" w:eastAsia="標楷體" w:hAnsi="標楷體" w:hint="eastAsia"/>
                <w:szCs w:val="24"/>
              </w:rPr>
              <w:t>證券商經本中心許可且已擔任參與證券商，或已獲許可而尚未簽約者，自有</w:t>
            </w:r>
            <w:r>
              <w:rPr>
                <w:rFonts w:ascii="標楷體" w:eastAsia="標楷體" w:hAnsi="標楷體" w:hint="eastAsia"/>
                <w:snapToGrid w:val="0"/>
                <w:szCs w:val="24"/>
              </w:rPr>
              <w:t>資本</w:t>
            </w:r>
            <w:r>
              <w:rPr>
                <w:rFonts w:ascii="標楷體" w:eastAsia="標楷體" w:hAnsi="標楷體" w:hint="eastAsia"/>
                <w:szCs w:val="24"/>
              </w:rPr>
              <w:t>適足比率連續二個月低於百分之一百五十者，應停止從事參與證券商，</w:t>
            </w:r>
            <w:proofErr w:type="gramStart"/>
            <w:r>
              <w:rPr>
                <w:rFonts w:ascii="標楷體" w:eastAsia="標楷體" w:hAnsi="標楷體" w:hint="eastAsia"/>
                <w:szCs w:val="24"/>
              </w:rPr>
              <w:t>俟</w:t>
            </w:r>
            <w:proofErr w:type="gramEnd"/>
            <w:r>
              <w:rPr>
                <w:rFonts w:ascii="標楷體" w:eastAsia="標楷體" w:hAnsi="標楷體" w:hint="eastAsia"/>
                <w:szCs w:val="24"/>
              </w:rPr>
              <w:t>連續三個月符合自有資本比率規定，並報經本中心同意後，始得恢復。</w:t>
            </w:r>
          </w:p>
        </w:tc>
        <w:tc>
          <w:tcPr>
            <w:tcW w:w="3289" w:type="dxa"/>
          </w:tcPr>
          <w:p w:rsidR="000405B6" w:rsidRDefault="000405B6">
            <w:pPr>
              <w:ind w:left="240" w:hangingChars="100" w:hanging="240"/>
              <w:jc w:val="both"/>
              <w:rPr>
                <w:rFonts w:ascii="標楷體" w:eastAsia="標楷體" w:hAnsi="標楷體"/>
                <w:szCs w:val="24"/>
              </w:rPr>
            </w:pPr>
            <w:r>
              <w:rPr>
                <w:rFonts w:ascii="標楷體" w:eastAsia="標楷體" w:hAnsi="標楷體" w:hint="eastAsia"/>
                <w:szCs w:val="24"/>
              </w:rPr>
              <w:lastRenderedPageBreak/>
              <w:t>第十</w:t>
            </w:r>
            <w:r w:rsidRPr="00F8303B">
              <w:rPr>
                <w:rFonts w:ascii="標楷體" w:eastAsia="標楷體" w:hAnsi="標楷體" w:hint="eastAsia"/>
                <w:szCs w:val="24"/>
              </w:rPr>
              <w:t>二</w:t>
            </w:r>
            <w:r>
              <w:rPr>
                <w:rFonts w:ascii="標楷體" w:eastAsia="標楷體" w:hAnsi="標楷體" w:hint="eastAsia"/>
                <w:szCs w:val="24"/>
              </w:rPr>
              <w:t>條</w:t>
            </w:r>
            <w:r w:rsidRPr="00F8303B">
              <w:rPr>
                <w:rFonts w:ascii="標楷體" w:eastAsia="標楷體" w:hAnsi="標楷體" w:hint="eastAsia"/>
                <w:szCs w:val="24"/>
              </w:rPr>
              <w:t>之</w:t>
            </w:r>
            <w:proofErr w:type="gramStart"/>
            <w:r w:rsidRPr="00F8303B">
              <w:rPr>
                <w:rFonts w:ascii="標楷體" w:eastAsia="標楷體" w:hAnsi="標楷體" w:hint="eastAsia"/>
                <w:szCs w:val="24"/>
              </w:rPr>
              <w:t>一</w:t>
            </w:r>
            <w:proofErr w:type="gramEnd"/>
            <w:r>
              <w:rPr>
                <w:rFonts w:ascii="標楷體" w:eastAsia="標楷體" w:hAnsi="標楷體" w:hint="eastAsia"/>
                <w:szCs w:val="24"/>
              </w:rPr>
              <w:t xml:space="preserve">　證券商與證券投資信託事業簽訂前條第一項之相關契約者，稱為參與證券商，其應符合下列條件，並經本中心審查後核發許可函：</w:t>
            </w:r>
          </w:p>
          <w:p w:rsidR="000405B6" w:rsidRDefault="000405B6">
            <w:pPr>
              <w:ind w:left="240" w:hangingChars="100" w:hanging="240"/>
              <w:rPr>
                <w:rFonts w:ascii="標楷體" w:eastAsia="標楷體" w:hAnsi="標楷體"/>
                <w:szCs w:val="24"/>
              </w:rPr>
            </w:pPr>
          </w:p>
          <w:p w:rsidR="000405B6" w:rsidRDefault="000405B6" w:rsidP="003C6697">
            <w:pPr>
              <w:tabs>
                <w:tab w:val="left" w:pos="723"/>
              </w:tabs>
              <w:ind w:leftChars="100" w:left="720" w:hangingChars="200" w:hanging="480"/>
              <w:jc w:val="both"/>
              <w:rPr>
                <w:rFonts w:ascii="標楷體" w:eastAsia="標楷體" w:hAnsi="標楷體"/>
                <w:szCs w:val="24"/>
              </w:rPr>
            </w:pPr>
            <w:r>
              <w:rPr>
                <w:rFonts w:ascii="標楷體" w:eastAsia="標楷體" w:hAnsi="標楷體" w:hint="eastAsia"/>
                <w:szCs w:val="24"/>
              </w:rPr>
              <w:t>一、</w:t>
            </w:r>
            <w:r w:rsidR="003C6697">
              <w:rPr>
                <w:rFonts w:ascii="標楷體" w:eastAsia="標楷體" w:hAnsi="標楷體"/>
                <w:szCs w:val="24"/>
              </w:rPr>
              <w:tab/>
            </w:r>
            <w:r>
              <w:rPr>
                <w:rFonts w:ascii="標楷體" w:eastAsia="標楷體" w:hAnsi="標楷體" w:hint="eastAsia"/>
                <w:szCs w:val="24"/>
              </w:rPr>
              <w:t>證券商除由金融機構兼營者之資本適足比率，依銀行法第四十四條資本適足率相關規定外，其最近6個月自有資本適足</w:t>
            </w:r>
            <w:proofErr w:type="gramStart"/>
            <w:r>
              <w:rPr>
                <w:rFonts w:ascii="標楷體" w:eastAsia="標楷體" w:hAnsi="標楷體" w:hint="eastAsia"/>
                <w:szCs w:val="24"/>
              </w:rPr>
              <w:t>比率均逾百分之一百五十</w:t>
            </w:r>
            <w:proofErr w:type="gramEnd"/>
            <w:r>
              <w:rPr>
                <w:rFonts w:ascii="標楷體" w:eastAsia="標楷體" w:hAnsi="標楷體" w:hint="eastAsia"/>
                <w:szCs w:val="24"/>
              </w:rPr>
              <w:t>。但外國證券商在台分公司如其母國總公司已依其當地國法令之規定計算自有資本適足比率，且將在台分公司之經營風險列入計算，符合標準並經金融監督管理委員會核准免適用國內證券商自有資本管理之規定，不在此限。</w:t>
            </w:r>
          </w:p>
          <w:p w:rsidR="000405B6" w:rsidRDefault="000405B6" w:rsidP="003C6697">
            <w:pPr>
              <w:tabs>
                <w:tab w:val="left" w:pos="723"/>
              </w:tabs>
              <w:ind w:leftChars="100" w:left="720" w:hangingChars="200" w:hanging="480"/>
              <w:jc w:val="both"/>
              <w:rPr>
                <w:rFonts w:ascii="標楷體" w:eastAsia="標楷體" w:hAnsi="標楷體"/>
                <w:szCs w:val="24"/>
              </w:rPr>
            </w:pPr>
            <w:r>
              <w:rPr>
                <w:rFonts w:ascii="標楷體" w:eastAsia="標楷體" w:hAnsi="標楷體" w:hint="eastAsia"/>
                <w:szCs w:val="24"/>
              </w:rPr>
              <w:t>二、</w:t>
            </w:r>
            <w:r w:rsidR="003C6697">
              <w:rPr>
                <w:rFonts w:ascii="標楷體" w:eastAsia="標楷體" w:hAnsi="標楷體"/>
                <w:szCs w:val="24"/>
              </w:rPr>
              <w:tab/>
            </w:r>
            <w:r>
              <w:rPr>
                <w:rFonts w:ascii="標楷體" w:eastAsia="標楷體" w:hAnsi="標楷體" w:hint="eastAsia"/>
                <w:szCs w:val="24"/>
              </w:rPr>
              <w:t>應取得信用評等機構評定之長期債務信用評等達一定等級以上：中華信用評等股份有限公司評級為</w:t>
            </w:r>
            <w:proofErr w:type="spellStart"/>
            <w:r>
              <w:rPr>
                <w:rFonts w:ascii="標楷體" w:eastAsia="標楷體" w:hAnsi="標楷體" w:hint="eastAsia"/>
                <w:szCs w:val="24"/>
              </w:rPr>
              <w:t>twBB</w:t>
            </w:r>
            <w:proofErr w:type="spellEnd"/>
            <w:r>
              <w:rPr>
                <w:rFonts w:ascii="標楷體" w:eastAsia="標楷體" w:hAnsi="標楷體" w:hint="eastAsia"/>
                <w:szCs w:val="24"/>
              </w:rPr>
              <w:t xml:space="preserve">-級以上，或Moody's Service評級Ba3級以上，或Standard &amp; Poor's Corp.評級 BB-級以上，或 </w:t>
            </w:r>
            <w:proofErr w:type="spellStart"/>
            <w:r>
              <w:rPr>
                <w:rFonts w:ascii="標楷體" w:eastAsia="標楷體" w:hAnsi="標楷體" w:hint="eastAsia"/>
                <w:szCs w:val="24"/>
              </w:rPr>
              <w:lastRenderedPageBreak/>
              <w:t>FitchInc</w:t>
            </w:r>
            <w:proofErr w:type="spellEnd"/>
            <w:r>
              <w:rPr>
                <w:rFonts w:ascii="標楷體" w:eastAsia="標楷體" w:hAnsi="標楷體" w:hint="eastAsia"/>
                <w:szCs w:val="24"/>
              </w:rPr>
              <w:t>.評級 BB-級以上之信用評等。金融機構兼營者得</w:t>
            </w:r>
            <w:proofErr w:type="gramStart"/>
            <w:r>
              <w:rPr>
                <w:rFonts w:ascii="標楷體" w:eastAsia="標楷體" w:hAnsi="標楷體" w:hint="eastAsia"/>
                <w:szCs w:val="24"/>
              </w:rPr>
              <w:t>採</w:t>
            </w:r>
            <w:proofErr w:type="gramEnd"/>
            <w:r>
              <w:rPr>
                <w:rFonts w:ascii="標楷體" w:eastAsia="標楷體" w:hAnsi="標楷體" w:hint="eastAsia"/>
                <w:szCs w:val="24"/>
              </w:rPr>
              <w:t>金融機構之信用評級，外國證券商在台分公司得</w:t>
            </w:r>
            <w:proofErr w:type="gramStart"/>
            <w:r>
              <w:rPr>
                <w:rFonts w:ascii="標楷體" w:eastAsia="標楷體" w:hAnsi="標楷體" w:hint="eastAsia"/>
                <w:szCs w:val="24"/>
              </w:rPr>
              <w:t>採</w:t>
            </w:r>
            <w:proofErr w:type="gramEnd"/>
            <w:r>
              <w:rPr>
                <w:rFonts w:ascii="標楷體" w:eastAsia="標楷體" w:hAnsi="標楷體" w:hint="eastAsia"/>
                <w:szCs w:val="24"/>
              </w:rPr>
              <w:t>集團控股公司之信用評級。</w:t>
            </w:r>
          </w:p>
          <w:p w:rsidR="000405B6" w:rsidRDefault="000405B6">
            <w:pPr>
              <w:ind w:leftChars="100" w:left="240" w:firstLineChars="200" w:firstLine="480"/>
              <w:jc w:val="both"/>
              <w:rPr>
                <w:rFonts w:ascii="標楷體" w:eastAsia="標楷體" w:hAnsi="標楷體"/>
                <w:szCs w:val="24"/>
              </w:rPr>
            </w:pPr>
            <w:r>
              <w:rPr>
                <w:rFonts w:ascii="標楷體" w:eastAsia="標楷體" w:hAnsi="標楷體" w:hint="eastAsia"/>
                <w:szCs w:val="24"/>
              </w:rPr>
              <w:t>證券商應於取得本中心許可函後三</w:t>
            </w:r>
            <w:proofErr w:type="gramStart"/>
            <w:r>
              <w:rPr>
                <w:rFonts w:ascii="標楷體" w:eastAsia="標楷體" w:hAnsi="標楷體" w:hint="eastAsia"/>
                <w:szCs w:val="24"/>
              </w:rPr>
              <w:t>個</w:t>
            </w:r>
            <w:proofErr w:type="gramEnd"/>
            <w:r>
              <w:rPr>
                <w:rFonts w:ascii="標楷體" w:eastAsia="標楷體" w:hAnsi="標楷體" w:hint="eastAsia"/>
                <w:szCs w:val="24"/>
              </w:rPr>
              <w:t>月內，與發行指數股票型基金受益憑證之證券投資信託事業簽訂參與契約，始得成為參與證券商。</w:t>
            </w:r>
          </w:p>
          <w:p w:rsidR="000405B6" w:rsidRDefault="000405B6">
            <w:pPr>
              <w:rPr>
                <w:rFonts w:ascii="標楷體" w:eastAsia="標楷體" w:hAnsi="標楷體"/>
                <w:szCs w:val="24"/>
              </w:rPr>
            </w:pPr>
          </w:p>
          <w:p w:rsidR="000405B6" w:rsidRDefault="000405B6">
            <w:pPr>
              <w:ind w:leftChars="100" w:left="240" w:firstLineChars="200" w:firstLine="480"/>
              <w:jc w:val="both"/>
              <w:rPr>
                <w:rFonts w:ascii="標楷體" w:eastAsia="標楷體" w:hAnsi="標楷體"/>
                <w:szCs w:val="24"/>
              </w:rPr>
            </w:pPr>
            <w:r>
              <w:rPr>
                <w:rFonts w:ascii="標楷體" w:eastAsia="標楷體" w:hAnsi="標楷體" w:hint="eastAsia"/>
                <w:szCs w:val="24"/>
              </w:rPr>
              <w:t>證券商經本中心許可且已擔任參與證券商，或已獲許可而尚未簽約者，自有</w:t>
            </w:r>
            <w:r>
              <w:rPr>
                <w:rFonts w:ascii="標楷體" w:eastAsia="標楷體" w:hAnsi="標楷體" w:hint="eastAsia"/>
                <w:snapToGrid w:val="0"/>
                <w:szCs w:val="24"/>
              </w:rPr>
              <w:t>資本</w:t>
            </w:r>
            <w:r>
              <w:rPr>
                <w:rFonts w:ascii="標楷體" w:eastAsia="標楷體" w:hAnsi="標楷體" w:hint="eastAsia"/>
                <w:szCs w:val="24"/>
              </w:rPr>
              <w:t>適足比率連續二個月低於百分之一百五十者，應停止從事參與證券商，</w:t>
            </w:r>
            <w:proofErr w:type="gramStart"/>
            <w:r>
              <w:rPr>
                <w:rFonts w:ascii="標楷體" w:eastAsia="標楷體" w:hAnsi="標楷體" w:hint="eastAsia"/>
                <w:szCs w:val="24"/>
              </w:rPr>
              <w:t>俟</w:t>
            </w:r>
            <w:proofErr w:type="gramEnd"/>
            <w:r>
              <w:rPr>
                <w:rFonts w:ascii="標楷體" w:eastAsia="標楷體" w:hAnsi="標楷體" w:hint="eastAsia"/>
                <w:szCs w:val="24"/>
              </w:rPr>
              <w:t>連續三個月符合自有資本比率規定，並報經本中心同意後，始得恢復。</w:t>
            </w:r>
          </w:p>
        </w:tc>
        <w:tc>
          <w:tcPr>
            <w:tcW w:w="3276" w:type="dxa"/>
            <w:hideMark/>
          </w:tcPr>
          <w:p w:rsidR="000405B6" w:rsidRDefault="000405B6" w:rsidP="00F8303B">
            <w:pPr>
              <w:pStyle w:val="a4"/>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0"/>
              <w:jc w:val="both"/>
              <w:rPr>
                <w:rFonts w:eastAsia="標楷體" w:hAnsi="標楷體"/>
                <w:color w:val="000000"/>
                <w:kern w:val="0"/>
              </w:rPr>
            </w:pPr>
            <w:r>
              <w:rPr>
                <w:rFonts w:ascii="Book Antiqua" w:eastAsia="標楷體" w:hAnsi="標楷體" w:hint="eastAsia"/>
              </w:rPr>
              <w:lastRenderedPageBreak/>
              <w:t>明定</w:t>
            </w:r>
            <w:r>
              <w:rPr>
                <w:rFonts w:eastAsia="標楷體" w:hint="eastAsia"/>
                <w:color w:val="000000"/>
              </w:rPr>
              <w:t>指數股票型期貨信託基金適用之參與證券商條件，</w:t>
            </w:r>
            <w:proofErr w:type="gramStart"/>
            <w:r>
              <w:rPr>
                <w:rFonts w:eastAsia="標楷體" w:hint="eastAsia"/>
                <w:color w:val="000000"/>
              </w:rPr>
              <w:t>爰</w:t>
            </w:r>
            <w:proofErr w:type="gramEnd"/>
            <w:r>
              <w:rPr>
                <w:rFonts w:eastAsia="標楷體" w:hint="eastAsia"/>
                <w:color w:val="000000"/>
              </w:rPr>
              <w:t>修正第</w:t>
            </w:r>
            <w:r>
              <w:rPr>
                <w:rFonts w:eastAsia="標楷體"/>
                <w:color w:val="000000"/>
              </w:rPr>
              <w:t>1</w:t>
            </w:r>
            <w:r>
              <w:rPr>
                <w:rFonts w:eastAsia="標楷體" w:hint="eastAsia"/>
                <w:color w:val="000000"/>
              </w:rPr>
              <w:t>項及第</w:t>
            </w:r>
            <w:r>
              <w:rPr>
                <w:rFonts w:eastAsia="標楷體"/>
                <w:color w:val="000000"/>
              </w:rPr>
              <w:t>2</w:t>
            </w:r>
            <w:r>
              <w:rPr>
                <w:rFonts w:eastAsia="標楷體" w:hint="eastAsia"/>
                <w:color w:val="000000"/>
              </w:rPr>
              <w:t>項之規定。</w:t>
            </w:r>
          </w:p>
        </w:tc>
      </w:tr>
      <w:tr w:rsidR="000405B6" w:rsidTr="000405B6">
        <w:tc>
          <w:tcPr>
            <w:tcW w:w="3285" w:type="dxa"/>
          </w:tcPr>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rPr>
            </w:pPr>
            <w:r>
              <w:rPr>
                <w:rFonts w:ascii="標楷體" w:eastAsia="標楷體" w:hAnsi="標楷體" w:cs="細明體" w:hint="eastAsia"/>
                <w:kern w:val="0"/>
              </w:rPr>
              <w:t>第十</w:t>
            </w:r>
            <w:r w:rsidR="006C1C5C" w:rsidRPr="006C1C5C">
              <w:rPr>
                <w:rFonts w:ascii="標楷體" w:eastAsia="標楷體" w:hAnsi="標楷體" w:hint="eastAsia"/>
              </w:rPr>
              <w:t>三</w:t>
            </w:r>
            <w:r>
              <w:rPr>
                <w:rFonts w:ascii="標楷體" w:eastAsia="標楷體" w:hAnsi="標楷體" w:cs="細明體" w:hint="eastAsia"/>
                <w:kern w:val="0"/>
              </w:rPr>
              <w:t xml:space="preserve">條　</w:t>
            </w:r>
            <w:r>
              <w:rPr>
                <w:rFonts w:ascii="標楷體" w:eastAsia="標楷體" w:hAnsi="標楷體" w:hint="eastAsia"/>
              </w:rPr>
              <w:t>證券商同日自行買進或受同一帳戶委託買進國內成分證券指數股票型</w:t>
            </w:r>
            <w:r>
              <w:rPr>
                <w:rFonts w:ascii="標楷體" w:eastAsia="標楷體" w:hAnsi="標楷體" w:hint="eastAsia"/>
                <w:color w:val="FF0000"/>
                <w:u w:val="single"/>
              </w:rPr>
              <w:t>證券投資信託</w:t>
            </w:r>
            <w:r>
              <w:rPr>
                <w:rFonts w:ascii="標楷體" w:eastAsia="標楷體" w:hAnsi="標楷體" w:hint="eastAsia"/>
              </w:rPr>
              <w:t>基金標的指數成分股票組合，或</w:t>
            </w:r>
            <w:proofErr w:type="gramStart"/>
            <w:r>
              <w:rPr>
                <w:rFonts w:ascii="標楷體" w:eastAsia="標楷體" w:hAnsi="標楷體" w:hint="eastAsia"/>
              </w:rPr>
              <w:t>加計原持有</w:t>
            </w:r>
            <w:proofErr w:type="gramEnd"/>
            <w:r>
              <w:rPr>
                <w:rFonts w:ascii="標楷體" w:eastAsia="標楷體" w:hAnsi="標楷體" w:hint="eastAsia"/>
              </w:rPr>
              <w:t>、借</w:t>
            </w:r>
            <w:proofErr w:type="gramStart"/>
            <w:r>
              <w:rPr>
                <w:rFonts w:ascii="標楷體" w:eastAsia="標楷體" w:hAnsi="標楷體" w:hint="eastAsia"/>
              </w:rPr>
              <w:t>券</w:t>
            </w:r>
            <w:proofErr w:type="gramEnd"/>
            <w:r>
              <w:rPr>
                <w:rFonts w:ascii="標楷體" w:eastAsia="標楷體" w:hAnsi="標楷體" w:hint="eastAsia"/>
              </w:rPr>
              <w:t>、前一日買進及前一日實物買回取得之股票總額，達實物申購該受益憑證之規定，並賣出同數量受益憑證者；或同日自行買進或受同一帳戶委託買進國內成分證券指數股票型</w:t>
            </w:r>
            <w:r>
              <w:rPr>
                <w:rFonts w:ascii="標楷體" w:eastAsia="標楷體" w:hAnsi="標楷體" w:hint="eastAsia"/>
                <w:color w:val="FF0000"/>
                <w:u w:val="single"/>
              </w:rPr>
              <w:t>證券投資信託</w:t>
            </w:r>
            <w:r>
              <w:rPr>
                <w:rFonts w:ascii="標楷體" w:eastAsia="標楷體" w:hAnsi="標楷體" w:hint="eastAsia"/>
              </w:rPr>
              <w:t>基金受益憑證，或</w:t>
            </w:r>
            <w:proofErr w:type="gramStart"/>
            <w:r>
              <w:rPr>
                <w:rFonts w:ascii="標楷體" w:eastAsia="標楷體" w:hAnsi="標楷體" w:hint="eastAsia"/>
              </w:rPr>
              <w:t>加計原持有</w:t>
            </w:r>
            <w:proofErr w:type="gramEnd"/>
            <w:r>
              <w:rPr>
                <w:rFonts w:ascii="標楷體" w:eastAsia="標楷體" w:hAnsi="標楷體" w:hint="eastAsia"/>
              </w:rPr>
              <w:t>、借</w:t>
            </w:r>
            <w:proofErr w:type="gramStart"/>
            <w:r>
              <w:rPr>
                <w:rFonts w:ascii="標楷體" w:eastAsia="標楷體" w:hAnsi="標楷體" w:hint="eastAsia"/>
              </w:rPr>
              <w:t>券</w:t>
            </w:r>
            <w:proofErr w:type="gramEnd"/>
            <w:r>
              <w:rPr>
                <w:rFonts w:ascii="標楷體" w:eastAsia="標楷體" w:hAnsi="標楷體" w:hint="eastAsia"/>
              </w:rPr>
              <w:t>、前一日買進及前一日實物申購取得之該受益憑證總額，達實物買回該基金標的指數成分股票組合之規定，並賣出同數量該基金標的指數成分股票組合者，其給付結算及後續相關事項，依下列規定辦理：</w:t>
            </w:r>
          </w:p>
          <w:p w:rsidR="000405B6" w:rsidRDefault="000405B6" w:rsidP="00EE34D4">
            <w:pPr>
              <w:tabs>
                <w:tab w:val="left" w:pos="723"/>
              </w:tabs>
              <w:ind w:leftChars="100" w:left="720" w:hangingChars="200" w:hanging="480"/>
              <w:jc w:val="both"/>
              <w:rPr>
                <w:rFonts w:ascii="標楷體" w:eastAsia="標楷體" w:hAnsi="標楷體"/>
              </w:rPr>
            </w:pPr>
            <w:r>
              <w:rPr>
                <w:rFonts w:ascii="標楷體" w:eastAsia="標楷體" w:hAnsi="標楷體" w:hint="eastAsia"/>
              </w:rPr>
              <w:lastRenderedPageBreak/>
              <w:t>一、</w:t>
            </w:r>
            <w:r w:rsidR="00EE34D4">
              <w:rPr>
                <w:rFonts w:ascii="標楷體" w:eastAsia="標楷體" w:hAnsi="標楷體"/>
              </w:rPr>
              <w:tab/>
            </w:r>
            <w:r>
              <w:rPr>
                <w:rFonts w:ascii="標楷體" w:eastAsia="標楷體" w:hAnsi="標楷體" w:hint="eastAsia"/>
              </w:rPr>
              <w:t>於成交日經由電腦連線作業向本中心申報，需辦理延後交割者，應</w:t>
            </w:r>
            <w:proofErr w:type="gramStart"/>
            <w:r>
              <w:rPr>
                <w:rFonts w:ascii="標楷體" w:eastAsia="標楷體" w:hAnsi="標楷體" w:hint="eastAsia"/>
              </w:rPr>
              <w:t>併</w:t>
            </w:r>
            <w:proofErr w:type="gramEnd"/>
            <w:r>
              <w:rPr>
                <w:rFonts w:ascii="標楷體" w:eastAsia="標楷體" w:hAnsi="標楷體" w:hint="eastAsia"/>
              </w:rPr>
              <w:t>同提出申請。</w:t>
            </w:r>
          </w:p>
          <w:p w:rsidR="000405B6" w:rsidRDefault="000405B6" w:rsidP="00EE34D4">
            <w:pPr>
              <w:tabs>
                <w:tab w:val="left" w:pos="723"/>
              </w:tabs>
              <w:ind w:leftChars="100" w:left="720" w:hangingChars="200" w:hanging="480"/>
              <w:jc w:val="both"/>
              <w:rPr>
                <w:rFonts w:ascii="標楷體" w:eastAsia="標楷體" w:hAnsi="標楷體"/>
              </w:rPr>
            </w:pPr>
            <w:r>
              <w:rPr>
                <w:rFonts w:ascii="標楷體" w:eastAsia="標楷體" w:hAnsi="標楷體" w:hint="eastAsia"/>
              </w:rPr>
              <w:t>二、</w:t>
            </w:r>
            <w:r w:rsidR="00EE34D4">
              <w:rPr>
                <w:rFonts w:ascii="標楷體" w:eastAsia="標楷體" w:hAnsi="標楷體"/>
              </w:rPr>
              <w:tab/>
            </w:r>
            <w:r>
              <w:rPr>
                <w:rFonts w:ascii="標楷體" w:eastAsia="標楷體" w:hAnsi="標楷體" w:hint="eastAsia"/>
              </w:rPr>
              <w:t>賣出指數股票型</w:t>
            </w:r>
            <w:r>
              <w:rPr>
                <w:rFonts w:ascii="標楷體" w:eastAsia="標楷體" w:hAnsi="標楷體" w:hint="eastAsia"/>
                <w:color w:val="FF0000"/>
                <w:u w:val="single"/>
              </w:rPr>
              <w:t>證券投資信託</w:t>
            </w:r>
            <w:r>
              <w:rPr>
                <w:rFonts w:ascii="標楷體" w:eastAsia="標楷體" w:hAnsi="標楷體" w:hint="eastAsia"/>
              </w:rPr>
              <w:t>基金受益憑證或該基金標的指數成分股票組合，而依前款申報並提出延後交割之申請者，本中心於審核認可後即製作報表及電子</w:t>
            </w:r>
            <w:proofErr w:type="gramStart"/>
            <w:r>
              <w:rPr>
                <w:rFonts w:ascii="標楷體" w:eastAsia="標楷體" w:hAnsi="標楷體" w:hint="eastAsia"/>
              </w:rPr>
              <w:t>檔</w:t>
            </w:r>
            <w:proofErr w:type="gramEnd"/>
            <w:r>
              <w:rPr>
                <w:rFonts w:ascii="標楷體" w:eastAsia="標楷體" w:hAnsi="標楷體" w:hint="eastAsia"/>
              </w:rPr>
              <w:t>傳送證券集中保管事業憑以辦理相關作業；上開作業不適用本中心業務規則第八十六條之</w:t>
            </w:r>
            <w:proofErr w:type="gramStart"/>
            <w:r>
              <w:rPr>
                <w:rFonts w:ascii="標楷體" w:eastAsia="標楷體" w:hAnsi="標楷體" w:hint="eastAsia"/>
              </w:rPr>
              <w:t>一</w:t>
            </w:r>
            <w:proofErr w:type="gramEnd"/>
            <w:r>
              <w:rPr>
                <w:rFonts w:ascii="標楷體" w:eastAsia="標楷體" w:hAnsi="標楷體" w:hint="eastAsia"/>
              </w:rPr>
              <w:t>規定。</w:t>
            </w:r>
          </w:p>
          <w:p w:rsidR="000405B6" w:rsidRDefault="000405B6" w:rsidP="00EE34D4">
            <w:pPr>
              <w:tabs>
                <w:tab w:val="left" w:pos="723"/>
              </w:tabs>
              <w:ind w:leftChars="100" w:left="720" w:hangingChars="200" w:hanging="480"/>
              <w:jc w:val="both"/>
              <w:rPr>
                <w:rFonts w:ascii="標楷體" w:eastAsia="標楷體" w:hAnsi="標楷體"/>
              </w:rPr>
            </w:pPr>
            <w:r>
              <w:rPr>
                <w:rFonts w:ascii="標楷體" w:eastAsia="標楷體" w:hAnsi="標楷體" w:hint="eastAsia"/>
              </w:rPr>
              <w:t>三、</w:t>
            </w:r>
            <w:r w:rsidR="00EE34D4">
              <w:rPr>
                <w:rFonts w:ascii="標楷體" w:eastAsia="標楷體" w:hAnsi="標楷體"/>
              </w:rPr>
              <w:tab/>
            </w:r>
            <w:r>
              <w:rPr>
                <w:rFonts w:ascii="標楷體" w:eastAsia="標楷體" w:hAnsi="標楷體" w:hint="eastAsia"/>
              </w:rPr>
              <w:t>其於成交日後第二營業日完成買進國內成分證券指數股票型</w:t>
            </w:r>
            <w:r>
              <w:rPr>
                <w:rFonts w:ascii="標楷體" w:eastAsia="標楷體" w:hAnsi="標楷體" w:hint="eastAsia"/>
                <w:color w:val="FF0000"/>
                <w:u w:val="single"/>
              </w:rPr>
              <w:t>證券投資信託</w:t>
            </w:r>
            <w:r>
              <w:rPr>
                <w:rFonts w:ascii="標楷體" w:eastAsia="標楷體" w:hAnsi="標楷體" w:hint="eastAsia"/>
              </w:rPr>
              <w:t>基金標的指數成分股票組合或受益憑證及其他買進應付價款之交割後，應取得之成分股票組合或受益憑證，應</w:t>
            </w:r>
            <w:proofErr w:type="gramStart"/>
            <w:r>
              <w:rPr>
                <w:rFonts w:ascii="標楷體" w:eastAsia="標楷體" w:hAnsi="標楷體" w:hint="eastAsia"/>
              </w:rPr>
              <w:t>轉充延後</w:t>
            </w:r>
            <w:proofErr w:type="gramEnd"/>
            <w:r>
              <w:rPr>
                <w:rFonts w:ascii="標楷體" w:eastAsia="標楷體" w:hAnsi="標楷體" w:hint="eastAsia"/>
              </w:rPr>
              <w:t>交割之擔保，並由本中心通知證券集中保管事業憑以向證券投資信託事業申請實物申購該受益憑證或實物買回該基金標的指數成分股票組合予以沖銷。</w:t>
            </w:r>
          </w:p>
          <w:p w:rsidR="000405B6" w:rsidRDefault="000405B6" w:rsidP="00EE34D4">
            <w:pPr>
              <w:tabs>
                <w:tab w:val="left" w:pos="723"/>
              </w:tabs>
              <w:ind w:leftChars="100" w:left="720" w:hangingChars="200" w:hanging="480"/>
              <w:jc w:val="both"/>
              <w:rPr>
                <w:rFonts w:ascii="標楷體" w:eastAsia="標楷體" w:hAnsi="標楷體"/>
              </w:rPr>
            </w:pPr>
            <w:r>
              <w:rPr>
                <w:rFonts w:ascii="標楷體" w:eastAsia="標楷體" w:hAnsi="標楷體" w:hint="eastAsia"/>
              </w:rPr>
              <w:t>四、</w:t>
            </w:r>
            <w:r w:rsidR="00EE34D4">
              <w:rPr>
                <w:rFonts w:ascii="標楷體" w:eastAsia="標楷體" w:hAnsi="標楷體"/>
              </w:rPr>
              <w:tab/>
            </w:r>
            <w:r>
              <w:rPr>
                <w:rFonts w:ascii="標楷體" w:eastAsia="標楷體" w:hAnsi="標楷體" w:hint="eastAsia"/>
              </w:rPr>
              <w:t>在臺灣證券交易所上市交易之國內成分證券指數股票型證券投資信託基金標的指數成分證券組合含上櫃股票者，對其賣出上櫃股票部分，本中心於接獲臺灣證券交易所之申請後，即依第二款規定製作報表及電子</w:t>
            </w:r>
            <w:proofErr w:type="gramStart"/>
            <w:r>
              <w:rPr>
                <w:rFonts w:ascii="標楷體" w:eastAsia="標楷體" w:hAnsi="標楷體" w:hint="eastAsia"/>
              </w:rPr>
              <w:t>檔</w:t>
            </w:r>
            <w:proofErr w:type="gramEnd"/>
            <w:r>
              <w:rPr>
                <w:rFonts w:ascii="標楷體" w:eastAsia="標楷體" w:hAnsi="標楷體" w:hint="eastAsia"/>
              </w:rPr>
              <w:t>傳送證券集中保管事業。</w:t>
            </w:r>
          </w:p>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rPr>
              <w:lastRenderedPageBreak/>
              <w:t>證券商自行或受託辦理標的指數成分</w:t>
            </w:r>
            <w:proofErr w:type="gramStart"/>
            <w:r>
              <w:rPr>
                <w:rFonts w:ascii="標楷體" w:eastAsia="標楷體" w:hAnsi="標楷體" w:cs="細明體" w:hint="eastAsia"/>
                <w:kern w:val="0"/>
              </w:rPr>
              <w:t>證券均為股票</w:t>
            </w:r>
            <w:proofErr w:type="gramEnd"/>
            <w:r>
              <w:rPr>
                <w:rFonts w:ascii="標楷體" w:eastAsia="標楷體" w:hAnsi="標楷體" w:cs="細明體" w:hint="eastAsia"/>
                <w:kern w:val="0"/>
              </w:rPr>
              <w:t>之國內及國外成分證券指數股票型</w:t>
            </w:r>
            <w:r>
              <w:rPr>
                <w:rFonts w:ascii="標楷體" w:eastAsia="標楷體" w:hAnsi="標楷體" w:cs="細明體" w:hint="eastAsia"/>
                <w:color w:val="FF0000"/>
                <w:kern w:val="0"/>
                <w:u w:val="single"/>
              </w:rPr>
              <w:t>證券投資信託</w:t>
            </w:r>
            <w:r>
              <w:rPr>
                <w:rFonts w:ascii="標楷體" w:eastAsia="標楷體" w:hAnsi="標楷體" w:cs="細明體" w:hint="eastAsia"/>
                <w:kern w:val="0"/>
              </w:rPr>
              <w:t>基金受益憑證</w:t>
            </w:r>
            <w:r w:rsidR="00CB1017" w:rsidRPr="00CB1017">
              <w:rPr>
                <w:rFonts w:ascii="標楷體" w:eastAsia="標楷體" w:hAnsi="標楷體" w:cs="細明體" w:hint="eastAsia"/>
                <w:color w:val="FF0000"/>
                <w:kern w:val="0"/>
                <w:u w:val="single"/>
              </w:rPr>
              <w:t>，</w:t>
            </w:r>
            <w:r>
              <w:rPr>
                <w:rFonts w:ascii="標楷體" w:eastAsia="標楷體" w:hAnsi="標楷體" w:cs="細明體" w:hint="eastAsia"/>
                <w:color w:val="FF0000"/>
                <w:kern w:val="0"/>
                <w:u w:val="single"/>
              </w:rPr>
              <w:t>及指數股票型期貨信託基金受益憑證</w:t>
            </w:r>
            <w:r>
              <w:rPr>
                <w:rFonts w:ascii="標楷體" w:eastAsia="標楷體" w:hAnsi="標楷體" w:cs="細明體" w:hint="eastAsia"/>
                <w:kern w:val="0"/>
              </w:rPr>
              <w:t>申購作業者，除第一項情形及本中心另有規定者外，經證券投資信託事業</w:t>
            </w:r>
            <w:r>
              <w:rPr>
                <w:rFonts w:ascii="標楷體" w:eastAsia="標楷體" w:hAnsi="標楷體" w:cs="細明體" w:hint="eastAsia"/>
                <w:color w:val="FF0000"/>
                <w:kern w:val="0"/>
                <w:u w:val="single"/>
              </w:rPr>
              <w:t>或期貨信託事業</w:t>
            </w:r>
            <w:r>
              <w:rPr>
                <w:rFonts w:ascii="標楷體" w:eastAsia="標楷體" w:hAnsi="標楷體" w:cs="細明體" w:hint="eastAsia"/>
                <w:kern w:val="0"/>
              </w:rPr>
              <w:t>確認後，該受益憑證於證券集中保管事業帳簿劃撥交付日之前一營業日即得賣出。</w:t>
            </w:r>
          </w:p>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sidRPr="00EE34D4">
              <w:rPr>
                <w:rFonts w:ascii="標楷體" w:eastAsia="標楷體" w:hAnsi="標楷體" w:cs="細明體" w:hint="eastAsia"/>
                <w:kern w:val="0"/>
              </w:rPr>
              <w:t>證券商自行或受託辦理國內外債券成分之指數股票型</w:t>
            </w:r>
            <w:r w:rsidRPr="00EE34D4">
              <w:rPr>
                <w:rFonts w:ascii="標楷體" w:eastAsia="標楷體" w:hAnsi="標楷體" w:cs="細明體" w:hint="eastAsia"/>
                <w:color w:val="FF0000"/>
                <w:kern w:val="0"/>
                <w:u w:val="single"/>
              </w:rPr>
              <w:t>證券投資信託</w:t>
            </w:r>
            <w:r w:rsidRPr="00EE34D4">
              <w:rPr>
                <w:rFonts w:ascii="標楷體" w:eastAsia="標楷體" w:hAnsi="標楷體" w:cs="細明體" w:hint="eastAsia"/>
                <w:kern w:val="0"/>
              </w:rPr>
              <w:t>基金受益憑證申購作業，經證券投資信託事業確認後，該受益憑證於申購後次一營業日即得賣出。但證券商自行或受託辦理國內外債券成分之指數股票型</w:t>
            </w:r>
            <w:r w:rsidRPr="00EE34D4">
              <w:rPr>
                <w:rFonts w:ascii="標楷體" w:eastAsia="標楷體" w:hAnsi="標楷體" w:cs="細明體" w:hint="eastAsia"/>
                <w:color w:val="FF0000"/>
                <w:kern w:val="0"/>
                <w:u w:val="single"/>
              </w:rPr>
              <w:t>證券投資信託</w:t>
            </w:r>
            <w:r w:rsidRPr="00EE34D4">
              <w:rPr>
                <w:rFonts w:ascii="標楷體" w:eastAsia="標楷體" w:hAnsi="標楷體" w:cs="細明體" w:hint="eastAsia"/>
                <w:kern w:val="0"/>
              </w:rPr>
              <w:t>基金受益憑證實物申購作業，於申購日將該指數股票型</w:t>
            </w:r>
            <w:r w:rsidRPr="00EE34D4">
              <w:rPr>
                <w:rFonts w:ascii="標楷體" w:eastAsia="標楷體" w:hAnsi="標楷體" w:cs="細明體" w:hint="eastAsia"/>
                <w:color w:val="FF0000"/>
                <w:kern w:val="0"/>
                <w:u w:val="single"/>
              </w:rPr>
              <w:t>證券投資信託</w:t>
            </w:r>
            <w:r w:rsidRPr="00EE34D4">
              <w:rPr>
                <w:rFonts w:ascii="標楷體" w:eastAsia="標楷體" w:hAnsi="標楷體" w:cs="細明體" w:hint="eastAsia"/>
                <w:kern w:val="0"/>
              </w:rPr>
              <w:t>基金標的指數成分債券組合交付證券投資信託事業，並經證券投資信託事業確認後，得賣出同數量受益憑證。</w:t>
            </w:r>
          </w:p>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rPr>
              <w:t>證券商自行或受託辦理槓桿反向指數股票型</w:t>
            </w:r>
            <w:r>
              <w:rPr>
                <w:rFonts w:ascii="標楷體" w:eastAsia="標楷體" w:hAnsi="標楷體" w:cs="細明體" w:hint="eastAsia"/>
                <w:color w:val="FF0000"/>
                <w:kern w:val="0"/>
                <w:u w:val="single"/>
              </w:rPr>
              <w:t>證券投資信託</w:t>
            </w:r>
            <w:r>
              <w:rPr>
                <w:rFonts w:ascii="標楷體" w:eastAsia="標楷體" w:hAnsi="標楷體" w:cs="細明體" w:hint="eastAsia"/>
                <w:kern w:val="0"/>
              </w:rPr>
              <w:t>基金受益憑證申購作業，其標的指數成分</w:t>
            </w:r>
            <w:proofErr w:type="gramStart"/>
            <w:r>
              <w:rPr>
                <w:rFonts w:ascii="標楷體" w:eastAsia="標楷體" w:hAnsi="標楷體" w:cs="細明體" w:hint="eastAsia"/>
                <w:kern w:val="0"/>
              </w:rPr>
              <w:t>證券均為國內</w:t>
            </w:r>
            <w:proofErr w:type="gramEnd"/>
            <w:r>
              <w:rPr>
                <w:rFonts w:ascii="標楷體" w:eastAsia="標楷體" w:hAnsi="標楷體" w:cs="細明體" w:hint="eastAsia"/>
                <w:kern w:val="0"/>
              </w:rPr>
              <w:t>有價證券者，經證券投資信託事業確認後，該受益憑證於申購日即得賣出；其標的指數成分證券含一種以上國外有價證券者，經證券投資信託事業確認後，該受益憑證於證券集中保管事業帳簿劃撥交付日之前一營業日即得賣出。</w:t>
            </w:r>
          </w:p>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szCs w:val="24"/>
              </w:rPr>
            </w:pPr>
            <w:r>
              <w:rPr>
                <w:rFonts w:ascii="標楷體" w:eastAsia="標楷體" w:hAnsi="標楷體" w:cs="細明體" w:hint="eastAsia"/>
                <w:kern w:val="0"/>
              </w:rPr>
              <w:lastRenderedPageBreak/>
              <w:t>證券自營商從事第一項及第三項交易，不適用本中心業務規則第七十條之</w:t>
            </w:r>
            <w:proofErr w:type="gramStart"/>
            <w:r>
              <w:rPr>
                <w:rFonts w:ascii="標楷體" w:eastAsia="標楷體" w:hAnsi="標楷體" w:cs="細明體" w:hint="eastAsia"/>
                <w:kern w:val="0"/>
              </w:rPr>
              <w:t>一</w:t>
            </w:r>
            <w:proofErr w:type="gramEnd"/>
            <w:r>
              <w:rPr>
                <w:rFonts w:ascii="標楷體" w:eastAsia="標楷體" w:hAnsi="標楷體" w:cs="細明體" w:hint="eastAsia"/>
                <w:kern w:val="0"/>
              </w:rPr>
              <w:t>之規定。</w:t>
            </w:r>
          </w:p>
        </w:tc>
        <w:tc>
          <w:tcPr>
            <w:tcW w:w="3289" w:type="dxa"/>
          </w:tcPr>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rPr>
            </w:pPr>
            <w:r>
              <w:rPr>
                <w:rFonts w:ascii="標楷體" w:eastAsia="標楷體" w:hAnsi="標楷體" w:cs="細明體" w:hint="eastAsia"/>
                <w:kern w:val="0"/>
              </w:rPr>
              <w:lastRenderedPageBreak/>
              <w:t>第十</w:t>
            </w:r>
            <w:r w:rsidRPr="006C1C5C">
              <w:rPr>
                <w:rFonts w:ascii="標楷體" w:eastAsia="標楷體" w:hAnsi="標楷體" w:hint="eastAsia"/>
              </w:rPr>
              <w:t>三</w:t>
            </w:r>
            <w:r>
              <w:rPr>
                <w:rFonts w:ascii="標楷體" w:eastAsia="標楷體" w:hAnsi="標楷體" w:cs="細明體" w:hint="eastAsia"/>
                <w:kern w:val="0"/>
              </w:rPr>
              <w:t xml:space="preserve">條　</w:t>
            </w:r>
            <w:r>
              <w:rPr>
                <w:rFonts w:ascii="標楷體" w:eastAsia="標楷體" w:hAnsi="標楷體" w:hint="eastAsia"/>
              </w:rPr>
              <w:t>證券商同日自行買進或受同一帳戶委託買進國內成分證券指數股票型基金標的指數成分股票組合，或</w:t>
            </w:r>
            <w:proofErr w:type="gramStart"/>
            <w:r>
              <w:rPr>
                <w:rFonts w:ascii="標楷體" w:eastAsia="標楷體" w:hAnsi="標楷體" w:hint="eastAsia"/>
              </w:rPr>
              <w:t>加計原持有</w:t>
            </w:r>
            <w:proofErr w:type="gramEnd"/>
            <w:r>
              <w:rPr>
                <w:rFonts w:ascii="標楷體" w:eastAsia="標楷體" w:hAnsi="標楷體" w:hint="eastAsia"/>
              </w:rPr>
              <w:t>、借</w:t>
            </w:r>
            <w:proofErr w:type="gramStart"/>
            <w:r>
              <w:rPr>
                <w:rFonts w:ascii="標楷體" w:eastAsia="標楷體" w:hAnsi="標楷體" w:hint="eastAsia"/>
              </w:rPr>
              <w:t>券</w:t>
            </w:r>
            <w:proofErr w:type="gramEnd"/>
            <w:r>
              <w:rPr>
                <w:rFonts w:ascii="標楷體" w:eastAsia="標楷體" w:hAnsi="標楷體" w:hint="eastAsia"/>
              </w:rPr>
              <w:t>、前一日買進及前一日實物買回取得之股票總額，達實物申購該受益憑證之規定，並賣出同數量受益憑證者；或同日自行買進或受同一帳戶委託買進國內成分證券指數股票型基金受益憑證，或</w:t>
            </w:r>
            <w:proofErr w:type="gramStart"/>
            <w:r>
              <w:rPr>
                <w:rFonts w:ascii="標楷體" w:eastAsia="標楷體" w:hAnsi="標楷體" w:hint="eastAsia"/>
              </w:rPr>
              <w:t>加計原持</w:t>
            </w:r>
            <w:r w:rsidRPr="00EE34D4">
              <w:rPr>
                <w:rFonts w:ascii="標楷體" w:eastAsia="標楷體" w:hAnsi="標楷體" w:hint="eastAsia"/>
              </w:rPr>
              <w:t>有</w:t>
            </w:r>
            <w:proofErr w:type="gramEnd"/>
            <w:r w:rsidRPr="00EE34D4">
              <w:rPr>
                <w:rFonts w:ascii="標楷體" w:eastAsia="標楷體" w:hAnsi="標楷體" w:hint="eastAsia"/>
              </w:rPr>
              <w:t>、借</w:t>
            </w:r>
            <w:proofErr w:type="gramStart"/>
            <w:r w:rsidRPr="00EE34D4">
              <w:rPr>
                <w:rFonts w:ascii="標楷體" w:eastAsia="標楷體" w:hAnsi="標楷體" w:hint="eastAsia"/>
              </w:rPr>
              <w:t>券</w:t>
            </w:r>
            <w:proofErr w:type="gramEnd"/>
            <w:r w:rsidRPr="00EE34D4">
              <w:rPr>
                <w:rFonts w:ascii="標楷體" w:eastAsia="標楷體" w:hAnsi="標楷體" w:hint="eastAsia"/>
              </w:rPr>
              <w:t>、前一日買進及前一日實物申購取得之該受益憑證總額，達實物買回該基金標的指數成分股票組合之規定，並賣</w:t>
            </w:r>
            <w:r>
              <w:rPr>
                <w:rFonts w:ascii="標楷體" w:eastAsia="標楷體" w:hAnsi="標楷體" w:hint="eastAsia"/>
              </w:rPr>
              <w:t>出同數量該基金標的指數成分股票組合者，其給付結算及後續相關事項，依下列規定辦理：</w:t>
            </w:r>
          </w:p>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rPr>
            </w:pPr>
          </w:p>
          <w:p w:rsidR="000405B6" w:rsidRDefault="000405B6" w:rsidP="00EE34D4">
            <w:pPr>
              <w:tabs>
                <w:tab w:val="left" w:pos="723"/>
              </w:tabs>
              <w:ind w:leftChars="100" w:left="720" w:hangingChars="200" w:hanging="480"/>
              <w:jc w:val="both"/>
              <w:rPr>
                <w:rFonts w:ascii="標楷體" w:eastAsia="標楷體" w:hAnsi="標楷體"/>
              </w:rPr>
            </w:pPr>
            <w:r>
              <w:rPr>
                <w:rFonts w:ascii="標楷體" w:eastAsia="標楷體" w:hAnsi="標楷體" w:hint="eastAsia"/>
              </w:rPr>
              <w:lastRenderedPageBreak/>
              <w:t>一、</w:t>
            </w:r>
            <w:r w:rsidR="00EE34D4">
              <w:rPr>
                <w:rFonts w:ascii="標楷體" w:eastAsia="標楷體" w:hAnsi="標楷體"/>
              </w:rPr>
              <w:tab/>
            </w:r>
            <w:r>
              <w:rPr>
                <w:rFonts w:ascii="標楷體" w:eastAsia="標楷體" w:hAnsi="標楷體" w:hint="eastAsia"/>
              </w:rPr>
              <w:t>於成交日經由電腦連線作業向本中心申報，需辦理延後交割者，應</w:t>
            </w:r>
            <w:proofErr w:type="gramStart"/>
            <w:r>
              <w:rPr>
                <w:rFonts w:ascii="標楷體" w:eastAsia="標楷體" w:hAnsi="標楷體" w:hint="eastAsia"/>
              </w:rPr>
              <w:t>併</w:t>
            </w:r>
            <w:proofErr w:type="gramEnd"/>
            <w:r>
              <w:rPr>
                <w:rFonts w:ascii="標楷體" w:eastAsia="標楷體" w:hAnsi="標楷體" w:hint="eastAsia"/>
              </w:rPr>
              <w:t>同提出申請。</w:t>
            </w:r>
          </w:p>
          <w:p w:rsidR="000405B6" w:rsidRDefault="000405B6" w:rsidP="00EE34D4">
            <w:pPr>
              <w:tabs>
                <w:tab w:val="left" w:pos="723"/>
              </w:tabs>
              <w:ind w:leftChars="100" w:left="720" w:hangingChars="200" w:hanging="480"/>
              <w:jc w:val="both"/>
              <w:rPr>
                <w:rFonts w:ascii="標楷體" w:eastAsia="標楷體" w:hAnsi="標楷體"/>
              </w:rPr>
            </w:pPr>
            <w:r>
              <w:rPr>
                <w:rFonts w:ascii="標楷體" w:eastAsia="標楷體" w:hAnsi="標楷體" w:hint="eastAsia"/>
              </w:rPr>
              <w:t>二、</w:t>
            </w:r>
            <w:r w:rsidR="00EE34D4">
              <w:rPr>
                <w:rFonts w:ascii="標楷體" w:eastAsia="標楷體" w:hAnsi="標楷體"/>
              </w:rPr>
              <w:tab/>
            </w:r>
            <w:r>
              <w:rPr>
                <w:rFonts w:ascii="標楷體" w:eastAsia="標楷體" w:hAnsi="標楷體" w:hint="eastAsia"/>
              </w:rPr>
              <w:t>賣出指數股票型基金受益憑證或該基金標的指數成分股票組合，而依前款申報並提出延後交割之申請者，本中心於審核認可後即製作報表及電子</w:t>
            </w:r>
            <w:proofErr w:type="gramStart"/>
            <w:r>
              <w:rPr>
                <w:rFonts w:ascii="標楷體" w:eastAsia="標楷體" w:hAnsi="標楷體" w:hint="eastAsia"/>
              </w:rPr>
              <w:t>檔</w:t>
            </w:r>
            <w:proofErr w:type="gramEnd"/>
            <w:r>
              <w:rPr>
                <w:rFonts w:ascii="標楷體" w:eastAsia="標楷體" w:hAnsi="標楷體" w:hint="eastAsia"/>
              </w:rPr>
              <w:t>傳送證券集中保管事業憑以辦理相關作業；上開作業不適用本中心業務規則第八十六條之</w:t>
            </w:r>
            <w:proofErr w:type="gramStart"/>
            <w:r>
              <w:rPr>
                <w:rFonts w:ascii="標楷體" w:eastAsia="標楷體" w:hAnsi="標楷體" w:hint="eastAsia"/>
              </w:rPr>
              <w:t>一</w:t>
            </w:r>
            <w:proofErr w:type="gramEnd"/>
            <w:r>
              <w:rPr>
                <w:rFonts w:ascii="標楷體" w:eastAsia="標楷體" w:hAnsi="標楷體" w:hint="eastAsia"/>
              </w:rPr>
              <w:t>規定。</w:t>
            </w:r>
          </w:p>
          <w:p w:rsidR="000405B6" w:rsidRDefault="000405B6" w:rsidP="00EE34D4">
            <w:pPr>
              <w:tabs>
                <w:tab w:val="left" w:pos="723"/>
              </w:tabs>
              <w:ind w:leftChars="100" w:left="720" w:hangingChars="200" w:hanging="480"/>
              <w:jc w:val="both"/>
              <w:rPr>
                <w:rFonts w:ascii="標楷體" w:eastAsia="標楷體" w:hAnsi="標楷體"/>
              </w:rPr>
            </w:pPr>
            <w:r>
              <w:rPr>
                <w:rFonts w:ascii="標楷體" w:eastAsia="標楷體" w:hAnsi="標楷體" w:hint="eastAsia"/>
              </w:rPr>
              <w:t>三、</w:t>
            </w:r>
            <w:r w:rsidR="00EE34D4">
              <w:rPr>
                <w:rFonts w:ascii="標楷體" w:eastAsia="標楷體" w:hAnsi="標楷體"/>
              </w:rPr>
              <w:tab/>
            </w:r>
            <w:r>
              <w:rPr>
                <w:rFonts w:ascii="標楷體" w:eastAsia="標楷體" w:hAnsi="標楷體" w:hint="eastAsia"/>
              </w:rPr>
              <w:t>其於成交日後第二營業日完成買進國內成分證券指數股票型基金標的指數成分股票組合或受益憑證及其他買進應付價款之交割後，應取得之成分股票組合或受益憑證，應</w:t>
            </w:r>
            <w:proofErr w:type="gramStart"/>
            <w:r>
              <w:rPr>
                <w:rFonts w:ascii="標楷體" w:eastAsia="標楷體" w:hAnsi="標楷體" w:hint="eastAsia"/>
              </w:rPr>
              <w:t>轉充延後</w:t>
            </w:r>
            <w:proofErr w:type="gramEnd"/>
            <w:r>
              <w:rPr>
                <w:rFonts w:ascii="標楷體" w:eastAsia="標楷體" w:hAnsi="標楷體" w:hint="eastAsia"/>
              </w:rPr>
              <w:t>交割之擔保，並由本中心通知證券集中保管事業憑以向證券投資信託事業申請實物申購該受益憑證或實物買回該基金標的指數成分股票組合予以沖銷。</w:t>
            </w:r>
          </w:p>
          <w:p w:rsidR="00EE34D4" w:rsidRDefault="00EE34D4" w:rsidP="00EE34D4">
            <w:pPr>
              <w:tabs>
                <w:tab w:val="left" w:pos="723"/>
              </w:tabs>
              <w:ind w:leftChars="100" w:left="720" w:hangingChars="200" w:hanging="480"/>
              <w:jc w:val="both"/>
              <w:rPr>
                <w:rFonts w:ascii="標楷體" w:eastAsia="標楷體" w:hAnsi="標楷體"/>
              </w:rPr>
            </w:pPr>
          </w:p>
          <w:p w:rsidR="000405B6" w:rsidRDefault="000405B6" w:rsidP="00EE34D4">
            <w:pPr>
              <w:tabs>
                <w:tab w:val="left" w:pos="723"/>
              </w:tabs>
              <w:ind w:leftChars="100" w:left="720" w:hangingChars="200" w:hanging="480"/>
              <w:jc w:val="both"/>
              <w:rPr>
                <w:rFonts w:ascii="標楷體" w:eastAsia="標楷體" w:hAnsi="標楷體"/>
              </w:rPr>
            </w:pPr>
            <w:r>
              <w:rPr>
                <w:rFonts w:ascii="標楷體" w:eastAsia="標楷體" w:hAnsi="標楷體" w:hint="eastAsia"/>
              </w:rPr>
              <w:t>四、</w:t>
            </w:r>
            <w:r w:rsidR="00EE34D4">
              <w:rPr>
                <w:rFonts w:ascii="標楷體" w:eastAsia="標楷體" w:hAnsi="標楷體"/>
              </w:rPr>
              <w:tab/>
            </w:r>
            <w:r>
              <w:rPr>
                <w:rFonts w:ascii="標楷體" w:eastAsia="標楷體" w:hAnsi="標楷體" w:hint="eastAsia"/>
              </w:rPr>
              <w:t>在臺灣證券交易所上市交易之國內成分證券指數股票型證券投資信託基金標的指數成分證券組合含上櫃股票者，對其賣出上櫃股票部分，本中心於接獲臺灣證券交易所之申請後，即依第二款規定製作報表及電子</w:t>
            </w:r>
            <w:proofErr w:type="gramStart"/>
            <w:r>
              <w:rPr>
                <w:rFonts w:ascii="標楷體" w:eastAsia="標楷體" w:hAnsi="標楷體" w:hint="eastAsia"/>
              </w:rPr>
              <w:t>檔</w:t>
            </w:r>
            <w:proofErr w:type="gramEnd"/>
            <w:r>
              <w:rPr>
                <w:rFonts w:ascii="標楷體" w:eastAsia="標楷體" w:hAnsi="標楷體" w:hint="eastAsia"/>
              </w:rPr>
              <w:t>傳送證券集中保管事業。</w:t>
            </w:r>
          </w:p>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rPr>
              <w:lastRenderedPageBreak/>
              <w:t>證</w:t>
            </w:r>
            <w:r w:rsidRPr="00EE34D4">
              <w:rPr>
                <w:rFonts w:ascii="標楷體" w:eastAsia="標楷體" w:hAnsi="標楷體" w:cs="細明體" w:hint="eastAsia"/>
                <w:kern w:val="0"/>
              </w:rPr>
              <w:t>券商自行或受託辦理標的指數成分</w:t>
            </w:r>
            <w:proofErr w:type="gramStart"/>
            <w:r w:rsidRPr="00EE34D4">
              <w:rPr>
                <w:rFonts w:ascii="標楷體" w:eastAsia="標楷體" w:hAnsi="標楷體" w:cs="細明體" w:hint="eastAsia"/>
                <w:kern w:val="0"/>
              </w:rPr>
              <w:t>證券均為股票</w:t>
            </w:r>
            <w:proofErr w:type="gramEnd"/>
            <w:r w:rsidRPr="00EE34D4">
              <w:rPr>
                <w:rFonts w:ascii="標楷體" w:eastAsia="標楷體" w:hAnsi="標楷體" w:cs="細明體" w:hint="eastAsia"/>
                <w:kern w:val="0"/>
              </w:rPr>
              <w:t>之國內及國外成分證券指數股票型基</w:t>
            </w:r>
            <w:r>
              <w:rPr>
                <w:rFonts w:ascii="標楷體" w:eastAsia="標楷體" w:hAnsi="標楷體" w:cs="細明體" w:hint="eastAsia"/>
                <w:kern w:val="0"/>
              </w:rPr>
              <w:t>金受益憑證申購作業者，除第一項情形及本中心另有規定者外，經證券投資信託事業確認後，該受益憑證於證券集中保管事業帳簿劃撥交付日之前一營業日即得賣出。</w:t>
            </w:r>
          </w:p>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p>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p>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rPr>
              <w:t>證券商自行或受託辦理國內外債券成分之指數股票型基金受益憑證申購作業，經證券投資信託事業確認後，該受益憑證於申購後次一營業日即得賣出。但證券商自行或受託辦理國內外債券成分之指數股票型基金受益憑證實物申購作業，於申購日將該指數股票型基金標的指數成分債券組合交付證券投資信託事業，並經證券投資信託事業確認後，得賣出同數量受益憑證。</w:t>
            </w:r>
          </w:p>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p>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rPr>
              <w:t>證券商自行或受託辦理槓桿反向指數股票型基金受益憑證申購作業，其標的指數成分</w:t>
            </w:r>
            <w:proofErr w:type="gramStart"/>
            <w:r>
              <w:rPr>
                <w:rFonts w:ascii="標楷體" w:eastAsia="標楷體" w:hAnsi="標楷體" w:cs="細明體" w:hint="eastAsia"/>
                <w:kern w:val="0"/>
              </w:rPr>
              <w:t>證券均為國內</w:t>
            </w:r>
            <w:proofErr w:type="gramEnd"/>
            <w:r>
              <w:rPr>
                <w:rFonts w:ascii="標楷體" w:eastAsia="標楷體" w:hAnsi="標楷體" w:cs="細明體" w:hint="eastAsia"/>
                <w:kern w:val="0"/>
              </w:rPr>
              <w:t>有價證券者，經證券投資信託事業確認後，該受益憑證於申購日即得賣出；其標的指數成分證券含一種以上國外有價證券者，經證券投資信託事業確認後，該受益憑證於證券集中保管事業帳簿劃撥交付日之前一營業日即得賣出。</w:t>
            </w:r>
          </w:p>
          <w:p w:rsidR="000405B6" w:rsidRDefault="00040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szCs w:val="24"/>
              </w:rPr>
            </w:pPr>
            <w:r>
              <w:rPr>
                <w:rFonts w:ascii="標楷體" w:eastAsia="標楷體" w:hAnsi="標楷體" w:cs="細明體" w:hint="eastAsia"/>
                <w:kern w:val="0"/>
              </w:rPr>
              <w:lastRenderedPageBreak/>
              <w:t>證券自營商從事第一項及第三項交易，不適用本中心業務規則第七十條之</w:t>
            </w:r>
            <w:proofErr w:type="gramStart"/>
            <w:r>
              <w:rPr>
                <w:rFonts w:ascii="標楷體" w:eastAsia="標楷體" w:hAnsi="標楷體" w:cs="細明體" w:hint="eastAsia"/>
                <w:kern w:val="0"/>
              </w:rPr>
              <w:t>一</w:t>
            </w:r>
            <w:proofErr w:type="gramEnd"/>
            <w:r>
              <w:rPr>
                <w:rFonts w:ascii="標楷體" w:eastAsia="標楷體" w:hAnsi="標楷體" w:cs="細明體" w:hint="eastAsia"/>
                <w:kern w:val="0"/>
              </w:rPr>
              <w:t>之規定。</w:t>
            </w:r>
          </w:p>
        </w:tc>
        <w:tc>
          <w:tcPr>
            <w:tcW w:w="3276" w:type="dxa"/>
            <w:hideMark/>
          </w:tcPr>
          <w:p w:rsidR="000405B6" w:rsidRPr="006C1C5C" w:rsidRDefault="000405B6" w:rsidP="006C1C5C">
            <w:pPr>
              <w:pStyle w:val="a4"/>
              <w:widowControl/>
              <w:tabs>
                <w:tab w:val="left" w:pos="4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hangingChars="200" w:hanging="480"/>
              <w:jc w:val="both"/>
              <w:rPr>
                <w:rFonts w:eastAsia="標楷體"/>
                <w:color w:val="000000"/>
                <w:kern w:val="0"/>
              </w:rPr>
            </w:pPr>
            <w:r>
              <w:rPr>
                <w:rFonts w:eastAsia="標楷體" w:hAnsi="標楷體" w:hint="eastAsia"/>
                <w:color w:val="000000"/>
                <w:kern w:val="0"/>
              </w:rPr>
              <w:lastRenderedPageBreak/>
              <w:t>一、</w:t>
            </w:r>
            <w:r w:rsidR="006C1C5C">
              <w:rPr>
                <w:rFonts w:eastAsia="標楷體" w:hAnsi="標楷體"/>
                <w:color w:val="000000"/>
                <w:kern w:val="0"/>
              </w:rPr>
              <w:tab/>
            </w:r>
            <w:r>
              <w:rPr>
                <w:rFonts w:eastAsia="標楷體" w:cs="細明體" w:hint="eastAsia"/>
                <w:color w:val="000000"/>
                <w:kern w:val="0"/>
              </w:rPr>
              <w:t>配合第</w:t>
            </w:r>
            <w:r>
              <w:rPr>
                <w:rFonts w:eastAsia="標楷體" w:cs="細明體"/>
                <w:color w:val="000000"/>
                <w:kern w:val="0"/>
              </w:rPr>
              <w:t>2</w:t>
            </w:r>
            <w:r>
              <w:rPr>
                <w:rFonts w:eastAsia="標楷體" w:cs="細明體" w:hint="eastAsia"/>
                <w:color w:val="000000"/>
                <w:kern w:val="0"/>
              </w:rPr>
              <w:t>條第</w:t>
            </w:r>
            <w:r>
              <w:rPr>
                <w:rFonts w:eastAsia="標楷體" w:cs="細明體"/>
                <w:color w:val="000000"/>
                <w:kern w:val="0"/>
              </w:rPr>
              <w:t>2</w:t>
            </w:r>
            <w:r>
              <w:rPr>
                <w:rFonts w:eastAsia="標楷體" w:cs="細明體" w:hint="eastAsia"/>
                <w:color w:val="000000"/>
                <w:kern w:val="0"/>
              </w:rPr>
              <w:t>項之修正，</w:t>
            </w:r>
            <w:proofErr w:type="gramStart"/>
            <w:r>
              <w:rPr>
                <w:rFonts w:eastAsia="標楷體" w:cs="細明體" w:hint="eastAsia"/>
                <w:color w:val="000000"/>
                <w:kern w:val="0"/>
              </w:rPr>
              <w:t>爰酌修</w:t>
            </w:r>
            <w:proofErr w:type="gramEnd"/>
            <w:r>
              <w:rPr>
                <w:rFonts w:eastAsia="標楷體" w:cs="細明體" w:hint="eastAsia"/>
                <w:color w:val="000000"/>
                <w:kern w:val="0"/>
              </w:rPr>
              <w:t>第</w:t>
            </w:r>
            <w:r>
              <w:rPr>
                <w:rFonts w:eastAsia="標楷體" w:cs="細明體"/>
                <w:color w:val="000000"/>
                <w:kern w:val="0"/>
              </w:rPr>
              <w:t>1</w:t>
            </w:r>
            <w:r>
              <w:rPr>
                <w:rFonts w:eastAsia="標楷體" w:cs="細明體" w:hint="eastAsia"/>
                <w:color w:val="000000"/>
                <w:kern w:val="0"/>
              </w:rPr>
              <w:t>項、第</w:t>
            </w:r>
            <w:r w:rsidR="00E8659D">
              <w:rPr>
                <w:rFonts w:eastAsia="標楷體" w:cs="細明體" w:hint="eastAsia"/>
                <w:color w:val="000000"/>
                <w:kern w:val="0"/>
              </w:rPr>
              <w:t>3</w:t>
            </w:r>
            <w:r>
              <w:rPr>
                <w:rFonts w:eastAsia="標楷體" w:cs="細明體" w:hint="eastAsia"/>
                <w:color w:val="000000"/>
                <w:kern w:val="0"/>
              </w:rPr>
              <w:t>項及第</w:t>
            </w:r>
            <w:r>
              <w:rPr>
                <w:rFonts w:eastAsia="標楷體" w:cs="細明體"/>
                <w:color w:val="000000"/>
                <w:kern w:val="0"/>
              </w:rPr>
              <w:t>4</w:t>
            </w:r>
            <w:r>
              <w:rPr>
                <w:rFonts w:eastAsia="標楷體" w:cs="細明體" w:hint="eastAsia"/>
                <w:color w:val="000000"/>
                <w:kern w:val="0"/>
              </w:rPr>
              <w:t>項文</w:t>
            </w:r>
            <w:r w:rsidRPr="006C1C5C">
              <w:rPr>
                <w:rFonts w:eastAsia="標楷體" w:hint="eastAsia"/>
                <w:color w:val="000000"/>
                <w:kern w:val="0"/>
              </w:rPr>
              <w:t>字。</w:t>
            </w:r>
          </w:p>
          <w:p w:rsidR="000405B6" w:rsidRDefault="006C1C5C" w:rsidP="006C1C5C">
            <w:pPr>
              <w:pStyle w:val="a4"/>
              <w:widowControl/>
              <w:tabs>
                <w:tab w:val="left" w:pos="4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hangingChars="200" w:hanging="480"/>
              <w:jc w:val="both"/>
              <w:rPr>
                <w:rFonts w:eastAsia="標楷體" w:hAnsi="標楷體"/>
                <w:color w:val="000000"/>
                <w:kern w:val="0"/>
              </w:rPr>
            </w:pPr>
            <w:r w:rsidRPr="006C1C5C">
              <w:rPr>
                <w:rFonts w:eastAsia="標楷體" w:hint="eastAsia"/>
                <w:color w:val="000000"/>
                <w:kern w:val="0"/>
              </w:rPr>
              <w:t>二</w:t>
            </w:r>
            <w:r w:rsidR="000405B6" w:rsidRPr="006C1C5C">
              <w:rPr>
                <w:rFonts w:eastAsia="標楷體" w:hint="eastAsia"/>
                <w:color w:val="000000"/>
                <w:kern w:val="0"/>
              </w:rPr>
              <w:t>、</w:t>
            </w:r>
            <w:r>
              <w:rPr>
                <w:rFonts w:eastAsia="標楷體"/>
                <w:color w:val="000000"/>
                <w:kern w:val="0"/>
              </w:rPr>
              <w:tab/>
            </w:r>
            <w:r w:rsidR="000405B6" w:rsidRPr="006C1C5C">
              <w:rPr>
                <w:rFonts w:eastAsia="標楷體" w:hint="eastAsia"/>
                <w:color w:val="000000"/>
                <w:kern w:val="0"/>
              </w:rPr>
              <w:t>明定指數股票型期貨信託基金受益</w:t>
            </w:r>
            <w:r w:rsidR="000405B6">
              <w:rPr>
                <w:rFonts w:eastAsia="標楷體" w:cs="細明體" w:hint="eastAsia"/>
                <w:color w:val="000000"/>
                <w:kern w:val="0"/>
              </w:rPr>
              <w:t>憑證於申購後得賣出之時點，</w:t>
            </w:r>
            <w:proofErr w:type="gramStart"/>
            <w:r w:rsidR="000405B6">
              <w:rPr>
                <w:rFonts w:eastAsia="標楷體" w:cs="細明體" w:hint="eastAsia"/>
                <w:color w:val="000000"/>
                <w:kern w:val="0"/>
              </w:rPr>
              <w:t>爰</w:t>
            </w:r>
            <w:proofErr w:type="gramEnd"/>
            <w:r w:rsidR="000405B6">
              <w:rPr>
                <w:rFonts w:eastAsia="標楷體" w:cs="細明體" w:hint="eastAsia"/>
                <w:color w:val="000000"/>
                <w:kern w:val="0"/>
              </w:rPr>
              <w:t>修正第</w:t>
            </w:r>
            <w:r w:rsidR="000405B6">
              <w:rPr>
                <w:rFonts w:eastAsia="標楷體" w:cs="細明體"/>
                <w:color w:val="000000"/>
                <w:kern w:val="0"/>
              </w:rPr>
              <w:t>2</w:t>
            </w:r>
            <w:r w:rsidR="000405B6">
              <w:rPr>
                <w:rFonts w:eastAsia="標楷體" w:cs="細明體" w:hint="eastAsia"/>
                <w:color w:val="000000"/>
                <w:kern w:val="0"/>
              </w:rPr>
              <w:t>項之規定。</w:t>
            </w:r>
          </w:p>
        </w:tc>
      </w:tr>
      <w:tr w:rsidR="003E0378" w:rsidTr="003E0378">
        <w:tc>
          <w:tcPr>
            <w:tcW w:w="3285" w:type="dxa"/>
            <w:tcBorders>
              <w:top w:val="single" w:sz="4" w:space="0" w:color="auto"/>
              <w:left w:val="single" w:sz="4" w:space="0" w:color="auto"/>
              <w:bottom w:val="single" w:sz="4" w:space="0" w:color="auto"/>
              <w:right w:val="single" w:sz="4" w:space="0" w:color="auto"/>
            </w:tcBorders>
          </w:tcPr>
          <w:p w:rsidR="003E0378" w:rsidRPr="003E0378" w:rsidRDefault="003E0378" w:rsidP="002612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sidRPr="003E0378">
              <w:rPr>
                <w:rFonts w:ascii="標楷體" w:eastAsia="標楷體" w:hAnsi="標楷體" w:cs="細明體" w:hint="eastAsia"/>
                <w:kern w:val="0"/>
              </w:rPr>
              <w:lastRenderedPageBreak/>
              <w:t>第十四條　發行指數股票型基金受益憑證之證券投資信託事業</w:t>
            </w:r>
            <w:r w:rsidRPr="00694C90">
              <w:rPr>
                <w:rFonts w:ascii="標楷體" w:eastAsia="標楷體" w:hAnsi="標楷體" w:cs="細明體" w:hint="eastAsia"/>
                <w:color w:val="FF0000"/>
                <w:kern w:val="0"/>
                <w:u w:val="single"/>
              </w:rPr>
              <w:t>或期貨信託事業</w:t>
            </w:r>
            <w:r w:rsidRPr="003E0378">
              <w:rPr>
                <w:rFonts w:ascii="標楷體" w:eastAsia="標楷體" w:hAnsi="標楷體" w:cs="細明體" w:hint="eastAsia"/>
                <w:kern w:val="0"/>
              </w:rPr>
              <w:t>應指定流動量提供者對受益憑證於等價成交系統交易時提供流動量，相關作業要點由本中心另訂之。</w:t>
            </w:r>
          </w:p>
        </w:tc>
        <w:tc>
          <w:tcPr>
            <w:tcW w:w="3289" w:type="dxa"/>
            <w:tcBorders>
              <w:top w:val="single" w:sz="4" w:space="0" w:color="auto"/>
              <w:left w:val="single" w:sz="4" w:space="0" w:color="auto"/>
              <w:bottom w:val="single" w:sz="4" w:space="0" w:color="auto"/>
              <w:right w:val="single" w:sz="4" w:space="0" w:color="auto"/>
            </w:tcBorders>
          </w:tcPr>
          <w:p w:rsidR="003E0378" w:rsidRPr="003E0378" w:rsidRDefault="003E0378" w:rsidP="002612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sidRPr="003E0378">
              <w:rPr>
                <w:rFonts w:ascii="標楷體" w:eastAsia="標楷體" w:hAnsi="標楷體" w:cs="細明體" w:hint="eastAsia"/>
                <w:kern w:val="0"/>
              </w:rPr>
              <w:t>第十四條　發行指數股票型基金受益憑證之證券投資信託事業應指定流動量提供者對受益憑證於等價成交系統交易時提供流動量，相關作業要點由本中心另訂之。</w:t>
            </w:r>
          </w:p>
        </w:tc>
        <w:tc>
          <w:tcPr>
            <w:tcW w:w="3276" w:type="dxa"/>
            <w:tcBorders>
              <w:top w:val="single" w:sz="4" w:space="0" w:color="auto"/>
              <w:left w:val="single" w:sz="4" w:space="0" w:color="auto"/>
              <w:bottom w:val="single" w:sz="4" w:space="0" w:color="auto"/>
              <w:right w:val="single" w:sz="4" w:space="0" w:color="auto"/>
            </w:tcBorders>
            <w:hideMark/>
          </w:tcPr>
          <w:p w:rsidR="003E0378" w:rsidRPr="003E0378" w:rsidRDefault="003E0378" w:rsidP="00C52611">
            <w:pPr>
              <w:pStyle w:val="a4"/>
              <w:widowControl/>
              <w:tabs>
                <w:tab w:val="left" w:pos="4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0"/>
              <w:jc w:val="both"/>
              <w:rPr>
                <w:rFonts w:eastAsia="標楷體" w:hAnsi="標楷體"/>
                <w:color w:val="000000"/>
                <w:kern w:val="0"/>
              </w:rPr>
            </w:pPr>
            <w:r w:rsidRPr="003E0378">
              <w:rPr>
                <w:rFonts w:eastAsia="標楷體" w:hAnsi="標楷體" w:hint="eastAsia"/>
                <w:color w:val="000000"/>
                <w:kern w:val="0"/>
              </w:rPr>
              <w:t>明訂</w:t>
            </w:r>
            <w:r w:rsidR="00C52611">
              <w:rPr>
                <w:rFonts w:eastAsia="標楷體" w:hAnsi="標楷體" w:hint="eastAsia"/>
                <w:color w:val="000000"/>
                <w:kern w:val="0"/>
              </w:rPr>
              <w:t>期貨信託事業應指定流動量提供者</w:t>
            </w:r>
            <w:r w:rsidRPr="003E0378">
              <w:rPr>
                <w:rFonts w:eastAsia="標楷體" w:hAnsi="標楷體" w:hint="eastAsia"/>
                <w:color w:val="000000"/>
                <w:kern w:val="0"/>
              </w:rPr>
              <w:t>，</w:t>
            </w:r>
            <w:proofErr w:type="gramStart"/>
            <w:r w:rsidRPr="003E0378">
              <w:rPr>
                <w:rFonts w:eastAsia="標楷體" w:hAnsi="標楷體" w:hint="eastAsia"/>
                <w:color w:val="000000"/>
                <w:kern w:val="0"/>
              </w:rPr>
              <w:t>爰</w:t>
            </w:r>
            <w:proofErr w:type="gramEnd"/>
            <w:r w:rsidRPr="003E0378">
              <w:rPr>
                <w:rFonts w:eastAsia="標楷體" w:hAnsi="標楷體" w:hint="eastAsia"/>
                <w:color w:val="000000"/>
                <w:kern w:val="0"/>
              </w:rPr>
              <w:t>修正本條規定。</w:t>
            </w:r>
          </w:p>
        </w:tc>
      </w:tr>
    </w:tbl>
    <w:p w:rsidR="003E0378" w:rsidRPr="003E0378" w:rsidRDefault="003E0378" w:rsidP="008569EB"/>
    <w:p w:rsidR="008569EB" w:rsidRDefault="008569EB" w:rsidP="008569EB">
      <w:bookmarkStart w:id="1" w:name="_GoBack"/>
      <w:bookmarkEnd w:id="1"/>
    </w:p>
    <w:sectPr w:rsidR="008569EB" w:rsidSect="008454F8">
      <w:headerReference w:type="default" r:id="rId8"/>
      <w:footerReference w:type="default" r:id="rId9"/>
      <w:pgSz w:w="11906" w:h="16838"/>
      <w:pgMar w:top="709" w:right="1134" w:bottom="1135" w:left="1134" w:header="567" w:footer="28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668" w:rsidRDefault="00FC2668" w:rsidP="00C10973">
      <w:r>
        <w:separator/>
      </w:r>
    </w:p>
  </w:endnote>
  <w:endnote w:type="continuationSeparator" w:id="0">
    <w:p w:rsidR="00FC2668" w:rsidRDefault="00FC2668" w:rsidP="00C10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研澤楷書體">
    <w:altName w:val="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B49" w:rsidRDefault="008C5B49">
    <w:pPr>
      <w:pStyle w:val="a7"/>
      <w:jc w:val="center"/>
    </w:pPr>
    <w:r>
      <w:rPr>
        <w:rFonts w:hint="eastAsia"/>
      </w:rPr>
      <w:t>-</w:t>
    </w:r>
    <w:r>
      <w:fldChar w:fldCharType="begin"/>
    </w:r>
    <w:r>
      <w:instrText>PAGE   \* MERGEFORMAT</w:instrText>
    </w:r>
    <w:r>
      <w:fldChar w:fldCharType="separate"/>
    </w:r>
    <w:r w:rsidR="00EA7D26" w:rsidRPr="00EA7D26">
      <w:rPr>
        <w:noProof/>
        <w:lang w:val="zh-TW"/>
      </w:rPr>
      <w:t>1</w:t>
    </w:r>
    <w:r>
      <w:rPr>
        <w:noProof/>
        <w:lang w:val="zh-TW"/>
      </w:rPr>
      <w:fldChar w:fldCharType="end"/>
    </w:r>
    <w:r>
      <w:rPr>
        <w:rFonts w:hint="eastAsia"/>
      </w:rPr>
      <w:t>-</w:t>
    </w:r>
  </w:p>
  <w:p w:rsidR="008C5B49" w:rsidRDefault="008C5B49" w:rsidP="0006660F">
    <w:pPr>
      <w:pStyle w:val="a7"/>
      <w:jc w:val="center"/>
    </w:pPr>
  </w:p>
  <w:p w:rsidR="008C5B49" w:rsidRDefault="008C5B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668" w:rsidRDefault="00FC2668" w:rsidP="00C10973">
      <w:r>
        <w:separator/>
      </w:r>
    </w:p>
  </w:footnote>
  <w:footnote w:type="continuationSeparator" w:id="0">
    <w:p w:rsidR="00FC2668" w:rsidRDefault="00FC2668" w:rsidP="00C10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B49" w:rsidRDefault="008C5B49" w:rsidP="0006660F">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A6BE1"/>
    <w:multiLevelType w:val="hybridMultilevel"/>
    <w:tmpl w:val="AFFCE10A"/>
    <w:lvl w:ilvl="0" w:tplc="1236FA3A">
      <w:start w:val="1"/>
      <w:numFmt w:val="taiwaneseCountingThousand"/>
      <w:lvlText w:val="(%1)"/>
      <w:lvlJc w:val="left"/>
      <w:pPr>
        <w:tabs>
          <w:tab w:val="num" w:pos="1021"/>
        </w:tabs>
        <w:ind w:left="1021" w:hanging="454"/>
      </w:pPr>
      <w:rPr>
        <w:rFonts w:eastAsia="標楷體" w:hint="eastAsia"/>
        <w:b w:val="0"/>
        <w:i w:val="0"/>
        <w:sz w:val="1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2875AEA"/>
    <w:multiLevelType w:val="hybridMultilevel"/>
    <w:tmpl w:val="E34462BA"/>
    <w:lvl w:ilvl="0" w:tplc="8000EE0C">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2" w15:restartNumberingAfterBreak="0">
    <w:nsid w:val="2BE77349"/>
    <w:multiLevelType w:val="hybridMultilevel"/>
    <w:tmpl w:val="5F769008"/>
    <w:lvl w:ilvl="0" w:tplc="0ABE80EC">
      <w:start w:val="1"/>
      <w:numFmt w:val="taiwaneseCountingThousand"/>
      <w:lvlText w:val="（%1）"/>
      <w:lvlJc w:val="left"/>
      <w:pPr>
        <w:ind w:left="960" w:hanging="72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3" w15:restartNumberingAfterBreak="0">
    <w:nsid w:val="5D4E47C4"/>
    <w:multiLevelType w:val="hybridMultilevel"/>
    <w:tmpl w:val="38581928"/>
    <w:lvl w:ilvl="0" w:tplc="88FE1B78">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5FFB678F"/>
    <w:multiLevelType w:val="hybridMultilevel"/>
    <w:tmpl w:val="35F0B73A"/>
    <w:lvl w:ilvl="0" w:tplc="2C565A5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7FC33958"/>
    <w:multiLevelType w:val="hybridMultilevel"/>
    <w:tmpl w:val="C524819C"/>
    <w:lvl w:ilvl="0" w:tplc="D05E3766">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FD"/>
    <w:rsid w:val="000025D0"/>
    <w:rsid w:val="000051D4"/>
    <w:rsid w:val="00007F29"/>
    <w:rsid w:val="00011152"/>
    <w:rsid w:val="00012863"/>
    <w:rsid w:val="00014EFF"/>
    <w:rsid w:val="000158AB"/>
    <w:rsid w:val="00015977"/>
    <w:rsid w:val="00017099"/>
    <w:rsid w:val="000171D8"/>
    <w:rsid w:val="00020CE2"/>
    <w:rsid w:val="00022CCA"/>
    <w:rsid w:val="000230C7"/>
    <w:rsid w:val="00023BA8"/>
    <w:rsid w:val="00023DAB"/>
    <w:rsid w:val="00025278"/>
    <w:rsid w:val="0003022C"/>
    <w:rsid w:val="000302AB"/>
    <w:rsid w:val="00030335"/>
    <w:rsid w:val="0003372A"/>
    <w:rsid w:val="00033DA7"/>
    <w:rsid w:val="00034DA0"/>
    <w:rsid w:val="00035524"/>
    <w:rsid w:val="00037214"/>
    <w:rsid w:val="0004039D"/>
    <w:rsid w:val="000405B6"/>
    <w:rsid w:val="000406DB"/>
    <w:rsid w:val="000413E5"/>
    <w:rsid w:val="000421E7"/>
    <w:rsid w:val="00042900"/>
    <w:rsid w:val="00042E78"/>
    <w:rsid w:val="00042F6C"/>
    <w:rsid w:val="0004338A"/>
    <w:rsid w:val="00043D77"/>
    <w:rsid w:val="000444B7"/>
    <w:rsid w:val="00044DA4"/>
    <w:rsid w:val="00045910"/>
    <w:rsid w:val="00045F7E"/>
    <w:rsid w:val="00046213"/>
    <w:rsid w:val="00046540"/>
    <w:rsid w:val="000465EA"/>
    <w:rsid w:val="00046B4C"/>
    <w:rsid w:val="000511CD"/>
    <w:rsid w:val="00052BFC"/>
    <w:rsid w:val="00053E6D"/>
    <w:rsid w:val="0005404C"/>
    <w:rsid w:val="00054855"/>
    <w:rsid w:val="000550D3"/>
    <w:rsid w:val="0005515D"/>
    <w:rsid w:val="000558AA"/>
    <w:rsid w:val="0005710E"/>
    <w:rsid w:val="000572A4"/>
    <w:rsid w:val="00061347"/>
    <w:rsid w:val="0006151F"/>
    <w:rsid w:val="00064419"/>
    <w:rsid w:val="00064A46"/>
    <w:rsid w:val="0006660F"/>
    <w:rsid w:val="0006749E"/>
    <w:rsid w:val="00067F1B"/>
    <w:rsid w:val="00070D5E"/>
    <w:rsid w:val="0007263C"/>
    <w:rsid w:val="00073F19"/>
    <w:rsid w:val="00075CFF"/>
    <w:rsid w:val="00076D68"/>
    <w:rsid w:val="00077ADD"/>
    <w:rsid w:val="00077B3C"/>
    <w:rsid w:val="000803EB"/>
    <w:rsid w:val="00081AE2"/>
    <w:rsid w:val="000844D7"/>
    <w:rsid w:val="00085FE0"/>
    <w:rsid w:val="00091B7B"/>
    <w:rsid w:val="00091FDB"/>
    <w:rsid w:val="00093644"/>
    <w:rsid w:val="000939B2"/>
    <w:rsid w:val="00096111"/>
    <w:rsid w:val="000A06DB"/>
    <w:rsid w:val="000A0821"/>
    <w:rsid w:val="000A09CE"/>
    <w:rsid w:val="000A14AF"/>
    <w:rsid w:val="000A1BB1"/>
    <w:rsid w:val="000A25CD"/>
    <w:rsid w:val="000A45B3"/>
    <w:rsid w:val="000A5E60"/>
    <w:rsid w:val="000B0CFA"/>
    <w:rsid w:val="000B19E4"/>
    <w:rsid w:val="000B65EF"/>
    <w:rsid w:val="000B6809"/>
    <w:rsid w:val="000B6B71"/>
    <w:rsid w:val="000C19BC"/>
    <w:rsid w:val="000C19C5"/>
    <w:rsid w:val="000C4750"/>
    <w:rsid w:val="000C4964"/>
    <w:rsid w:val="000C595B"/>
    <w:rsid w:val="000C6B15"/>
    <w:rsid w:val="000D0042"/>
    <w:rsid w:val="000D03FA"/>
    <w:rsid w:val="000D0BB7"/>
    <w:rsid w:val="000D1522"/>
    <w:rsid w:val="000D4070"/>
    <w:rsid w:val="000D4893"/>
    <w:rsid w:val="000D512F"/>
    <w:rsid w:val="000D54F3"/>
    <w:rsid w:val="000D612C"/>
    <w:rsid w:val="000D6299"/>
    <w:rsid w:val="000D69D1"/>
    <w:rsid w:val="000D7E67"/>
    <w:rsid w:val="000E04F5"/>
    <w:rsid w:val="000E3C4F"/>
    <w:rsid w:val="000E576F"/>
    <w:rsid w:val="000E5830"/>
    <w:rsid w:val="000F046D"/>
    <w:rsid w:val="000F0818"/>
    <w:rsid w:val="000F0E72"/>
    <w:rsid w:val="000F36FB"/>
    <w:rsid w:val="000F55E4"/>
    <w:rsid w:val="000F70F8"/>
    <w:rsid w:val="00100914"/>
    <w:rsid w:val="00101322"/>
    <w:rsid w:val="00103437"/>
    <w:rsid w:val="00103FFA"/>
    <w:rsid w:val="001042E1"/>
    <w:rsid w:val="001055A0"/>
    <w:rsid w:val="00105817"/>
    <w:rsid w:val="00105912"/>
    <w:rsid w:val="00105A25"/>
    <w:rsid w:val="0010776C"/>
    <w:rsid w:val="00111805"/>
    <w:rsid w:val="00112CEA"/>
    <w:rsid w:val="00113A08"/>
    <w:rsid w:val="00114B0F"/>
    <w:rsid w:val="00114DEB"/>
    <w:rsid w:val="00115A45"/>
    <w:rsid w:val="001200D9"/>
    <w:rsid w:val="0012017C"/>
    <w:rsid w:val="001205CB"/>
    <w:rsid w:val="0012202F"/>
    <w:rsid w:val="00122DAD"/>
    <w:rsid w:val="00123492"/>
    <w:rsid w:val="00123D9A"/>
    <w:rsid w:val="00124E51"/>
    <w:rsid w:val="001257FC"/>
    <w:rsid w:val="00126059"/>
    <w:rsid w:val="00131D26"/>
    <w:rsid w:val="0013429B"/>
    <w:rsid w:val="001342EE"/>
    <w:rsid w:val="00134991"/>
    <w:rsid w:val="00136362"/>
    <w:rsid w:val="001363E9"/>
    <w:rsid w:val="001416C4"/>
    <w:rsid w:val="00142836"/>
    <w:rsid w:val="00142F4E"/>
    <w:rsid w:val="00146FF6"/>
    <w:rsid w:val="00147524"/>
    <w:rsid w:val="001475AA"/>
    <w:rsid w:val="00147920"/>
    <w:rsid w:val="00150FFD"/>
    <w:rsid w:val="00151C18"/>
    <w:rsid w:val="00152155"/>
    <w:rsid w:val="001542E3"/>
    <w:rsid w:val="00154332"/>
    <w:rsid w:val="0015477B"/>
    <w:rsid w:val="00154D84"/>
    <w:rsid w:val="0015566A"/>
    <w:rsid w:val="00160CD7"/>
    <w:rsid w:val="00161D92"/>
    <w:rsid w:val="00163CAB"/>
    <w:rsid w:val="00164A80"/>
    <w:rsid w:val="001669C6"/>
    <w:rsid w:val="001679C8"/>
    <w:rsid w:val="00172772"/>
    <w:rsid w:val="00172F09"/>
    <w:rsid w:val="00174D68"/>
    <w:rsid w:val="00175829"/>
    <w:rsid w:val="00177075"/>
    <w:rsid w:val="0017715E"/>
    <w:rsid w:val="0018070C"/>
    <w:rsid w:val="00184447"/>
    <w:rsid w:val="00185B05"/>
    <w:rsid w:val="00185BF7"/>
    <w:rsid w:val="00186322"/>
    <w:rsid w:val="00187729"/>
    <w:rsid w:val="001900BC"/>
    <w:rsid w:val="001909EE"/>
    <w:rsid w:val="0019266E"/>
    <w:rsid w:val="001964AA"/>
    <w:rsid w:val="001968F9"/>
    <w:rsid w:val="001A1060"/>
    <w:rsid w:val="001A22B4"/>
    <w:rsid w:val="001A3137"/>
    <w:rsid w:val="001A3851"/>
    <w:rsid w:val="001A4639"/>
    <w:rsid w:val="001A51EF"/>
    <w:rsid w:val="001A555D"/>
    <w:rsid w:val="001A632B"/>
    <w:rsid w:val="001A6AA7"/>
    <w:rsid w:val="001A6C0F"/>
    <w:rsid w:val="001B11FC"/>
    <w:rsid w:val="001B387C"/>
    <w:rsid w:val="001B4C94"/>
    <w:rsid w:val="001B5EE9"/>
    <w:rsid w:val="001B6333"/>
    <w:rsid w:val="001B7C61"/>
    <w:rsid w:val="001C043A"/>
    <w:rsid w:val="001C07D9"/>
    <w:rsid w:val="001C0AB3"/>
    <w:rsid w:val="001C2FB3"/>
    <w:rsid w:val="001C32C8"/>
    <w:rsid w:val="001C3C26"/>
    <w:rsid w:val="001C4B89"/>
    <w:rsid w:val="001C61C7"/>
    <w:rsid w:val="001C721F"/>
    <w:rsid w:val="001C7570"/>
    <w:rsid w:val="001D0222"/>
    <w:rsid w:val="001D0869"/>
    <w:rsid w:val="001D1528"/>
    <w:rsid w:val="001D21BF"/>
    <w:rsid w:val="001D3C81"/>
    <w:rsid w:val="001D463E"/>
    <w:rsid w:val="001D6FB3"/>
    <w:rsid w:val="001E1EE7"/>
    <w:rsid w:val="001E209E"/>
    <w:rsid w:val="001E217A"/>
    <w:rsid w:val="001E2DDF"/>
    <w:rsid w:val="001E3242"/>
    <w:rsid w:val="001E3482"/>
    <w:rsid w:val="001E4AD2"/>
    <w:rsid w:val="001E5286"/>
    <w:rsid w:val="001E63B7"/>
    <w:rsid w:val="001E6728"/>
    <w:rsid w:val="001E75AE"/>
    <w:rsid w:val="001F1BB9"/>
    <w:rsid w:val="001F201B"/>
    <w:rsid w:val="001F3A5C"/>
    <w:rsid w:val="001F4E71"/>
    <w:rsid w:val="001F5506"/>
    <w:rsid w:val="001F5AC5"/>
    <w:rsid w:val="001F604F"/>
    <w:rsid w:val="00200EA2"/>
    <w:rsid w:val="002011AA"/>
    <w:rsid w:val="00201A22"/>
    <w:rsid w:val="00203BAE"/>
    <w:rsid w:val="002053A0"/>
    <w:rsid w:val="00205D0A"/>
    <w:rsid w:val="0020606D"/>
    <w:rsid w:val="0020681E"/>
    <w:rsid w:val="002156CF"/>
    <w:rsid w:val="00215D29"/>
    <w:rsid w:val="00216838"/>
    <w:rsid w:val="00216ADF"/>
    <w:rsid w:val="00216CFB"/>
    <w:rsid w:val="00220436"/>
    <w:rsid w:val="00221B98"/>
    <w:rsid w:val="00221EDD"/>
    <w:rsid w:val="00222B93"/>
    <w:rsid w:val="00223E33"/>
    <w:rsid w:val="002247FF"/>
    <w:rsid w:val="002249D0"/>
    <w:rsid w:val="00224C4E"/>
    <w:rsid w:val="00225494"/>
    <w:rsid w:val="00226ECC"/>
    <w:rsid w:val="0023375C"/>
    <w:rsid w:val="002342EE"/>
    <w:rsid w:val="0023433C"/>
    <w:rsid w:val="0023525F"/>
    <w:rsid w:val="00235E0D"/>
    <w:rsid w:val="00237A95"/>
    <w:rsid w:val="00237D70"/>
    <w:rsid w:val="00240159"/>
    <w:rsid w:val="00242DC5"/>
    <w:rsid w:val="00245311"/>
    <w:rsid w:val="00245F3A"/>
    <w:rsid w:val="00245F80"/>
    <w:rsid w:val="002467CB"/>
    <w:rsid w:val="00246F46"/>
    <w:rsid w:val="0025211C"/>
    <w:rsid w:val="00253BA1"/>
    <w:rsid w:val="00254250"/>
    <w:rsid w:val="00255673"/>
    <w:rsid w:val="002573DD"/>
    <w:rsid w:val="0026047C"/>
    <w:rsid w:val="0026054A"/>
    <w:rsid w:val="0026126C"/>
    <w:rsid w:val="00261813"/>
    <w:rsid w:val="00261F8A"/>
    <w:rsid w:val="00263159"/>
    <w:rsid w:val="00264DB0"/>
    <w:rsid w:val="002653EB"/>
    <w:rsid w:val="00267320"/>
    <w:rsid w:val="002707A3"/>
    <w:rsid w:val="0027147B"/>
    <w:rsid w:val="00272779"/>
    <w:rsid w:val="00273FE8"/>
    <w:rsid w:val="002743E3"/>
    <w:rsid w:val="002747E2"/>
    <w:rsid w:val="00276789"/>
    <w:rsid w:val="00276FDF"/>
    <w:rsid w:val="00277784"/>
    <w:rsid w:val="00280E67"/>
    <w:rsid w:val="002829DF"/>
    <w:rsid w:val="0028310C"/>
    <w:rsid w:val="00283D30"/>
    <w:rsid w:val="00283DF0"/>
    <w:rsid w:val="0028444D"/>
    <w:rsid w:val="002849EA"/>
    <w:rsid w:val="00284EAC"/>
    <w:rsid w:val="002852A1"/>
    <w:rsid w:val="00286F2A"/>
    <w:rsid w:val="002871FD"/>
    <w:rsid w:val="002903E1"/>
    <w:rsid w:val="002930F9"/>
    <w:rsid w:val="0029415F"/>
    <w:rsid w:val="002944EB"/>
    <w:rsid w:val="00296C01"/>
    <w:rsid w:val="002A2708"/>
    <w:rsid w:val="002A33BF"/>
    <w:rsid w:val="002B10D0"/>
    <w:rsid w:val="002B1702"/>
    <w:rsid w:val="002B19DD"/>
    <w:rsid w:val="002B1C2B"/>
    <w:rsid w:val="002B1DA4"/>
    <w:rsid w:val="002B280A"/>
    <w:rsid w:val="002B31FF"/>
    <w:rsid w:val="002B336C"/>
    <w:rsid w:val="002B3C27"/>
    <w:rsid w:val="002B4C0B"/>
    <w:rsid w:val="002C000D"/>
    <w:rsid w:val="002C143C"/>
    <w:rsid w:val="002C1FEF"/>
    <w:rsid w:val="002C263E"/>
    <w:rsid w:val="002C29E4"/>
    <w:rsid w:val="002C2DBA"/>
    <w:rsid w:val="002C3744"/>
    <w:rsid w:val="002C38C5"/>
    <w:rsid w:val="002C3D3E"/>
    <w:rsid w:val="002C5F2D"/>
    <w:rsid w:val="002C6A87"/>
    <w:rsid w:val="002C79D6"/>
    <w:rsid w:val="002D06A2"/>
    <w:rsid w:val="002D0A76"/>
    <w:rsid w:val="002D0A9B"/>
    <w:rsid w:val="002D145C"/>
    <w:rsid w:val="002D3A72"/>
    <w:rsid w:val="002D4322"/>
    <w:rsid w:val="002D4599"/>
    <w:rsid w:val="002D4AD0"/>
    <w:rsid w:val="002D5065"/>
    <w:rsid w:val="002D5E32"/>
    <w:rsid w:val="002D61BE"/>
    <w:rsid w:val="002D7384"/>
    <w:rsid w:val="002D7B50"/>
    <w:rsid w:val="002E04F2"/>
    <w:rsid w:val="002E18D5"/>
    <w:rsid w:val="002E20CF"/>
    <w:rsid w:val="002E2E0D"/>
    <w:rsid w:val="002E31C6"/>
    <w:rsid w:val="002E3A6A"/>
    <w:rsid w:val="002E4648"/>
    <w:rsid w:val="002E604C"/>
    <w:rsid w:val="002E6D1A"/>
    <w:rsid w:val="002E7D45"/>
    <w:rsid w:val="002F0D08"/>
    <w:rsid w:val="002F13F5"/>
    <w:rsid w:val="002F20D7"/>
    <w:rsid w:val="002F3268"/>
    <w:rsid w:val="002F4661"/>
    <w:rsid w:val="002F5C9F"/>
    <w:rsid w:val="00301889"/>
    <w:rsid w:val="00302747"/>
    <w:rsid w:val="0030339B"/>
    <w:rsid w:val="003038DB"/>
    <w:rsid w:val="00304950"/>
    <w:rsid w:val="00305D38"/>
    <w:rsid w:val="003063F7"/>
    <w:rsid w:val="0031138A"/>
    <w:rsid w:val="00311DC5"/>
    <w:rsid w:val="00315552"/>
    <w:rsid w:val="00315E14"/>
    <w:rsid w:val="00316101"/>
    <w:rsid w:val="003169A5"/>
    <w:rsid w:val="003175EE"/>
    <w:rsid w:val="00317C0A"/>
    <w:rsid w:val="00317E19"/>
    <w:rsid w:val="003206CF"/>
    <w:rsid w:val="00320A81"/>
    <w:rsid w:val="00321858"/>
    <w:rsid w:val="003218A5"/>
    <w:rsid w:val="003228CA"/>
    <w:rsid w:val="00322A63"/>
    <w:rsid w:val="00323A9D"/>
    <w:rsid w:val="00325541"/>
    <w:rsid w:val="0032643E"/>
    <w:rsid w:val="00326B06"/>
    <w:rsid w:val="00330356"/>
    <w:rsid w:val="0033113B"/>
    <w:rsid w:val="00331888"/>
    <w:rsid w:val="00333633"/>
    <w:rsid w:val="00333ECC"/>
    <w:rsid w:val="00334DB6"/>
    <w:rsid w:val="00335B1D"/>
    <w:rsid w:val="00336C55"/>
    <w:rsid w:val="0033740F"/>
    <w:rsid w:val="00337F20"/>
    <w:rsid w:val="00340CFD"/>
    <w:rsid w:val="003424FD"/>
    <w:rsid w:val="003434C7"/>
    <w:rsid w:val="003451D8"/>
    <w:rsid w:val="0034592A"/>
    <w:rsid w:val="0034651E"/>
    <w:rsid w:val="003470B1"/>
    <w:rsid w:val="00353529"/>
    <w:rsid w:val="00353DF2"/>
    <w:rsid w:val="00354EB1"/>
    <w:rsid w:val="00355237"/>
    <w:rsid w:val="00356130"/>
    <w:rsid w:val="00356495"/>
    <w:rsid w:val="00357BDC"/>
    <w:rsid w:val="00360116"/>
    <w:rsid w:val="00360456"/>
    <w:rsid w:val="00361C9B"/>
    <w:rsid w:val="00362801"/>
    <w:rsid w:val="00364876"/>
    <w:rsid w:val="00364F47"/>
    <w:rsid w:val="00365E52"/>
    <w:rsid w:val="003670E4"/>
    <w:rsid w:val="003674EC"/>
    <w:rsid w:val="00367650"/>
    <w:rsid w:val="00367EDC"/>
    <w:rsid w:val="00370913"/>
    <w:rsid w:val="0037169B"/>
    <w:rsid w:val="00373F51"/>
    <w:rsid w:val="00375562"/>
    <w:rsid w:val="00375968"/>
    <w:rsid w:val="003764E2"/>
    <w:rsid w:val="00377234"/>
    <w:rsid w:val="00377DA1"/>
    <w:rsid w:val="00381167"/>
    <w:rsid w:val="003829A8"/>
    <w:rsid w:val="003829E4"/>
    <w:rsid w:val="003844EB"/>
    <w:rsid w:val="003849C6"/>
    <w:rsid w:val="003853C4"/>
    <w:rsid w:val="00385D60"/>
    <w:rsid w:val="0039011A"/>
    <w:rsid w:val="00390FCE"/>
    <w:rsid w:val="00395B23"/>
    <w:rsid w:val="00396777"/>
    <w:rsid w:val="00396EE1"/>
    <w:rsid w:val="003A0D11"/>
    <w:rsid w:val="003A1B50"/>
    <w:rsid w:val="003A268A"/>
    <w:rsid w:val="003A3AA6"/>
    <w:rsid w:val="003A3D60"/>
    <w:rsid w:val="003A47C1"/>
    <w:rsid w:val="003A5B94"/>
    <w:rsid w:val="003A72E9"/>
    <w:rsid w:val="003A7E5D"/>
    <w:rsid w:val="003B0FB5"/>
    <w:rsid w:val="003B1159"/>
    <w:rsid w:val="003B1EA8"/>
    <w:rsid w:val="003B43F1"/>
    <w:rsid w:val="003B507F"/>
    <w:rsid w:val="003C0A52"/>
    <w:rsid w:val="003C1078"/>
    <w:rsid w:val="003C2897"/>
    <w:rsid w:val="003C43D9"/>
    <w:rsid w:val="003C5B20"/>
    <w:rsid w:val="003C6405"/>
    <w:rsid w:val="003C6697"/>
    <w:rsid w:val="003D342E"/>
    <w:rsid w:val="003D3D42"/>
    <w:rsid w:val="003D6B5C"/>
    <w:rsid w:val="003D6F9C"/>
    <w:rsid w:val="003E0378"/>
    <w:rsid w:val="003E0C82"/>
    <w:rsid w:val="003E2F23"/>
    <w:rsid w:val="003E469B"/>
    <w:rsid w:val="003E511E"/>
    <w:rsid w:val="003E62FE"/>
    <w:rsid w:val="003E63D3"/>
    <w:rsid w:val="003E7AD3"/>
    <w:rsid w:val="003F01E7"/>
    <w:rsid w:val="003F07A3"/>
    <w:rsid w:val="003F0A65"/>
    <w:rsid w:val="003F6E06"/>
    <w:rsid w:val="003F6EB0"/>
    <w:rsid w:val="00403335"/>
    <w:rsid w:val="00404658"/>
    <w:rsid w:val="00404DBD"/>
    <w:rsid w:val="004072A2"/>
    <w:rsid w:val="00410221"/>
    <w:rsid w:val="00410525"/>
    <w:rsid w:val="00410B48"/>
    <w:rsid w:val="00411423"/>
    <w:rsid w:val="00412672"/>
    <w:rsid w:val="00413D71"/>
    <w:rsid w:val="004143C4"/>
    <w:rsid w:val="00414ADC"/>
    <w:rsid w:val="00415C97"/>
    <w:rsid w:val="0041697C"/>
    <w:rsid w:val="004170FD"/>
    <w:rsid w:val="00422837"/>
    <w:rsid w:val="004229B9"/>
    <w:rsid w:val="0042315E"/>
    <w:rsid w:val="00423767"/>
    <w:rsid w:val="00423978"/>
    <w:rsid w:val="00425819"/>
    <w:rsid w:val="004279CC"/>
    <w:rsid w:val="00431DF4"/>
    <w:rsid w:val="00432976"/>
    <w:rsid w:val="00432D02"/>
    <w:rsid w:val="00434948"/>
    <w:rsid w:val="00434A6C"/>
    <w:rsid w:val="00434DBA"/>
    <w:rsid w:val="00435004"/>
    <w:rsid w:val="00435049"/>
    <w:rsid w:val="004356AD"/>
    <w:rsid w:val="00436F0C"/>
    <w:rsid w:val="004378F2"/>
    <w:rsid w:val="00437D31"/>
    <w:rsid w:val="00437DE5"/>
    <w:rsid w:val="00440EF8"/>
    <w:rsid w:val="0044221C"/>
    <w:rsid w:val="00443A6C"/>
    <w:rsid w:val="00444543"/>
    <w:rsid w:val="004448EB"/>
    <w:rsid w:val="00444F44"/>
    <w:rsid w:val="004459A2"/>
    <w:rsid w:val="0044722B"/>
    <w:rsid w:val="00452E6F"/>
    <w:rsid w:val="0045417F"/>
    <w:rsid w:val="004547F8"/>
    <w:rsid w:val="004555B8"/>
    <w:rsid w:val="00457174"/>
    <w:rsid w:val="004608C2"/>
    <w:rsid w:val="00462218"/>
    <w:rsid w:val="00462ABA"/>
    <w:rsid w:val="004647E7"/>
    <w:rsid w:val="00465922"/>
    <w:rsid w:val="0046647A"/>
    <w:rsid w:val="0046698B"/>
    <w:rsid w:val="00467B8F"/>
    <w:rsid w:val="004718A9"/>
    <w:rsid w:val="00472E71"/>
    <w:rsid w:val="0047646A"/>
    <w:rsid w:val="00476F13"/>
    <w:rsid w:val="0048095D"/>
    <w:rsid w:val="0048117F"/>
    <w:rsid w:val="0048120D"/>
    <w:rsid w:val="00481815"/>
    <w:rsid w:val="004834F8"/>
    <w:rsid w:val="0048554A"/>
    <w:rsid w:val="00485942"/>
    <w:rsid w:val="00486FE1"/>
    <w:rsid w:val="00487AE7"/>
    <w:rsid w:val="004918D5"/>
    <w:rsid w:val="00492AD9"/>
    <w:rsid w:val="00492D67"/>
    <w:rsid w:val="00492FCE"/>
    <w:rsid w:val="0049372A"/>
    <w:rsid w:val="004964BF"/>
    <w:rsid w:val="00497430"/>
    <w:rsid w:val="004A0C33"/>
    <w:rsid w:val="004A496E"/>
    <w:rsid w:val="004A4CD3"/>
    <w:rsid w:val="004A52E5"/>
    <w:rsid w:val="004A5F9C"/>
    <w:rsid w:val="004B0F2C"/>
    <w:rsid w:val="004B1346"/>
    <w:rsid w:val="004B1C2B"/>
    <w:rsid w:val="004B2589"/>
    <w:rsid w:val="004B2990"/>
    <w:rsid w:val="004B348C"/>
    <w:rsid w:val="004B34C5"/>
    <w:rsid w:val="004B45B2"/>
    <w:rsid w:val="004B677B"/>
    <w:rsid w:val="004C2727"/>
    <w:rsid w:val="004C2D87"/>
    <w:rsid w:val="004C2FD4"/>
    <w:rsid w:val="004C4927"/>
    <w:rsid w:val="004C53EF"/>
    <w:rsid w:val="004C6418"/>
    <w:rsid w:val="004C70E3"/>
    <w:rsid w:val="004D08F8"/>
    <w:rsid w:val="004D0C5E"/>
    <w:rsid w:val="004D17E2"/>
    <w:rsid w:val="004D24D5"/>
    <w:rsid w:val="004D2F38"/>
    <w:rsid w:val="004D4305"/>
    <w:rsid w:val="004D4EAF"/>
    <w:rsid w:val="004D66B6"/>
    <w:rsid w:val="004D6BC6"/>
    <w:rsid w:val="004E05CE"/>
    <w:rsid w:val="004E0B60"/>
    <w:rsid w:val="004E1092"/>
    <w:rsid w:val="004E2879"/>
    <w:rsid w:val="004E2D7F"/>
    <w:rsid w:val="004E323A"/>
    <w:rsid w:val="004E56D9"/>
    <w:rsid w:val="004E5771"/>
    <w:rsid w:val="004F52A4"/>
    <w:rsid w:val="004F59E3"/>
    <w:rsid w:val="004F6B48"/>
    <w:rsid w:val="004F74E4"/>
    <w:rsid w:val="004F750F"/>
    <w:rsid w:val="005010DF"/>
    <w:rsid w:val="005019C0"/>
    <w:rsid w:val="00502386"/>
    <w:rsid w:val="00502A03"/>
    <w:rsid w:val="00502ABB"/>
    <w:rsid w:val="00503736"/>
    <w:rsid w:val="00504645"/>
    <w:rsid w:val="00505B4D"/>
    <w:rsid w:val="00506B2E"/>
    <w:rsid w:val="00512CCA"/>
    <w:rsid w:val="00512FB4"/>
    <w:rsid w:val="00513286"/>
    <w:rsid w:val="00514032"/>
    <w:rsid w:val="00514C5A"/>
    <w:rsid w:val="005157B0"/>
    <w:rsid w:val="005159B9"/>
    <w:rsid w:val="00520721"/>
    <w:rsid w:val="005218CC"/>
    <w:rsid w:val="00521C8F"/>
    <w:rsid w:val="00524B7D"/>
    <w:rsid w:val="00526D53"/>
    <w:rsid w:val="0052766B"/>
    <w:rsid w:val="00527B1A"/>
    <w:rsid w:val="005303CA"/>
    <w:rsid w:val="00531159"/>
    <w:rsid w:val="00534A17"/>
    <w:rsid w:val="00534B67"/>
    <w:rsid w:val="0053501A"/>
    <w:rsid w:val="005356CC"/>
    <w:rsid w:val="005368C6"/>
    <w:rsid w:val="0054020B"/>
    <w:rsid w:val="00540B80"/>
    <w:rsid w:val="00540EBA"/>
    <w:rsid w:val="0054103E"/>
    <w:rsid w:val="00541148"/>
    <w:rsid w:val="005422DF"/>
    <w:rsid w:val="005422EA"/>
    <w:rsid w:val="00542719"/>
    <w:rsid w:val="00546786"/>
    <w:rsid w:val="00546BAD"/>
    <w:rsid w:val="00546F7B"/>
    <w:rsid w:val="00551CD3"/>
    <w:rsid w:val="00552C37"/>
    <w:rsid w:val="00553212"/>
    <w:rsid w:val="005539BC"/>
    <w:rsid w:val="005545CF"/>
    <w:rsid w:val="0055609D"/>
    <w:rsid w:val="00556254"/>
    <w:rsid w:val="00557AA7"/>
    <w:rsid w:val="005619A7"/>
    <w:rsid w:val="00562258"/>
    <w:rsid w:val="005649C1"/>
    <w:rsid w:val="00564FDF"/>
    <w:rsid w:val="00566088"/>
    <w:rsid w:val="0057087A"/>
    <w:rsid w:val="00571817"/>
    <w:rsid w:val="005719DE"/>
    <w:rsid w:val="005732D3"/>
    <w:rsid w:val="0057355F"/>
    <w:rsid w:val="005735B4"/>
    <w:rsid w:val="00577948"/>
    <w:rsid w:val="00581262"/>
    <w:rsid w:val="00582659"/>
    <w:rsid w:val="00586D61"/>
    <w:rsid w:val="00587844"/>
    <w:rsid w:val="00590579"/>
    <w:rsid w:val="00593CAE"/>
    <w:rsid w:val="00595251"/>
    <w:rsid w:val="005A0051"/>
    <w:rsid w:val="005A1817"/>
    <w:rsid w:val="005A24F6"/>
    <w:rsid w:val="005A3071"/>
    <w:rsid w:val="005A32A6"/>
    <w:rsid w:val="005A3851"/>
    <w:rsid w:val="005A44C2"/>
    <w:rsid w:val="005A4A23"/>
    <w:rsid w:val="005B53A2"/>
    <w:rsid w:val="005B6155"/>
    <w:rsid w:val="005B6D51"/>
    <w:rsid w:val="005B70C1"/>
    <w:rsid w:val="005B76B6"/>
    <w:rsid w:val="005B7CF7"/>
    <w:rsid w:val="005C068F"/>
    <w:rsid w:val="005C198A"/>
    <w:rsid w:val="005C326E"/>
    <w:rsid w:val="005C38B2"/>
    <w:rsid w:val="005C61A9"/>
    <w:rsid w:val="005C6276"/>
    <w:rsid w:val="005C75C6"/>
    <w:rsid w:val="005D0625"/>
    <w:rsid w:val="005D0DE6"/>
    <w:rsid w:val="005D3C43"/>
    <w:rsid w:val="005D6D03"/>
    <w:rsid w:val="005E2FC0"/>
    <w:rsid w:val="005E54B5"/>
    <w:rsid w:val="005E6ABF"/>
    <w:rsid w:val="005E6E91"/>
    <w:rsid w:val="005E6FAC"/>
    <w:rsid w:val="005E79DB"/>
    <w:rsid w:val="005F0188"/>
    <w:rsid w:val="005F3FED"/>
    <w:rsid w:val="005F461B"/>
    <w:rsid w:val="005F5E68"/>
    <w:rsid w:val="005F6DE1"/>
    <w:rsid w:val="005F7DFD"/>
    <w:rsid w:val="006026B6"/>
    <w:rsid w:val="006057F7"/>
    <w:rsid w:val="006065A1"/>
    <w:rsid w:val="00606FD1"/>
    <w:rsid w:val="00610321"/>
    <w:rsid w:val="0061074B"/>
    <w:rsid w:val="006111D4"/>
    <w:rsid w:val="006113F3"/>
    <w:rsid w:val="00611633"/>
    <w:rsid w:val="00611C5F"/>
    <w:rsid w:val="006131D0"/>
    <w:rsid w:val="0061417E"/>
    <w:rsid w:val="00616943"/>
    <w:rsid w:val="00617E51"/>
    <w:rsid w:val="0062054F"/>
    <w:rsid w:val="0062071C"/>
    <w:rsid w:val="006209A9"/>
    <w:rsid w:val="0062224B"/>
    <w:rsid w:val="00622763"/>
    <w:rsid w:val="00624D6E"/>
    <w:rsid w:val="00626E51"/>
    <w:rsid w:val="00627226"/>
    <w:rsid w:val="00627328"/>
    <w:rsid w:val="00627521"/>
    <w:rsid w:val="00627EC9"/>
    <w:rsid w:val="006310B1"/>
    <w:rsid w:val="00631985"/>
    <w:rsid w:val="00631C64"/>
    <w:rsid w:val="00632886"/>
    <w:rsid w:val="00632AFF"/>
    <w:rsid w:val="00632F3C"/>
    <w:rsid w:val="00633BDB"/>
    <w:rsid w:val="0063481B"/>
    <w:rsid w:val="006357CA"/>
    <w:rsid w:val="0063647F"/>
    <w:rsid w:val="00636600"/>
    <w:rsid w:val="00637178"/>
    <w:rsid w:val="00637346"/>
    <w:rsid w:val="00637E66"/>
    <w:rsid w:val="0064059C"/>
    <w:rsid w:val="00640612"/>
    <w:rsid w:val="00640E09"/>
    <w:rsid w:val="006410D2"/>
    <w:rsid w:val="00641220"/>
    <w:rsid w:val="00641FDD"/>
    <w:rsid w:val="00643A61"/>
    <w:rsid w:val="00643D50"/>
    <w:rsid w:val="00646D6B"/>
    <w:rsid w:val="00646F3D"/>
    <w:rsid w:val="00646FD7"/>
    <w:rsid w:val="00652937"/>
    <w:rsid w:val="00652F85"/>
    <w:rsid w:val="0065437B"/>
    <w:rsid w:val="006563EA"/>
    <w:rsid w:val="00656402"/>
    <w:rsid w:val="00660299"/>
    <w:rsid w:val="006615ED"/>
    <w:rsid w:val="00664072"/>
    <w:rsid w:val="00666A30"/>
    <w:rsid w:val="00670654"/>
    <w:rsid w:val="00674EDF"/>
    <w:rsid w:val="0067760E"/>
    <w:rsid w:val="00677C4C"/>
    <w:rsid w:val="00683799"/>
    <w:rsid w:val="0068382C"/>
    <w:rsid w:val="006874F1"/>
    <w:rsid w:val="00687855"/>
    <w:rsid w:val="006907BB"/>
    <w:rsid w:val="00690A9D"/>
    <w:rsid w:val="00690E7C"/>
    <w:rsid w:val="00692587"/>
    <w:rsid w:val="00693A6B"/>
    <w:rsid w:val="00693FEC"/>
    <w:rsid w:val="00694C90"/>
    <w:rsid w:val="0069577D"/>
    <w:rsid w:val="006959BD"/>
    <w:rsid w:val="00695F58"/>
    <w:rsid w:val="00696EF3"/>
    <w:rsid w:val="0069769C"/>
    <w:rsid w:val="006A02F4"/>
    <w:rsid w:val="006A05F2"/>
    <w:rsid w:val="006A22F5"/>
    <w:rsid w:val="006A25D6"/>
    <w:rsid w:val="006A4390"/>
    <w:rsid w:val="006A600F"/>
    <w:rsid w:val="006B049D"/>
    <w:rsid w:val="006B1DD3"/>
    <w:rsid w:val="006B2D9F"/>
    <w:rsid w:val="006B34EA"/>
    <w:rsid w:val="006B3568"/>
    <w:rsid w:val="006B3ACA"/>
    <w:rsid w:val="006B442F"/>
    <w:rsid w:val="006B4807"/>
    <w:rsid w:val="006B4B20"/>
    <w:rsid w:val="006C0596"/>
    <w:rsid w:val="006C0B43"/>
    <w:rsid w:val="006C1AB9"/>
    <w:rsid w:val="006C1C5C"/>
    <w:rsid w:val="006C1DDF"/>
    <w:rsid w:val="006C249F"/>
    <w:rsid w:val="006C2797"/>
    <w:rsid w:val="006C31FD"/>
    <w:rsid w:val="006C354B"/>
    <w:rsid w:val="006C7A7E"/>
    <w:rsid w:val="006D0A2D"/>
    <w:rsid w:val="006D2B46"/>
    <w:rsid w:val="006D3FB7"/>
    <w:rsid w:val="006D44D5"/>
    <w:rsid w:val="006D5A67"/>
    <w:rsid w:val="006D660E"/>
    <w:rsid w:val="006E02C8"/>
    <w:rsid w:val="006E2271"/>
    <w:rsid w:val="006E2840"/>
    <w:rsid w:val="006E33A0"/>
    <w:rsid w:val="006E3E03"/>
    <w:rsid w:val="006E4007"/>
    <w:rsid w:val="006E5152"/>
    <w:rsid w:val="006E587A"/>
    <w:rsid w:val="006E5EFE"/>
    <w:rsid w:val="006E654B"/>
    <w:rsid w:val="006E6B95"/>
    <w:rsid w:val="006E783D"/>
    <w:rsid w:val="006F1C6C"/>
    <w:rsid w:val="006F2846"/>
    <w:rsid w:val="006F2981"/>
    <w:rsid w:val="006F2D4D"/>
    <w:rsid w:val="006F3A36"/>
    <w:rsid w:val="006F3A84"/>
    <w:rsid w:val="006F3CFE"/>
    <w:rsid w:val="006F4EFB"/>
    <w:rsid w:val="006F5B49"/>
    <w:rsid w:val="006F623A"/>
    <w:rsid w:val="006F7B01"/>
    <w:rsid w:val="00702A32"/>
    <w:rsid w:val="00702C51"/>
    <w:rsid w:val="00703020"/>
    <w:rsid w:val="00703CCA"/>
    <w:rsid w:val="00704648"/>
    <w:rsid w:val="007062AC"/>
    <w:rsid w:val="0070733A"/>
    <w:rsid w:val="00707827"/>
    <w:rsid w:val="007100E9"/>
    <w:rsid w:val="0071110B"/>
    <w:rsid w:val="00711120"/>
    <w:rsid w:val="007116D9"/>
    <w:rsid w:val="00711963"/>
    <w:rsid w:val="007134C1"/>
    <w:rsid w:val="00713775"/>
    <w:rsid w:val="00715168"/>
    <w:rsid w:val="007152EC"/>
    <w:rsid w:val="00716232"/>
    <w:rsid w:val="00716B85"/>
    <w:rsid w:val="00717FDF"/>
    <w:rsid w:val="0072175A"/>
    <w:rsid w:val="0072360E"/>
    <w:rsid w:val="00725AB8"/>
    <w:rsid w:val="007260D9"/>
    <w:rsid w:val="00726338"/>
    <w:rsid w:val="00727CF2"/>
    <w:rsid w:val="00730942"/>
    <w:rsid w:val="00730EB1"/>
    <w:rsid w:val="0073149E"/>
    <w:rsid w:val="00731B86"/>
    <w:rsid w:val="00731BB9"/>
    <w:rsid w:val="007320C4"/>
    <w:rsid w:val="0073250C"/>
    <w:rsid w:val="007360FD"/>
    <w:rsid w:val="00737220"/>
    <w:rsid w:val="00741BF4"/>
    <w:rsid w:val="00742D14"/>
    <w:rsid w:val="00742D41"/>
    <w:rsid w:val="0074371B"/>
    <w:rsid w:val="00743D71"/>
    <w:rsid w:val="00744F3A"/>
    <w:rsid w:val="00747384"/>
    <w:rsid w:val="007475B0"/>
    <w:rsid w:val="00747793"/>
    <w:rsid w:val="007508CC"/>
    <w:rsid w:val="00750B66"/>
    <w:rsid w:val="00751913"/>
    <w:rsid w:val="00751F72"/>
    <w:rsid w:val="00752DBF"/>
    <w:rsid w:val="0075311C"/>
    <w:rsid w:val="00753801"/>
    <w:rsid w:val="0075500C"/>
    <w:rsid w:val="0075732E"/>
    <w:rsid w:val="00757341"/>
    <w:rsid w:val="00761636"/>
    <w:rsid w:val="0076192B"/>
    <w:rsid w:val="00761D1F"/>
    <w:rsid w:val="00761E73"/>
    <w:rsid w:val="00761EF3"/>
    <w:rsid w:val="00761F7A"/>
    <w:rsid w:val="007659F7"/>
    <w:rsid w:val="007663AF"/>
    <w:rsid w:val="00767157"/>
    <w:rsid w:val="00767803"/>
    <w:rsid w:val="00771D7E"/>
    <w:rsid w:val="00771ED8"/>
    <w:rsid w:val="007734D8"/>
    <w:rsid w:val="007741AC"/>
    <w:rsid w:val="00774555"/>
    <w:rsid w:val="00774BA6"/>
    <w:rsid w:val="00775325"/>
    <w:rsid w:val="00775518"/>
    <w:rsid w:val="00776D33"/>
    <w:rsid w:val="007804D8"/>
    <w:rsid w:val="007811BD"/>
    <w:rsid w:val="00781515"/>
    <w:rsid w:val="007817B3"/>
    <w:rsid w:val="007821FB"/>
    <w:rsid w:val="007854E2"/>
    <w:rsid w:val="00787BB9"/>
    <w:rsid w:val="00787CDA"/>
    <w:rsid w:val="00787CF5"/>
    <w:rsid w:val="00790D30"/>
    <w:rsid w:val="007918C3"/>
    <w:rsid w:val="007923D0"/>
    <w:rsid w:val="00794E98"/>
    <w:rsid w:val="007A20DB"/>
    <w:rsid w:val="007A5960"/>
    <w:rsid w:val="007B078A"/>
    <w:rsid w:val="007B1C7E"/>
    <w:rsid w:val="007B42CB"/>
    <w:rsid w:val="007B75B1"/>
    <w:rsid w:val="007B782E"/>
    <w:rsid w:val="007C11BF"/>
    <w:rsid w:val="007C21C1"/>
    <w:rsid w:val="007C29C9"/>
    <w:rsid w:val="007C47F7"/>
    <w:rsid w:val="007C55A0"/>
    <w:rsid w:val="007C5951"/>
    <w:rsid w:val="007C5EAD"/>
    <w:rsid w:val="007C690F"/>
    <w:rsid w:val="007C6C81"/>
    <w:rsid w:val="007D3AAD"/>
    <w:rsid w:val="007D3D2E"/>
    <w:rsid w:val="007D3DBC"/>
    <w:rsid w:val="007D6D05"/>
    <w:rsid w:val="007D7DE1"/>
    <w:rsid w:val="007E24BF"/>
    <w:rsid w:val="007E2C59"/>
    <w:rsid w:val="007E40C9"/>
    <w:rsid w:val="007E4822"/>
    <w:rsid w:val="007E4884"/>
    <w:rsid w:val="007E6665"/>
    <w:rsid w:val="007E7938"/>
    <w:rsid w:val="007F03A6"/>
    <w:rsid w:val="007F0705"/>
    <w:rsid w:val="007F26BC"/>
    <w:rsid w:val="007F28F3"/>
    <w:rsid w:val="007F49FC"/>
    <w:rsid w:val="007F4B57"/>
    <w:rsid w:val="007F4FE1"/>
    <w:rsid w:val="007F59A9"/>
    <w:rsid w:val="007F7321"/>
    <w:rsid w:val="0080077C"/>
    <w:rsid w:val="00800C27"/>
    <w:rsid w:val="00800F82"/>
    <w:rsid w:val="00802BE5"/>
    <w:rsid w:val="008040D7"/>
    <w:rsid w:val="00805092"/>
    <w:rsid w:val="00806203"/>
    <w:rsid w:val="008067BA"/>
    <w:rsid w:val="008103D6"/>
    <w:rsid w:val="0081054E"/>
    <w:rsid w:val="00811B16"/>
    <w:rsid w:val="0081237B"/>
    <w:rsid w:val="0081374F"/>
    <w:rsid w:val="008147D9"/>
    <w:rsid w:val="008153EE"/>
    <w:rsid w:val="00815490"/>
    <w:rsid w:val="0081583B"/>
    <w:rsid w:val="008167F7"/>
    <w:rsid w:val="00817B66"/>
    <w:rsid w:val="00820601"/>
    <w:rsid w:val="00820830"/>
    <w:rsid w:val="00821B22"/>
    <w:rsid w:val="00822472"/>
    <w:rsid w:val="00822968"/>
    <w:rsid w:val="00822BBB"/>
    <w:rsid w:val="00823AD3"/>
    <w:rsid w:val="00824C30"/>
    <w:rsid w:val="008264BA"/>
    <w:rsid w:val="00826F41"/>
    <w:rsid w:val="0083286A"/>
    <w:rsid w:val="00835BE6"/>
    <w:rsid w:val="00840981"/>
    <w:rsid w:val="00842AFF"/>
    <w:rsid w:val="00842B98"/>
    <w:rsid w:val="008433EF"/>
    <w:rsid w:val="00843E96"/>
    <w:rsid w:val="00844318"/>
    <w:rsid w:val="0084509A"/>
    <w:rsid w:val="008451A6"/>
    <w:rsid w:val="008454F8"/>
    <w:rsid w:val="00845E9E"/>
    <w:rsid w:val="00846AA5"/>
    <w:rsid w:val="00846AD4"/>
    <w:rsid w:val="00847DC5"/>
    <w:rsid w:val="008507F5"/>
    <w:rsid w:val="00850C2D"/>
    <w:rsid w:val="00850E17"/>
    <w:rsid w:val="0085312B"/>
    <w:rsid w:val="008538E1"/>
    <w:rsid w:val="0085496F"/>
    <w:rsid w:val="0085607C"/>
    <w:rsid w:val="00856668"/>
    <w:rsid w:val="008569EB"/>
    <w:rsid w:val="0085781A"/>
    <w:rsid w:val="0086626F"/>
    <w:rsid w:val="0087021B"/>
    <w:rsid w:val="0087210D"/>
    <w:rsid w:val="00873E46"/>
    <w:rsid w:val="00873E76"/>
    <w:rsid w:val="008803C5"/>
    <w:rsid w:val="008826EE"/>
    <w:rsid w:val="00884F95"/>
    <w:rsid w:val="00884FC9"/>
    <w:rsid w:val="008874E2"/>
    <w:rsid w:val="008914A0"/>
    <w:rsid w:val="0089410C"/>
    <w:rsid w:val="0089651D"/>
    <w:rsid w:val="00896BEF"/>
    <w:rsid w:val="00897800"/>
    <w:rsid w:val="00897E43"/>
    <w:rsid w:val="00897FE7"/>
    <w:rsid w:val="008A030E"/>
    <w:rsid w:val="008A050D"/>
    <w:rsid w:val="008A2A08"/>
    <w:rsid w:val="008A2E0F"/>
    <w:rsid w:val="008A4243"/>
    <w:rsid w:val="008A478C"/>
    <w:rsid w:val="008A5C48"/>
    <w:rsid w:val="008B0083"/>
    <w:rsid w:val="008B0317"/>
    <w:rsid w:val="008B1A85"/>
    <w:rsid w:val="008B1D77"/>
    <w:rsid w:val="008B2E36"/>
    <w:rsid w:val="008B33DC"/>
    <w:rsid w:val="008B3489"/>
    <w:rsid w:val="008B568C"/>
    <w:rsid w:val="008B7319"/>
    <w:rsid w:val="008B7D87"/>
    <w:rsid w:val="008C0A65"/>
    <w:rsid w:val="008C0DC7"/>
    <w:rsid w:val="008C1B55"/>
    <w:rsid w:val="008C2372"/>
    <w:rsid w:val="008C4D20"/>
    <w:rsid w:val="008C5B49"/>
    <w:rsid w:val="008C6583"/>
    <w:rsid w:val="008C6CAC"/>
    <w:rsid w:val="008C7549"/>
    <w:rsid w:val="008D0F54"/>
    <w:rsid w:val="008D1311"/>
    <w:rsid w:val="008D19DE"/>
    <w:rsid w:val="008D2429"/>
    <w:rsid w:val="008D27A3"/>
    <w:rsid w:val="008D2F11"/>
    <w:rsid w:val="008D408A"/>
    <w:rsid w:val="008D5566"/>
    <w:rsid w:val="008D67DE"/>
    <w:rsid w:val="008E368B"/>
    <w:rsid w:val="008E578D"/>
    <w:rsid w:val="008E74DB"/>
    <w:rsid w:val="008F016B"/>
    <w:rsid w:val="008F0480"/>
    <w:rsid w:val="008F07CF"/>
    <w:rsid w:val="008F2E23"/>
    <w:rsid w:val="008F3F46"/>
    <w:rsid w:val="008F4B74"/>
    <w:rsid w:val="008F6916"/>
    <w:rsid w:val="009008E1"/>
    <w:rsid w:val="00902029"/>
    <w:rsid w:val="00902D59"/>
    <w:rsid w:val="009030DB"/>
    <w:rsid w:val="009036A9"/>
    <w:rsid w:val="0090643F"/>
    <w:rsid w:val="00906C2F"/>
    <w:rsid w:val="009079FB"/>
    <w:rsid w:val="00911EFF"/>
    <w:rsid w:val="00913726"/>
    <w:rsid w:val="0091569F"/>
    <w:rsid w:val="009156B4"/>
    <w:rsid w:val="009167C0"/>
    <w:rsid w:val="0091782D"/>
    <w:rsid w:val="00920053"/>
    <w:rsid w:val="00920EC5"/>
    <w:rsid w:val="009215DF"/>
    <w:rsid w:val="00922169"/>
    <w:rsid w:val="00922B3D"/>
    <w:rsid w:val="009251FB"/>
    <w:rsid w:val="0092756D"/>
    <w:rsid w:val="00931B1D"/>
    <w:rsid w:val="00931C9D"/>
    <w:rsid w:val="0093238B"/>
    <w:rsid w:val="009336C2"/>
    <w:rsid w:val="00933E7A"/>
    <w:rsid w:val="009342DA"/>
    <w:rsid w:val="00936085"/>
    <w:rsid w:val="0094190B"/>
    <w:rsid w:val="00941A6C"/>
    <w:rsid w:val="0094321B"/>
    <w:rsid w:val="00943B29"/>
    <w:rsid w:val="00945C5D"/>
    <w:rsid w:val="00946F72"/>
    <w:rsid w:val="009475F9"/>
    <w:rsid w:val="00947888"/>
    <w:rsid w:val="009509DD"/>
    <w:rsid w:val="0095172C"/>
    <w:rsid w:val="00951889"/>
    <w:rsid w:val="00952234"/>
    <w:rsid w:val="0095269D"/>
    <w:rsid w:val="00952FEF"/>
    <w:rsid w:val="009539BC"/>
    <w:rsid w:val="0095435B"/>
    <w:rsid w:val="009550C2"/>
    <w:rsid w:val="00955890"/>
    <w:rsid w:val="00956515"/>
    <w:rsid w:val="00957C83"/>
    <w:rsid w:val="0096063B"/>
    <w:rsid w:val="00961B98"/>
    <w:rsid w:val="009629B1"/>
    <w:rsid w:val="009678B7"/>
    <w:rsid w:val="00970C82"/>
    <w:rsid w:val="009728FD"/>
    <w:rsid w:val="009740C4"/>
    <w:rsid w:val="0097446E"/>
    <w:rsid w:val="00974E26"/>
    <w:rsid w:val="00975481"/>
    <w:rsid w:val="009759BB"/>
    <w:rsid w:val="009767AA"/>
    <w:rsid w:val="00977648"/>
    <w:rsid w:val="00981035"/>
    <w:rsid w:val="00983315"/>
    <w:rsid w:val="00984A86"/>
    <w:rsid w:val="009867CC"/>
    <w:rsid w:val="00987774"/>
    <w:rsid w:val="00992C4B"/>
    <w:rsid w:val="00993516"/>
    <w:rsid w:val="00993D64"/>
    <w:rsid w:val="00994649"/>
    <w:rsid w:val="00995205"/>
    <w:rsid w:val="00997357"/>
    <w:rsid w:val="009A0721"/>
    <w:rsid w:val="009A1F84"/>
    <w:rsid w:val="009A245B"/>
    <w:rsid w:val="009A2C46"/>
    <w:rsid w:val="009A2DC1"/>
    <w:rsid w:val="009A3E38"/>
    <w:rsid w:val="009A45B3"/>
    <w:rsid w:val="009A4930"/>
    <w:rsid w:val="009A498F"/>
    <w:rsid w:val="009A4A32"/>
    <w:rsid w:val="009A4FB0"/>
    <w:rsid w:val="009A5A96"/>
    <w:rsid w:val="009A7337"/>
    <w:rsid w:val="009A7B5F"/>
    <w:rsid w:val="009A7DA9"/>
    <w:rsid w:val="009B08E9"/>
    <w:rsid w:val="009B2097"/>
    <w:rsid w:val="009B238F"/>
    <w:rsid w:val="009B3E59"/>
    <w:rsid w:val="009B4868"/>
    <w:rsid w:val="009B5C97"/>
    <w:rsid w:val="009B7671"/>
    <w:rsid w:val="009C1BD1"/>
    <w:rsid w:val="009C1FD3"/>
    <w:rsid w:val="009C3C19"/>
    <w:rsid w:val="009C3C86"/>
    <w:rsid w:val="009C6FB4"/>
    <w:rsid w:val="009D0CA2"/>
    <w:rsid w:val="009D1B58"/>
    <w:rsid w:val="009D2030"/>
    <w:rsid w:val="009D4102"/>
    <w:rsid w:val="009D51F0"/>
    <w:rsid w:val="009D559B"/>
    <w:rsid w:val="009D57FD"/>
    <w:rsid w:val="009D5AF0"/>
    <w:rsid w:val="009D77DA"/>
    <w:rsid w:val="009E2B46"/>
    <w:rsid w:val="009E442A"/>
    <w:rsid w:val="009E5720"/>
    <w:rsid w:val="009E6136"/>
    <w:rsid w:val="009F024F"/>
    <w:rsid w:val="009F1D1E"/>
    <w:rsid w:val="009F1DBC"/>
    <w:rsid w:val="009F2448"/>
    <w:rsid w:val="009F2C6E"/>
    <w:rsid w:val="009F3B1B"/>
    <w:rsid w:val="009F3BA1"/>
    <w:rsid w:val="009F4DB0"/>
    <w:rsid w:val="009F5109"/>
    <w:rsid w:val="009F7A69"/>
    <w:rsid w:val="00A00A05"/>
    <w:rsid w:val="00A00D21"/>
    <w:rsid w:val="00A00E51"/>
    <w:rsid w:val="00A01E32"/>
    <w:rsid w:val="00A024B0"/>
    <w:rsid w:val="00A067C6"/>
    <w:rsid w:val="00A07808"/>
    <w:rsid w:val="00A10204"/>
    <w:rsid w:val="00A10D9D"/>
    <w:rsid w:val="00A1178E"/>
    <w:rsid w:val="00A128EB"/>
    <w:rsid w:val="00A1331B"/>
    <w:rsid w:val="00A1388C"/>
    <w:rsid w:val="00A13EBF"/>
    <w:rsid w:val="00A14030"/>
    <w:rsid w:val="00A1436E"/>
    <w:rsid w:val="00A145A7"/>
    <w:rsid w:val="00A159A1"/>
    <w:rsid w:val="00A15CE6"/>
    <w:rsid w:val="00A17911"/>
    <w:rsid w:val="00A205BB"/>
    <w:rsid w:val="00A214E3"/>
    <w:rsid w:val="00A2161F"/>
    <w:rsid w:val="00A21BB9"/>
    <w:rsid w:val="00A25FCD"/>
    <w:rsid w:val="00A2728D"/>
    <w:rsid w:val="00A27542"/>
    <w:rsid w:val="00A27B96"/>
    <w:rsid w:val="00A30715"/>
    <w:rsid w:val="00A30D6A"/>
    <w:rsid w:val="00A32691"/>
    <w:rsid w:val="00A327FB"/>
    <w:rsid w:val="00A333FA"/>
    <w:rsid w:val="00A33C16"/>
    <w:rsid w:val="00A3465D"/>
    <w:rsid w:val="00A35768"/>
    <w:rsid w:val="00A35809"/>
    <w:rsid w:val="00A3676A"/>
    <w:rsid w:val="00A37263"/>
    <w:rsid w:val="00A37A2C"/>
    <w:rsid w:val="00A37D8F"/>
    <w:rsid w:val="00A42182"/>
    <w:rsid w:val="00A4222D"/>
    <w:rsid w:val="00A4322A"/>
    <w:rsid w:val="00A43D76"/>
    <w:rsid w:val="00A45686"/>
    <w:rsid w:val="00A45F7D"/>
    <w:rsid w:val="00A467F3"/>
    <w:rsid w:val="00A50518"/>
    <w:rsid w:val="00A50751"/>
    <w:rsid w:val="00A50C05"/>
    <w:rsid w:val="00A524A0"/>
    <w:rsid w:val="00A56805"/>
    <w:rsid w:val="00A654C5"/>
    <w:rsid w:val="00A65A81"/>
    <w:rsid w:val="00A67660"/>
    <w:rsid w:val="00A676C1"/>
    <w:rsid w:val="00A71A92"/>
    <w:rsid w:val="00A7321F"/>
    <w:rsid w:val="00A75D1D"/>
    <w:rsid w:val="00A75D41"/>
    <w:rsid w:val="00A75EA2"/>
    <w:rsid w:val="00A76B78"/>
    <w:rsid w:val="00A76DF1"/>
    <w:rsid w:val="00A76EFC"/>
    <w:rsid w:val="00A77896"/>
    <w:rsid w:val="00A81094"/>
    <w:rsid w:val="00A8160C"/>
    <w:rsid w:val="00A82334"/>
    <w:rsid w:val="00A83394"/>
    <w:rsid w:val="00A835BC"/>
    <w:rsid w:val="00A840B1"/>
    <w:rsid w:val="00A844CD"/>
    <w:rsid w:val="00A84812"/>
    <w:rsid w:val="00A85998"/>
    <w:rsid w:val="00A8647C"/>
    <w:rsid w:val="00A918E7"/>
    <w:rsid w:val="00A9198C"/>
    <w:rsid w:val="00A925D6"/>
    <w:rsid w:val="00A928FC"/>
    <w:rsid w:val="00A94103"/>
    <w:rsid w:val="00A94CC5"/>
    <w:rsid w:val="00A94F89"/>
    <w:rsid w:val="00A9655E"/>
    <w:rsid w:val="00A9698E"/>
    <w:rsid w:val="00A975FE"/>
    <w:rsid w:val="00A976CA"/>
    <w:rsid w:val="00AA1803"/>
    <w:rsid w:val="00AA210A"/>
    <w:rsid w:val="00AA212C"/>
    <w:rsid w:val="00AA549E"/>
    <w:rsid w:val="00AA54F2"/>
    <w:rsid w:val="00AA5EC0"/>
    <w:rsid w:val="00AA6571"/>
    <w:rsid w:val="00AA73FB"/>
    <w:rsid w:val="00AB0861"/>
    <w:rsid w:val="00AB12F4"/>
    <w:rsid w:val="00AB2DC3"/>
    <w:rsid w:val="00AB2E22"/>
    <w:rsid w:val="00AB3BE6"/>
    <w:rsid w:val="00AB487E"/>
    <w:rsid w:val="00AB4A5F"/>
    <w:rsid w:val="00AB7892"/>
    <w:rsid w:val="00AB7AB6"/>
    <w:rsid w:val="00AC1838"/>
    <w:rsid w:val="00AC1941"/>
    <w:rsid w:val="00AC284D"/>
    <w:rsid w:val="00AC33A3"/>
    <w:rsid w:val="00AC36F4"/>
    <w:rsid w:val="00AC43A0"/>
    <w:rsid w:val="00AD01C6"/>
    <w:rsid w:val="00AD0285"/>
    <w:rsid w:val="00AD1016"/>
    <w:rsid w:val="00AD136C"/>
    <w:rsid w:val="00AD2213"/>
    <w:rsid w:val="00AD5902"/>
    <w:rsid w:val="00AD763F"/>
    <w:rsid w:val="00AE2712"/>
    <w:rsid w:val="00AE2E2B"/>
    <w:rsid w:val="00AE34B6"/>
    <w:rsid w:val="00AE389B"/>
    <w:rsid w:val="00AE40BB"/>
    <w:rsid w:val="00AE42A2"/>
    <w:rsid w:val="00AE527E"/>
    <w:rsid w:val="00AE690B"/>
    <w:rsid w:val="00AE74B4"/>
    <w:rsid w:val="00AF114E"/>
    <w:rsid w:val="00AF50B5"/>
    <w:rsid w:val="00AF5A3E"/>
    <w:rsid w:val="00AF6825"/>
    <w:rsid w:val="00AF712F"/>
    <w:rsid w:val="00B0066D"/>
    <w:rsid w:val="00B00F57"/>
    <w:rsid w:val="00B01347"/>
    <w:rsid w:val="00B01D51"/>
    <w:rsid w:val="00B02A22"/>
    <w:rsid w:val="00B0374E"/>
    <w:rsid w:val="00B0490B"/>
    <w:rsid w:val="00B051C9"/>
    <w:rsid w:val="00B06790"/>
    <w:rsid w:val="00B13006"/>
    <w:rsid w:val="00B13061"/>
    <w:rsid w:val="00B14105"/>
    <w:rsid w:val="00B14661"/>
    <w:rsid w:val="00B15AB2"/>
    <w:rsid w:val="00B16C85"/>
    <w:rsid w:val="00B2023B"/>
    <w:rsid w:val="00B21A78"/>
    <w:rsid w:val="00B24394"/>
    <w:rsid w:val="00B2469B"/>
    <w:rsid w:val="00B246BA"/>
    <w:rsid w:val="00B2696F"/>
    <w:rsid w:val="00B26E09"/>
    <w:rsid w:val="00B273BD"/>
    <w:rsid w:val="00B2741E"/>
    <w:rsid w:val="00B27459"/>
    <w:rsid w:val="00B3090E"/>
    <w:rsid w:val="00B322DC"/>
    <w:rsid w:val="00B325E2"/>
    <w:rsid w:val="00B32EA6"/>
    <w:rsid w:val="00B33D67"/>
    <w:rsid w:val="00B340A6"/>
    <w:rsid w:val="00B3439C"/>
    <w:rsid w:val="00B3481E"/>
    <w:rsid w:val="00B369A1"/>
    <w:rsid w:val="00B40063"/>
    <w:rsid w:val="00B40EB8"/>
    <w:rsid w:val="00B41322"/>
    <w:rsid w:val="00B43260"/>
    <w:rsid w:val="00B443CA"/>
    <w:rsid w:val="00B4494A"/>
    <w:rsid w:val="00B45772"/>
    <w:rsid w:val="00B458CF"/>
    <w:rsid w:val="00B51B5C"/>
    <w:rsid w:val="00B525A1"/>
    <w:rsid w:val="00B52CFA"/>
    <w:rsid w:val="00B54356"/>
    <w:rsid w:val="00B562F5"/>
    <w:rsid w:val="00B56ED0"/>
    <w:rsid w:val="00B57BA6"/>
    <w:rsid w:val="00B60BAF"/>
    <w:rsid w:val="00B6152F"/>
    <w:rsid w:val="00B61D8E"/>
    <w:rsid w:val="00B63C7E"/>
    <w:rsid w:val="00B64AF3"/>
    <w:rsid w:val="00B704ED"/>
    <w:rsid w:val="00B72425"/>
    <w:rsid w:val="00B75020"/>
    <w:rsid w:val="00B75DE1"/>
    <w:rsid w:val="00B81134"/>
    <w:rsid w:val="00B814D5"/>
    <w:rsid w:val="00B8383B"/>
    <w:rsid w:val="00B85D3B"/>
    <w:rsid w:val="00B864D6"/>
    <w:rsid w:val="00B87319"/>
    <w:rsid w:val="00B902CB"/>
    <w:rsid w:val="00B94BFB"/>
    <w:rsid w:val="00B9503C"/>
    <w:rsid w:val="00B95158"/>
    <w:rsid w:val="00B95FF5"/>
    <w:rsid w:val="00B96F97"/>
    <w:rsid w:val="00B9708D"/>
    <w:rsid w:val="00B97475"/>
    <w:rsid w:val="00BA07DD"/>
    <w:rsid w:val="00BA0A3C"/>
    <w:rsid w:val="00BA3730"/>
    <w:rsid w:val="00BA64F0"/>
    <w:rsid w:val="00BA68DE"/>
    <w:rsid w:val="00BA6D43"/>
    <w:rsid w:val="00BA7CF5"/>
    <w:rsid w:val="00BB153C"/>
    <w:rsid w:val="00BB1C4B"/>
    <w:rsid w:val="00BB1FE3"/>
    <w:rsid w:val="00BB3880"/>
    <w:rsid w:val="00BB78CE"/>
    <w:rsid w:val="00BB7BC7"/>
    <w:rsid w:val="00BC031C"/>
    <w:rsid w:val="00BC0D86"/>
    <w:rsid w:val="00BC29D7"/>
    <w:rsid w:val="00BC48DC"/>
    <w:rsid w:val="00BC61A3"/>
    <w:rsid w:val="00BC7978"/>
    <w:rsid w:val="00BD04E3"/>
    <w:rsid w:val="00BD2E3E"/>
    <w:rsid w:val="00BD3522"/>
    <w:rsid w:val="00BD3805"/>
    <w:rsid w:val="00BD4C94"/>
    <w:rsid w:val="00BD4D1B"/>
    <w:rsid w:val="00BD5374"/>
    <w:rsid w:val="00BD554E"/>
    <w:rsid w:val="00BD5D81"/>
    <w:rsid w:val="00BE081D"/>
    <w:rsid w:val="00BE1ECC"/>
    <w:rsid w:val="00BE2242"/>
    <w:rsid w:val="00BE38C0"/>
    <w:rsid w:val="00BE3B52"/>
    <w:rsid w:val="00BE3FC0"/>
    <w:rsid w:val="00BE4E69"/>
    <w:rsid w:val="00BE6506"/>
    <w:rsid w:val="00BE7B83"/>
    <w:rsid w:val="00BF1591"/>
    <w:rsid w:val="00BF2CB5"/>
    <w:rsid w:val="00BF356F"/>
    <w:rsid w:val="00BF3E3B"/>
    <w:rsid w:val="00BF4934"/>
    <w:rsid w:val="00BF58AD"/>
    <w:rsid w:val="00BF5F70"/>
    <w:rsid w:val="00BF6C40"/>
    <w:rsid w:val="00BF70CA"/>
    <w:rsid w:val="00BF73F7"/>
    <w:rsid w:val="00C00DEC"/>
    <w:rsid w:val="00C01ABC"/>
    <w:rsid w:val="00C01BCC"/>
    <w:rsid w:val="00C04725"/>
    <w:rsid w:val="00C04BB2"/>
    <w:rsid w:val="00C106B0"/>
    <w:rsid w:val="00C10973"/>
    <w:rsid w:val="00C201A9"/>
    <w:rsid w:val="00C2085A"/>
    <w:rsid w:val="00C212BF"/>
    <w:rsid w:val="00C21801"/>
    <w:rsid w:val="00C21D4A"/>
    <w:rsid w:val="00C226AA"/>
    <w:rsid w:val="00C23261"/>
    <w:rsid w:val="00C236DC"/>
    <w:rsid w:val="00C23B02"/>
    <w:rsid w:val="00C25957"/>
    <w:rsid w:val="00C27399"/>
    <w:rsid w:val="00C27BC1"/>
    <w:rsid w:val="00C30023"/>
    <w:rsid w:val="00C3053C"/>
    <w:rsid w:val="00C305E5"/>
    <w:rsid w:val="00C30815"/>
    <w:rsid w:val="00C32371"/>
    <w:rsid w:val="00C3329C"/>
    <w:rsid w:val="00C34719"/>
    <w:rsid w:val="00C34B81"/>
    <w:rsid w:val="00C36EDB"/>
    <w:rsid w:val="00C373F5"/>
    <w:rsid w:val="00C378A5"/>
    <w:rsid w:val="00C42122"/>
    <w:rsid w:val="00C429E2"/>
    <w:rsid w:val="00C44545"/>
    <w:rsid w:val="00C445EF"/>
    <w:rsid w:val="00C44793"/>
    <w:rsid w:val="00C46E79"/>
    <w:rsid w:val="00C47931"/>
    <w:rsid w:val="00C47F62"/>
    <w:rsid w:val="00C50FC5"/>
    <w:rsid w:val="00C5105B"/>
    <w:rsid w:val="00C514D5"/>
    <w:rsid w:val="00C52509"/>
    <w:rsid w:val="00C52611"/>
    <w:rsid w:val="00C53A9A"/>
    <w:rsid w:val="00C54127"/>
    <w:rsid w:val="00C54DA0"/>
    <w:rsid w:val="00C55157"/>
    <w:rsid w:val="00C55789"/>
    <w:rsid w:val="00C56117"/>
    <w:rsid w:val="00C60865"/>
    <w:rsid w:val="00C610AD"/>
    <w:rsid w:val="00C62728"/>
    <w:rsid w:val="00C63D03"/>
    <w:rsid w:val="00C641CD"/>
    <w:rsid w:val="00C66EAC"/>
    <w:rsid w:val="00C67054"/>
    <w:rsid w:val="00C67AD2"/>
    <w:rsid w:val="00C71C99"/>
    <w:rsid w:val="00C72C11"/>
    <w:rsid w:val="00C73CDD"/>
    <w:rsid w:val="00C74F6E"/>
    <w:rsid w:val="00C7598E"/>
    <w:rsid w:val="00C76A95"/>
    <w:rsid w:val="00C76EDD"/>
    <w:rsid w:val="00C80D0F"/>
    <w:rsid w:val="00C820DC"/>
    <w:rsid w:val="00C84054"/>
    <w:rsid w:val="00C84B11"/>
    <w:rsid w:val="00C854C7"/>
    <w:rsid w:val="00C85900"/>
    <w:rsid w:val="00C86BAB"/>
    <w:rsid w:val="00C874AD"/>
    <w:rsid w:val="00C91C39"/>
    <w:rsid w:val="00C91D9C"/>
    <w:rsid w:val="00C92EDD"/>
    <w:rsid w:val="00C939D6"/>
    <w:rsid w:val="00C95A59"/>
    <w:rsid w:val="00C964C8"/>
    <w:rsid w:val="00C97D22"/>
    <w:rsid w:val="00C97E82"/>
    <w:rsid w:val="00CA1AF4"/>
    <w:rsid w:val="00CA1D32"/>
    <w:rsid w:val="00CA3583"/>
    <w:rsid w:val="00CA3617"/>
    <w:rsid w:val="00CA4A13"/>
    <w:rsid w:val="00CA4DB4"/>
    <w:rsid w:val="00CA6898"/>
    <w:rsid w:val="00CA6D60"/>
    <w:rsid w:val="00CA78AD"/>
    <w:rsid w:val="00CB0AB2"/>
    <w:rsid w:val="00CB1017"/>
    <w:rsid w:val="00CB1A2B"/>
    <w:rsid w:val="00CB21A6"/>
    <w:rsid w:val="00CB244B"/>
    <w:rsid w:val="00CB2F07"/>
    <w:rsid w:val="00CB4EBA"/>
    <w:rsid w:val="00CB5854"/>
    <w:rsid w:val="00CB707E"/>
    <w:rsid w:val="00CB72FD"/>
    <w:rsid w:val="00CB7F1B"/>
    <w:rsid w:val="00CB7FB8"/>
    <w:rsid w:val="00CC271B"/>
    <w:rsid w:val="00CC2BA9"/>
    <w:rsid w:val="00CC4E0C"/>
    <w:rsid w:val="00CC4E0D"/>
    <w:rsid w:val="00CC5F88"/>
    <w:rsid w:val="00CC7376"/>
    <w:rsid w:val="00CC7AE8"/>
    <w:rsid w:val="00CD0997"/>
    <w:rsid w:val="00CD133D"/>
    <w:rsid w:val="00CD138F"/>
    <w:rsid w:val="00CD1E43"/>
    <w:rsid w:val="00CD1FF4"/>
    <w:rsid w:val="00CD2150"/>
    <w:rsid w:val="00CD257A"/>
    <w:rsid w:val="00CD2980"/>
    <w:rsid w:val="00CD37AC"/>
    <w:rsid w:val="00CD707E"/>
    <w:rsid w:val="00CE1080"/>
    <w:rsid w:val="00CE1CC5"/>
    <w:rsid w:val="00CE2B29"/>
    <w:rsid w:val="00CE2B85"/>
    <w:rsid w:val="00CE32DC"/>
    <w:rsid w:val="00CE3D0B"/>
    <w:rsid w:val="00CE552F"/>
    <w:rsid w:val="00CE55E9"/>
    <w:rsid w:val="00CE5ED5"/>
    <w:rsid w:val="00CE7273"/>
    <w:rsid w:val="00CF0D90"/>
    <w:rsid w:val="00CF26EA"/>
    <w:rsid w:val="00CF2811"/>
    <w:rsid w:val="00CF3AE9"/>
    <w:rsid w:val="00CF3FA2"/>
    <w:rsid w:val="00CF4289"/>
    <w:rsid w:val="00CF73E0"/>
    <w:rsid w:val="00CF7F97"/>
    <w:rsid w:val="00D00FC7"/>
    <w:rsid w:val="00D0212C"/>
    <w:rsid w:val="00D029A2"/>
    <w:rsid w:val="00D04BDD"/>
    <w:rsid w:val="00D05397"/>
    <w:rsid w:val="00D0786F"/>
    <w:rsid w:val="00D128D6"/>
    <w:rsid w:val="00D14C5A"/>
    <w:rsid w:val="00D151AE"/>
    <w:rsid w:val="00D157D5"/>
    <w:rsid w:val="00D1636E"/>
    <w:rsid w:val="00D20270"/>
    <w:rsid w:val="00D20AAE"/>
    <w:rsid w:val="00D21D94"/>
    <w:rsid w:val="00D24C41"/>
    <w:rsid w:val="00D310C3"/>
    <w:rsid w:val="00D31742"/>
    <w:rsid w:val="00D31B0C"/>
    <w:rsid w:val="00D3232F"/>
    <w:rsid w:val="00D32D70"/>
    <w:rsid w:val="00D33C2F"/>
    <w:rsid w:val="00D36274"/>
    <w:rsid w:val="00D367E0"/>
    <w:rsid w:val="00D3782E"/>
    <w:rsid w:val="00D412A1"/>
    <w:rsid w:val="00D42AEC"/>
    <w:rsid w:val="00D43021"/>
    <w:rsid w:val="00D436AF"/>
    <w:rsid w:val="00D43EC2"/>
    <w:rsid w:val="00D463F7"/>
    <w:rsid w:val="00D46877"/>
    <w:rsid w:val="00D47379"/>
    <w:rsid w:val="00D51A8F"/>
    <w:rsid w:val="00D51FF9"/>
    <w:rsid w:val="00D5278C"/>
    <w:rsid w:val="00D53D05"/>
    <w:rsid w:val="00D5450A"/>
    <w:rsid w:val="00D54531"/>
    <w:rsid w:val="00D54F43"/>
    <w:rsid w:val="00D55B77"/>
    <w:rsid w:val="00D55CA8"/>
    <w:rsid w:val="00D60083"/>
    <w:rsid w:val="00D62FE8"/>
    <w:rsid w:val="00D641C9"/>
    <w:rsid w:val="00D64A94"/>
    <w:rsid w:val="00D70257"/>
    <w:rsid w:val="00D70D47"/>
    <w:rsid w:val="00D70E73"/>
    <w:rsid w:val="00D714C2"/>
    <w:rsid w:val="00D7204D"/>
    <w:rsid w:val="00D757D6"/>
    <w:rsid w:val="00D76911"/>
    <w:rsid w:val="00D808E7"/>
    <w:rsid w:val="00D80EC8"/>
    <w:rsid w:val="00D82ABA"/>
    <w:rsid w:val="00D83471"/>
    <w:rsid w:val="00D84FC5"/>
    <w:rsid w:val="00D8584D"/>
    <w:rsid w:val="00D873C1"/>
    <w:rsid w:val="00D8750E"/>
    <w:rsid w:val="00D90461"/>
    <w:rsid w:val="00D9051C"/>
    <w:rsid w:val="00D92380"/>
    <w:rsid w:val="00D9396D"/>
    <w:rsid w:val="00D941CC"/>
    <w:rsid w:val="00D945FF"/>
    <w:rsid w:val="00D948C9"/>
    <w:rsid w:val="00D96937"/>
    <w:rsid w:val="00DA2AEB"/>
    <w:rsid w:val="00DA3628"/>
    <w:rsid w:val="00DA4856"/>
    <w:rsid w:val="00DA61DA"/>
    <w:rsid w:val="00DA698E"/>
    <w:rsid w:val="00DB252E"/>
    <w:rsid w:val="00DB2C1F"/>
    <w:rsid w:val="00DB314C"/>
    <w:rsid w:val="00DB32A7"/>
    <w:rsid w:val="00DB33CD"/>
    <w:rsid w:val="00DB3EFF"/>
    <w:rsid w:val="00DB688F"/>
    <w:rsid w:val="00DC09C3"/>
    <w:rsid w:val="00DC0FAC"/>
    <w:rsid w:val="00DC2A29"/>
    <w:rsid w:val="00DC382E"/>
    <w:rsid w:val="00DC4460"/>
    <w:rsid w:val="00DC6FFD"/>
    <w:rsid w:val="00DC7307"/>
    <w:rsid w:val="00DD08A2"/>
    <w:rsid w:val="00DD15E2"/>
    <w:rsid w:val="00DD237B"/>
    <w:rsid w:val="00DD2E0B"/>
    <w:rsid w:val="00DD3220"/>
    <w:rsid w:val="00DD3458"/>
    <w:rsid w:val="00DD4283"/>
    <w:rsid w:val="00DD7D57"/>
    <w:rsid w:val="00DD7FA4"/>
    <w:rsid w:val="00DE11D9"/>
    <w:rsid w:val="00DE218F"/>
    <w:rsid w:val="00DE295A"/>
    <w:rsid w:val="00DE463F"/>
    <w:rsid w:val="00DE50A6"/>
    <w:rsid w:val="00DE6332"/>
    <w:rsid w:val="00DF028E"/>
    <w:rsid w:val="00DF0FDC"/>
    <w:rsid w:val="00DF13E3"/>
    <w:rsid w:val="00DF4395"/>
    <w:rsid w:val="00DF53A6"/>
    <w:rsid w:val="00DF630C"/>
    <w:rsid w:val="00DF632A"/>
    <w:rsid w:val="00E0006B"/>
    <w:rsid w:val="00E002D7"/>
    <w:rsid w:val="00E02610"/>
    <w:rsid w:val="00E02D2F"/>
    <w:rsid w:val="00E052A6"/>
    <w:rsid w:val="00E06010"/>
    <w:rsid w:val="00E06331"/>
    <w:rsid w:val="00E06D1F"/>
    <w:rsid w:val="00E10737"/>
    <w:rsid w:val="00E1138D"/>
    <w:rsid w:val="00E1496D"/>
    <w:rsid w:val="00E15D8C"/>
    <w:rsid w:val="00E16C47"/>
    <w:rsid w:val="00E20238"/>
    <w:rsid w:val="00E20B4B"/>
    <w:rsid w:val="00E21C3A"/>
    <w:rsid w:val="00E21F46"/>
    <w:rsid w:val="00E22136"/>
    <w:rsid w:val="00E22BDF"/>
    <w:rsid w:val="00E23B15"/>
    <w:rsid w:val="00E24225"/>
    <w:rsid w:val="00E2513C"/>
    <w:rsid w:val="00E2681A"/>
    <w:rsid w:val="00E30E7B"/>
    <w:rsid w:val="00E331DB"/>
    <w:rsid w:val="00E36993"/>
    <w:rsid w:val="00E36E2B"/>
    <w:rsid w:val="00E37E84"/>
    <w:rsid w:val="00E40FBF"/>
    <w:rsid w:val="00E41D17"/>
    <w:rsid w:val="00E44775"/>
    <w:rsid w:val="00E47B61"/>
    <w:rsid w:val="00E5064C"/>
    <w:rsid w:val="00E51A4B"/>
    <w:rsid w:val="00E51B2B"/>
    <w:rsid w:val="00E521CA"/>
    <w:rsid w:val="00E53431"/>
    <w:rsid w:val="00E53DAE"/>
    <w:rsid w:val="00E56CA2"/>
    <w:rsid w:val="00E6036B"/>
    <w:rsid w:val="00E62752"/>
    <w:rsid w:val="00E6310D"/>
    <w:rsid w:val="00E63941"/>
    <w:rsid w:val="00E65305"/>
    <w:rsid w:val="00E653E4"/>
    <w:rsid w:val="00E66273"/>
    <w:rsid w:val="00E733DD"/>
    <w:rsid w:val="00E73F28"/>
    <w:rsid w:val="00E7537F"/>
    <w:rsid w:val="00E76EF0"/>
    <w:rsid w:val="00E77404"/>
    <w:rsid w:val="00E81398"/>
    <w:rsid w:val="00E83D9E"/>
    <w:rsid w:val="00E83FF9"/>
    <w:rsid w:val="00E84521"/>
    <w:rsid w:val="00E85AD2"/>
    <w:rsid w:val="00E862ED"/>
    <w:rsid w:val="00E8659D"/>
    <w:rsid w:val="00E86651"/>
    <w:rsid w:val="00E875B0"/>
    <w:rsid w:val="00E87742"/>
    <w:rsid w:val="00E87DD8"/>
    <w:rsid w:val="00E87E7D"/>
    <w:rsid w:val="00E92409"/>
    <w:rsid w:val="00E92B08"/>
    <w:rsid w:val="00E933A4"/>
    <w:rsid w:val="00E949FD"/>
    <w:rsid w:val="00E950A7"/>
    <w:rsid w:val="00E967A3"/>
    <w:rsid w:val="00EA0C09"/>
    <w:rsid w:val="00EA28B0"/>
    <w:rsid w:val="00EA3B51"/>
    <w:rsid w:val="00EA440F"/>
    <w:rsid w:val="00EA6802"/>
    <w:rsid w:val="00EA7D26"/>
    <w:rsid w:val="00EB0A4C"/>
    <w:rsid w:val="00EB19EE"/>
    <w:rsid w:val="00EB27B7"/>
    <w:rsid w:val="00EB2B2C"/>
    <w:rsid w:val="00EB2D5D"/>
    <w:rsid w:val="00EB46A7"/>
    <w:rsid w:val="00EB5CB1"/>
    <w:rsid w:val="00EB6D75"/>
    <w:rsid w:val="00EB6FDC"/>
    <w:rsid w:val="00EB70FE"/>
    <w:rsid w:val="00EB7202"/>
    <w:rsid w:val="00EC0AF5"/>
    <w:rsid w:val="00EC0C64"/>
    <w:rsid w:val="00EC1F0A"/>
    <w:rsid w:val="00EC24A8"/>
    <w:rsid w:val="00EC4D24"/>
    <w:rsid w:val="00EC4E26"/>
    <w:rsid w:val="00EC63B8"/>
    <w:rsid w:val="00EC6DC0"/>
    <w:rsid w:val="00EC7884"/>
    <w:rsid w:val="00EC7950"/>
    <w:rsid w:val="00EC7FB8"/>
    <w:rsid w:val="00ED3DD7"/>
    <w:rsid w:val="00ED417E"/>
    <w:rsid w:val="00ED4ED5"/>
    <w:rsid w:val="00ED501D"/>
    <w:rsid w:val="00ED57B9"/>
    <w:rsid w:val="00ED6319"/>
    <w:rsid w:val="00ED669C"/>
    <w:rsid w:val="00ED7812"/>
    <w:rsid w:val="00EE0B39"/>
    <w:rsid w:val="00EE1A98"/>
    <w:rsid w:val="00EE1BBC"/>
    <w:rsid w:val="00EE34D4"/>
    <w:rsid w:val="00EE5105"/>
    <w:rsid w:val="00EE566E"/>
    <w:rsid w:val="00EE7930"/>
    <w:rsid w:val="00EF04CF"/>
    <w:rsid w:val="00EF2D64"/>
    <w:rsid w:val="00EF321F"/>
    <w:rsid w:val="00EF34A7"/>
    <w:rsid w:val="00EF5A6E"/>
    <w:rsid w:val="00EF62F9"/>
    <w:rsid w:val="00EF7028"/>
    <w:rsid w:val="00EF7E9F"/>
    <w:rsid w:val="00F00C37"/>
    <w:rsid w:val="00F00D63"/>
    <w:rsid w:val="00F01236"/>
    <w:rsid w:val="00F012D4"/>
    <w:rsid w:val="00F043BE"/>
    <w:rsid w:val="00F053E5"/>
    <w:rsid w:val="00F055BA"/>
    <w:rsid w:val="00F068E9"/>
    <w:rsid w:val="00F075DF"/>
    <w:rsid w:val="00F07FC2"/>
    <w:rsid w:val="00F112CB"/>
    <w:rsid w:val="00F11FD2"/>
    <w:rsid w:val="00F123FB"/>
    <w:rsid w:val="00F1450C"/>
    <w:rsid w:val="00F168D4"/>
    <w:rsid w:val="00F20884"/>
    <w:rsid w:val="00F21886"/>
    <w:rsid w:val="00F2192D"/>
    <w:rsid w:val="00F2396A"/>
    <w:rsid w:val="00F242A1"/>
    <w:rsid w:val="00F25589"/>
    <w:rsid w:val="00F2684E"/>
    <w:rsid w:val="00F27140"/>
    <w:rsid w:val="00F316A9"/>
    <w:rsid w:val="00F3230D"/>
    <w:rsid w:val="00F32C42"/>
    <w:rsid w:val="00F32D0A"/>
    <w:rsid w:val="00F335EC"/>
    <w:rsid w:val="00F33EE7"/>
    <w:rsid w:val="00F35934"/>
    <w:rsid w:val="00F37248"/>
    <w:rsid w:val="00F3732B"/>
    <w:rsid w:val="00F40DC0"/>
    <w:rsid w:val="00F443B8"/>
    <w:rsid w:val="00F44598"/>
    <w:rsid w:val="00F446F2"/>
    <w:rsid w:val="00F47C5C"/>
    <w:rsid w:val="00F50C17"/>
    <w:rsid w:val="00F513C0"/>
    <w:rsid w:val="00F517C1"/>
    <w:rsid w:val="00F5304B"/>
    <w:rsid w:val="00F531F3"/>
    <w:rsid w:val="00F541A4"/>
    <w:rsid w:val="00F57D92"/>
    <w:rsid w:val="00F64830"/>
    <w:rsid w:val="00F649AD"/>
    <w:rsid w:val="00F649D5"/>
    <w:rsid w:val="00F65393"/>
    <w:rsid w:val="00F65AB6"/>
    <w:rsid w:val="00F66451"/>
    <w:rsid w:val="00F66949"/>
    <w:rsid w:val="00F66B05"/>
    <w:rsid w:val="00F67205"/>
    <w:rsid w:val="00F673CE"/>
    <w:rsid w:val="00F728D5"/>
    <w:rsid w:val="00F7358B"/>
    <w:rsid w:val="00F73617"/>
    <w:rsid w:val="00F7398F"/>
    <w:rsid w:val="00F7455A"/>
    <w:rsid w:val="00F77A4D"/>
    <w:rsid w:val="00F77D15"/>
    <w:rsid w:val="00F8095C"/>
    <w:rsid w:val="00F80E6A"/>
    <w:rsid w:val="00F8303B"/>
    <w:rsid w:val="00F832F7"/>
    <w:rsid w:val="00F8512A"/>
    <w:rsid w:val="00F91698"/>
    <w:rsid w:val="00F92265"/>
    <w:rsid w:val="00F936C3"/>
    <w:rsid w:val="00F93B34"/>
    <w:rsid w:val="00F94D27"/>
    <w:rsid w:val="00F962C8"/>
    <w:rsid w:val="00FA102F"/>
    <w:rsid w:val="00FA2D44"/>
    <w:rsid w:val="00FA44EC"/>
    <w:rsid w:val="00FA4E10"/>
    <w:rsid w:val="00FA4F5F"/>
    <w:rsid w:val="00FA729E"/>
    <w:rsid w:val="00FB0593"/>
    <w:rsid w:val="00FB05B6"/>
    <w:rsid w:val="00FB06F1"/>
    <w:rsid w:val="00FB0784"/>
    <w:rsid w:val="00FB48F5"/>
    <w:rsid w:val="00FB76DA"/>
    <w:rsid w:val="00FB7B7C"/>
    <w:rsid w:val="00FC1F96"/>
    <w:rsid w:val="00FC2668"/>
    <w:rsid w:val="00FC5942"/>
    <w:rsid w:val="00FC5E3C"/>
    <w:rsid w:val="00FC60EB"/>
    <w:rsid w:val="00FC705D"/>
    <w:rsid w:val="00FC720D"/>
    <w:rsid w:val="00FC76A3"/>
    <w:rsid w:val="00FC7D80"/>
    <w:rsid w:val="00FC7FD3"/>
    <w:rsid w:val="00FD1557"/>
    <w:rsid w:val="00FD5B38"/>
    <w:rsid w:val="00FD6888"/>
    <w:rsid w:val="00FE067A"/>
    <w:rsid w:val="00FE0F0B"/>
    <w:rsid w:val="00FE1E31"/>
    <w:rsid w:val="00FE1F28"/>
    <w:rsid w:val="00FE2410"/>
    <w:rsid w:val="00FE2C03"/>
    <w:rsid w:val="00FE3155"/>
    <w:rsid w:val="00FE3C35"/>
    <w:rsid w:val="00FE6E80"/>
    <w:rsid w:val="00FF0A6F"/>
    <w:rsid w:val="00FF104D"/>
    <w:rsid w:val="00FF2F24"/>
    <w:rsid w:val="00FF47B4"/>
    <w:rsid w:val="00FF4870"/>
    <w:rsid w:val="00FF5210"/>
    <w:rsid w:val="00FF6B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C2A7B4-C013-4BE1-99D5-C121F077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paragraph" w:styleId="1">
    <w:name w:val="heading 1"/>
    <w:basedOn w:val="a"/>
    <w:next w:val="a"/>
    <w:link w:val="10"/>
    <w:qFormat/>
    <w:rsid w:val="002C79D6"/>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11"/>
    <w:next w:val="a"/>
    <w:link w:val="20"/>
    <w:uiPriority w:val="9"/>
    <w:unhideWhenUsed/>
    <w:qFormat/>
    <w:rsid w:val="002D7384"/>
    <w:pPr>
      <w:keepNext w:val="0"/>
      <w:tabs>
        <w:tab w:val="right" w:leader="dot" w:pos="10206"/>
      </w:tabs>
      <w:spacing w:afterLines="70" w:after="252" w:line="440" w:lineRule="exact"/>
      <w:ind w:right="-2"/>
      <w:jc w:val="both"/>
      <w:outlineLvl w:val="1"/>
    </w:pPr>
    <w:rPr>
      <w:bCs w:val="0"/>
      <w:noProof/>
      <w:kern w:val="2"/>
      <w:szCs w:val="28"/>
      <w:lang w:val="en-US"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5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57FD"/>
    <w:pPr>
      <w:ind w:leftChars="200" w:left="480"/>
    </w:pPr>
  </w:style>
  <w:style w:type="paragraph" w:styleId="HTML">
    <w:name w:val="HTML Preformatted"/>
    <w:basedOn w:val="a"/>
    <w:link w:val="HTML0"/>
    <w:uiPriority w:val="99"/>
    <w:unhideWhenUsed/>
    <w:rsid w:val="009D57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olor w:val="333333"/>
      <w:kern w:val="0"/>
      <w:sz w:val="20"/>
      <w:szCs w:val="24"/>
      <w:lang w:val="x-none" w:eastAsia="x-none"/>
    </w:rPr>
  </w:style>
  <w:style w:type="character" w:customStyle="1" w:styleId="HTML0">
    <w:name w:val="HTML 預設格式 字元"/>
    <w:link w:val="HTML"/>
    <w:uiPriority w:val="99"/>
    <w:rsid w:val="009D57FD"/>
    <w:rPr>
      <w:rFonts w:ascii="細明體" w:eastAsia="細明體" w:hAnsi="細明體" w:cs="細明體"/>
      <w:color w:val="333333"/>
      <w:kern w:val="0"/>
      <w:szCs w:val="24"/>
    </w:rPr>
  </w:style>
  <w:style w:type="paragraph" w:styleId="a5">
    <w:name w:val="header"/>
    <w:basedOn w:val="a"/>
    <w:link w:val="a6"/>
    <w:unhideWhenUsed/>
    <w:rsid w:val="00C10973"/>
    <w:pPr>
      <w:tabs>
        <w:tab w:val="center" w:pos="4153"/>
        <w:tab w:val="right" w:pos="8306"/>
      </w:tabs>
      <w:snapToGrid w:val="0"/>
    </w:pPr>
    <w:rPr>
      <w:kern w:val="0"/>
      <w:sz w:val="20"/>
      <w:szCs w:val="20"/>
      <w:lang w:val="x-none" w:eastAsia="x-none"/>
    </w:rPr>
  </w:style>
  <w:style w:type="character" w:customStyle="1" w:styleId="a6">
    <w:name w:val="頁首 字元"/>
    <w:link w:val="a5"/>
    <w:rsid w:val="00C10973"/>
    <w:rPr>
      <w:sz w:val="20"/>
      <w:szCs w:val="20"/>
    </w:rPr>
  </w:style>
  <w:style w:type="paragraph" w:styleId="a7">
    <w:name w:val="footer"/>
    <w:basedOn w:val="a"/>
    <w:link w:val="a8"/>
    <w:unhideWhenUsed/>
    <w:rsid w:val="00C10973"/>
    <w:pPr>
      <w:tabs>
        <w:tab w:val="center" w:pos="4153"/>
        <w:tab w:val="right" w:pos="8306"/>
      </w:tabs>
      <w:snapToGrid w:val="0"/>
    </w:pPr>
    <w:rPr>
      <w:kern w:val="0"/>
      <w:sz w:val="20"/>
      <w:szCs w:val="20"/>
      <w:lang w:val="x-none" w:eastAsia="x-none"/>
    </w:rPr>
  </w:style>
  <w:style w:type="character" w:customStyle="1" w:styleId="a8">
    <w:name w:val="頁尾 字元"/>
    <w:link w:val="a7"/>
    <w:uiPriority w:val="99"/>
    <w:rsid w:val="00C10973"/>
    <w:rPr>
      <w:sz w:val="20"/>
      <w:szCs w:val="20"/>
    </w:rPr>
  </w:style>
  <w:style w:type="character" w:styleId="a9">
    <w:name w:val="annotation reference"/>
    <w:uiPriority w:val="99"/>
    <w:semiHidden/>
    <w:unhideWhenUsed/>
    <w:rsid w:val="00A00E51"/>
    <w:rPr>
      <w:sz w:val="18"/>
      <w:szCs w:val="18"/>
    </w:rPr>
  </w:style>
  <w:style w:type="paragraph" w:styleId="aa">
    <w:name w:val="annotation text"/>
    <w:basedOn w:val="a"/>
    <w:link w:val="ab"/>
    <w:uiPriority w:val="99"/>
    <w:semiHidden/>
    <w:unhideWhenUsed/>
    <w:rsid w:val="00A00E51"/>
  </w:style>
  <w:style w:type="character" w:customStyle="1" w:styleId="ab">
    <w:name w:val="註解文字 字元"/>
    <w:basedOn w:val="a0"/>
    <w:link w:val="aa"/>
    <w:uiPriority w:val="99"/>
    <w:semiHidden/>
    <w:rsid w:val="00A00E51"/>
  </w:style>
  <w:style w:type="paragraph" w:styleId="ac">
    <w:name w:val="annotation subject"/>
    <w:basedOn w:val="aa"/>
    <w:next w:val="aa"/>
    <w:link w:val="ad"/>
    <w:uiPriority w:val="99"/>
    <w:semiHidden/>
    <w:unhideWhenUsed/>
    <w:rsid w:val="00A00E51"/>
    <w:rPr>
      <w:b/>
      <w:bCs/>
      <w:kern w:val="0"/>
      <w:sz w:val="20"/>
      <w:szCs w:val="20"/>
      <w:lang w:val="x-none" w:eastAsia="x-none"/>
    </w:rPr>
  </w:style>
  <w:style w:type="character" w:customStyle="1" w:styleId="ad">
    <w:name w:val="註解主旨 字元"/>
    <w:link w:val="ac"/>
    <w:uiPriority w:val="99"/>
    <w:semiHidden/>
    <w:rsid w:val="00A00E51"/>
    <w:rPr>
      <w:b/>
      <w:bCs/>
    </w:rPr>
  </w:style>
  <w:style w:type="paragraph" w:styleId="ae">
    <w:name w:val="Balloon Text"/>
    <w:basedOn w:val="a"/>
    <w:link w:val="af"/>
    <w:uiPriority w:val="99"/>
    <w:semiHidden/>
    <w:unhideWhenUsed/>
    <w:rsid w:val="00A00E51"/>
    <w:rPr>
      <w:rFonts w:ascii="Cambria" w:hAnsi="Cambria"/>
      <w:kern w:val="0"/>
      <w:sz w:val="18"/>
      <w:szCs w:val="18"/>
      <w:lang w:val="x-none" w:eastAsia="x-none"/>
    </w:rPr>
  </w:style>
  <w:style w:type="character" w:customStyle="1" w:styleId="af">
    <w:name w:val="註解方塊文字 字元"/>
    <w:link w:val="ae"/>
    <w:uiPriority w:val="99"/>
    <w:semiHidden/>
    <w:rsid w:val="00A00E51"/>
    <w:rPr>
      <w:rFonts w:ascii="Cambria" w:eastAsia="新細明體" w:hAnsi="Cambria" w:cs="Times New Roman"/>
      <w:sz w:val="18"/>
      <w:szCs w:val="18"/>
    </w:rPr>
  </w:style>
  <w:style w:type="character" w:styleId="af0">
    <w:name w:val="Hyperlink"/>
    <w:uiPriority w:val="99"/>
    <w:unhideWhenUsed/>
    <w:rsid w:val="00FC76A3"/>
    <w:rPr>
      <w:color w:val="003366"/>
      <w:u w:val="single"/>
    </w:rPr>
  </w:style>
  <w:style w:type="paragraph" w:styleId="af1">
    <w:name w:val="No Spacing"/>
    <w:uiPriority w:val="1"/>
    <w:qFormat/>
    <w:rsid w:val="001B5EE9"/>
    <w:pPr>
      <w:widowControl w:val="0"/>
      <w:adjustRightInd w:val="0"/>
      <w:textAlignment w:val="baseline"/>
    </w:pPr>
    <w:rPr>
      <w:rFonts w:ascii="Times New Roman" w:hAnsi="Times New Roman"/>
      <w:sz w:val="24"/>
    </w:rPr>
  </w:style>
  <w:style w:type="character" w:customStyle="1" w:styleId="10">
    <w:name w:val="標題 1 字元"/>
    <w:link w:val="1"/>
    <w:rsid w:val="002C79D6"/>
    <w:rPr>
      <w:rFonts w:ascii="Cambria" w:eastAsia="新細明體" w:hAnsi="Cambria" w:cs="Times New Roman"/>
      <w:b/>
      <w:bCs/>
      <w:kern w:val="52"/>
      <w:sz w:val="52"/>
      <w:szCs w:val="52"/>
    </w:rPr>
  </w:style>
  <w:style w:type="paragraph" w:customStyle="1" w:styleId="11">
    <w:name w:val="樣式1"/>
    <w:basedOn w:val="1"/>
    <w:link w:val="12"/>
    <w:qFormat/>
    <w:rsid w:val="000C19BC"/>
    <w:pPr>
      <w:spacing w:before="0" w:after="0" w:line="400" w:lineRule="exact"/>
      <w:jc w:val="center"/>
    </w:pPr>
    <w:rPr>
      <w:rFonts w:ascii="標楷體" w:eastAsia="標楷體" w:hAnsi="標楷體"/>
      <w:sz w:val="32"/>
      <w:szCs w:val="32"/>
    </w:rPr>
  </w:style>
  <w:style w:type="paragraph" w:customStyle="1" w:styleId="13">
    <w:name w:val="標題1"/>
    <w:basedOn w:val="11"/>
    <w:link w:val="14"/>
    <w:qFormat/>
    <w:rsid w:val="000C19BC"/>
  </w:style>
  <w:style w:type="character" w:customStyle="1" w:styleId="12">
    <w:name w:val="樣式1 字元"/>
    <w:link w:val="11"/>
    <w:rsid w:val="000C19BC"/>
    <w:rPr>
      <w:rFonts w:ascii="標楷體" w:eastAsia="標楷體" w:hAnsi="標楷體" w:cs="Times New Roman"/>
      <w:b/>
      <w:bCs/>
      <w:kern w:val="52"/>
      <w:sz w:val="32"/>
      <w:szCs w:val="32"/>
    </w:rPr>
  </w:style>
  <w:style w:type="paragraph" w:styleId="af2">
    <w:name w:val="TOC Heading"/>
    <w:basedOn w:val="1"/>
    <w:next w:val="a"/>
    <w:uiPriority w:val="39"/>
    <w:unhideWhenUsed/>
    <w:qFormat/>
    <w:rsid w:val="000C19BC"/>
    <w:pPr>
      <w:keepLines/>
      <w:widowControl/>
      <w:spacing w:before="480" w:after="0" w:line="276" w:lineRule="auto"/>
      <w:outlineLvl w:val="9"/>
    </w:pPr>
    <w:rPr>
      <w:color w:val="365F91"/>
      <w:kern w:val="0"/>
      <w:sz w:val="28"/>
      <w:szCs w:val="28"/>
    </w:rPr>
  </w:style>
  <w:style w:type="character" w:customStyle="1" w:styleId="14">
    <w:name w:val="標題1 字元"/>
    <w:basedOn w:val="12"/>
    <w:link w:val="13"/>
    <w:rsid w:val="000C19BC"/>
    <w:rPr>
      <w:rFonts w:ascii="標楷體" w:eastAsia="標楷體" w:hAnsi="標楷體" w:cs="Times New Roman"/>
      <w:b/>
      <w:bCs/>
      <w:kern w:val="52"/>
      <w:sz w:val="32"/>
      <w:szCs w:val="32"/>
    </w:rPr>
  </w:style>
  <w:style w:type="paragraph" w:styleId="15">
    <w:name w:val="toc 1"/>
    <w:basedOn w:val="a"/>
    <w:next w:val="a"/>
    <w:link w:val="16"/>
    <w:autoRedefine/>
    <w:uiPriority w:val="39"/>
    <w:unhideWhenUsed/>
    <w:qFormat/>
    <w:rsid w:val="00476F13"/>
    <w:pPr>
      <w:tabs>
        <w:tab w:val="right" w:leader="dot" w:pos="9628"/>
      </w:tabs>
      <w:spacing w:line="480" w:lineRule="exact"/>
      <w:ind w:left="566" w:hangingChars="202" w:hanging="566"/>
    </w:pPr>
    <w:rPr>
      <w:rFonts w:ascii="標楷體" w:eastAsia="標楷體" w:hAnsi="標楷體" w:cs="Calibri"/>
      <w:b/>
      <w:bCs/>
      <w:noProof/>
      <w:sz w:val="28"/>
      <w:szCs w:val="28"/>
    </w:rPr>
  </w:style>
  <w:style w:type="paragraph" w:styleId="21">
    <w:name w:val="toc 2"/>
    <w:basedOn w:val="a"/>
    <w:next w:val="a"/>
    <w:autoRedefine/>
    <w:uiPriority w:val="39"/>
    <w:unhideWhenUsed/>
    <w:qFormat/>
    <w:rsid w:val="000465EA"/>
    <w:pPr>
      <w:ind w:left="240"/>
    </w:pPr>
    <w:rPr>
      <w:rFonts w:cs="Calibri"/>
      <w:smallCaps/>
      <w:sz w:val="20"/>
      <w:szCs w:val="20"/>
    </w:rPr>
  </w:style>
  <w:style w:type="paragraph" w:styleId="3">
    <w:name w:val="toc 3"/>
    <w:basedOn w:val="a"/>
    <w:next w:val="a"/>
    <w:autoRedefine/>
    <w:uiPriority w:val="39"/>
    <w:unhideWhenUsed/>
    <w:qFormat/>
    <w:rsid w:val="000465EA"/>
    <w:pPr>
      <w:ind w:left="480"/>
    </w:pPr>
    <w:rPr>
      <w:rFonts w:cs="Calibri"/>
      <w:i/>
      <w:iCs/>
      <w:sz w:val="20"/>
      <w:szCs w:val="20"/>
    </w:rPr>
  </w:style>
  <w:style w:type="paragraph" w:styleId="4">
    <w:name w:val="toc 4"/>
    <w:basedOn w:val="a"/>
    <w:next w:val="a"/>
    <w:autoRedefine/>
    <w:uiPriority w:val="39"/>
    <w:unhideWhenUsed/>
    <w:rsid w:val="004A496E"/>
    <w:pPr>
      <w:ind w:left="720"/>
    </w:pPr>
    <w:rPr>
      <w:rFonts w:cs="Calibri"/>
      <w:sz w:val="18"/>
      <w:szCs w:val="18"/>
    </w:rPr>
  </w:style>
  <w:style w:type="paragraph" w:styleId="5">
    <w:name w:val="toc 5"/>
    <w:basedOn w:val="a"/>
    <w:next w:val="a"/>
    <w:autoRedefine/>
    <w:uiPriority w:val="39"/>
    <w:unhideWhenUsed/>
    <w:rsid w:val="004A496E"/>
    <w:pPr>
      <w:ind w:left="960"/>
    </w:pPr>
    <w:rPr>
      <w:rFonts w:cs="Calibri"/>
      <w:sz w:val="18"/>
      <w:szCs w:val="18"/>
    </w:rPr>
  </w:style>
  <w:style w:type="paragraph" w:styleId="6">
    <w:name w:val="toc 6"/>
    <w:basedOn w:val="a"/>
    <w:next w:val="a"/>
    <w:autoRedefine/>
    <w:uiPriority w:val="39"/>
    <w:unhideWhenUsed/>
    <w:rsid w:val="004A496E"/>
    <w:pPr>
      <w:ind w:left="1200"/>
    </w:pPr>
    <w:rPr>
      <w:rFonts w:cs="Calibri"/>
      <w:sz w:val="18"/>
      <w:szCs w:val="18"/>
    </w:rPr>
  </w:style>
  <w:style w:type="paragraph" w:styleId="7">
    <w:name w:val="toc 7"/>
    <w:basedOn w:val="a"/>
    <w:next w:val="a"/>
    <w:autoRedefine/>
    <w:uiPriority w:val="39"/>
    <w:unhideWhenUsed/>
    <w:rsid w:val="004A496E"/>
    <w:pPr>
      <w:ind w:left="1440"/>
    </w:pPr>
    <w:rPr>
      <w:rFonts w:cs="Calibri"/>
      <w:sz w:val="18"/>
      <w:szCs w:val="18"/>
    </w:rPr>
  </w:style>
  <w:style w:type="paragraph" w:styleId="8">
    <w:name w:val="toc 8"/>
    <w:basedOn w:val="a"/>
    <w:next w:val="a"/>
    <w:autoRedefine/>
    <w:uiPriority w:val="39"/>
    <w:unhideWhenUsed/>
    <w:rsid w:val="004A496E"/>
    <w:pPr>
      <w:ind w:left="1680"/>
    </w:pPr>
    <w:rPr>
      <w:rFonts w:cs="Calibri"/>
      <w:sz w:val="18"/>
      <w:szCs w:val="18"/>
    </w:rPr>
  </w:style>
  <w:style w:type="paragraph" w:styleId="9">
    <w:name w:val="toc 9"/>
    <w:basedOn w:val="a"/>
    <w:next w:val="a"/>
    <w:autoRedefine/>
    <w:uiPriority w:val="39"/>
    <w:unhideWhenUsed/>
    <w:rsid w:val="004A496E"/>
    <w:pPr>
      <w:ind w:left="1920"/>
    </w:pPr>
    <w:rPr>
      <w:rFonts w:cs="Calibri"/>
      <w:sz w:val="18"/>
      <w:szCs w:val="18"/>
    </w:rPr>
  </w:style>
  <w:style w:type="paragraph" w:styleId="af3">
    <w:name w:val="Body Text"/>
    <w:basedOn w:val="a"/>
    <w:link w:val="af4"/>
    <w:uiPriority w:val="99"/>
    <w:rsid w:val="00646D6B"/>
    <w:pPr>
      <w:widowControl/>
      <w:jc w:val="both"/>
    </w:pPr>
    <w:rPr>
      <w:rFonts w:ascii="標楷體" w:eastAsia="標楷體" w:hAnsi="標楷體"/>
      <w:kern w:val="0"/>
      <w:sz w:val="20"/>
      <w:szCs w:val="24"/>
    </w:rPr>
  </w:style>
  <w:style w:type="character" w:customStyle="1" w:styleId="af4">
    <w:name w:val="本文 字元"/>
    <w:basedOn w:val="a0"/>
    <w:link w:val="af3"/>
    <w:uiPriority w:val="99"/>
    <w:rsid w:val="00646D6B"/>
    <w:rPr>
      <w:rFonts w:ascii="標楷體" w:eastAsia="標楷體" w:hAnsi="標楷體"/>
      <w:szCs w:val="24"/>
    </w:rPr>
  </w:style>
  <w:style w:type="paragraph" w:styleId="af5">
    <w:name w:val="Body Text Indent"/>
    <w:basedOn w:val="a"/>
    <w:link w:val="af6"/>
    <w:unhideWhenUsed/>
    <w:rsid w:val="00042F6C"/>
    <w:pPr>
      <w:spacing w:after="120"/>
      <w:ind w:leftChars="200" w:left="480"/>
    </w:pPr>
  </w:style>
  <w:style w:type="character" w:customStyle="1" w:styleId="af6">
    <w:name w:val="本文縮排 字元"/>
    <w:basedOn w:val="a0"/>
    <w:link w:val="af5"/>
    <w:rsid w:val="00042F6C"/>
    <w:rPr>
      <w:kern w:val="2"/>
      <w:sz w:val="24"/>
      <w:szCs w:val="22"/>
    </w:rPr>
  </w:style>
  <w:style w:type="paragraph" w:styleId="Web">
    <w:name w:val="Normal (Web)"/>
    <w:basedOn w:val="a"/>
    <w:rsid w:val="005368C6"/>
    <w:pPr>
      <w:widowControl/>
      <w:spacing w:before="100" w:beforeAutospacing="1" w:after="100" w:afterAutospacing="1"/>
    </w:pPr>
    <w:rPr>
      <w:rFonts w:ascii="新細明體" w:hAnsi="新細明體"/>
      <w:kern w:val="0"/>
      <w:szCs w:val="24"/>
    </w:rPr>
  </w:style>
  <w:style w:type="character" w:customStyle="1" w:styleId="20">
    <w:name w:val="標題 2 字元"/>
    <w:basedOn w:val="a0"/>
    <w:link w:val="2"/>
    <w:uiPriority w:val="9"/>
    <w:rsid w:val="002D7384"/>
    <w:rPr>
      <w:rFonts w:ascii="標楷體" w:eastAsia="標楷體" w:hAnsi="標楷體"/>
      <w:b/>
      <w:noProof/>
      <w:kern w:val="2"/>
      <w:sz w:val="32"/>
      <w:szCs w:val="28"/>
    </w:rPr>
  </w:style>
  <w:style w:type="paragraph" w:styleId="30">
    <w:name w:val="Body Text Indent 3"/>
    <w:basedOn w:val="a"/>
    <w:link w:val="31"/>
    <w:semiHidden/>
    <w:rsid w:val="002D7384"/>
    <w:pPr>
      <w:ind w:left="340" w:firstLine="1077"/>
    </w:pPr>
    <w:rPr>
      <w:rFonts w:ascii="標楷體" w:eastAsia="標楷體" w:hAnsi="標楷體"/>
      <w:szCs w:val="24"/>
    </w:rPr>
  </w:style>
  <w:style w:type="character" w:customStyle="1" w:styleId="31">
    <w:name w:val="本文縮排 3 字元"/>
    <w:basedOn w:val="a0"/>
    <w:link w:val="30"/>
    <w:semiHidden/>
    <w:rsid w:val="002D7384"/>
    <w:rPr>
      <w:rFonts w:ascii="標楷體" w:eastAsia="標楷體" w:hAnsi="標楷體"/>
      <w:kern w:val="2"/>
      <w:sz w:val="24"/>
      <w:szCs w:val="24"/>
    </w:rPr>
  </w:style>
  <w:style w:type="paragraph" w:styleId="22">
    <w:name w:val="Body Text 2"/>
    <w:basedOn w:val="a"/>
    <w:link w:val="23"/>
    <w:semiHidden/>
    <w:rsid w:val="002D7384"/>
    <w:rPr>
      <w:rFonts w:ascii="新細明體" w:hAnsi="Times New Roman"/>
      <w:b/>
      <w:color w:val="000000"/>
      <w:sz w:val="40"/>
      <w:szCs w:val="20"/>
    </w:rPr>
  </w:style>
  <w:style w:type="character" w:customStyle="1" w:styleId="23">
    <w:name w:val="本文 2 字元"/>
    <w:basedOn w:val="a0"/>
    <w:link w:val="22"/>
    <w:semiHidden/>
    <w:rsid w:val="002D7384"/>
    <w:rPr>
      <w:rFonts w:ascii="新細明體" w:hAnsi="Times New Roman"/>
      <w:b/>
      <w:color w:val="000000"/>
      <w:kern w:val="2"/>
      <w:sz w:val="40"/>
    </w:rPr>
  </w:style>
  <w:style w:type="paragraph" w:styleId="af7">
    <w:name w:val="endnote text"/>
    <w:basedOn w:val="a"/>
    <w:link w:val="af8"/>
    <w:uiPriority w:val="99"/>
    <w:semiHidden/>
    <w:unhideWhenUsed/>
    <w:rsid w:val="002D7384"/>
    <w:pPr>
      <w:snapToGrid w:val="0"/>
    </w:pPr>
  </w:style>
  <w:style w:type="character" w:customStyle="1" w:styleId="af8">
    <w:name w:val="章節附註文字 字元"/>
    <w:basedOn w:val="a0"/>
    <w:link w:val="af7"/>
    <w:uiPriority w:val="99"/>
    <w:semiHidden/>
    <w:rsid w:val="002D7384"/>
    <w:rPr>
      <w:kern w:val="2"/>
      <w:sz w:val="24"/>
      <w:szCs w:val="22"/>
    </w:rPr>
  </w:style>
  <w:style w:type="character" w:styleId="af9">
    <w:name w:val="endnote reference"/>
    <w:uiPriority w:val="99"/>
    <w:semiHidden/>
    <w:unhideWhenUsed/>
    <w:rsid w:val="002D7384"/>
    <w:rPr>
      <w:vertAlign w:val="superscript"/>
    </w:rPr>
  </w:style>
  <w:style w:type="paragraph" w:styleId="afa">
    <w:name w:val="Block Text"/>
    <w:basedOn w:val="a"/>
    <w:rsid w:val="002D7384"/>
    <w:pPr>
      <w:spacing w:line="360" w:lineRule="atLeast"/>
      <w:ind w:left="1140" w:right="57" w:hanging="480"/>
      <w:jc w:val="both"/>
      <w:textAlignment w:val="center"/>
    </w:pPr>
    <w:rPr>
      <w:rFonts w:ascii="Times New Roman" w:eastAsia="標楷體" w:hAnsi="Times New Roman"/>
      <w:bCs/>
      <w:szCs w:val="20"/>
    </w:rPr>
  </w:style>
  <w:style w:type="paragraph" w:styleId="24">
    <w:name w:val="Body Text Indent 2"/>
    <w:basedOn w:val="a"/>
    <w:link w:val="25"/>
    <w:semiHidden/>
    <w:unhideWhenUsed/>
    <w:rsid w:val="002D7384"/>
    <w:pPr>
      <w:spacing w:after="120" w:line="480" w:lineRule="auto"/>
      <w:ind w:leftChars="200" w:left="480"/>
    </w:pPr>
  </w:style>
  <w:style w:type="character" w:customStyle="1" w:styleId="25">
    <w:name w:val="本文縮排 2 字元"/>
    <w:basedOn w:val="a0"/>
    <w:link w:val="24"/>
    <w:semiHidden/>
    <w:rsid w:val="002D7384"/>
    <w:rPr>
      <w:kern w:val="2"/>
      <w:sz w:val="24"/>
      <w:szCs w:val="22"/>
    </w:rPr>
  </w:style>
  <w:style w:type="paragraph" w:customStyle="1" w:styleId="afb">
    <w:name w:val="條文二十一之一、"/>
    <w:basedOn w:val="a"/>
    <w:rsid w:val="002D7384"/>
    <w:pPr>
      <w:kinsoku w:val="0"/>
      <w:adjustRightInd w:val="0"/>
      <w:spacing w:line="500" w:lineRule="atLeast"/>
      <w:ind w:left="2552" w:hanging="567"/>
      <w:jc w:val="both"/>
      <w:textAlignment w:val="baseline"/>
    </w:pPr>
    <w:rPr>
      <w:rFonts w:ascii="Times New Roman" w:eastAsia="研澤楷書體" w:hAnsi="Times New Roman"/>
      <w:spacing w:val="20"/>
      <w:kern w:val="0"/>
      <w:sz w:val="28"/>
      <w:szCs w:val="20"/>
    </w:rPr>
  </w:style>
  <w:style w:type="paragraph" w:customStyle="1" w:styleId="Char">
    <w:name w:val="字元 字元 Char"/>
    <w:basedOn w:val="a"/>
    <w:rsid w:val="002D7384"/>
    <w:pPr>
      <w:widowControl/>
      <w:spacing w:after="160" w:line="240" w:lineRule="exact"/>
    </w:pPr>
    <w:rPr>
      <w:rFonts w:ascii="Arial" w:eastAsia="Times New Roman" w:hAnsi="Arial" w:cs="Arial"/>
      <w:kern w:val="0"/>
      <w:sz w:val="20"/>
      <w:szCs w:val="20"/>
      <w:lang w:eastAsia="en-US"/>
    </w:rPr>
  </w:style>
  <w:style w:type="character" w:styleId="afc">
    <w:name w:val="FollowedHyperlink"/>
    <w:uiPriority w:val="99"/>
    <w:semiHidden/>
    <w:unhideWhenUsed/>
    <w:rsid w:val="002D7384"/>
    <w:rPr>
      <w:color w:val="800080"/>
      <w:u w:val="single"/>
    </w:rPr>
  </w:style>
  <w:style w:type="character" w:customStyle="1" w:styleId="16">
    <w:name w:val="目錄 1 字元"/>
    <w:link w:val="15"/>
    <w:uiPriority w:val="39"/>
    <w:rsid w:val="002D7384"/>
    <w:rPr>
      <w:rFonts w:ascii="標楷體" w:eastAsia="標楷體" w:hAnsi="標楷體" w:cs="Calibri"/>
      <w:b/>
      <w:bCs/>
      <w:noProof/>
      <w:kern w:val="2"/>
      <w:sz w:val="28"/>
      <w:szCs w:val="28"/>
    </w:rPr>
  </w:style>
  <w:style w:type="paragraph" w:styleId="afd">
    <w:name w:val="Revision"/>
    <w:hidden/>
    <w:uiPriority w:val="99"/>
    <w:semiHidden/>
    <w:rsid w:val="002D7384"/>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96682">
      <w:bodyDiv w:val="1"/>
      <w:marLeft w:val="0"/>
      <w:marRight w:val="0"/>
      <w:marTop w:val="0"/>
      <w:marBottom w:val="0"/>
      <w:divBdr>
        <w:top w:val="none" w:sz="0" w:space="0" w:color="auto"/>
        <w:left w:val="none" w:sz="0" w:space="0" w:color="auto"/>
        <w:bottom w:val="none" w:sz="0" w:space="0" w:color="auto"/>
        <w:right w:val="none" w:sz="0" w:space="0" w:color="auto"/>
      </w:divBdr>
    </w:div>
    <w:div w:id="481771700">
      <w:bodyDiv w:val="1"/>
      <w:marLeft w:val="0"/>
      <w:marRight w:val="0"/>
      <w:marTop w:val="0"/>
      <w:marBottom w:val="0"/>
      <w:divBdr>
        <w:top w:val="none" w:sz="0" w:space="0" w:color="auto"/>
        <w:left w:val="none" w:sz="0" w:space="0" w:color="auto"/>
        <w:bottom w:val="none" w:sz="0" w:space="0" w:color="auto"/>
        <w:right w:val="none" w:sz="0" w:space="0" w:color="auto"/>
      </w:divBdr>
    </w:div>
    <w:div w:id="800195719">
      <w:bodyDiv w:val="1"/>
      <w:marLeft w:val="0"/>
      <w:marRight w:val="0"/>
      <w:marTop w:val="0"/>
      <w:marBottom w:val="0"/>
      <w:divBdr>
        <w:top w:val="none" w:sz="0" w:space="0" w:color="auto"/>
        <w:left w:val="none" w:sz="0" w:space="0" w:color="auto"/>
        <w:bottom w:val="none" w:sz="0" w:space="0" w:color="auto"/>
        <w:right w:val="none" w:sz="0" w:space="0" w:color="auto"/>
      </w:divBdr>
    </w:div>
    <w:div w:id="989401938">
      <w:bodyDiv w:val="1"/>
      <w:marLeft w:val="0"/>
      <w:marRight w:val="0"/>
      <w:marTop w:val="0"/>
      <w:marBottom w:val="0"/>
      <w:divBdr>
        <w:top w:val="none" w:sz="0" w:space="0" w:color="auto"/>
        <w:left w:val="none" w:sz="0" w:space="0" w:color="auto"/>
        <w:bottom w:val="none" w:sz="0" w:space="0" w:color="auto"/>
        <w:right w:val="none" w:sz="0" w:space="0" w:color="auto"/>
      </w:divBdr>
    </w:div>
    <w:div w:id="1248538405">
      <w:bodyDiv w:val="1"/>
      <w:marLeft w:val="0"/>
      <w:marRight w:val="0"/>
      <w:marTop w:val="0"/>
      <w:marBottom w:val="0"/>
      <w:divBdr>
        <w:top w:val="none" w:sz="0" w:space="0" w:color="auto"/>
        <w:left w:val="none" w:sz="0" w:space="0" w:color="auto"/>
        <w:bottom w:val="none" w:sz="0" w:space="0" w:color="auto"/>
        <w:right w:val="none" w:sz="0" w:space="0" w:color="auto"/>
      </w:divBdr>
    </w:div>
    <w:div w:id="1584796731">
      <w:bodyDiv w:val="1"/>
      <w:marLeft w:val="0"/>
      <w:marRight w:val="0"/>
      <w:marTop w:val="0"/>
      <w:marBottom w:val="0"/>
      <w:divBdr>
        <w:top w:val="none" w:sz="0" w:space="0" w:color="auto"/>
        <w:left w:val="none" w:sz="0" w:space="0" w:color="auto"/>
        <w:bottom w:val="none" w:sz="0" w:space="0" w:color="auto"/>
        <w:right w:val="none" w:sz="0" w:space="0" w:color="auto"/>
      </w:divBdr>
    </w:div>
    <w:div w:id="1891528174">
      <w:bodyDiv w:val="1"/>
      <w:marLeft w:val="0"/>
      <w:marRight w:val="0"/>
      <w:marTop w:val="0"/>
      <w:marBottom w:val="0"/>
      <w:divBdr>
        <w:top w:val="none" w:sz="0" w:space="0" w:color="auto"/>
        <w:left w:val="none" w:sz="0" w:space="0" w:color="auto"/>
        <w:bottom w:val="none" w:sz="0" w:space="0" w:color="auto"/>
        <w:right w:val="none" w:sz="0" w:space="0" w:color="auto"/>
      </w:divBdr>
    </w:div>
    <w:div w:id="213116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B9D8A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6F33C-B160-4B30-B8BB-D9314288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1291</Words>
  <Characters>7361</Characters>
  <Application>Microsoft Office Word</Application>
  <DocSecurity>0</DocSecurity>
  <Lines>61</Lines>
  <Paragraphs>17</Paragraphs>
  <ScaleCrop>false</ScaleCrop>
  <Company>Hewlett-Packard Company</Company>
  <LinksUpToDate>false</LinksUpToDate>
  <CharactersWithSpaces>8635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柯馥甄</dc:creator>
  <cp:keywords/>
  <cp:lastModifiedBy>高婉容</cp:lastModifiedBy>
  <cp:revision>3</cp:revision>
  <cp:lastPrinted>2018-07-26T08:23:00Z</cp:lastPrinted>
  <dcterms:created xsi:type="dcterms:W3CDTF">2018-08-07T06:40:00Z</dcterms:created>
  <dcterms:modified xsi:type="dcterms:W3CDTF">2018-08-07T06:48:00Z</dcterms:modified>
</cp:coreProperties>
</file>