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59" w:rsidRDefault="00240159" w:rsidP="00FE639D">
      <w:pPr>
        <w:pStyle w:val="13"/>
        <w:ind w:left="2"/>
        <w:jc w:val="both"/>
      </w:pPr>
      <w:bookmarkStart w:id="0" w:name="_Toc439097767"/>
      <w:bookmarkStart w:id="1" w:name="_Toc521333962"/>
      <w:bookmarkStart w:id="2" w:name="_GoBack"/>
      <w:bookmarkEnd w:id="2"/>
      <w:proofErr w:type="spellStart"/>
      <w:r w:rsidRPr="00240159">
        <w:rPr>
          <w:rFonts w:hint="eastAsia"/>
        </w:rPr>
        <w:t>財團法人中華民國證券櫃檯買賣中心證券商營業處所買賣有價證券業務規則部分條文修正條文對照表</w:t>
      </w:r>
      <w:bookmarkEnd w:id="1"/>
      <w:proofErr w:type="spell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85"/>
        <w:gridCol w:w="3285"/>
        <w:gridCol w:w="2781"/>
      </w:tblGrid>
      <w:tr w:rsidR="00240159" w:rsidRPr="00640E09" w:rsidTr="00240159">
        <w:trPr>
          <w:tblHeader/>
        </w:trPr>
        <w:tc>
          <w:tcPr>
            <w:tcW w:w="3285" w:type="dxa"/>
            <w:shd w:val="clear" w:color="auto" w:fill="auto"/>
          </w:tcPr>
          <w:p w:rsidR="00240159" w:rsidRPr="00640E09" w:rsidRDefault="00240159" w:rsidP="00240159">
            <w:pPr>
              <w:jc w:val="center"/>
              <w:rPr>
                <w:rFonts w:ascii="標楷體" w:eastAsia="標楷體" w:hAnsi="標楷體"/>
              </w:rPr>
            </w:pPr>
            <w:r w:rsidRPr="00640E09">
              <w:rPr>
                <w:rFonts w:ascii="標楷體" w:eastAsia="標楷體" w:hAnsi="標楷體" w:hint="eastAsia"/>
              </w:rPr>
              <w:t>修正條文</w:t>
            </w:r>
          </w:p>
        </w:tc>
        <w:tc>
          <w:tcPr>
            <w:tcW w:w="3285" w:type="dxa"/>
            <w:shd w:val="clear" w:color="auto" w:fill="auto"/>
          </w:tcPr>
          <w:p w:rsidR="00240159" w:rsidRPr="00640E09" w:rsidRDefault="00240159" w:rsidP="00240159">
            <w:pPr>
              <w:jc w:val="center"/>
              <w:rPr>
                <w:rFonts w:ascii="標楷體" w:eastAsia="標楷體" w:hAnsi="標楷體"/>
              </w:rPr>
            </w:pPr>
            <w:r w:rsidRPr="00640E09">
              <w:rPr>
                <w:rFonts w:ascii="標楷體" w:eastAsia="標楷體" w:hAnsi="標楷體" w:hint="eastAsia"/>
              </w:rPr>
              <w:t>現行條文</w:t>
            </w:r>
          </w:p>
        </w:tc>
        <w:tc>
          <w:tcPr>
            <w:tcW w:w="2781" w:type="dxa"/>
            <w:shd w:val="clear" w:color="auto" w:fill="auto"/>
          </w:tcPr>
          <w:p w:rsidR="00240159" w:rsidRPr="00640E09" w:rsidRDefault="00240159" w:rsidP="00240159">
            <w:pPr>
              <w:jc w:val="center"/>
              <w:rPr>
                <w:rFonts w:ascii="標楷體" w:eastAsia="標楷體" w:hAnsi="標楷體"/>
              </w:rPr>
            </w:pPr>
            <w:r w:rsidRPr="00640E09">
              <w:rPr>
                <w:rFonts w:ascii="標楷體" w:eastAsia="標楷體" w:hAnsi="標楷體" w:hint="eastAsia"/>
              </w:rPr>
              <w:t>說明</w:t>
            </w:r>
          </w:p>
        </w:tc>
      </w:tr>
      <w:tr w:rsidR="00240159" w:rsidRPr="00640E09" w:rsidTr="00240159">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第三條　政府發行之債券（以下簡稱政府債券）及主管機關指定之其他有價證券，其開始、停止或終止櫃檯買賣，由主管機關函知本中心公告之。</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股票、指數股票型證券投資信託基金</w:t>
            </w:r>
            <w:r>
              <w:rPr>
                <w:rFonts w:ascii="標楷體" w:eastAsia="標楷體" w:hAnsi="標楷體" w:cs="細明體" w:hint="eastAsia"/>
                <w:color w:val="FF0000"/>
                <w:kern w:val="0"/>
                <w:u w:val="single"/>
              </w:rPr>
              <w:t>或指數股票型期貨信託基金</w:t>
            </w:r>
            <w:r>
              <w:rPr>
                <w:rFonts w:ascii="標楷體" w:eastAsia="標楷體" w:hAnsi="標楷體" w:cs="細明體" w:hint="eastAsia"/>
                <w:kern w:val="0"/>
              </w:rPr>
              <w:t>（以下</w:t>
            </w:r>
            <w:r>
              <w:rPr>
                <w:rFonts w:ascii="標楷體" w:eastAsia="標楷體" w:hAnsi="標楷體" w:cs="細明體" w:hint="eastAsia"/>
                <w:color w:val="FF0000"/>
                <w:kern w:val="0"/>
                <w:u w:val="single"/>
              </w:rPr>
              <w:t>均</w:t>
            </w:r>
            <w:r>
              <w:rPr>
                <w:rFonts w:ascii="標楷體" w:eastAsia="標楷體" w:hAnsi="標楷體" w:cs="細明體" w:hint="eastAsia"/>
                <w:kern w:val="0"/>
              </w:rPr>
              <w:t>簡稱指數股票型基金）受益憑證、金融債券、公司債券、分離後認股權憑證、依「金融資產證券化條例」所發行之受益證券或資產基礎證券（以下簡稱受益證券或資產基礎證券）、或不動產投資信託或不動產資產信託之受益證券，其開始、停止或終止櫃檯買賣，應依管理辦法及本中心「證券商營業處所買賣有價證券審查準則」（以下簡稱審查準則）、「證券商營業處所買賣指數股票型基金受益憑證審查準則」、「外國有價證券櫃檯買賣審查準則」（以下簡稱外國審查準則）、「證券商營業處所</w:t>
            </w:r>
            <w:proofErr w:type="gramStart"/>
            <w:r>
              <w:rPr>
                <w:rFonts w:ascii="標楷體" w:eastAsia="標楷體" w:hAnsi="標楷體" w:cs="細明體" w:hint="eastAsia"/>
                <w:kern w:val="0"/>
              </w:rPr>
              <w:t>買賣興櫃股票</w:t>
            </w:r>
            <w:proofErr w:type="gramEnd"/>
            <w:r>
              <w:rPr>
                <w:rFonts w:ascii="標楷體" w:eastAsia="標楷體" w:hAnsi="標楷體" w:cs="細明體" w:hint="eastAsia"/>
                <w:kern w:val="0"/>
              </w:rPr>
              <w:t>審查準則」及其他有關規定辦理並公告之。</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第一項及第二項規定之債券，</w:t>
            </w:r>
            <w:proofErr w:type="gramStart"/>
            <w:r>
              <w:rPr>
                <w:rFonts w:ascii="標楷體" w:eastAsia="標楷體" w:hAnsi="標楷體" w:cs="細明體" w:hint="eastAsia"/>
                <w:kern w:val="0"/>
              </w:rPr>
              <w:t>屆臨還清</w:t>
            </w:r>
            <w:proofErr w:type="gramEnd"/>
            <w:r>
              <w:rPr>
                <w:rFonts w:ascii="標楷體" w:eastAsia="標楷體" w:hAnsi="標楷體" w:cs="細明體" w:hint="eastAsia"/>
                <w:kern w:val="0"/>
              </w:rPr>
              <w:t>本金時，本中心得逕行公告終止之。</w:t>
            </w:r>
          </w:p>
        </w:tc>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第三條　政府發行之債券（以下簡稱政府債券）及主管機關指定之其他有價證券，其開始、停止或終止櫃檯買賣，由主管機關函知本中心公告之。</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股票、指數股票型證券投資信託基金（以下簡稱指數股票型基金）受益憑證、金融債券、公司債券、分離後認股權憑證、依「金融資產證券化條例」所發行之受益證券或資產基礎證券（以下簡稱受益證券或資產基礎證券）、或不動產投資信託或不動產資產信託之受益證券，其開始、停止或終止櫃檯買賣，應依管理辦法及本中心「證券商營業處所買賣有價證券審查準則」（以下簡稱審查準則）、「證券商營業處所買賣指數股票型基金受益憑證審查準則」、「外國有價證券櫃檯買賣審查準則」（以下簡稱外國審查準則）、「證券商營業處所</w:t>
            </w:r>
            <w:proofErr w:type="gramStart"/>
            <w:r>
              <w:rPr>
                <w:rFonts w:ascii="標楷體" w:eastAsia="標楷體" w:hAnsi="標楷體" w:cs="細明體" w:hint="eastAsia"/>
                <w:kern w:val="0"/>
              </w:rPr>
              <w:t>買賣興櫃股票</w:t>
            </w:r>
            <w:proofErr w:type="gramEnd"/>
            <w:r>
              <w:rPr>
                <w:rFonts w:ascii="標楷體" w:eastAsia="標楷體" w:hAnsi="標楷體" w:cs="細明體" w:hint="eastAsia"/>
                <w:kern w:val="0"/>
              </w:rPr>
              <w:t>審查準則」及其他有關規定辦理並公告之。</w:t>
            </w:r>
          </w:p>
          <w:p w:rsidR="00240159" w:rsidRPr="00690A9D"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cs="細明體"/>
              </w:rPr>
            </w:pPr>
            <w:r>
              <w:rPr>
                <w:rFonts w:ascii="標楷體" w:eastAsia="標楷體" w:hAnsi="標楷體" w:cs="細明體" w:hint="eastAsia"/>
                <w:kern w:val="0"/>
              </w:rPr>
              <w:t>第一項及第二項規定之債券，</w:t>
            </w:r>
            <w:proofErr w:type="gramStart"/>
            <w:r>
              <w:rPr>
                <w:rFonts w:ascii="標楷體" w:eastAsia="標楷體" w:hAnsi="標楷體" w:cs="細明體" w:hint="eastAsia"/>
                <w:kern w:val="0"/>
              </w:rPr>
              <w:t>屆臨還清</w:t>
            </w:r>
            <w:proofErr w:type="gramEnd"/>
            <w:r>
              <w:rPr>
                <w:rFonts w:ascii="標楷體" w:eastAsia="標楷體" w:hAnsi="標楷體" w:cs="細明體" w:hint="eastAsia"/>
                <w:kern w:val="0"/>
              </w:rPr>
              <w:t>本金時，本中心得逕行公告終止之。</w:t>
            </w:r>
          </w:p>
        </w:tc>
        <w:tc>
          <w:tcPr>
            <w:tcW w:w="2781" w:type="dxa"/>
            <w:shd w:val="clear" w:color="auto" w:fill="auto"/>
          </w:tcPr>
          <w:p w:rsidR="00240159"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eastAsia="標楷體" w:cs="細明體"/>
                <w:color w:val="000000"/>
                <w:kern w:val="0"/>
              </w:rPr>
            </w:pPr>
            <w:r>
              <w:rPr>
                <w:rFonts w:ascii="Book Antiqua" w:eastAsia="標楷體" w:hAnsi="標楷體" w:hint="eastAsia"/>
              </w:rPr>
              <w:t>配合開放期貨信託事業得募集發行上櫃</w:t>
            </w:r>
            <w:r>
              <w:rPr>
                <w:rFonts w:ascii="標楷體" w:eastAsia="標楷體" w:hAnsi="標楷體" w:hint="eastAsia"/>
              </w:rPr>
              <w:t>指數股票型</w:t>
            </w:r>
            <w:r>
              <w:rPr>
                <w:rFonts w:ascii="標楷體" w:eastAsia="標楷體" w:hAnsi="標楷體" w:cs="細明體" w:hint="eastAsia"/>
                <w:kern w:val="0"/>
              </w:rPr>
              <w:t>期貨信託基金，明訂指數股票型期貨信託基金之開始、停止或終止櫃檯買賣應依主管機關所訂相關管理辦法及本中心相關規定辦理</w:t>
            </w:r>
            <w:r>
              <w:rPr>
                <w:rFonts w:eastAsia="標楷體" w:cs="細明體" w:hint="eastAsia"/>
                <w:color w:val="000000"/>
                <w:kern w:val="0"/>
              </w:rPr>
              <w:t>，</w:t>
            </w:r>
            <w:proofErr w:type="gramStart"/>
            <w:r>
              <w:rPr>
                <w:rFonts w:eastAsia="標楷體" w:cs="細明體" w:hint="eastAsia"/>
                <w:color w:val="000000"/>
                <w:kern w:val="0"/>
              </w:rPr>
              <w:t>爰</w:t>
            </w:r>
            <w:proofErr w:type="gramEnd"/>
            <w:r>
              <w:rPr>
                <w:rFonts w:eastAsia="標楷體" w:cs="細明體" w:hint="eastAsia"/>
                <w:color w:val="000000"/>
                <w:kern w:val="0"/>
              </w:rPr>
              <w:t>修正第</w:t>
            </w:r>
            <w:r>
              <w:rPr>
                <w:rFonts w:eastAsia="標楷體" w:cs="細明體"/>
                <w:color w:val="000000"/>
                <w:kern w:val="0"/>
              </w:rPr>
              <w:t>2</w:t>
            </w:r>
            <w:r>
              <w:rPr>
                <w:rFonts w:eastAsia="標楷體" w:cs="細明體" w:hint="eastAsia"/>
                <w:color w:val="000000"/>
                <w:kern w:val="0"/>
              </w:rPr>
              <w:t>項之規定。</w:t>
            </w:r>
          </w:p>
          <w:p w:rsidR="00240159" w:rsidRPr="00690A9D"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ascii="標楷體" w:eastAsia="標楷體" w:hAnsi="標楷體" w:cs="細明體"/>
                <w:color w:val="000000"/>
                <w:kern w:val="0"/>
              </w:rPr>
            </w:pPr>
          </w:p>
        </w:tc>
      </w:tr>
      <w:tr w:rsidR="00240159" w:rsidRPr="00640E09" w:rsidTr="00240159">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 xml:space="preserve">第八條　</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both"/>
              <w:rPr>
                <w:rFonts w:ascii="標楷體" w:eastAsia="標楷體" w:hAnsi="標楷體" w:cs="細明體"/>
                <w:kern w:val="0"/>
              </w:rPr>
            </w:pPr>
            <w:r>
              <w:rPr>
                <w:rFonts w:ascii="標楷體" w:eastAsia="標楷體" w:hAnsi="標楷體" w:cs="細明體" w:hint="eastAsia"/>
                <w:kern w:val="0"/>
              </w:rPr>
              <w:t>（第一項至第四項略）</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指數股票型基金受益憑證之發行人應依本中心「對上櫃指數股票型基金之證券</w:t>
            </w:r>
            <w:r>
              <w:rPr>
                <w:rFonts w:ascii="標楷體" w:eastAsia="標楷體" w:hAnsi="標楷體" w:cs="細明體" w:hint="eastAsia"/>
                <w:kern w:val="0"/>
              </w:rPr>
              <w:lastRenderedPageBreak/>
              <w:t>投資</w:t>
            </w:r>
            <w:r>
              <w:rPr>
                <w:rFonts w:ascii="標楷體" w:eastAsia="標楷體" w:hAnsi="標楷體" w:cs="細明體" w:hint="eastAsia"/>
                <w:color w:val="FF0000"/>
                <w:kern w:val="0"/>
                <w:u w:val="single"/>
              </w:rPr>
              <w:t>暨期貨</w:t>
            </w:r>
            <w:r>
              <w:rPr>
                <w:rFonts w:ascii="標楷體" w:eastAsia="標楷體" w:hAnsi="標楷體" w:cs="細明體" w:hint="eastAsia"/>
                <w:kern w:val="0"/>
              </w:rPr>
              <w:t>信託事業重大訊息之查證暨公開處理程序」規定，按時申報相關事項。</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前五項規定，所送之表報或資料如有虛偽不實，</w:t>
            </w:r>
            <w:proofErr w:type="gramStart"/>
            <w:r>
              <w:rPr>
                <w:rFonts w:ascii="標楷體" w:eastAsia="標楷體" w:hAnsi="標楷體" w:cs="細明體" w:hint="eastAsia"/>
                <w:kern w:val="0"/>
              </w:rPr>
              <w:t>均由該</w:t>
            </w:r>
            <w:proofErr w:type="gramEnd"/>
            <w:r>
              <w:rPr>
                <w:rFonts w:ascii="標楷體" w:eastAsia="標楷體" w:hAnsi="標楷體" w:cs="細明體" w:hint="eastAsia"/>
                <w:kern w:val="0"/>
              </w:rPr>
              <w:t>發行人負責。</w:t>
            </w:r>
          </w:p>
        </w:tc>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lastRenderedPageBreak/>
              <w:t xml:space="preserve">第八條　</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both"/>
              <w:rPr>
                <w:rFonts w:ascii="標楷體" w:eastAsia="標楷體" w:hAnsi="標楷體" w:cs="細明體"/>
                <w:kern w:val="0"/>
              </w:rPr>
            </w:pPr>
            <w:r>
              <w:rPr>
                <w:rFonts w:ascii="標楷體" w:eastAsia="標楷體" w:hAnsi="標楷體" w:cs="細明體" w:hint="eastAsia"/>
                <w:kern w:val="0"/>
              </w:rPr>
              <w:t>（第一項至第四項略）</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指數股票型基金受益憑證之發行人應依本中心「對上櫃指數股票型基金之證券</w:t>
            </w:r>
            <w:r>
              <w:rPr>
                <w:rFonts w:ascii="標楷體" w:eastAsia="標楷體" w:hAnsi="標楷體" w:cs="細明體" w:hint="eastAsia"/>
                <w:kern w:val="0"/>
              </w:rPr>
              <w:lastRenderedPageBreak/>
              <w:t>投資信託事業重大訊息之查證暨公開處理程序」規定，按時申報相關事項。</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前五項規定，所送之表報或資料如有虛偽不實，</w:t>
            </w:r>
            <w:proofErr w:type="gramStart"/>
            <w:r>
              <w:rPr>
                <w:rFonts w:ascii="標楷體" w:eastAsia="標楷體" w:hAnsi="標楷體" w:cs="細明體" w:hint="eastAsia"/>
                <w:kern w:val="0"/>
              </w:rPr>
              <w:t>均由該</w:t>
            </w:r>
            <w:proofErr w:type="gramEnd"/>
            <w:r>
              <w:rPr>
                <w:rFonts w:ascii="標楷體" w:eastAsia="標楷體" w:hAnsi="標楷體" w:cs="細明體" w:hint="eastAsia"/>
                <w:kern w:val="0"/>
              </w:rPr>
              <w:t>發行人負責。</w:t>
            </w:r>
          </w:p>
        </w:tc>
        <w:tc>
          <w:tcPr>
            <w:tcW w:w="2781" w:type="dxa"/>
            <w:shd w:val="clear" w:color="auto" w:fill="auto"/>
          </w:tcPr>
          <w:p w:rsidR="00240159"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ascii="Book Antiqua" w:eastAsia="標楷體" w:hAnsi="標楷體"/>
              </w:rPr>
            </w:pPr>
            <w:r>
              <w:rPr>
                <w:rFonts w:ascii="標楷體" w:eastAsia="標楷體" w:hAnsi="標楷體" w:hint="eastAsia"/>
                <w:szCs w:val="24"/>
              </w:rPr>
              <w:lastRenderedPageBreak/>
              <w:t>配合「對上櫃指數股票型基金之證券投資信託事業重大訊息之查證暨公開處理程序」法規名稱修訂，</w:t>
            </w:r>
            <w:proofErr w:type="gramStart"/>
            <w:r>
              <w:rPr>
                <w:rFonts w:ascii="標楷體" w:eastAsia="標楷體" w:hAnsi="標楷體" w:hint="eastAsia"/>
                <w:szCs w:val="24"/>
              </w:rPr>
              <w:t>爰</w:t>
            </w:r>
            <w:proofErr w:type="gramEnd"/>
            <w:r>
              <w:rPr>
                <w:rFonts w:ascii="標楷體" w:eastAsia="標楷體" w:hAnsi="標楷體" w:hint="eastAsia"/>
                <w:szCs w:val="24"/>
              </w:rPr>
              <w:t>調整第5項之文字。</w:t>
            </w:r>
          </w:p>
        </w:tc>
      </w:tr>
      <w:tr w:rsidR="00240159" w:rsidRPr="00640E09" w:rsidTr="00240159">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 xml:space="preserve">第九條　</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t>（第一項至第三項略）</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證券投資信託事業</w:t>
            </w:r>
            <w:r>
              <w:rPr>
                <w:rFonts w:ascii="標楷體" w:eastAsia="標楷體" w:hAnsi="標楷體" w:cs="細明體" w:hint="eastAsia"/>
                <w:color w:val="FF0000"/>
                <w:kern w:val="0"/>
                <w:u w:val="single"/>
              </w:rPr>
              <w:t>或期貨信託事業</w:t>
            </w:r>
            <w:r>
              <w:rPr>
                <w:rFonts w:ascii="標楷體" w:eastAsia="標楷體" w:hAnsi="標楷體" w:cs="細明體" w:hint="eastAsia"/>
                <w:kern w:val="0"/>
              </w:rPr>
              <w:t>辦理指數股票型基金受益憑證過戶及外國發行人所委託之代理機構或存託機構，於辦理外國有價證券或臺灣存託憑證過戶時，</w:t>
            </w:r>
            <w:proofErr w:type="gramStart"/>
            <w:r>
              <w:rPr>
                <w:rFonts w:ascii="標楷體" w:eastAsia="標楷體" w:hAnsi="標楷體" w:cs="細明體" w:hint="eastAsia"/>
                <w:kern w:val="0"/>
              </w:rPr>
              <w:t>準</w:t>
            </w:r>
            <w:proofErr w:type="gramEnd"/>
            <w:r>
              <w:rPr>
                <w:rFonts w:ascii="標楷體" w:eastAsia="標楷體" w:hAnsi="標楷體" w:cs="細明體" w:hint="eastAsia"/>
                <w:kern w:val="0"/>
              </w:rPr>
              <w:t>用第一項之規定。</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t>（第五項略）</w:t>
            </w:r>
          </w:p>
        </w:tc>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 xml:space="preserve">第九條　</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t>（第一項至第三項略）</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證券投資信託事業辦理指數股票型基金受益憑證過戶及外國發行人所委託之代理機構或存託機構，於辦理外國有價證券或臺灣存託憑證過戶時，</w:t>
            </w:r>
            <w:proofErr w:type="gramStart"/>
            <w:r>
              <w:rPr>
                <w:rFonts w:ascii="標楷體" w:eastAsia="標楷體" w:hAnsi="標楷體" w:cs="細明體" w:hint="eastAsia"/>
                <w:kern w:val="0"/>
              </w:rPr>
              <w:t>準</w:t>
            </w:r>
            <w:proofErr w:type="gramEnd"/>
            <w:r>
              <w:rPr>
                <w:rFonts w:ascii="標楷體" w:eastAsia="標楷體" w:hAnsi="標楷體" w:cs="細明體" w:hint="eastAsia"/>
                <w:kern w:val="0"/>
              </w:rPr>
              <w:t>用第一項之規定。</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t>（第五項略）</w:t>
            </w:r>
          </w:p>
        </w:tc>
        <w:tc>
          <w:tcPr>
            <w:tcW w:w="2781" w:type="dxa"/>
            <w:shd w:val="clear" w:color="auto" w:fill="auto"/>
          </w:tcPr>
          <w:p w:rsidR="00240159" w:rsidRPr="00DD1A65"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ascii="Book Antiqua" w:eastAsia="標楷體" w:hAnsi="標楷體"/>
              </w:rPr>
            </w:pPr>
            <w:r>
              <w:rPr>
                <w:rFonts w:ascii="標楷體" w:eastAsia="標楷體" w:hAnsi="標楷體" w:cs="細明體" w:hint="eastAsia"/>
                <w:kern w:val="0"/>
              </w:rPr>
              <w:t>增訂期貨信託事業辦理上櫃指數股票型基金受益憑證過戶相關作業時，須依本中心規定期限向本中心申報並公告，</w:t>
            </w:r>
            <w:proofErr w:type="gramStart"/>
            <w:r>
              <w:rPr>
                <w:rFonts w:ascii="標楷體" w:eastAsia="標楷體" w:hAnsi="標楷體" w:cs="細明體" w:hint="eastAsia"/>
                <w:kern w:val="0"/>
              </w:rPr>
              <w:t>爰</w:t>
            </w:r>
            <w:proofErr w:type="gramEnd"/>
            <w:r>
              <w:rPr>
                <w:rFonts w:ascii="標楷體" w:eastAsia="標楷體" w:hAnsi="標楷體" w:cs="細明體" w:hint="eastAsia"/>
                <w:kern w:val="0"/>
              </w:rPr>
              <w:t>修正第4項之規定。</w:t>
            </w:r>
          </w:p>
        </w:tc>
      </w:tr>
      <w:tr w:rsidR="00240159" w:rsidRPr="00640E09" w:rsidTr="00240159">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第十條　股票之發行依公司法第一百六十五條規定停止股東名簿記載之變更時，應於股東會停止過戶日前十二</w:t>
            </w:r>
            <w:proofErr w:type="gramStart"/>
            <w:r>
              <w:rPr>
                <w:rFonts w:ascii="標楷體" w:eastAsia="標楷體" w:hAnsi="標楷體" w:cs="細明體" w:hint="eastAsia"/>
                <w:kern w:val="0"/>
              </w:rPr>
              <w:t>個</w:t>
            </w:r>
            <w:proofErr w:type="gramEnd"/>
            <w:r>
              <w:rPr>
                <w:rFonts w:ascii="標楷體" w:eastAsia="標楷體" w:hAnsi="標楷體" w:cs="細明體" w:hint="eastAsia"/>
                <w:kern w:val="0"/>
              </w:rPr>
              <w:t>營業日，在本中心指定之網際網路資訊申報系統辦理公告。</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t>（第二項至第六項略）</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上櫃公司前揭公告事項，倘事後變動或未依本中心規定期限公告而致發生交易之糾紛及買賣一方受有損失者，</w:t>
            </w:r>
            <w:proofErr w:type="gramStart"/>
            <w:r>
              <w:rPr>
                <w:rFonts w:ascii="標楷體" w:eastAsia="標楷體" w:hAnsi="標楷體" w:cs="細明體" w:hint="eastAsia"/>
                <w:kern w:val="0"/>
              </w:rPr>
              <w:t>均應由</w:t>
            </w:r>
            <w:proofErr w:type="gramEnd"/>
            <w:r>
              <w:rPr>
                <w:rFonts w:ascii="標楷體" w:eastAsia="標楷體" w:hAnsi="標楷體" w:cs="細明體" w:hint="eastAsia"/>
                <w:kern w:val="0"/>
              </w:rPr>
              <w:t>該上櫃公司負其全責。</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發行指數股票型基金之證券投資信託事業</w:t>
            </w:r>
            <w:r>
              <w:rPr>
                <w:rFonts w:ascii="標楷體" w:eastAsia="標楷體" w:hAnsi="標楷體" w:cs="細明體" w:hint="eastAsia"/>
                <w:color w:val="FF0000"/>
                <w:kern w:val="0"/>
                <w:u w:val="single"/>
              </w:rPr>
              <w:t>或期貨信託事業</w:t>
            </w:r>
            <w:r>
              <w:rPr>
                <w:rFonts w:ascii="標楷體" w:eastAsia="標楷體" w:hAnsi="標楷體" w:cs="細明體" w:hint="eastAsia"/>
                <w:kern w:val="0"/>
              </w:rPr>
              <w:t>訂有受益人名簿記載之停止變更期間或收益發放基準日時，</w:t>
            </w:r>
            <w:proofErr w:type="gramStart"/>
            <w:r>
              <w:rPr>
                <w:rFonts w:ascii="標楷體" w:eastAsia="標楷體" w:hAnsi="標楷體" w:cs="細明體" w:hint="eastAsia"/>
                <w:kern w:val="0"/>
              </w:rPr>
              <w:t>準</w:t>
            </w:r>
            <w:proofErr w:type="gramEnd"/>
            <w:r>
              <w:rPr>
                <w:rFonts w:ascii="標楷體" w:eastAsia="標楷體" w:hAnsi="標楷體" w:cs="細明體" w:hint="eastAsia"/>
                <w:kern w:val="0"/>
              </w:rPr>
              <w:t>用第一項及第七項之規定。</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lastRenderedPageBreak/>
              <w:t>（第九項略）</w:t>
            </w:r>
          </w:p>
        </w:tc>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lastRenderedPageBreak/>
              <w:t>第十條　股票之發行依公司法第一百六十五條規定停止股東名簿記載之變更時，應於股東會停止過戶日前十二</w:t>
            </w:r>
            <w:proofErr w:type="gramStart"/>
            <w:r>
              <w:rPr>
                <w:rFonts w:ascii="標楷體" w:eastAsia="標楷體" w:hAnsi="標楷體" w:cs="細明體" w:hint="eastAsia"/>
                <w:kern w:val="0"/>
              </w:rPr>
              <w:t>個</w:t>
            </w:r>
            <w:proofErr w:type="gramEnd"/>
            <w:r>
              <w:rPr>
                <w:rFonts w:ascii="標楷體" w:eastAsia="標楷體" w:hAnsi="標楷體" w:cs="細明體" w:hint="eastAsia"/>
                <w:kern w:val="0"/>
              </w:rPr>
              <w:t>營業日，在本中心指定之網際網路資訊申報系統辦理公告。</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t>（第二項至第六項略）</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上櫃公司前揭公告事項，倘事後變動或未依本中心規定期限公告而致發生交易之糾紛及買賣一方受有損失者，</w:t>
            </w:r>
            <w:proofErr w:type="gramStart"/>
            <w:r>
              <w:rPr>
                <w:rFonts w:ascii="標楷體" w:eastAsia="標楷體" w:hAnsi="標楷體" w:cs="細明體" w:hint="eastAsia"/>
                <w:kern w:val="0"/>
              </w:rPr>
              <w:t>均應由</w:t>
            </w:r>
            <w:proofErr w:type="gramEnd"/>
            <w:r>
              <w:rPr>
                <w:rFonts w:ascii="標楷體" w:eastAsia="標楷體" w:hAnsi="標楷體" w:cs="細明體" w:hint="eastAsia"/>
                <w:kern w:val="0"/>
              </w:rPr>
              <w:t>該上櫃公司負其全責。</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發行指數股票型基金之證券投資信託事業訂有受益人名簿記載之停止變更期間或收益發放基準日時，</w:t>
            </w:r>
            <w:proofErr w:type="gramStart"/>
            <w:r>
              <w:rPr>
                <w:rFonts w:ascii="標楷體" w:eastAsia="標楷體" w:hAnsi="標楷體" w:cs="細明體" w:hint="eastAsia"/>
                <w:kern w:val="0"/>
              </w:rPr>
              <w:t>準</w:t>
            </w:r>
            <w:proofErr w:type="gramEnd"/>
            <w:r>
              <w:rPr>
                <w:rFonts w:ascii="標楷體" w:eastAsia="標楷體" w:hAnsi="標楷體" w:cs="細明體" w:hint="eastAsia"/>
                <w:kern w:val="0"/>
              </w:rPr>
              <w:t>用第一項及第七項之規定。</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lastRenderedPageBreak/>
              <w:t>（第九項略）</w:t>
            </w:r>
          </w:p>
        </w:tc>
        <w:tc>
          <w:tcPr>
            <w:tcW w:w="2781" w:type="dxa"/>
            <w:shd w:val="clear" w:color="auto" w:fill="auto"/>
          </w:tcPr>
          <w:p w:rsidR="00240159"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ascii="Book Antiqua" w:eastAsia="標楷體" w:hAnsi="標楷體"/>
              </w:rPr>
            </w:pPr>
            <w:r>
              <w:rPr>
                <w:rFonts w:ascii="標楷體" w:eastAsia="標楷體" w:hAnsi="標楷體" w:cs="細明體" w:hint="eastAsia"/>
                <w:kern w:val="0"/>
              </w:rPr>
              <w:lastRenderedPageBreak/>
              <w:t>增訂期貨信託事業</w:t>
            </w:r>
            <w:r>
              <w:rPr>
                <w:rFonts w:ascii="Book Antiqua" w:eastAsia="標楷體" w:hAnsi="標楷體" w:hint="eastAsia"/>
              </w:rPr>
              <w:t>依期貨信託基金管理辦法所訂事務而</w:t>
            </w:r>
            <w:r>
              <w:rPr>
                <w:rFonts w:ascii="標楷體" w:eastAsia="標楷體" w:hAnsi="標楷體" w:cs="細明體" w:hint="eastAsia"/>
                <w:kern w:val="0"/>
              </w:rPr>
              <w:t>訂有受益人名簿記載之停止變更期間或收益發放基準日時，須依本中心規定期限在本中心指定之網際網路資訊申報系統辦理公告，</w:t>
            </w:r>
            <w:proofErr w:type="gramStart"/>
            <w:r>
              <w:rPr>
                <w:rFonts w:ascii="標楷體" w:eastAsia="標楷體" w:hAnsi="標楷體" w:cs="細明體" w:hint="eastAsia"/>
                <w:kern w:val="0"/>
              </w:rPr>
              <w:t>爰</w:t>
            </w:r>
            <w:proofErr w:type="gramEnd"/>
            <w:r>
              <w:rPr>
                <w:rFonts w:ascii="標楷體" w:eastAsia="標楷體" w:hAnsi="標楷體" w:cs="細明體" w:hint="eastAsia"/>
                <w:kern w:val="0"/>
              </w:rPr>
              <w:t>修正第8項之規定。</w:t>
            </w:r>
          </w:p>
        </w:tc>
      </w:tr>
      <w:tr w:rsidR="00240159" w:rsidRPr="00640E09" w:rsidTr="00240159">
        <w:tc>
          <w:tcPr>
            <w:tcW w:w="3285" w:type="dxa"/>
            <w:shd w:val="clear" w:color="auto" w:fill="auto"/>
          </w:tcPr>
          <w:p w:rsidR="00240159" w:rsidRPr="00A92A11" w:rsidRDefault="00240159" w:rsidP="00240159">
            <w:pPr>
              <w:pStyle w:val="HTML"/>
              <w:spacing w:line="360" w:lineRule="exact"/>
              <w:ind w:left="240" w:rightChars="10" w:right="24" w:hangingChars="100" w:hanging="240"/>
              <w:jc w:val="both"/>
              <w:rPr>
                <w:rFonts w:ascii="標楷體" w:eastAsia="標楷體" w:hAnsi="標楷體" w:cs="細明體"/>
                <w:color w:val="auto"/>
                <w:kern w:val="2"/>
                <w:sz w:val="24"/>
              </w:rPr>
            </w:pPr>
            <w:proofErr w:type="spellStart"/>
            <w:r w:rsidRPr="00A92A11">
              <w:rPr>
                <w:rFonts w:ascii="標楷體" w:eastAsia="標楷體" w:hAnsi="標楷體" w:cs="細明體" w:hint="eastAsia"/>
                <w:color w:val="auto"/>
                <w:kern w:val="2"/>
                <w:sz w:val="24"/>
              </w:rPr>
              <w:t>第十條之一</w:t>
            </w:r>
            <w:proofErr w:type="spellEnd"/>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360" w:lineRule="exact"/>
              <w:ind w:rightChars="10" w:right="24"/>
              <w:jc w:val="center"/>
              <w:rPr>
                <w:rFonts w:ascii="標楷體" w:eastAsia="標楷體" w:hAnsi="標楷體" w:cs="細明體"/>
                <w:color w:val="auto"/>
                <w:kern w:val="2"/>
                <w:sz w:val="24"/>
              </w:rPr>
            </w:pPr>
            <w:r w:rsidRPr="000C31E6">
              <w:rPr>
                <w:rFonts w:ascii="標楷體" w:eastAsia="標楷體" w:hAnsi="標楷體" w:cs="細明體" w:hint="eastAsia"/>
                <w:color w:val="auto"/>
                <w:kern w:val="2"/>
                <w:sz w:val="24"/>
              </w:rPr>
              <w:t>（</w:t>
            </w:r>
            <w:proofErr w:type="spellStart"/>
            <w:r w:rsidRPr="000C31E6">
              <w:rPr>
                <w:rFonts w:ascii="標楷體" w:eastAsia="標楷體" w:hAnsi="標楷體" w:cs="細明體" w:hint="eastAsia"/>
                <w:color w:val="auto"/>
                <w:kern w:val="2"/>
                <w:sz w:val="24"/>
              </w:rPr>
              <w:t>第</w:t>
            </w:r>
            <w:r>
              <w:rPr>
                <w:rFonts w:ascii="標楷體" w:eastAsia="標楷體" w:hAnsi="標楷體" w:cs="細明體" w:hint="eastAsia"/>
                <w:color w:val="auto"/>
                <w:kern w:val="2"/>
                <w:sz w:val="24"/>
              </w:rPr>
              <w:t>一項</w:t>
            </w:r>
            <w:r w:rsidRPr="000C31E6">
              <w:rPr>
                <w:rFonts w:ascii="標楷體" w:eastAsia="標楷體" w:hAnsi="標楷體" w:cs="細明體" w:hint="eastAsia"/>
                <w:color w:val="auto"/>
                <w:kern w:val="2"/>
                <w:sz w:val="24"/>
              </w:rPr>
              <w:t>略</w:t>
            </w:r>
            <w:proofErr w:type="spellEnd"/>
            <w:r w:rsidRPr="000C31E6">
              <w:rPr>
                <w:rFonts w:ascii="標楷體" w:eastAsia="標楷體" w:hAnsi="標楷體" w:cs="細明體" w:hint="eastAsia"/>
                <w:color w:val="auto"/>
                <w:kern w:val="2"/>
                <w:sz w:val="24"/>
              </w:rPr>
              <w:t>）</w:t>
            </w:r>
          </w:p>
          <w:p w:rsidR="00240159" w:rsidRPr="005A2047"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szCs w:val="24"/>
              </w:rPr>
            </w:pPr>
            <w:r w:rsidRPr="00831FE1">
              <w:rPr>
                <w:rFonts w:ascii="標楷體" w:eastAsia="標楷體" w:hAnsi="標楷體" w:cs="細明體" w:hint="eastAsia"/>
                <w:szCs w:val="24"/>
              </w:rPr>
              <w:t>發行人申請發行認購（售）權證櫃檯買賣經本中心同意，並</w:t>
            </w:r>
            <w:r w:rsidRPr="003803C3">
              <w:rPr>
                <w:rFonts w:ascii="標楷體" w:eastAsia="標楷體" w:hAnsi="標楷體" w:cs="細明體" w:hint="eastAsia"/>
                <w:kern w:val="0"/>
              </w:rPr>
              <w:t>簽訂</w:t>
            </w:r>
            <w:r w:rsidRPr="00831FE1">
              <w:rPr>
                <w:rFonts w:ascii="標楷體" w:eastAsia="標楷體" w:hAnsi="標楷體" w:cs="細明體" w:hint="eastAsia"/>
                <w:szCs w:val="24"/>
              </w:rPr>
              <w:t>櫃檯買賣契約後，除按櫃檯買賣契約規定繳付上櫃費外，應於接到本中心通知後，於與本中心洽訂之櫃檯買賣開始日期二日前，由發行人將櫃檯買賣有關事項輸入本中心指定之網際網路資訊申報系統。如係申請增額發行應於預定之櫃檯買賣日前一營業日完成輸入。本中心並應將櫃檯買賣契約報請主管機關備查。</w:t>
            </w:r>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8" w:left="235" w:rightChars="10" w:right="24" w:firstLineChars="200" w:firstLine="480"/>
              <w:jc w:val="both"/>
              <w:rPr>
                <w:rFonts w:ascii="標楷體" w:eastAsia="標楷體" w:hAnsi="標楷體" w:cs="細明體"/>
                <w:color w:val="auto"/>
                <w:kern w:val="2"/>
                <w:sz w:val="24"/>
              </w:rPr>
            </w:pPr>
            <w:proofErr w:type="spellStart"/>
            <w:r w:rsidRPr="000C31E6">
              <w:rPr>
                <w:rFonts w:ascii="標楷體" w:eastAsia="標楷體" w:hAnsi="標楷體" w:cs="細明體" w:hint="eastAsia"/>
                <w:color w:val="auto"/>
                <w:kern w:val="2"/>
                <w:sz w:val="24"/>
              </w:rPr>
              <w:t>前項申報內容應包下列事項</w:t>
            </w:r>
            <w:proofErr w:type="spellEnd"/>
            <w:r w:rsidRPr="000C31E6">
              <w:rPr>
                <w:rFonts w:ascii="標楷體" w:eastAsia="標楷體" w:hAnsi="標楷體" w:cs="細明體" w:hint="eastAsia"/>
                <w:color w:val="auto"/>
                <w:kern w:val="2"/>
                <w:sz w:val="24"/>
              </w:rPr>
              <w:t>：</w:t>
            </w:r>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360" w:lineRule="exact"/>
              <w:ind w:rightChars="10" w:right="24"/>
              <w:jc w:val="center"/>
              <w:rPr>
                <w:rFonts w:ascii="標楷體" w:eastAsia="標楷體" w:hAnsi="標楷體" w:cs="細明體"/>
                <w:color w:val="auto"/>
                <w:kern w:val="2"/>
                <w:sz w:val="24"/>
              </w:rPr>
            </w:pPr>
            <w:r w:rsidRPr="000C31E6">
              <w:rPr>
                <w:rFonts w:ascii="標楷體" w:eastAsia="標楷體" w:hAnsi="標楷體" w:cs="細明體" w:hint="eastAsia"/>
                <w:color w:val="auto"/>
                <w:kern w:val="2"/>
                <w:sz w:val="24"/>
              </w:rPr>
              <w:t>（</w:t>
            </w:r>
            <w:proofErr w:type="spellStart"/>
            <w:r w:rsidRPr="000C31E6">
              <w:rPr>
                <w:rFonts w:ascii="標楷體" w:eastAsia="標楷體" w:hAnsi="標楷體" w:cs="細明體" w:hint="eastAsia"/>
                <w:color w:val="auto"/>
                <w:kern w:val="2"/>
                <w:sz w:val="24"/>
              </w:rPr>
              <w:t>第一款至第九款略</w:t>
            </w:r>
            <w:proofErr w:type="spellEnd"/>
            <w:r w:rsidRPr="000C31E6">
              <w:rPr>
                <w:rFonts w:ascii="標楷體" w:eastAsia="標楷體" w:hAnsi="標楷體" w:cs="細明體" w:hint="eastAsia"/>
                <w:color w:val="auto"/>
                <w:kern w:val="2"/>
                <w:sz w:val="24"/>
              </w:rPr>
              <w:t>）</w:t>
            </w:r>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7" w:left="667" w:rightChars="10" w:right="24" w:hangingChars="181" w:hanging="434"/>
              <w:jc w:val="both"/>
              <w:rPr>
                <w:rFonts w:ascii="標楷體" w:eastAsia="標楷體" w:hAnsi="標楷體" w:cs="細明體"/>
              </w:rPr>
            </w:pPr>
            <w:r w:rsidRPr="000C31E6">
              <w:rPr>
                <w:rFonts w:ascii="標楷體" w:eastAsia="標楷體" w:hAnsi="標楷體" w:cs="細明體" w:hint="eastAsia"/>
                <w:color w:val="auto"/>
                <w:kern w:val="2"/>
                <w:sz w:val="24"/>
              </w:rPr>
              <w:t>十、標的證券發行公司辦理配發股息紅利、增資、減資、股票分割、合併及其他相關事項或證券投資信託事業</w:t>
            </w:r>
            <w:r w:rsidRPr="00331968">
              <w:rPr>
                <w:rFonts w:ascii="標楷體" w:eastAsia="標楷體" w:hAnsi="標楷體" w:cs="細明體" w:hint="eastAsia"/>
                <w:color w:val="FF0000"/>
                <w:kern w:val="2"/>
                <w:sz w:val="24"/>
                <w:u w:val="single"/>
              </w:rPr>
              <w:t>、期貨信託事業</w:t>
            </w:r>
            <w:r w:rsidRPr="000C31E6">
              <w:rPr>
                <w:rFonts w:ascii="標楷體" w:eastAsia="標楷體" w:hAnsi="標楷體" w:cs="細明體" w:hint="eastAsia"/>
                <w:color w:val="auto"/>
                <w:kern w:val="2"/>
                <w:sz w:val="24"/>
              </w:rPr>
              <w:t>辦理標的指數股票型基金分配收益及其他相關事項時，調整其認購（售）權證履約價格或相關事項之約定；發行人如未依本中心參考調整公式訂定，應於公開銷售說明書以顯著字體說明。如以外國證券為標的者，發行人應自行訂定調整公</w:t>
            </w:r>
            <w:r w:rsidRPr="000C31E6">
              <w:rPr>
                <w:rFonts w:ascii="標楷體" w:eastAsia="標楷體" w:hAnsi="標楷體" w:cs="細明體" w:hint="eastAsia"/>
              </w:rPr>
              <w:t>式。</w:t>
            </w:r>
          </w:p>
          <w:p w:rsidR="00240159"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7" w:left="667" w:rightChars="10" w:right="24" w:hangingChars="181" w:hanging="434"/>
              <w:jc w:val="both"/>
              <w:rPr>
                <w:rFonts w:ascii="標楷體" w:eastAsia="標楷體" w:hAnsi="標楷體" w:cs="細明體"/>
                <w:color w:val="auto"/>
                <w:kern w:val="2"/>
                <w:sz w:val="24"/>
              </w:rPr>
            </w:pPr>
            <w:r w:rsidRPr="000C31E6">
              <w:rPr>
                <w:rFonts w:ascii="標楷體" w:eastAsia="標楷體" w:hAnsi="標楷體" w:cs="細明體" w:hint="eastAsia"/>
                <w:color w:val="auto"/>
                <w:kern w:val="2"/>
                <w:sz w:val="24"/>
              </w:rPr>
              <w:lastRenderedPageBreak/>
              <w:t>十一、</w:t>
            </w:r>
            <w:r w:rsidRPr="00331968">
              <w:rPr>
                <w:rFonts w:ascii="標楷體" w:eastAsia="標楷體" w:hAnsi="標楷體" w:cs="細明體" w:hint="eastAsia"/>
                <w:color w:val="auto"/>
                <w:kern w:val="2"/>
                <w:sz w:val="24"/>
              </w:rPr>
              <w:t>標的證券發行公司有公司合併、有價證券變更交易方法、暫停交易、停止買賣或終止買賣情事時，或標的指數編製機構停止編製該指數時，或標的指數股票型基金因證券投資信託事業</w:t>
            </w:r>
            <w:r w:rsidRPr="00331968">
              <w:rPr>
                <w:rFonts w:ascii="標楷體" w:eastAsia="標楷體" w:hAnsi="標楷體" w:cs="細明體" w:hint="eastAsia"/>
                <w:color w:val="FF0000"/>
                <w:kern w:val="2"/>
                <w:sz w:val="24"/>
                <w:u w:val="single"/>
              </w:rPr>
              <w:t>、期貨信託事業</w:t>
            </w:r>
            <w:r w:rsidRPr="00331968">
              <w:rPr>
                <w:rFonts w:ascii="標楷體" w:eastAsia="標楷體" w:hAnsi="標楷體" w:cs="細明體" w:hint="eastAsia"/>
                <w:color w:val="auto"/>
                <w:kern w:val="2"/>
                <w:sz w:val="24"/>
              </w:rPr>
              <w:t>解散、破產或撤銷核准等原因終止櫃檯買賣時，或標的期貨經期貨交易所公告暫停交易、停止交易或終止上市時之處理方式。</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60" w:lineRule="exact"/>
              <w:ind w:left="240" w:rightChars="10" w:right="24" w:hangingChars="100" w:hanging="240"/>
              <w:jc w:val="center"/>
              <w:rPr>
                <w:rFonts w:ascii="標楷體" w:eastAsia="標楷體" w:hAnsi="標楷體" w:cs="細明體"/>
                <w:szCs w:val="24"/>
              </w:rPr>
            </w:pPr>
            <w:r w:rsidRPr="00A92A11">
              <w:rPr>
                <w:rFonts w:ascii="標楷體" w:eastAsia="標楷體" w:hAnsi="標楷體" w:cs="細明體" w:hint="eastAsia"/>
                <w:szCs w:val="24"/>
              </w:rPr>
              <w:t>（</w:t>
            </w:r>
            <w:r>
              <w:rPr>
                <w:rFonts w:ascii="標楷體" w:eastAsia="標楷體" w:hAnsi="標楷體" w:cs="細明體" w:hint="eastAsia"/>
                <w:szCs w:val="24"/>
              </w:rPr>
              <w:t>第十二款至第二十二款略</w:t>
            </w:r>
            <w:r w:rsidRPr="00A92A11">
              <w:rPr>
                <w:rFonts w:ascii="標楷體" w:eastAsia="標楷體" w:hAnsi="標楷體" w:cs="細明體" w:hint="eastAsia"/>
                <w:szCs w:val="24"/>
              </w:rPr>
              <w:t>）</w:t>
            </w:r>
          </w:p>
          <w:p w:rsidR="00240159" w:rsidRPr="005A0C4F"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60" w:lineRule="exact"/>
              <w:ind w:left="240" w:rightChars="10" w:right="24" w:hangingChars="100" w:hanging="240"/>
              <w:jc w:val="center"/>
              <w:rPr>
                <w:rFonts w:ascii="標楷體" w:eastAsia="標楷體" w:hAnsi="標楷體" w:cs="細明體"/>
                <w:szCs w:val="24"/>
              </w:rPr>
            </w:pPr>
            <w:r w:rsidRPr="00A92A11">
              <w:rPr>
                <w:rFonts w:ascii="標楷體" w:eastAsia="標楷體" w:hAnsi="標楷體" w:cs="細明體" w:hint="eastAsia"/>
                <w:szCs w:val="24"/>
              </w:rPr>
              <w:t>（</w:t>
            </w:r>
            <w:r>
              <w:rPr>
                <w:rFonts w:ascii="標楷體" w:eastAsia="標楷體" w:hAnsi="標楷體" w:cs="細明體" w:hint="eastAsia"/>
                <w:szCs w:val="24"/>
              </w:rPr>
              <w:t>第四項至第八項略</w:t>
            </w:r>
            <w:r w:rsidRPr="00A92A11">
              <w:rPr>
                <w:rFonts w:ascii="標楷體" w:eastAsia="標楷體" w:hAnsi="標楷體" w:cs="細明體" w:hint="eastAsia"/>
                <w:szCs w:val="24"/>
              </w:rPr>
              <w:t>）</w:t>
            </w:r>
          </w:p>
        </w:tc>
        <w:tc>
          <w:tcPr>
            <w:tcW w:w="3285" w:type="dxa"/>
            <w:shd w:val="clear" w:color="auto" w:fill="auto"/>
          </w:tcPr>
          <w:p w:rsidR="00240159" w:rsidRPr="00A92A11" w:rsidRDefault="00240159" w:rsidP="00240159">
            <w:pPr>
              <w:pStyle w:val="HTML"/>
              <w:spacing w:line="360" w:lineRule="exact"/>
              <w:ind w:left="240" w:rightChars="10" w:right="24" w:hangingChars="100" w:hanging="240"/>
              <w:jc w:val="both"/>
              <w:rPr>
                <w:rFonts w:ascii="標楷體" w:eastAsia="標楷體" w:hAnsi="標楷體" w:cs="細明體"/>
                <w:color w:val="auto"/>
                <w:kern w:val="2"/>
                <w:sz w:val="24"/>
              </w:rPr>
            </w:pPr>
            <w:proofErr w:type="spellStart"/>
            <w:r w:rsidRPr="00A92A11">
              <w:rPr>
                <w:rFonts w:ascii="標楷體" w:eastAsia="標楷體" w:hAnsi="標楷體" w:cs="細明體" w:hint="eastAsia"/>
                <w:color w:val="auto"/>
                <w:kern w:val="2"/>
                <w:sz w:val="24"/>
              </w:rPr>
              <w:lastRenderedPageBreak/>
              <w:t>第十條之一</w:t>
            </w:r>
            <w:proofErr w:type="spellEnd"/>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360" w:lineRule="exact"/>
              <w:ind w:rightChars="10" w:right="24"/>
              <w:jc w:val="center"/>
              <w:rPr>
                <w:rFonts w:ascii="標楷體" w:eastAsia="標楷體" w:hAnsi="標楷體" w:cs="細明體"/>
                <w:color w:val="auto"/>
                <w:kern w:val="2"/>
                <w:sz w:val="24"/>
              </w:rPr>
            </w:pPr>
            <w:r w:rsidRPr="000C31E6">
              <w:rPr>
                <w:rFonts w:ascii="標楷體" w:eastAsia="標楷體" w:hAnsi="標楷體" w:cs="細明體" w:hint="eastAsia"/>
                <w:color w:val="auto"/>
                <w:kern w:val="2"/>
                <w:sz w:val="24"/>
              </w:rPr>
              <w:t>（</w:t>
            </w:r>
            <w:proofErr w:type="spellStart"/>
            <w:r w:rsidRPr="000C31E6">
              <w:rPr>
                <w:rFonts w:ascii="標楷體" w:eastAsia="標楷體" w:hAnsi="標楷體" w:cs="細明體" w:hint="eastAsia"/>
                <w:color w:val="auto"/>
                <w:kern w:val="2"/>
                <w:sz w:val="24"/>
              </w:rPr>
              <w:t>第</w:t>
            </w:r>
            <w:r>
              <w:rPr>
                <w:rFonts w:ascii="標楷體" w:eastAsia="標楷體" w:hAnsi="標楷體" w:cs="細明體" w:hint="eastAsia"/>
                <w:color w:val="auto"/>
                <w:kern w:val="2"/>
                <w:sz w:val="24"/>
              </w:rPr>
              <w:t>一項</w:t>
            </w:r>
            <w:r w:rsidRPr="000C31E6">
              <w:rPr>
                <w:rFonts w:ascii="標楷體" w:eastAsia="標楷體" w:hAnsi="標楷體" w:cs="細明體" w:hint="eastAsia"/>
                <w:color w:val="auto"/>
                <w:kern w:val="2"/>
                <w:sz w:val="24"/>
              </w:rPr>
              <w:t>略</w:t>
            </w:r>
            <w:proofErr w:type="spellEnd"/>
            <w:r w:rsidRPr="000C31E6">
              <w:rPr>
                <w:rFonts w:ascii="標楷體" w:eastAsia="標楷體" w:hAnsi="標楷體" w:cs="細明體" w:hint="eastAsia"/>
                <w:color w:val="auto"/>
                <w:kern w:val="2"/>
                <w:sz w:val="24"/>
              </w:rPr>
              <w:t>）</w:t>
            </w:r>
          </w:p>
          <w:p w:rsidR="00240159" w:rsidRPr="005A2047"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szCs w:val="24"/>
              </w:rPr>
            </w:pPr>
            <w:r w:rsidRPr="00831FE1">
              <w:rPr>
                <w:rFonts w:ascii="標楷體" w:eastAsia="標楷體" w:hAnsi="標楷體" w:cs="細明體" w:hint="eastAsia"/>
                <w:szCs w:val="24"/>
              </w:rPr>
              <w:t>發行人申請發行認購（售）權證櫃檯買賣經本中心同意，並簽訂櫃檯買賣契約後，除按櫃檯買賣契約規定繳付上櫃費外，應於接到本中心通知後，於與本中心洽訂之櫃檯買賣開始日期二日前，由發行人將櫃檯買賣有關事項輸入本中心指定之網際網路資訊申報系統。如係申請增額發行應於預定之櫃檯買賣日前一營業日完成輸入。本中心並應將櫃檯買賣契約報請主管機關備查。</w:t>
            </w:r>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8" w:left="235" w:rightChars="10" w:right="24" w:firstLineChars="200" w:firstLine="480"/>
              <w:jc w:val="both"/>
              <w:rPr>
                <w:rFonts w:ascii="標楷體" w:eastAsia="標楷體" w:hAnsi="標楷體" w:cs="細明體"/>
                <w:color w:val="auto"/>
                <w:kern w:val="2"/>
                <w:sz w:val="24"/>
              </w:rPr>
            </w:pPr>
            <w:proofErr w:type="spellStart"/>
            <w:r w:rsidRPr="000C31E6">
              <w:rPr>
                <w:rFonts w:ascii="標楷體" w:eastAsia="標楷體" w:hAnsi="標楷體" w:cs="細明體" w:hint="eastAsia"/>
                <w:color w:val="auto"/>
                <w:kern w:val="2"/>
                <w:sz w:val="24"/>
              </w:rPr>
              <w:t>前項申報內容應包下列事項</w:t>
            </w:r>
            <w:proofErr w:type="spellEnd"/>
            <w:r w:rsidRPr="000C31E6">
              <w:rPr>
                <w:rFonts w:ascii="標楷體" w:eastAsia="標楷體" w:hAnsi="標楷體" w:cs="細明體" w:hint="eastAsia"/>
                <w:color w:val="auto"/>
                <w:kern w:val="2"/>
                <w:sz w:val="24"/>
              </w:rPr>
              <w:t>：</w:t>
            </w:r>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360" w:lineRule="exact"/>
              <w:ind w:rightChars="10" w:right="24"/>
              <w:jc w:val="center"/>
              <w:rPr>
                <w:rFonts w:ascii="標楷體" w:eastAsia="標楷體" w:hAnsi="標楷體" w:cs="細明體"/>
                <w:color w:val="auto"/>
                <w:kern w:val="2"/>
                <w:sz w:val="24"/>
              </w:rPr>
            </w:pPr>
            <w:r w:rsidRPr="000C31E6">
              <w:rPr>
                <w:rFonts w:ascii="標楷體" w:eastAsia="標楷體" w:hAnsi="標楷體" w:cs="細明體" w:hint="eastAsia"/>
                <w:color w:val="auto"/>
                <w:kern w:val="2"/>
                <w:sz w:val="24"/>
              </w:rPr>
              <w:t>（</w:t>
            </w:r>
            <w:proofErr w:type="spellStart"/>
            <w:r w:rsidRPr="000C31E6">
              <w:rPr>
                <w:rFonts w:ascii="標楷體" w:eastAsia="標楷體" w:hAnsi="標楷體" w:cs="細明體" w:hint="eastAsia"/>
                <w:color w:val="auto"/>
                <w:kern w:val="2"/>
                <w:sz w:val="24"/>
              </w:rPr>
              <w:t>第一款至第九款略</w:t>
            </w:r>
            <w:proofErr w:type="spellEnd"/>
            <w:r w:rsidRPr="000C31E6">
              <w:rPr>
                <w:rFonts w:ascii="標楷體" w:eastAsia="標楷體" w:hAnsi="標楷體" w:cs="細明體" w:hint="eastAsia"/>
                <w:color w:val="auto"/>
                <w:kern w:val="2"/>
                <w:sz w:val="24"/>
              </w:rPr>
              <w:t>）</w:t>
            </w:r>
          </w:p>
          <w:p w:rsidR="00240159"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7" w:left="667" w:rightChars="10" w:right="24" w:hangingChars="181" w:hanging="434"/>
              <w:jc w:val="both"/>
              <w:rPr>
                <w:rFonts w:ascii="標楷體" w:eastAsia="標楷體" w:hAnsi="標楷體" w:cs="細明體"/>
              </w:rPr>
            </w:pPr>
            <w:r w:rsidRPr="000C31E6">
              <w:rPr>
                <w:rFonts w:ascii="標楷體" w:eastAsia="標楷體" w:hAnsi="標楷體" w:cs="細明體" w:hint="eastAsia"/>
                <w:color w:val="auto"/>
                <w:kern w:val="2"/>
                <w:sz w:val="24"/>
              </w:rPr>
              <w:t>十、標的證券發行公司辦理配發股息紅利、增資、減資、股票分割、合併及其他相關事項或證券投資信託事業辦理標的指數股票型基金分配收益及其他相關事項時，調整其認購（售）權證履約價格或相關事項之約定；發行人如未依本中心參考調整公式訂定，應於公開銷售說明書以顯著字體說明。如以外國證券為標的者，發行人應自行訂定調整公</w:t>
            </w:r>
            <w:r w:rsidRPr="000C31E6">
              <w:rPr>
                <w:rFonts w:ascii="標楷體" w:eastAsia="標楷體" w:hAnsi="標楷體" w:cs="細明體" w:hint="eastAsia"/>
              </w:rPr>
              <w:t>式。</w:t>
            </w:r>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7" w:left="595" w:rightChars="10" w:right="24" w:hangingChars="181" w:hanging="362"/>
              <w:jc w:val="both"/>
              <w:rPr>
                <w:rFonts w:ascii="標楷體" w:eastAsia="標楷體" w:hAnsi="標楷體" w:cs="細明體"/>
              </w:rPr>
            </w:pPr>
          </w:p>
          <w:p w:rsidR="00240159"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7" w:left="667" w:rightChars="10" w:right="24" w:hangingChars="181" w:hanging="434"/>
              <w:jc w:val="both"/>
              <w:rPr>
                <w:rFonts w:ascii="標楷體" w:eastAsia="標楷體" w:hAnsi="標楷體" w:cs="細明體"/>
                <w:color w:val="auto"/>
                <w:kern w:val="2"/>
                <w:sz w:val="24"/>
              </w:rPr>
            </w:pPr>
            <w:r w:rsidRPr="000C31E6">
              <w:rPr>
                <w:rFonts w:ascii="標楷體" w:eastAsia="標楷體" w:hAnsi="標楷體" w:cs="細明體" w:hint="eastAsia"/>
                <w:color w:val="auto"/>
                <w:kern w:val="2"/>
                <w:sz w:val="24"/>
              </w:rPr>
              <w:lastRenderedPageBreak/>
              <w:t>十一、</w:t>
            </w:r>
            <w:r w:rsidRPr="00331968">
              <w:rPr>
                <w:rFonts w:ascii="標楷體" w:eastAsia="標楷體" w:hAnsi="標楷體" w:cs="細明體" w:hint="eastAsia"/>
                <w:color w:val="auto"/>
                <w:kern w:val="2"/>
                <w:sz w:val="24"/>
              </w:rPr>
              <w:t>標的證券發行公司有公司合併、有價證券變更交易方法、暫停交易、停止買賣或終止買賣情事時，或標的指數編製機構停止編製該指數時，或標的指數股票型基金因證券投資信託事業解散、破產或撤銷核准等原因終止櫃檯買賣時，或標的期貨經期貨交易所公告暫停交易、停止交易或終止上市時之處理方式。</w:t>
            </w:r>
          </w:p>
          <w:p w:rsidR="00240159"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7" w:left="667" w:rightChars="10" w:right="24" w:hangingChars="181" w:hanging="434"/>
              <w:jc w:val="both"/>
              <w:rPr>
                <w:rFonts w:ascii="標楷體" w:eastAsia="標楷體" w:hAnsi="標楷體" w:cs="細明體"/>
                <w:color w:val="auto"/>
                <w:kern w:val="2"/>
                <w:sz w:val="24"/>
              </w:rPr>
            </w:pP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60" w:lineRule="exact"/>
              <w:ind w:left="240" w:rightChars="10" w:right="24" w:hangingChars="100" w:hanging="240"/>
              <w:jc w:val="center"/>
              <w:rPr>
                <w:rFonts w:ascii="標楷體" w:eastAsia="標楷體" w:hAnsi="標楷體" w:cs="細明體"/>
                <w:szCs w:val="24"/>
              </w:rPr>
            </w:pPr>
            <w:r w:rsidRPr="00A92A11">
              <w:rPr>
                <w:rFonts w:ascii="標楷體" w:eastAsia="標楷體" w:hAnsi="標楷體" w:cs="細明體" w:hint="eastAsia"/>
                <w:szCs w:val="24"/>
              </w:rPr>
              <w:t>（</w:t>
            </w:r>
            <w:r>
              <w:rPr>
                <w:rFonts w:ascii="標楷體" w:eastAsia="標楷體" w:hAnsi="標楷體" w:cs="細明體" w:hint="eastAsia"/>
                <w:szCs w:val="24"/>
              </w:rPr>
              <w:t>第十二款至第二十二款略</w:t>
            </w:r>
            <w:r w:rsidRPr="00A92A11">
              <w:rPr>
                <w:rFonts w:ascii="標楷體" w:eastAsia="標楷體" w:hAnsi="標楷體" w:cs="細明體" w:hint="eastAsia"/>
                <w:szCs w:val="24"/>
              </w:rPr>
              <w:t>）</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60" w:lineRule="exact"/>
              <w:ind w:left="240" w:rightChars="10" w:right="24" w:hangingChars="100" w:hanging="240"/>
              <w:jc w:val="center"/>
              <w:rPr>
                <w:rFonts w:ascii="標楷體" w:eastAsia="標楷體" w:hAnsi="標楷體" w:cs="細明體"/>
                <w:szCs w:val="24"/>
              </w:rPr>
            </w:pPr>
            <w:r w:rsidRPr="00A92A11">
              <w:rPr>
                <w:rFonts w:ascii="標楷體" w:eastAsia="標楷體" w:hAnsi="標楷體" w:cs="細明體" w:hint="eastAsia"/>
                <w:szCs w:val="24"/>
              </w:rPr>
              <w:t>（</w:t>
            </w:r>
            <w:r>
              <w:rPr>
                <w:rFonts w:ascii="標楷體" w:eastAsia="標楷體" w:hAnsi="標楷體" w:cs="細明體" w:hint="eastAsia"/>
                <w:szCs w:val="24"/>
              </w:rPr>
              <w:t>第四項至第八項略</w:t>
            </w:r>
            <w:r w:rsidRPr="00A92A11">
              <w:rPr>
                <w:rFonts w:ascii="標楷體" w:eastAsia="標楷體" w:hAnsi="標楷體" w:cs="細明體" w:hint="eastAsia"/>
                <w:szCs w:val="24"/>
              </w:rPr>
              <w:t>）</w:t>
            </w:r>
          </w:p>
        </w:tc>
        <w:tc>
          <w:tcPr>
            <w:tcW w:w="2781" w:type="dxa"/>
            <w:shd w:val="clear" w:color="auto" w:fill="auto"/>
          </w:tcPr>
          <w:p w:rsidR="00240159" w:rsidRPr="002010C3" w:rsidRDefault="00240159" w:rsidP="00240159">
            <w:pPr>
              <w:spacing w:line="360" w:lineRule="exact"/>
              <w:ind w:leftChars="10" w:left="24" w:rightChars="10" w:right="24"/>
              <w:jc w:val="both"/>
              <w:rPr>
                <w:rFonts w:ascii="標楷體" w:eastAsia="標楷體" w:hAnsi="標楷體"/>
                <w:color w:val="000000"/>
                <w:szCs w:val="24"/>
              </w:rPr>
            </w:pPr>
            <w:r w:rsidRPr="00907CC2">
              <w:rPr>
                <w:rFonts w:ascii="Book Antiqua" w:eastAsia="標楷體" w:hAnsi="標楷體" w:hint="eastAsia"/>
                <w:color w:val="000000"/>
                <w:szCs w:val="28"/>
              </w:rPr>
              <w:lastRenderedPageBreak/>
              <w:t>配合</w:t>
            </w:r>
            <w:r>
              <w:rPr>
                <w:rFonts w:ascii="Book Antiqua" w:eastAsia="標楷體" w:hAnsi="標楷體" w:hint="eastAsia"/>
                <w:color w:val="000000"/>
                <w:szCs w:val="28"/>
              </w:rPr>
              <w:t>新增</w:t>
            </w:r>
            <w:r w:rsidRPr="00907CC2">
              <w:rPr>
                <w:rFonts w:ascii="標楷體" w:eastAsia="標楷體" w:hAnsi="標楷體"/>
                <w:color w:val="000000"/>
                <w:szCs w:val="28"/>
              </w:rPr>
              <w:t>指數股票型</w:t>
            </w:r>
            <w:r w:rsidRPr="00907CC2">
              <w:rPr>
                <w:rFonts w:ascii="標楷體" w:eastAsia="標楷體" w:hAnsi="標楷體" w:cs="細明體" w:hint="eastAsia"/>
                <w:color w:val="000000"/>
                <w:kern w:val="0"/>
                <w:szCs w:val="28"/>
              </w:rPr>
              <w:t>期貨</w:t>
            </w:r>
            <w:r w:rsidRPr="00907CC2">
              <w:rPr>
                <w:rFonts w:ascii="標楷體" w:eastAsia="標楷體" w:hAnsi="標楷體" w:cs="細明體"/>
                <w:color w:val="000000"/>
                <w:kern w:val="0"/>
                <w:szCs w:val="28"/>
              </w:rPr>
              <w:t>信託基金</w:t>
            </w:r>
            <w:r w:rsidRPr="00907CC2">
              <w:rPr>
                <w:rFonts w:ascii="標楷體" w:eastAsia="標楷體" w:hAnsi="標楷體" w:cs="細明體" w:hint="eastAsia"/>
                <w:color w:val="000000"/>
                <w:kern w:val="0"/>
                <w:szCs w:val="28"/>
              </w:rPr>
              <w:t>得為發行人發行</w:t>
            </w:r>
            <w:r w:rsidRPr="00907CC2">
              <w:rPr>
                <w:rFonts w:ascii="標楷體" w:eastAsia="標楷體" w:hAnsi="標楷體" w:cs="細明體"/>
                <w:color w:val="000000"/>
                <w:kern w:val="0"/>
                <w:szCs w:val="28"/>
              </w:rPr>
              <w:t>認購（售）權證</w:t>
            </w:r>
            <w:r w:rsidRPr="00907CC2">
              <w:rPr>
                <w:rFonts w:ascii="標楷體" w:eastAsia="標楷體" w:hAnsi="標楷體" w:cs="細明體" w:hint="eastAsia"/>
                <w:color w:val="000000"/>
                <w:kern w:val="0"/>
                <w:szCs w:val="28"/>
              </w:rPr>
              <w:t>之連結標的，增訂</w:t>
            </w:r>
            <w:r w:rsidRPr="000872C2">
              <w:rPr>
                <w:rFonts w:ascii="標楷體" w:eastAsia="標楷體" w:hAnsi="標楷體" w:cs="細明體" w:hint="eastAsia"/>
                <w:color w:val="000000"/>
                <w:kern w:val="0"/>
                <w:szCs w:val="28"/>
              </w:rPr>
              <w:t>以該基金為標的之權證，其上櫃公告事項應載明期貨信託股份有限公司辦理該基金配發股息及其他相關事項時，調整權證履約價格或相關事項之內容，及該基金因期貨信託股份有限公司解散、破產或撤銷核准等原因終止上櫃時之處理方式，</w:t>
            </w:r>
            <w:proofErr w:type="gramStart"/>
            <w:r w:rsidRPr="00907CC2">
              <w:rPr>
                <w:rFonts w:ascii="標楷體" w:eastAsia="標楷體" w:hAnsi="標楷體" w:cs="細明體" w:hint="eastAsia"/>
                <w:color w:val="000000"/>
                <w:kern w:val="0"/>
                <w:szCs w:val="28"/>
              </w:rPr>
              <w:t>爰</w:t>
            </w:r>
            <w:proofErr w:type="gramEnd"/>
            <w:r w:rsidRPr="00907CC2">
              <w:rPr>
                <w:rFonts w:ascii="標楷體" w:eastAsia="標楷體" w:hAnsi="標楷體" w:cs="細明體" w:hint="eastAsia"/>
                <w:color w:val="000000"/>
                <w:kern w:val="0"/>
                <w:szCs w:val="28"/>
              </w:rPr>
              <w:t>修正</w:t>
            </w:r>
            <w:r>
              <w:rPr>
                <w:rFonts w:ascii="標楷體" w:eastAsia="標楷體" w:hAnsi="標楷體" w:cs="細明體" w:hint="eastAsia"/>
                <w:color w:val="000000"/>
                <w:kern w:val="0"/>
                <w:szCs w:val="28"/>
              </w:rPr>
              <w:t>第3項第10款及第11款</w:t>
            </w:r>
            <w:r w:rsidRPr="00907CC2">
              <w:rPr>
                <w:rFonts w:ascii="標楷體" w:eastAsia="標楷體" w:hAnsi="標楷體" w:cs="細明體" w:hint="eastAsia"/>
                <w:color w:val="000000"/>
                <w:kern w:val="0"/>
                <w:szCs w:val="28"/>
              </w:rPr>
              <w:t>規定。</w:t>
            </w:r>
          </w:p>
        </w:tc>
      </w:tr>
      <w:tr w:rsidR="00240159" w:rsidRPr="00640E09" w:rsidTr="00240159">
        <w:tc>
          <w:tcPr>
            <w:tcW w:w="3285" w:type="dxa"/>
            <w:shd w:val="clear" w:color="auto" w:fill="auto"/>
          </w:tcPr>
          <w:p w:rsidR="00240159" w:rsidRPr="00A92A11" w:rsidRDefault="00240159" w:rsidP="00240159">
            <w:pPr>
              <w:pStyle w:val="HTML"/>
              <w:spacing w:line="360" w:lineRule="exact"/>
              <w:ind w:left="240" w:rightChars="10" w:right="24" w:hangingChars="100" w:hanging="240"/>
              <w:jc w:val="both"/>
              <w:rPr>
                <w:rFonts w:ascii="標楷體" w:eastAsia="標楷體" w:hAnsi="標楷體" w:cs="細明體"/>
                <w:color w:val="auto"/>
                <w:kern w:val="2"/>
                <w:sz w:val="24"/>
              </w:rPr>
            </w:pPr>
            <w:proofErr w:type="spellStart"/>
            <w:r w:rsidRPr="00A92A11">
              <w:rPr>
                <w:rFonts w:ascii="標楷體" w:eastAsia="標楷體" w:hAnsi="標楷體" w:cs="細明體" w:hint="eastAsia"/>
                <w:color w:val="auto"/>
                <w:kern w:val="2"/>
                <w:sz w:val="24"/>
              </w:rPr>
              <w:t>第十條之二</w:t>
            </w:r>
            <w:proofErr w:type="spellEnd"/>
          </w:p>
          <w:p w:rsidR="00240159" w:rsidRPr="00C164B2"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8" w:left="235" w:rightChars="10" w:right="24" w:firstLineChars="200" w:firstLine="480"/>
              <w:jc w:val="both"/>
              <w:rPr>
                <w:rFonts w:ascii="標楷體" w:eastAsia="標楷體" w:hAnsi="標楷體" w:cs="細明體"/>
                <w:color w:val="auto"/>
                <w:kern w:val="2"/>
                <w:sz w:val="24"/>
              </w:rPr>
            </w:pPr>
            <w:r w:rsidRPr="00C164B2">
              <w:rPr>
                <w:rFonts w:ascii="標楷體" w:eastAsia="標楷體" w:hAnsi="標楷體" w:cs="細明體" w:hint="eastAsia"/>
                <w:color w:val="auto"/>
                <w:kern w:val="2"/>
                <w:sz w:val="24"/>
              </w:rPr>
              <w:t>發行人於認購（售）權證之標的證券發行公司分派股息或紅利、依法增資、或因履約價格或點數達重設之標準須調整，或證券投資信託事業</w:t>
            </w:r>
            <w:r w:rsidRPr="00331968">
              <w:rPr>
                <w:rFonts w:ascii="標楷體" w:eastAsia="標楷體" w:hAnsi="標楷體" w:cs="細明體" w:hint="eastAsia"/>
                <w:color w:val="FF0000"/>
                <w:kern w:val="2"/>
                <w:sz w:val="24"/>
                <w:u w:val="single"/>
              </w:rPr>
              <w:t>、期貨信託事業</w:t>
            </w:r>
            <w:r w:rsidRPr="00C164B2">
              <w:rPr>
                <w:rFonts w:ascii="標楷體" w:eastAsia="標楷體" w:hAnsi="標楷體" w:cs="細明體" w:hint="eastAsia"/>
                <w:color w:val="auto"/>
                <w:kern w:val="2"/>
                <w:sz w:val="24"/>
              </w:rPr>
              <w:t>辦理標的指數股票型基金分配收益及其他相關事項時，須依本中心規定期限將下列事項輸入本中心指定之網際網路資訊申報系統；另標的證券發行公司依法減資、股票分割或合併開始日等事項，權證發行人除應依本中心規定期限將下列事項輸入本中心指定之網際網路資訊申報系統外，並應檢附下載資料送交本中心：</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C164B2">
              <w:rPr>
                <w:rFonts w:ascii="標楷體" w:eastAsia="標楷體" w:hAnsi="標楷體" w:cs="細明體" w:hint="eastAsia"/>
                <w:color w:val="000000"/>
                <w:kern w:val="0"/>
                <w:szCs w:val="24"/>
              </w:rPr>
              <w:t>一、</w:t>
            </w:r>
            <w:r w:rsidRPr="00A92A11">
              <w:rPr>
                <w:rFonts w:ascii="標楷體" w:eastAsia="標楷體" w:hAnsi="標楷體" w:cs="細明體" w:hint="eastAsia"/>
                <w:color w:val="000000"/>
                <w:kern w:val="0"/>
                <w:szCs w:val="24"/>
              </w:rPr>
              <w:t>認購（售）權證之名稱。</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A92A11">
              <w:rPr>
                <w:rFonts w:ascii="標楷體" w:eastAsia="標楷體" w:hAnsi="標楷體" w:cs="細明體" w:hint="eastAsia"/>
                <w:color w:val="000000"/>
                <w:kern w:val="0"/>
                <w:szCs w:val="24"/>
              </w:rPr>
              <w:lastRenderedPageBreak/>
              <w:t>二、認購（售）權證之到期日。</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A92A11">
              <w:rPr>
                <w:rFonts w:ascii="標楷體" w:eastAsia="標楷體" w:hAnsi="標楷體" w:cs="細明體" w:hint="eastAsia"/>
                <w:color w:val="000000"/>
                <w:kern w:val="0"/>
                <w:szCs w:val="24"/>
              </w:rPr>
              <w:t>三、認購（售）權證履約價格</w:t>
            </w:r>
            <w:r w:rsidRPr="00C164B2">
              <w:rPr>
                <w:rFonts w:ascii="標楷體" w:eastAsia="標楷體" w:hAnsi="標楷體" w:cs="細明體" w:hint="eastAsia"/>
                <w:color w:val="000000"/>
                <w:kern w:val="0"/>
                <w:szCs w:val="24"/>
              </w:rPr>
              <w:t>或點數</w:t>
            </w:r>
            <w:r w:rsidRPr="00A92A11">
              <w:rPr>
                <w:rFonts w:ascii="標楷體" w:eastAsia="標楷體" w:hAnsi="標楷體" w:cs="細明體" w:hint="eastAsia"/>
                <w:color w:val="000000"/>
                <w:kern w:val="0"/>
                <w:szCs w:val="24"/>
              </w:rPr>
              <w:t>、行使比例及其他相關事項之調整及變更。</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A92A11">
              <w:rPr>
                <w:rFonts w:ascii="標楷體" w:eastAsia="標楷體" w:hAnsi="標楷體" w:cs="細明體" w:hint="eastAsia"/>
                <w:color w:val="000000"/>
                <w:kern w:val="0"/>
                <w:szCs w:val="24"/>
              </w:rPr>
              <w:t>四、生效日期。</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szCs w:val="24"/>
              </w:rPr>
            </w:pPr>
            <w:r w:rsidRPr="00A92A11">
              <w:rPr>
                <w:rFonts w:ascii="標楷體" w:eastAsia="標楷體" w:hAnsi="標楷體" w:cs="細明體" w:hint="eastAsia"/>
                <w:color w:val="000000"/>
                <w:kern w:val="0"/>
                <w:szCs w:val="24"/>
              </w:rPr>
              <w:t>五、本中心所要求的其他相關資料。</w:t>
            </w:r>
          </w:p>
        </w:tc>
        <w:tc>
          <w:tcPr>
            <w:tcW w:w="3285" w:type="dxa"/>
            <w:shd w:val="clear" w:color="auto" w:fill="auto"/>
          </w:tcPr>
          <w:p w:rsidR="00240159" w:rsidRPr="00A92A11" w:rsidRDefault="00240159" w:rsidP="00240159">
            <w:pPr>
              <w:pStyle w:val="HTML"/>
              <w:spacing w:line="360" w:lineRule="exact"/>
              <w:ind w:left="240" w:rightChars="10" w:right="24" w:hangingChars="100" w:hanging="240"/>
              <w:jc w:val="both"/>
              <w:rPr>
                <w:rFonts w:ascii="標楷體" w:eastAsia="標楷體" w:hAnsi="標楷體" w:cs="細明體"/>
                <w:color w:val="auto"/>
                <w:kern w:val="2"/>
                <w:sz w:val="24"/>
              </w:rPr>
            </w:pPr>
            <w:proofErr w:type="spellStart"/>
            <w:r w:rsidRPr="00A92A11">
              <w:rPr>
                <w:rFonts w:ascii="標楷體" w:eastAsia="標楷體" w:hAnsi="標楷體" w:cs="細明體" w:hint="eastAsia"/>
                <w:color w:val="auto"/>
                <w:kern w:val="2"/>
                <w:sz w:val="24"/>
              </w:rPr>
              <w:lastRenderedPageBreak/>
              <w:t>第十條之二</w:t>
            </w:r>
            <w:proofErr w:type="spellEnd"/>
          </w:p>
          <w:p w:rsidR="00240159"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8" w:left="235" w:rightChars="10" w:right="24" w:firstLineChars="200" w:firstLine="480"/>
              <w:jc w:val="both"/>
              <w:rPr>
                <w:rFonts w:ascii="標楷體" w:eastAsia="標楷體" w:hAnsi="標楷體" w:cs="細明體"/>
                <w:color w:val="auto"/>
                <w:kern w:val="2"/>
                <w:sz w:val="24"/>
              </w:rPr>
            </w:pPr>
            <w:r w:rsidRPr="00C164B2">
              <w:rPr>
                <w:rFonts w:ascii="標楷體" w:eastAsia="標楷體" w:hAnsi="標楷體" w:cs="細明體" w:hint="eastAsia"/>
                <w:color w:val="auto"/>
                <w:kern w:val="2"/>
                <w:sz w:val="24"/>
              </w:rPr>
              <w:t>發行人於認購（售）權證之標的證券發行公司分派股息或紅利、依法增資、或因履約價格或點數達重設之標準須調整，或證券投資信託事業辦理標的指數股票型基金分配收益及其他相關事項時，須依本中心規定期限將下列事項輸入本中心指定之網際網路資訊申報系統；另標的證券發行公司依法減資、股票分割或合併開始日等事項，權證發行人除應依本中心規定期限將下列事項輸入本中心指定之網際網路資訊申報系統外，並應檢附下載資料送交本中心：</w:t>
            </w:r>
          </w:p>
          <w:p w:rsidR="00240159" w:rsidRPr="00C164B2"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8" w:left="235" w:rightChars="10" w:right="24" w:firstLineChars="200" w:firstLine="480"/>
              <w:jc w:val="both"/>
              <w:rPr>
                <w:rFonts w:ascii="標楷體" w:eastAsia="標楷體" w:hAnsi="標楷體" w:cs="細明體"/>
                <w:color w:val="auto"/>
                <w:kern w:val="2"/>
                <w:sz w:val="24"/>
              </w:rPr>
            </w:pP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C164B2">
              <w:rPr>
                <w:rFonts w:ascii="標楷體" w:eastAsia="標楷體" w:hAnsi="標楷體" w:cs="細明體" w:hint="eastAsia"/>
                <w:color w:val="000000"/>
                <w:kern w:val="0"/>
                <w:szCs w:val="24"/>
              </w:rPr>
              <w:t>一、</w:t>
            </w:r>
            <w:r w:rsidRPr="00A92A11">
              <w:rPr>
                <w:rFonts w:ascii="標楷體" w:eastAsia="標楷體" w:hAnsi="標楷體" w:cs="細明體" w:hint="eastAsia"/>
                <w:color w:val="000000"/>
                <w:kern w:val="0"/>
                <w:szCs w:val="24"/>
              </w:rPr>
              <w:t>認購（售）權證之名稱。</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A92A11">
              <w:rPr>
                <w:rFonts w:ascii="標楷體" w:eastAsia="標楷體" w:hAnsi="標楷體" w:cs="細明體" w:hint="eastAsia"/>
                <w:color w:val="000000"/>
                <w:kern w:val="0"/>
                <w:szCs w:val="24"/>
              </w:rPr>
              <w:lastRenderedPageBreak/>
              <w:t>二、認購（售）權證之到期日。</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A92A11">
              <w:rPr>
                <w:rFonts w:ascii="標楷體" w:eastAsia="標楷體" w:hAnsi="標楷體" w:cs="細明體" w:hint="eastAsia"/>
                <w:color w:val="000000"/>
                <w:kern w:val="0"/>
                <w:szCs w:val="24"/>
              </w:rPr>
              <w:t>三、認購（售）權證履約價格</w:t>
            </w:r>
            <w:r w:rsidRPr="00C164B2">
              <w:rPr>
                <w:rFonts w:ascii="標楷體" w:eastAsia="標楷體" w:hAnsi="標楷體" w:cs="細明體" w:hint="eastAsia"/>
                <w:color w:val="000000"/>
                <w:kern w:val="0"/>
                <w:szCs w:val="24"/>
              </w:rPr>
              <w:t>或點數</w:t>
            </w:r>
            <w:r w:rsidRPr="00A92A11">
              <w:rPr>
                <w:rFonts w:ascii="標楷體" w:eastAsia="標楷體" w:hAnsi="標楷體" w:cs="細明體" w:hint="eastAsia"/>
                <w:color w:val="000000"/>
                <w:kern w:val="0"/>
                <w:szCs w:val="24"/>
              </w:rPr>
              <w:t>、行使比例及其他相關事項之調整及變更。</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A92A11">
              <w:rPr>
                <w:rFonts w:ascii="標楷體" w:eastAsia="標楷體" w:hAnsi="標楷體" w:cs="細明體" w:hint="eastAsia"/>
                <w:color w:val="000000"/>
                <w:kern w:val="0"/>
                <w:szCs w:val="24"/>
              </w:rPr>
              <w:t>四、生效日期。</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szCs w:val="24"/>
              </w:rPr>
            </w:pPr>
            <w:r w:rsidRPr="00A92A11">
              <w:rPr>
                <w:rFonts w:ascii="標楷體" w:eastAsia="標楷體" w:hAnsi="標楷體" w:cs="細明體" w:hint="eastAsia"/>
                <w:color w:val="000000"/>
                <w:kern w:val="0"/>
                <w:szCs w:val="24"/>
              </w:rPr>
              <w:t>五、本中心所要求的其他相關資料。</w:t>
            </w:r>
          </w:p>
        </w:tc>
        <w:tc>
          <w:tcPr>
            <w:tcW w:w="2781" w:type="dxa"/>
            <w:shd w:val="clear" w:color="auto" w:fill="auto"/>
          </w:tcPr>
          <w:p w:rsidR="00240159" w:rsidRPr="002010C3" w:rsidRDefault="00240159" w:rsidP="00240159">
            <w:pPr>
              <w:spacing w:line="360" w:lineRule="exact"/>
              <w:ind w:leftChars="10" w:left="24" w:rightChars="10" w:right="24"/>
              <w:jc w:val="both"/>
              <w:rPr>
                <w:rFonts w:ascii="標楷體" w:eastAsia="標楷體" w:hAnsi="標楷體"/>
                <w:color w:val="000000"/>
                <w:szCs w:val="24"/>
              </w:rPr>
            </w:pPr>
            <w:r w:rsidRPr="00907CC2">
              <w:rPr>
                <w:rFonts w:ascii="Book Antiqua" w:eastAsia="標楷體" w:hAnsi="標楷體" w:hint="eastAsia"/>
                <w:color w:val="000000"/>
                <w:szCs w:val="28"/>
              </w:rPr>
              <w:lastRenderedPageBreak/>
              <w:t>配合</w:t>
            </w:r>
            <w:r>
              <w:rPr>
                <w:rFonts w:ascii="Book Antiqua" w:eastAsia="標楷體" w:hAnsi="標楷體" w:hint="eastAsia"/>
                <w:color w:val="000000"/>
                <w:szCs w:val="28"/>
              </w:rPr>
              <w:t>新增</w:t>
            </w:r>
            <w:r w:rsidRPr="00907CC2">
              <w:rPr>
                <w:rFonts w:ascii="標楷體" w:eastAsia="標楷體" w:hAnsi="標楷體"/>
                <w:color w:val="000000"/>
                <w:szCs w:val="28"/>
              </w:rPr>
              <w:t>指數股票型</w:t>
            </w:r>
            <w:r w:rsidRPr="00907CC2">
              <w:rPr>
                <w:rFonts w:ascii="標楷體" w:eastAsia="標楷體" w:hAnsi="標楷體" w:cs="細明體" w:hint="eastAsia"/>
                <w:color w:val="000000"/>
                <w:kern w:val="0"/>
                <w:szCs w:val="28"/>
              </w:rPr>
              <w:t>期貨</w:t>
            </w:r>
            <w:r w:rsidRPr="00907CC2">
              <w:rPr>
                <w:rFonts w:ascii="標楷體" w:eastAsia="標楷體" w:hAnsi="標楷體" w:cs="細明體"/>
                <w:color w:val="000000"/>
                <w:kern w:val="0"/>
                <w:szCs w:val="28"/>
              </w:rPr>
              <w:t>信託基金</w:t>
            </w:r>
            <w:r w:rsidRPr="00907CC2">
              <w:rPr>
                <w:rFonts w:ascii="標楷體" w:eastAsia="標楷體" w:hAnsi="標楷體" w:cs="細明體" w:hint="eastAsia"/>
                <w:color w:val="000000"/>
                <w:kern w:val="0"/>
                <w:szCs w:val="28"/>
              </w:rPr>
              <w:t>得為發行人發行</w:t>
            </w:r>
            <w:r w:rsidRPr="00907CC2">
              <w:rPr>
                <w:rFonts w:ascii="標楷體" w:eastAsia="標楷體" w:hAnsi="標楷體" w:cs="細明體"/>
                <w:color w:val="000000"/>
                <w:kern w:val="0"/>
                <w:szCs w:val="28"/>
              </w:rPr>
              <w:t>認購（售）權證</w:t>
            </w:r>
            <w:r w:rsidRPr="00907CC2">
              <w:rPr>
                <w:rFonts w:ascii="標楷體" w:eastAsia="標楷體" w:hAnsi="標楷體" w:cs="細明體" w:hint="eastAsia"/>
                <w:color w:val="000000"/>
                <w:kern w:val="0"/>
                <w:szCs w:val="28"/>
              </w:rPr>
              <w:t>之連結標的</w:t>
            </w:r>
            <w:r w:rsidRPr="000872C2">
              <w:rPr>
                <w:rFonts w:ascii="標楷體" w:eastAsia="標楷體" w:hAnsi="標楷體" w:cs="細明體" w:hint="eastAsia"/>
                <w:color w:val="000000"/>
                <w:kern w:val="0"/>
                <w:szCs w:val="28"/>
              </w:rPr>
              <w:t>，增訂期貨信託股份有限公司辦理前開基金配發股息及其他相關事項時，須依本中心規定期限將規定事項輸入本中心指定之網際網路資訊申報系統</w:t>
            </w:r>
            <w:r w:rsidRPr="00907CC2">
              <w:rPr>
                <w:rFonts w:ascii="標楷體" w:eastAsia="標楷體" w:hAnsi="標楷體" w:cs="細明體" w:hint="eastAsia"/>
                <w:color w:val="000000"/>
                <w:kern w:val="0"/>
                <w:szCs w:val="28"/>
              </w:rPr>
              <w:t>。</w:t>
            </w:r>
          </w:p>
        </w:tc>
      </w:tr>
      <w:tr w:rsidR="00240159" w:rsidRPr="00640E09" w:rsidTr="00240159">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第十一條之六　證券投資信託事業</w:t>
            </w:r>
            <w:r>
              <w:rPr>
                <w:rFonts w:ascii="標楷體" w:eastAsia="標楷體" w:hAnsi="標楷體" w:cs="細明體" w:hint="eastAsia"/>
                <w:color w:val="FF0000"/>
                <w:kern w:val="0"/>
                <w:u w:val="single"/>
              </w:rPr>
              <w:t>及期貨信託事業</w:t>
            </w:r>
            <w:r>
              <w:rPr>
                <w:rFonts w:ascii="標楷體" w:eastAsia="標楷體" w:hAnsi="標楷體" w:cs="細明體" w:hint="eastAsia"/>
                <w:kern w:val="0"/>
              </w:rPr>
              <w:t>應依規定時間檢送下列資料：</w:t>
            </w:r>
          </w:p>
          <w:p w:rsidR="00240159" w:rsidRDefault="00240159" w:rsidP="00D47379">
            <w:pPr>
              <w:widowControl/>
              <w:numPr>
                <w:ilvl w:val="0"/>
                <w:numId w:val="4"/>
              </w:numPr>
              <w:tabs>
                <w:tab w:val="left" w:pos="7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公告受益人權益時，應將相關事項輸入本中心指定之網際網路資訊申報系統。</w:t>
            </w:r>
          </w:p>
          <w:p w:rsidR="00240159" w:rsidRDefault="00240159" w:rsidP="00240159">
            <w:pPr>
              <w:widowControl/>
              <w:tabs>
                <w:tab w:val="left" w:pos="7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二、</w:t>
            </w:r>
            <w:r>
              <w:rPr>
                <w:rFonts w:ascii="標楷體" w:eastAsia="標楷體" w:hAnsi="標楷體" w:cs="細明體" w:hint="eastAsia"/>
                <w:kern w:val="0"/>
              </w:rPr>
              <w:tab/>
              <w:t>經核准募集發行指數股票型基金受益憑證者，應依本中心通知將電子檔案上傳至本中心指定之網際網路資訊申報系統，並檢送公開說明書</w:t>
            </w:r>
            <w:proofErr w:type="gramStart"/>
            <w:r>
              <w:rPr>
                <w:rFonts w:ascii="標楷體" w:eastAsia="標楷體" w:hAnsi="標楷體" w:cs="細明體" w:hint="eastAsia"/>
                <w:kern w:val="0"/>
              </w:rPr>
              <w:t>二份予本中心</w:t>
            </w:r>
            <w:proofErr w:type="gramEnd"/>
            <w:r>
              <w:rPr>
                <w:rFonts w:ascii="標楷體" w:eastAsia="標楷體" w:hAnsi="標楷體" w:cs="細明體" w:hint="eastAsia"/>
                <w:kern w:val="0"/>
              </w:rPr>
              <w:t>。</w:t>
            </w:r>
          </w:p>
          <w:p w:rsidR="00240159" w:rsidRDefault="00240159" w:rsidP="00240159">
            <w:pPr>
              <w:widowControl/>
              <w:tabs>
                <w:tab w:val="left" w:pos="7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三、</w:t>
            </w:r>
            <w:r>
              <w:rPr>
                <w:rFonts w:ascii="標楷體" w:eastAsia="標楷體" w:hAnsi="標楷體" w:cs="細明體" w:hint="eastAsia"/>
                <w:kern w:val="0"/>
              </w:rPr>
              <w:tab/>
              <w:t>基金年報及基金每月之資產負債報告書，於申報主管機關之同時，各檢送</w:t>
            </w:r>
            <w:proofErr w:type="gramStart"/>
            <w:r>
              <w:rPr>
                <w:rFonts w:ascii="標楷體" w:eastAsia="標楷體" w:hAnsi="標楷體" w:cs="細明體" w:hint="eastAsia"/>
                <w:kern w:val="0"/>
              </w:rPr>
              <w:t>二份予本中心</w:t>
            </w:r>
            <w:proofErr w:type="gramEnd"/>
            <w:r>
              <w:rPr>
                <w:rFonts w:ascii="標楷體" w:eastAsia="標楷體" w:hAnsi="標楷體" w:cs="細明體" w:hint="eastAsia"/>
                <w:kern w:val="0"/>
              </w:rPr>
              <w:t>。</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前項所送各項資料，本中心得以原件或摘錄供公眾閱覽。</w:t>
            </w:r>
          </w:p>
        </w:tc>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第十一條之六　證券投資信託事業應依規定時間檢送下列資料：</w:t>
            </w:r>
          </w:p>
          <w:p w:rsidR="00240159" w:rsidRDefault="00240159" w:rsidP="00D47379">
            <w:pPr>
              <w:widowControl/>
              <w:numPr>
                <w:ilvl w:val="0"/>
                <w:numId w:val="5"/>
              </w:numPr>
              <w:tabs>
                <w:tab w:val="left" w:pos="7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公告受益人權益時，應將相關事項輸入本中心指定之網際網路資訊申報系統。</w:t>
            </w:r>
          </w:p>
          <w:p w:rsidR="00240159" w:rsidRDefault="00240159" w:rsidP="00240159">
            <w:pPr>
              <w:widowControl/>
              <w:tabs>
                <w:tab w:val="left" w:pos="7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二、</w:t>
            </w:r>
            <w:r>
              <w:rPr>
                <w:rFonts w:ascii="標楷體" w:eastAsia="標楷體" w:hAnsi="標楷體" w:cs="細明體" w:hint="eastAsia"/>
                <w:kern w:val="0"/>
              </w:rPr>
              <w:tab/>
              <w:t>經核准募集發行指數股票型基金受益憑證者，應依本中心通知將電子檔案上傳至本中心指定之網際網路資訊申報系統，並檢送公開說明書</w:t>
            </w:r>
            <w:proofErr w:type="gramStart"/>
            <w:r>
              <w:rPr>
                <w:rFonts w:ascii="標楷體" w:eastAsia="標楷體" w:hAnsi="標楷體" w:cs="細明體" w:hint="eastAsia"/>
                <w:kern w:val="0"/>
              </w:rPr>
              <w:t>二份予本中心</w:t>
            </w:r>
            <w:proofErr w:type="gramEnd"/>
            <w:r>
              <w:rPr>
                <w:rFonts w:ascii="標楷體" w:eastAsia="標楷體" w:hAnsi="標楷體" w:cs="細明體" w:hint="eastAsia"/>
                <w:kern w:val="0"/>
              </w:rPr>
              <w:t>。</w:t>
            </w:r>
          </w:p>
          <w:p w:rsidR="00240159" w:rsidRDefault="00240159" w:rsidP="00240159">
            <w:pPr>
              <w:widowControl/>
              <w:tabs>
                <w:tab w:val="left" w:pos="7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三、</w:t>
            </w:r>
            <w:r>
              <w:rPr>
                <w:rFonts w:ascii="標楷體" w:eastAsia="標楷體" w:hAnsi="標楷體" w:cs="細明體" w:hint="eastAsia"/>
                <w:kern w:val="0"/>
              </w:rPr>
              <w:tab/>
              <w:t>基金年報及基金每月之資產負債報告書，於申報主管機關之同時，各檢送</w:t>
            </w:r>
            <w:proofErr w:type="gramStart"/>
            <w:r>
              <w:rPr>
                <w:rFonts w:ascii="標楷體" w:eastAsia="標楷體" w:hAnsi="標楷體" w:cs="細明體" w:hint="eastAsia"/>
                <w:kern w:val="0"/>
              </w:rPr>
              <w:t>二份予本中心</w:t>
            </w:r>
            <w:proofErr w:type="gramEnd"/>
            <w:r>
              <w:rPr>
                <w:rFonts w:ascii="標楷體" w:eastAsia="標楷體" w:hAnsi="標楷體" w:cs="細明體" w:hint="eastAsia"/>
                <w:kern w:val="0"/>
              </w:rPr>
              <w:t>。</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前項所送各項資料，本中心得以原件或摘錄供公眾閱覽。</w:t>
            </w:r>
          </w:p>
        </w:tc>
        <w:tc>
          <w:tcPr>
            <w:tcW w:w="2781" w:type="dxa"/>
            <w:shd w:val="clear" w:color="auto" w:fill="auto"/>
          </w:tcPr>
          <w:p w:rsidR="00240159"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ascii="Book Antiqua" w:eastAsia="標楷體" w:hAnsi="標楷體"/>
                <w:color w:val="000000"/>
                <w:szCs w:val="24"/>
              </w:rPr>
            </w:pPr>
            <w:r>
              <w:rPr>
                <w:rFonts w:ascii="標楷體" w:eastAsia="標楷體" w:hAnsi="標楷體" w:cs="細明體" w:hint="eastAsia"/>
                <w:kern w:val="0"/>
              </w:rPr>
              <w:t>增訂期貨信託事業依規定應檢送相關</w:t>
            </w:r>
            <w:proofErr w:type="gramStart"/>
            <w:r>
              <w:rPr>
                <w:rFonts w:ascii="標楷體" w:eastAsia="標楷體" w:hAnsi="標楷體" w:cs="細明體" w:hint="eastAsia"/>
                <w:kern w:val="0"/>
              </w:rPr>
              <w:t>資料予本中心</w:t>
            </w:r>
            <w:proofErr w:type="gramEnd"/>
            <w:r>
              <w:rPr>
                <w:rFonts w:ascii="標楷體" w:eastAsia="標楷體" w:hAnsi="標楷體" w:cs="細明體" w:hint="eastAsia"/>
                <w:kern w:val="0"/>
              </w:rPr>
              <w:t>或透過本中心指定之網際網路系統申報，</w:t>
            </w:r>
            <w:proofErr w:type="gramStart"/>
            <w:r>
              <w:rPr>
                <w:rFonts w:ascii="標楷體" w:eastAsia="標楷體" w:hAnsi="標楷體" w:cs="細明體" w:hint="eastAsia"/>
                <w:kern w:val="0"/>
              </w:rPr>
              <w:t>爰</w:t>
            </w:r>
            <w:proofErr w:type="gramEnd"/>
            <w:r>
              <w:rPr>
                <w:rFonts w:ascii="標楷體" w:eastAsia="標楷體" w:hAnsi="標楷體" w:cs="細明體" w:hint="eastAsia"/>
                <w:kern w:val="0"/>
              </w:rPr>
              <w:t>修正第1項之規定。</w:t>
            </w:r>
          </w:p>
        </w:tc>
      </w:tr>
      <w:tr w:rsidR="00240159" w:rsidRPr="00640E09" w:rsidTr="00240159">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第十二條之十三　指數股票型基金之存續期間屆滿</w:t>
            </w:r>
            <w:r>
              <w:rPr>
                <w:rFonts w:ascii="標楷體" w:eastAsia="標楷體" w:hAnsi="標楷體" w:cs="細明體" w:hint="eastAsia"/>
                <w:color w:val="FF0000"/>
                <w:kern w:val="0"/>
                <w:u w:val="single"/>
              </w:rPr>
              <w:t>、</w:t>
            </w:r>
            <w:r>
              <w:rPr>
                <w:rFonts w:ascii="標楷體" w:eastAsia="標楷體" w:hAnsi="標楷體" w:cs="細明體" w:hint="eastAsia"/>
                <w:kern w:val="0"/>
              </w:rPr>
              <w:t>證券投資信託契約</w:t>
            </w:r>
            <w:r>
              <w:rPr>
                <w:rFonts w:ascii="標楷體" w:eastAsia="標楷體" w:hAnsi="標楷體" w:cs="細明體" w:hint="eastAsia"/>
                <w:color w:val="FF0000"/>
                <w:kern w:val="0"/>
                <w:u w:val="single"/>
              </w:rPr>
              <w:t>或期貨信託契約</w:t>
            </w:r>
            <w:r>
              <w:rPr>
                <w:rFonts w:ascii="標楷體" w:eastAsia="標楷體" w:hAnsi="標楷體" w:cs="細明體" w:hint="eastAsia"/>
                <w:kern w:val="0"/>
              </w:rPr>
              <w:t>終止時，本中心得逕行公告其受益憑證終止櫃檯買賣。</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rPr>
              <w:t>經理之指數股票型基金有下列情事之</w:t>
            </w:r>
            <w:proofErr w:type="gramStart"/>
            <w:r>
              <w:rPr>
                <w:rFonts w:ascii="標楷體" w:eastAsia="標楷體" w:hAnsi="標楷體" w:cs="細明體" w:hint="eastAsia"/>
                <w:kern w:val="0"/>
              </w:rPr>
              <w:t>一</w:t>
            </w:r>
            <w:proofErr w:type="gramEnd"/>
            <w:r>
              <w:rPr>
                <w:rFonts w:ascii="標楷體" w:eastAsia="標楷體" w:hAnsi="標楷體" w:cs="細明體" w:hint="eastAsia"/>
                <w:kern w:val="0"/>
              </w:rPr>
              <w:t>者，本中心得終止其受益憑證之</w:t>
            </w:r>
            <w:r>
              <w:rPr>
                <w:rFonts w:ascii="標楷體" w:eastAsia="標楷體" w:hAnsi="標楷體" w:cs="細明體" w:hint="eastAsia"/>
                <w:kern w:val="0"/>
              </w:rPr>
              <w:lastRenderedPageBreak/>
              <w:t>櫃檯買賣，並報請主管機關備查：</w:t>
            </w: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r>
              <w:rPr>
                <w:rFonts w:hint="eastAsia"/>
                <w:snapToGrid w:val="0"/>
                <w:sz w:val="24"/>
              </w:rPr>
              <w:t>一、有證券投資信託基金管理辦法</w:t>
            </w:r>
            <w:r>
              <w:rPr>
                <w:rFonts w:hint="eastAsia"/>
                <w:snapToGrid w:val="0"/>
                <w:color w:val="FF0000"/>
                <w:sz w:val="24"/>
                <w:u w:val="single"/>
              </w:rPr>
              <w:t>第七十九條第二項或第三項</w:t>
            </w:r>
            <w:r>
              <w:rPr>
                <w:rFonts w:hint="eastAsia"/>
                <w:snapToGrid w:val="0"/>
                <w:sz w:val="24"/>
              </w:rPr>
              <w:t>規定之情事</w:t>
            </w:r>
            <w:r>
              <w:rPr>
                <w:rFonts w:hint="eastAsia"/>
                <w:snapToGrid w:val="0"/>
                <w:color w:val="FF0000"/>
                <w:sz w:val="24"/>
                <w:u w:val="single"/>
              </w:rPr>
              <w:t>或有期貨信託基金管理辦法第八十三條第二項或第三項規定之情事</w:t>
            </w:r>
            <w:r>
              <w:rPr>
                <w:rFonts w:hint="eastAsia"/>
                <w:snapToGrid w:val="0"/>
                <w:sz w:val="24"/>
              </w:rPr>
              <w:t>。</w:t>
            </w: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r>
              <w:rPr>
                <w:rFonts w:hint="eastAsia"/>
                <w:snapToGrid w:val="0"/>
                <w:sz w:val="24"/>
              </w:rPr>
              <w:t>二、有該上櫃受益憑證之證券投資信託契約</w:t>
            </w:r>
            <w:r>
              <w:rPr>
                <w:rFonts w:hint="eastAsia"/>
                <w:snapToGrid w:val="0"/>
                <w:color w:val="FF0000"/>
                <w:sz w:val="24"/>
                <w:u w:val="single"/>
              </w:rPr>
              <w:t>或期貨信託契約</w:t>
            </w:r>
            <w:r>
              <w:rPr>
                <w:rFonts w:hint="eastAsia"/>
                <w:snapToGrid w:val="0"/>
                <w:sz w:val="24"/>
              </w:rPr>
              <w:t>所定契約終止之情事，經該證券投資信託事業</w:t>
            </w:r>
            <w:r>
              <w:rPr>
                <w:rFonts w:hint="eastAsia"/>
                <w:snapToGrid w:val="0"/>
                <w:color w:val="FF0000"/>
                <w:sz w:val="24"/>
                <w:u w:val="single"/>
              </w:rPr>
              <w:t>或期貨信託事業</w:t>
            </w:r>
            <w:r>
              <w:rPr>
                <w:rFonts w:hint="eastAsia"/>
                <w:snapToGrid w:val="0"/>
                <w:sz w:val="24"/>
              </w:rPr>
              <w:t>向本中心申請終止櫃檯買賣者。</w:t>
            </w:r>
          </w:p>
          <w:p w:rsidR="00240159" w:rsidRPr="00652B9C" w:rsidRDefault="00240159" w:rsidP="00240159">
            <w:pPr>
              <w:pStyle w:val="af3"/>
              <w:kinsoku w:val="0"/>
              <w:overflowPunct w:val="0"/>
              <w:autoSpaceDE w:val="0"/>
              <w:autoSpaceDN w:val="0"/>
              <w:adjustRightInd w:val="0"/>
              <w:snapToGrid w:val="0"/>
              <w:ind w:leftChars="100" w:left="744" w:hangingChars="210" w:hanging="504"/>
              <w:rPr>
                <w:snapToGrid w:val="0"/>
                <w:sz w:val="24"/>
              </w:rPr>
            </w:pPr>
            <w:r>
              <w:rPr>
                <w:rFonts w:hint="eastAsia"/>
                <w:snapToGrid w:val="0"/>
                <w:sz w:val="24"/>
              </w:rPr>
              <w:t>三、本中心基於其他原因對其受益憑證認為有終止櫃檯買賣之必要者。</w:t>
            </w:r>
          </w:p>
        </w:tc>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lastRenderedPageBreak/>
              <w:t>第十二條之十三　指數股票型基金之存續期間屆滿</w:t>
            </w:r>
            <w:r>
              <w:rPr>
                <w:rFonts w:ascii="標楷體" w:eastAsia="標楷體" w:hAnsi="標楷體" w:cs="細明體" w:hint="eastAsia"/>
                <w:kern w:val="0"/>
                <w:u w:val="single"/>
              </w:rPr>
              <w:t>或</w:t>
            </w:r>
            <w:r>
              <w:rPr>
                <w:rFonts w:ascii="標楷體" w:eastAsia="標楷體" w:hAnsi="標楷體" w:cs="細明體" w:hint="eastAsia"/>
                <w:kern w:val="0"/>
              </w:rPr>
              <w:t>證券投資信託契約終止時，本中心得逕行公告其受益憑證終止櫃檯買賣。</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證券投資信託事業經理之指數股票型基金有下列情事之</w:t>
            </w:r>
            <w:proofErr w:type="gramStart"/>
            <w:r>
              <w:rPr>
                <w:rFonts w:ascii="標楷體" w:eastAsia="標楷體" w:hAnsi="標楷體" w:cs="細明體" w:hint="eastAsia"/>
                <w:kern w:val="0"/>
              </w:rPr>
              <w:t>一</w:t>
            </w:r>
            <w:proofErr w:type="gramEnd"/>
            <w:r>
              <w:rPr>
                <w:rFonts w:ascii="標楷體" w:eastAsia="標楷體" w:hAnsi="標楷體" w:cs="細明體" w:hint="eastAsia"/>
                <w:kern w:val="0"/>
              </w:rPr>
              <w:t>者，本中心得終止其</w:t>
            </w:r>
            <w:r>
              <w:rPr>
                <w:rFonts w:ascii="標楷體" w:eastAsia="標楷體" w:hAnsi="標楷體" w:cs="細明體" w:hint="eastAsia"/>
                <w:kern w:val="0"/>
              </w:rPr>
              <w:lastRenderedPageBreak/>
              <w:t>受益憑證之櫃檯買賣，並報請主管機關備查：</w:t>
            </w: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r>
              <w:rPr>
                <w:rFonts w:hint="eastAsia"/>
                <w:snapToGrid w:val="0"/>
                <w:sz w:val="24"/>
              </w:rPr>
              <w:t>一、有證券投資信託基金管理辦法</w:t>
            </w:r>
            <w:r>
              <w:rPr>
                <w:rFonts w:hint="eastAsia"/>
                <w:snapToGrid w:val="0"/>
                <w:color w:val="FF0000"/>
                <w:sz w:val="24"/>
                <w:u w:val="single"/>
              </w:rPr>
              <w:t>第七十九條</w:t>
            </w:r>
            <w:r>
              <w:rPr>
                <w:rFonts w:hint="eastAsia"/>
                <w:snapToGrid w:val="0"/>
                <w:sz w:val="24"/>
              </w:rPr>
              <w:t>規定之情事。</w:t>
            </w: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r>
              <w:rPr>
                <w:rFonts w:hint="eastAsia"/>
                <w:snapToGrid w:val="0"/>
                <w:sz w:val="24"/>
              </w:rPr>
              <w:t>二、有該上櫃受益憑證之證券投資信託契約所定契約終止之情事，經該證券投資信託事業向本中心申請終止櫃檯買賣者。</w:t>
            </w: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p>
          <w:p w:rsidR="00240159" w:rsidRDefault="00240159" w:rsidP="00240159">
            <w:pPr>
              <w:pStyle w:val="af3"/>
              <w:kinsoku w:val="0"/>
              <w:overflowPunct w:val="0"/>
              <w:autoSpaceDE w:val="0"/>
              <w:autoSpaceDN w:val="0"/>
              <w:adjustRightInd w:val="0"/>
              <w:snapToGrid w:val="0"/>
              <w:ind w:leftChars="100" w:left="744" w:hangingChars="210" w:hanging="504"/>
              <w:rPr>
                <w:rFonts w:cs="細明體"/>
              </w:rPr>
            </w:pPr>
            <w:r>
              <w:rPr>
                <w:rFonts w:hint="eastAsia"/>
                <w:snapToGrid w:val="0"/>
                <w:sz w:val="24"/>
              </w:rPr>
              <w:t>三、本中心基於其他原因對其受益憑證認為有終止櫃檯買賣之必要者。</w:t>
            </w:r>
          </w:p>
        </w:tc>
        <w:tc>
          <w:tcPr>
            <w:tcW w:w="2781" w:type="dxa"/>
            <w:shd w:val="clear" w:color="auto" w:fill="auto"/>
          </w:tcPr>
          <w:p w:rsidR="00240159"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eastAsia="標楷體" w:cs="細明體"/>
                <w:color w:val="000000"/>
                <w:kern w:val="0"/>
              </w:rPr>
            </w:pPr>
            <w:r>
              <w:rPr>
                <w:rFonts w:ascii="標楷體" w:eastAsia="標楷體" w:hAnsi="標楷體" w:cs="細明體" w:hint="eastAsia"/>
                <w:kern w:val="0"/>
              </w:rPr>
              <w:lastRenderedPageBreak/>
              <w:t>增訂指數股票型期貨信託基金終止櫃檯買賣之事由，並明確</w:t>
            </w:r>
            <w:proofErr w:type="gramStart"/>
            <w:r>
              <w:rPr>
                <w:rFonts w:ascii="標楷體" w:eastAsia="標楷體" w:hAnsi="標楷體" w:cs="細明體" w:hint="eastAsia"/>
                <w:kern w:val="0"/>
              </w:rPr>
              <w:t>爰</w:t>
            </w:r>
            <w:proofErr w:type="gramEnd"/>
            <w:r>
              <w:rPr>
                <w:rFonts w:ascii="標楷體" w:eastAsia="標楷體" w:hAnsi="標楷體" w:cs="細明體" w:hint="eastAsia"/>
                <w:kern w:val="0"/>
              </w:rPr>
              <w:t>引主管機關指數股票型證券投資信託基金終止事由之條款，</w:t>
            </w:r>
            <w:proofErr w:type="gramStart"/>
            <w:r>
              <w:rPr>
                <w:rFonts w:ascii="標楷體" w:eastAsia="標楷體" w:hAnsi="標楷體" w:cs="細明體" w:hint="eastAsia"/>
                <w:kern w:val="0"/>
              </w:rPr>
              <w:t>爰</w:t>
            </w:r>
            <w:proofErr w:type="gramEnd"/>
            <w:r>
              <w:rPr>
                <w:rFonts w:ascii="標楷體" w:eastAsia="標楷體" w:hAnsi="標楷體" w:cs="細明體" w:hint="eastAsia"/>
                <w:kern w:val="0"/>
              </w:rPr>
              <w:t>修正第1項及第2項之規定。</w:t>
            </w:r>
          </w:p>
          <w:p w:rsidR="00240159"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hangingChars="200" w:hanging="480"/>
              <w:jc w:val="both"/>
              <w:rPr>
                <w:rFonts w:eastAsia="標楷體" w:cs="細明體"/>
                <w:color w:val="000000"/>
                <w:kern w:val="0"/>
              </w:rPr>
            </w:pPr>
          </w:p>
        </w:tc>
      </w:tr>
      <w:bookmarkEnd w:id="0"/>
    </w:tbl>
    <w:p w:rsidR="00240159" w:rsidRPr="00240159" w:rsidRDefault="00240159" w:rsidP="00240159"/>
    <w:sectPr w:rsidR="00240159" w:rsidRPr="00240159" w:rsidSect="008454F8">
      <w:headerReference w:type="default" r:id="rId8"/>
      <w:footerReference w:type="default" r:id="rId9"/>
      <w:pgSz w:w="11906" w:h="16838"/>
      <w:pgMar w:top="709" w:right="1134" w:bottom="1135" w:left="1134" w:header="567"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E51" w:rsidRDefault="00254E51" w:rsidP="00C10973">
      <w:r>
        <w:separator/>
      </w:r>
    </w:p>
  </w:endnote>
  <w:endnote w:type="continuationSeparator" w:id="0">
    <w:p w:rsidR="00254E51" w:rsidRDefault="00254E51" w:rsidP="00C1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研澤楷書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49" w:rsidRDefault="008C5B49">
    <w:pPr>
      <w:pStyle w:val="a7"/>
      <w:jc w:val="center"/>
    </w:pPr>
    <w:r>
      <w:rPr>
        <w:rFonts w:hint="eastAsia"/>
      </w:rPr>
      <w:t>-</w:t>
    </w:r>
    <w:r>
      <w:fldChar w:fldCharType="begin"/>
    </w:r>
    <w:r>
      <w:instrText>PAGE   \* MERGEFORMAT</w:instrText>
    </w:r>
    <w:r>
      <w:fldChar w:fldCharType="separate"/>
    </w:r>
    <w:r w:rsidR="00FE639D" w:rsidRPr="00FE639D">
      <w:rPr>
        <w:noProof/>
        <w:lang w:val="zh-TW"/>
      </w:rPr>
      <w:t>1</w:t>
    </w:r>
    <w:r>
      <w:rPr>
        <w:noProof/>
        <w:lang w:val="zh-TW"/>
      </w:rPr>
      <w:fldChar w:fldCharType="end"/>
    </w:r>
    <w:r>
      <w:rPr>
        <w:rFonts w:hint="eastAsia"/>
      </w:rPr>
      <w:t>-</w:t>
    </w:r>
  </w:p>
  <w:p w:rsidR="008C5B49" w:rsidRDefault="008C5B49" w:rsidP="0006660F">
    <w:pPr>
      <w:pStyle w:val="a7"/>
      <w:jc w:val="center"/>
    </w:pPr>
  </w:p>
  <w:p w:rsidR="008C5B49" w:rsidRDefault="008C5B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E51" w:rsidRDefault="00254E51" w:rsidP="00C10973">
      <w:r>
        <w:separator/>
      </w:r>
    </w:p>
  </w:footnote>
  <w:footnote w:type="continuationSeparator" w:id="0">
    <w:p w:rsidR="00254E51" w:rsidRDefault="00254E51" w:rsidP="00C10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49" w:rsidRDefault="008C5B49" w:rsidP="0006660F">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6BE1"/>
    <w:multiLevelType w:val="hybridMultilevel"/>
    <w:tmpl w:val="AFFCE10A"/>
    <w:lvl w:ilvl="0" w:tplc="1236FA3A">
      <w:start w:val="1"/>
      <w:numFmt w:val="taiwaneseCountingThousand"/>
      <w:lvlText w:val="(%1)"/>
      <w:lvlJc w:val="left"/>
      <w:pPr>
        <w:tabs>
          <w:tab w:val="num" w:pos="1021"/>
        </w:tabs>
        <w:ind w:left="1021" w:hanging="454"/>
      </w:pPr>
      <w:rPr>
        <w:rFonts w:eastAsia="標楷體" w:hint="eastAsia"/>
        <w:b w:val="0"/>
        <w:i w:val="0"/>
        <w:sz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875AEA"/>
    <w:multiLevelType w:val="hybridMultilevel"/>
    <w:tmpl w:val="E34462BA"/>
    <w:lvl w:ilvl="0" w:tplc="8000EE0C">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2BE77349"/>
    <w:multiLevelType w:val="hybridMultilevel"/>
    <w:tmpl w:val="5F769008"/>
    <w:lvl w:ilvl="0" w:tplc="0ABE80EC">
      <w:start w:val="1"/>
      <w:numFmt w:val="taiwaneseCountingThousand"/>
      <w:lvlText w:val="（%1）"/>
      <w:lvlJc w:val="left"/>
      <w:pPr>
        <w:ind w:left="960" w:hanging="72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 w15:restartNumberingAfterBreak="0">
    <w:nsid w:val="5D4E47C4"/>
    <w:multiLevelType w:val="hybridMultilevel"/>
    <w:tmpl w:val="38581928"/>
    <w:lvl w:ilvl="0" w:tplc="88FE1B7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FFB678F"/>
    <w:multiLevelType w:val="hybridMultilevel"/>
    <w:tmpl w:val="35F0B73A"/>
    <w:lvl w:ilvl="0" w:tplc="2C565A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FC33958"/>
    <w:multiLevelType w:val="hybridMultilevel"/>
    <w:tmpl w:val="C524819C"/>
    <w:lvl w:ilvl="0" w:tplc="D05E3766">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FD"/>
    <w:rsid w:val="000025D0"/>
    <w:rsid w:val="000051D4"/>
    <w:rsid w:val="00007F29"/>
    <w:rsid w:val="00011152"/>
    <w:rsid w:val="00012863"/>
    <w:rsid w:val="00014EFF"/>
    <w:rsid w:val="000158AB"/>
    <w:rsid w:val="00015977"/>
    <w:rsid w:val="00017099"/>
    <w:rsid w:val="000171D8"/>
    <w:rsid w:val="00020CE2"/>
    <w:rsid w:val="00022CCA"/>
    <w:rsid w:val="000230C7"/>
    <w:rsid w:val="00023BA8"/>
    <w:rsid w:val="00023DAB"/>
    <w:rsid w:val="00025278"/>
    <w:rsid w:val="0003022C"/>
    <w:rsid w:val="000302AB"/>
    <w:rsid w:val="00030335"/>
    <w:rsid w:val="0003372A"/>
    <w:rsid w:val="00033DA7"/>
    <w:rsid w:val="00034DA0"/>
    <w:rsid w:val="00035524"/>
    <w:rsid w:val="00037214"/>
    <w:rsid w:val="0004039D"/>
    <w:rsid w:val="000405B6"/>
    <w:rsid w:val="000406DB"/>
    <w:rsid w:val="000413E5"/>
    <w:rsid w:val="000421E7"/>
    <w:rsid w:val="00042900"/>
    <w:rsid w:val="00042E78"/>
    <w:rsid w:val="00042F6C"/>
    <w:rsid w:val="0004338A"/>
    <w:rsid w:val="00043D77"/>
    <w:rsid w:val="000444B7"/>
    <w:rsid w:val="00044DA4"/>
    <w:rsid w:val="00045910"/>
    <w:rsid w:val="00045F7E"/>
    <w:rsid w:val="00046213"/>
    <w:rsid w:val="00046540"/>
    <w:rsid w:val="000465EA"/>
    <w:rsid w:val="00046B4C"/>
    <w:rsid w:val="000511CD"/>
    <w:rsid w:val="00052BFC"/>
    <w:rsid w:val="00053E6D"/>
    <w:rsid w:val="0005404C"/>
    <w:rsid w:val="00054855"/>
    <w:rsid w:val="000550D3"/>
    <w:rsid w:val="0005515D"/>
    <w:rsid w:val="000558AA"/>
    <w:rsid w:val="0005710E"/>
    <w:rsid w:val="000572A4"/>
    <w:rsid w:val="00061347"/>
    <w:rsid w:val="0006151F"/>
    <w:rsid w:val="00064419"/>
    <w:rsid w:val="00064A46"/>
    <w:rsid w:val="0006660F"/>
    <w:rsid w:val="0006749E"/>
    <w:rsid w:val="00067F1B"/>
    <w:rsid w:val="00070D5E"/>
    <w:rsid w:val="0007263C"/>
    <w:rsid w:val="00073F19"/>
    <w:rsid w:val="00075CFF"/>
    <w:rsid w:val="00076D68"/>
    <w:rsid w:val="00077ADD"/>
    <w:rsid w:val="00077B3C"/>
    <w:rsid w:val="000803EB"/>
    <w:rsid w:val="00081AE2"/>
    <w:rsid w:val="000844D7"/>
    <w:rsid w:val="00085FE0"/>
    <w:rsid w:val="00091B7B"/>
    <w:rsid w:val="00091FDB"/>
    <w:rsid w:val="00093644"/>
    <w:rsid w:val="000939B2"/>
    <w:rsid w:val="00096111"/>
    <w:rsid w:val="000A06DB"/>
    <w:rsid w:val="000A0821"/>
    <w:rsid w:val="000A09CE"/>
    <w:rsid w:val="000A14AF"/>
    <w:rsid w:val="000A1BB1"/>
    <w:rsid w:val="000A25CD"/>
    <w:rsid w:val="000A45B3"/>
    <w:rsid w:val="000A5E60"/>
    <w:rsid w:val="000B0CFA"/>
    <w:rsid w:val="000B19E4"/>
    <w:rsid w:val="000B65EF"/>
    <w:rsid w:val="000B6809"/>
    <w:rsid w:val="000B6B71"/>
    <w:rsid w:val="000C19BC"/>
    <w:rsid w:val="000C19C5"/>
    <w:rsid w:val="000C4750"/>
    <w:rsid w:val="000C4964"/>
    <w:rsid w:val="000C595B"/>
    <w:rsid w:val="000C6B15"/>
    <w:rsid w:val="000D0042"/>
    <w:rsid w:val="000D03FA"/>
    <w:rsid w:val="000D0BB7"/>
    <w:rsid w:val="000D1522"/>
    <w:rsid w:val="000D4070"/>
    <w:rsid w:val="000D4893"/>
    <w:rsid w:val="000D512F"/>
    <w:rsid w:val="000D54F3"/>
    <w:rsid w:val="000D612C"/>
    <w:rsid w:val="000D6299"/>
    <w:rsid w:val="000D69D1"/>
    <w:rsid w:val="000D7E67"/>
    <w:rsid w:val="000E04F5"/>
    <w:rsid w:val="000E3C4F"/>
    <w:rsid w:val="000E576F"/>
    <w:rsid w:val="000E5830"/>
    <w:rsid w:val="000F046D"/>
    <w:rsid w:val="000F0818"/>
    <w:rsid w:val="000F0E72"/>
    <w:rsid w:val="000F36FB"/>
    <w:rsid w:val="000F55E4"/>
    <w:rsid w:val="000F70F8"/>
    <w:rsid w:val="00100914"/>
    <w:rsid w:val="00101322"/>
    <w:rsid w:val="00103437"/>
    <w:rsid w:val="00103FFA"/>
    <w:rsid w:val="001042E1"/>
    <w:rsid w:val="001055A0"/>
    <w:rsid w:val="00105817"/>
    <w:rsid w:val="00105912"/>
    <w:rsid w:val="00105A25"/>
    <w:rsid w:val="0010776C"/>
    <w:rsid w:val="00111805"/>
    <w:rsid w:val="00112CEA"/>
    <w:rsid w:val="00113A08"/>
    <w:rsid w:val="00114B0F"/>
    <w:rsid w:val="00114DEB"/>
    <w:rsid w:val="00115A45"/>
    <w:rsid w:val="001200D9"/>
    <w:rsid w:val="0012017C"/>
    <w:rsid w:val="001205CB"/>
    <w:rsid w:val="0012202F"/>
    <w:rsid w:val="00122DAD"/>
    <w:rsid w:val="00123492"/>
    <w:rsid w:val="00123D9A"/>
    <w:rsid w:val="00124E51"/>
    <w:rsid w:val="001257FC"/>
    <w:rsid w:val="00126059"/>
    <w:rsid w:val="00131D26"/>
    <w:rsid w:val="0013429B"/>
    <w:rsid w:val="001342EE"/>
    <w:rsid w:val="00134991"/>
    <w:rsid w:val="00136362"/>
    <w:rsid w:val="001363E9"/>
    <w:rsid w:val="001416C4"/>
    <w:rsid w:val="00142836"/>
    <w:rsid w:val="00142F4E"/>
    <w:rsid w:val="00146FF6"/>
    <w:rsid w:val="00147524"/>
    <w:rsid w:val="001475AA"/>
    <w:rsid w:val="00147920"/>
    <w:rsid w:val="00150FFD"/>
    <w:rsid w:val="00151C18"/>
    <w:rsid w:val="00152155"/>
    <w:rsid w:val="001542E3"/>
    <w:rsid w:val="00154332"/>
    <w:rsid w:val="0015477B"/>
    <w:rsid w:val="00154D84"/>
    <w:rsid w:val="0015566A"/>
    <w:rsid w:val="00160CD7"/>
    <w:rsid w:val="00161D92"/>
    <w:rsid w:val="00163CAB"/>
    <w:rsid w:val="00164A80"/>
    <w:rsid w:val="001669C6"/>
    <w:rsid w:val="001679C8"/>
    <w:rsid w:val="00172772"/>
    <w:rsid w:val="00172F09"/>
    <w:rsid w:val="00174D68"/>
    <w:rsid w:val="00175829"/>
    <w:rsid w:val="00177075"/>
    <w:rsid w:val="0017715E"/>
    <w:rsid w:val="0018070C"/>
    <w:rsid w:val="00184447"/>
    <w:rsid w:val="00185B05"/>
    <w:rsid w:val="00185BF7"/>
    <w:rsid w:val="00186322"/>
    <w:rsid w:val="00187729"/>
    <w:rsid w:val="001900BC"/>
    <w:rsid w:val="001909EE"/>
    <w:rsid w:val="0019266E"/>
    <w:rsid w:val="001964AA"/>
    <w:rsid w:val="001968F9"/>
    <w:rsid w:val="001A1060"/>
    <w:rsid w:val="001A22B4"/>
    <w:rsid w:val="001A3137"/>
    <w:rsid w:val="001A3851"/>
    <w:rsid w:val="001A4639"/>
    <w:rsid w:val="001A51EF"/>
    <w:rsid w:val="001A555D"/>
    <w:rsid w:val="001A632B"/>
    <w:rsid w:val="001A6AA7"/>
    <w:rsid w:val="001A6C0F"/>
    <w:rsid w:val="001B11FC"/>
    <w:rsid w:val="001B387C"/>
    <w:rsid w:val="001B4C94"/>
    <w:rsid w:val="001B5EE9"/>
    <w:rsid w:val="001B6333"/>
    <w:rsid w:val="001B7C61"/>
    <w:rsid w:val="001C043A"/>
    <w:rsid w:val="001C07D9"/>
    <w:rsid w:val="001C0AB3"/>
    <w:rsid w:val="001C2FB3"/>
    <w:rsid w:val="001C32C8"/>
    <w:rsid w:val="001C3C26"/>
    <w:rsid w:val="001C4B89"/>
    <w:rsid w:val="001C61C7"/>
    <w:rsid w:val="001C721F"/>
    <w:rsid w:val="001C7570"/>
    <w:rsid w:val="001D0222"/>
    <w:rsid w:val="001D0869"/>
    <w:rsid w:val="001D1528"/>
    <w:rsid w:val="001D21BF"/>
    <w:rsid w:val="001D3C81"/>
    <w:rsid w:val="001D463E"/>
    <w:rsid w:val="001D6FB3"/>
    <w:rsid w:val="001E1EE7"/>
    <w:rsid w:val="001E209E"/>
    <w:rsid w:val="001E217A"/>
    <w:rsid w:val="001E2DDF"/>
    <w:rsid w:val="001E3242"/>
    <w:rsid w:val="001E3482"/>
    <w:rsid w:val="001E4AD2"/>
    <w:rsid w:val="001E5286"/>
    <w:rsid w:val="001E63B7"/>
    <w:rsid w:val="001E6728"/>
    <w:rsid w:val="001E75AE"/>
    <w:rsid w:val="001F1BB9"/>
    <w:rsid w:val="001F201B"/>
    <w:rsid w:val="001F3A5C"/>
    <w:rsid w:val="001F4E71"/>
    <w:rsid w:val="001F5506"/>
    <w:rsid w:val="001F5AC5"/>
    <w:rsid w:val="001F604F"/>
    <w:rsid w:val="00200EA2"/>
    <w:rsid w:val="002011AA"/>
    <w:rsid w:val="00201A22"/>
    <w:rsid w:val="00203BAE"/>
    <w:rsid w:val="002053A0"/>
    <w:rsid w:val="00205D0A"/>
    <w:rsid w:val="0020606D"/>
    <w:rsid w:val="0020681E"/>
    <w:rsid w:val="002156CF"/>
    <w:rsid w:val="00215D29"/>
    <w:rsid w:val="00216838"/>
    <w:rsid w:val="00216ADF"/>
    <w:rsid w:val="00216CFB"/>
    <w:rsid w:val="00220436"/>
    <w:rsid w:val="00221B98"/>
    <w:rsid w:val="00221EDD"/>
    <w:rsid w:val="00222B93"/>
    <w:rsid w:val="00223E33"/>
    <w:rsid w:val="002247FF"/>
    <w:rsid w:val="002249D0"/>
    <w:rsid w:val="00224C4E"/>
    <w:rsid w:val="00225494"/>
    <w:rsid w:val="00226ECC"/>
    <w:rsid w:val="0023375C"/>
    <w:rsid w:val="002342EE"/>
    <w:rsid w:val="0023433C"/>
    <w:rsid w:val="0023525F"/>
    <w:rsid w:val="00235E0D"/>
    <w:rsid w:val="00237A95"/>
    <w:rsid w:val="00237D70"/>
    <w:rsid w:val="00240159"/>
    <w:rsid w:val="00242DC5"/>
    <w:rsid w:val="00245311"/>
    <w:rsid w:val="00245F3A"/>
    <w:rsid w:val="00245F80"/>
    <w:rsid w:val="002467CB"/>
    <w:rsid w:val="00246F46"/>
    <w:rsid w:val="0025211C"/>
    <w:rsid w:val="00253BA1"/>
    <w:rsid w:val="00254250"/>
    <w:rsid w:val="00254E51"/>
    <w:rsid w:val="00255673"/>
    <w:rsid w:val="002573DD"/>
    <w:rsid w:val="0026047C"/>
    <w:rsid w:val="0026054A"/>
    <w:rsid w:val="0026126C"/>
    <w:rsid w:val="00261813"/>
    <w:rsid w:val="00261F8A"/>
    <w:rsid w:val="00263159"/>
    <w:rsid w:val="00264DB0"/>
    <w:rsid w:val="002653EB"/>
    <w:rsid w:val="00267320"/>
    <w:rsid w:val="002707A3"/>
    <w:rsid w:val="0027147B"/>
    <w:rsid w:val="00272779"/>
    <w:rsid w:val="00273FE8"/>
    <w:rsid w:val="002743E3"/>
    <w:rsid w:val="002747E2"/>
    <w:rsid w:val="00276789"/>
    <w:rsid w:val="00276FDF"/>
    <w:rsid w:val="00277784"/>
    <w:rsid w:val="00280E67"/>
    <w:rsid w:val="002829DF"/>
    <w:rsid w:val="0028310C"/>
    <w:rsid w:val="00283D30"/>
    <w:rsid w:val="00283DF0"/>
    <w:rsid w:val="0028444D"/>
    <w:rsid w:val="002849EA"/>
    <w:rsid w:val="00284EAC"/>
    <w:rsid w:val="002852A1"/>
    <w:rsid w:val="00286F2A"/>
    <w:rsid w:val="002871FD"/>
    <w:rsid w:val="002930F9"/>
    <w:rsid w:val="0029415F"/>
    <w:rsid w:val="002944EB"/>
    <w:rsid w:val="00296C01"/>
    <w:rsid w:val="002A2708"/>
    <w:rsid w:val="002A33BF"/>
    <w:rsid w:val="002B10D0"/>
    <w:rsid w:val="002B1702"/>
    <w:rsid w:val="002B19DD"/>
    <w:rsid w:val="002B1C2B"/>
    <w:rsid w:val="002B1DA4"/>
    <w:rsid w:val="002B280A"/>
    <w:rsid w:val="002B31FF"/>
    <w:rsid w:val="002B336C"/>
    <w:rsid w:val="002B3C27"/>
    <w:rsid w:val="002B4C0B"/>
    <w:rsid w:val="002C000D"/>
    <w:rsid w:val="002C143C"/>
    <w:rsid w:val="002C1FEF"/>
    <w:rsid w:val="002C263E"/>
    <w:rsid w:val="002C29E4"/>
    <w:rsid w:val="002C2DBA"/>
    <w:rsid w:val="002C3744"/>
    <w:rsid w:val="002C38C5"/>
    <w:rsid w:val="002C3D3E"/>
    <w:rsid w:val="002C5F2D"/>
    <w:rsid w:val="002C6A87"/>
    <w:rsid w:val="002C79D6"/>
    <w:rsid w:val="002D06A2"/>
    <w:rsid w:val="002D0A76"/>
    <w:rsid w:val="002D0A9B"/>
    <w:rsid w:val="002D145C"/>
    <w:rsid w:val="002D3A72"/>
    <w:rsid w:val="002D4322"/>
    <w:rsid w:val="002D4599"/>
    <w:rsid w:val="002D4AD0"/>
    <w:rsid w:val="002D5065"/>
    <w:rsid w:val="002D5E32"/>
    <w:rsid w:val="002D61BE"/>
    <w:rsid w:val="002D7384"/>
    <w:rsid w:val="002D7B50"/>
    <w:rsid w:val="002E04F2"/>
    <w:rsid w:val="002E18D5"/>
    <w:rsid w:val="002E20CF"/>
    <w:rsid w:val="002E2E0D"/>
    <w:rsid w:val="002E31C6"/>
    <w:rsid w:val="002E3A6A"/>
    <w:rsid w:val="002E4648"/>
    <w:rsid w:val="002E604C"/>
    <w:rsid w:val="002E6D1A"/>
    <w:rsid w:val="002E7D45"/>
    <w:rsid w:val="002F0D08"/>
    <w:rsid w:val="002F13F5"/>
    <w:rsid w:val="002F20D7"/>
    <w:rsid w:val="002F3268"/>
    <w:rsid w:val="002F4661"/>
    <w:rsid w:val="002F5C9F"/>
    <w:rsid w:val="00301889"/>
    <w:rsid w:val="00302747"/>
    <w:rsid w:val="0030339B"/>
    <w:rsid w:val="003038DB"/>
    <w:rsid w:val="00304950"/>
    <w:rsid w:val="00305D38"/>
    <w:rsid w:val="003063F7"/>
    <w:rsid w:val="0031138A"/>
    <w:rsid w:val="00311DC5"/>
    <w:rsid w:val="00315552"/>
    <w:rsid w:val="00315E14"/>
    <w:rsid w:val="00316101"/>
    <w:rsid w:val="003169A5"/>
    <w:rsid w:val="003175EE"/>
    <w:rsid w:val="00317C0A"/>
    <w:rsid w:val="00317E19"/>
    <w:rsid w:val="003206CF"/>
    <w:rsid w:val="00320A81"/>
    <w:rsid w:val="00321858"/>
    <w:rsid w:val="003218A5"/>
    <w:rsid w:val="003228CA"/>
    <w:rsid w:val="00322A63"/>
    <w:rsid w:val="00323A9D"/>
    <w:rsid w:val="00325541"/>
    <w:rsid w:val="0032643E"/>
    <w:rsid w:val="00326B06"/>
    <w:rsid w:val="00330356"/>
    <w:rsid w:val="0033113B"/>
    <w:rsid w:val="00331888"/>
    <w:rsid w:val="00333633"/>
    <w:rsid w:val="00333ECC"/>
    <w:rsid w:val="00334DB6"/>
    <w:rsid w:val="00335B1D"/>
    <w:rsid w:val="00336C55"/>
    <w:rsid w:val="0033740F"/>
    <w:rsid w:val="00337F20"/>
    <w:rsid w:val="00340CFD"/>
    <w:rsid w:val="003424FD"/>
    <w:rsid w:val="003434C7"/>
    <w:rsid w:val="003451D8"/>
    <w:rsid w:val="0034592A"/>
    <w:rsid w:val="0034651E"/>
    <w:rsid w:val="003470B1"/>
    <w:rsid w:val="00353529"/>
    <w:rsid w:val="00353DF2"/>
    <w:rsid w:val="00354EB1"/>
    <w:rsid w:val="00355237"/>
    <w:rsid w:val="00356130"/>
    <w:rsid w:val="00356495"/>
    <w:rsid w:val="00357BDC"/>
    <w:rsid w:val="00360116"/>
    <w:rsid w:val="00360456"/>
    <w:rsid w:val="00361C9B"/>
    <w:rsid w:val="00362801"/>
    <w:rsid w:val="00364876"/>
    <w:rsid w:val="00364F47"/>
    <w:rsid w:val="00365E52"/>
    <w:rsid w:val="003670E4"/>
    <w:rsid w:val="003674EC"/>
    <w:rsid w:val="00367650"/>
    <w:rsid w:val="00367EDC"/>
    <w:rsid w:val="00370913"/>
    <w:rsid w:val="0037169B"/>
    <w:rsid w:val="00373F51"/>
    <w:rsid w:val="00375562"/>
    <w:rsid w:val="00375968"/>
    <w:rsid w:val="003764E2"/>
    <w:rsid w:val="00377234"/>
    <w:rsid w:val="00377DA1"/>
    <w:rsid w:val="00381167"/>
    <w:rsid w:val="003829A8"/>
    <w:rsid w:val="003829E4"/>
    <w:rsid w:val="003844EB"/>
    <w:rsid w:val="003849C6"/>
    <w:rsid w:val="003853C4"/>
    <w:rsid w:val="00385D60"/>
    <w:rsid w:val="0039011A"/>
    <w:rsid w:val="00390FCE"/>
    <w:rsid w:val="00395B23"/>
    <w:rsid w:val="00396777"/>
    <w:rsid w:val="00396EE1"/>
    <w:rsid w:val="003A0D11"/>
    <w:rsid w:val="003A1B50"/>
    <w:rsid w:val="003A268A"/>
    <w:rsid w:val="003A3AA6"/>
    <w:rsid w:val="003A3D60"/>
    <w:rsid w:val="003A47C1"/>
    <w:rsid w:val="003A5B94"/>
    <w:rsid w:val="003A72E9"/>
    <w:rsid w:val="003A7E5D"/>
    <w:rsid w:val="003B0FB5"/>
    <w:rsid w:val="003B1159"/>
    <w:rsid w:val="003B1EA8"/>
    <w:rsid w:val="003B43F1"/>
    <w:rsid w:val="003B507F"/>
    <w:rsid w:val="003C0A52"/>
    <w:rsid w:val="003C1078"/>
    <w:rsid w:val="003C2897"/>
    <w:rsid w:val="003C43D9"/>
    <w:rsid w:val="003C5B20"/>
    <w:rsid w:val="003C6405"/>
    <w:rsid w:val="003C6697"/>
    <w:rsid w:val="003D342E"/>
    <w:rsid w:val="003D3D42"/>
    <w:rsid w:val="003D6B5C"/>
    <w:rsid w:val="003D6F9C"/>
    <w:rsid w:val="003E0378"/>
    <w:rsid w:val="003E0C82"/>
    <w:rsid w:val="003E2F23"/>
    <w:rsid w:val="003E469B"/>
    <w:rsid w:val="003E511E"/>
    <w:rsid w:val="003E62FE"/>
    <w:rsid w:val="003E63D3"/>
    <w:rsid w:val="003E7AD3"/>
    <w:rsid w:val="003F01E7"/>
    <w:rsid w:val="003F07A3"/>
    <w:rsid w:val="003F0A65"/>
    <w:rsid w:val="003F6E06"/>
    <w:rsid w:val="003F6EB0"/>
    <w:rsid w:val="00403335"/>
    <w:rsid w:val="00404658"/>
    <w:rsid w:val="00404DBD"/>
    <w:rsid w:val="004072A2"/>
    <w:rsid w:val="00410221"/>
    <w:rsid w:val="00410525"/>
    <w:rsid w:val="00410B48"/>
    <w:rsid w:val="00411423"/>
    <w:rsid w:val="00412672"/>
    <w:rsid w:val="00413D71"/>
    <w:rsid w:val="004143C4"/>
    <w:rsid w:val="00414ADC"/>
    <w:rsid w:val="00415C97"/>
    <w:rsid w:val="0041697C"/>
    <w:rsid w:val="004170FD"/>
    <w:rsid w:val="00422837"/>
    <w:rsid w:val="004229B9"/>
    <w:rsid w:val="0042315E"/>
    <w:rsid w:val="00423767"/>
    <w:rsid w:val="00423978"/>
    <w:rsid w:val="00425819"/>
    <w:rsid w:val="004279CC"/>
    <w:rsid w:val="00431DF4"/>
    <w:rsid w:val="00432976"/>
    <w:rsid w:val="00432D02"/>
    <w:rsid w:val="00434948"/>
    <w:rsid w:val="00434A6C"/>
    <w:rsid w:val="00434DBA"/>
    <w:rsid w:val="00435004"/>
    <w:rsid w:val="00435049"/>
    <w:rsid w:val="004356AD"/>
    <w:rsid w:val="00436F0C"/>
    <w:rsid w:val="004378F2"/>
    <w:rsid w:val="00437D31"/>
    <w:rsid w:val="00437DE5"/>
    <w:rsid w:val="00440EF8"/>
    <w:rsid w:val="0044221C"/>
    <w:rsid w:val="00443A6C"/>
    <w:rsid w:val="00444543"/>
    <w:rsid w:val="004448EB"/>
    <w:rsid w:val="00444F44"/>
    <w:rsid w:val="004459A2"/>
    <w:rsid w:val="0044722B"/>
    <w:rsid w:val="00452E6F"/>
    <w:rsid w:val="0045417F"/>
    <w:rsid w:val="004547F8"/>
    <w:rsid w:val="004555B8"/>
    <w:rsid w:val="00457174"/>
    <w:rsid w:val="004608C2"/>
    <w:rsid w:val="00462218"/>
    <w:rsid w:val="00462ABA"/>
    <w:rsid w:val="004647E7"/>
    <w:rsid w:val="00465922"/>
    <w:rsid w:val="0046647A"/>
    <w:rsid w:val="0046698B"/>
    <w:rsid w:val="00467B8F"/>
    <w:rsid w:val="004718A9"/>
    <w:rsid w:val="00472E71"/>
    <w:rsid w:val="0047646A"/>
    <w:rsid w:val="00476F13"/>
    <w:rsid w:val="0048095D"/>
    <w:rsid w:val="0048117F"/>
    <w:rsid w:val="0048120D"/>
    <w:rsid w:val="00481815"/>
    <w:rsid w:val="004834F8"/>
    <w:rsid w:val="0048554A"/>
    <w:rsid w:val="00485942"/>
    <w:rsid w:val="00486FE1"/>
    <w:rsid w:val="00487AE7"/>
    <w:rsid w:val="004918D5"/>
    <w:rsid w:val="00492AD9"/>
    <w:rsid w:val="00492D67"/>
    <w:rsid w:val="00492FCE"/>
    <w:rsid w:val="0049372A"/>
    <w:rsid w:val="004964BF"/>
    <w:rsid w:val="00497430"/>
    <w:rsid w:val="004A0C33"/>
    <w:rsid w:val="004A496E"/>
    <w:rsid w:val="004A4CD3"/>
    <w:rsid w:val="004A52E5"/>
    <w:rsid w:val="004A5F9C"/>
    <w:rsid w:val="004B0F2C"/>
    <w:rsid w:val="004B1346"/>
    <w:rsid w:val="004B1C2B"/>
    <w:rsid w:val="004B2589"/>
    <w:rsid w:val="004B2990"/>
    <w:rsid w:val="004B348C"/>
    <w:rsid w:val="004B34C5"/>
    <w:rsid w:val="004B45B2"/>
    <w:rsid w:val="004B677B"/>
    <w:rsid w:val="004C2727"/>
    <w:rsid w:val="004C2D87"/>
    <w:rsid w:val="004C2FD4"/>
    <w:rsid w:val="004C4927"/>
    <w:rsid w:val="004C53EF"/>
    <w:rsid w:val="004C6418"/>
    <w:rsid w:val="004C70E3"/>
    <w:rsid w:val="004D08F8"/>
    <w:rsid w:val="004D0C5E"/>
    <w:rsid w:val="004D17E2"/>
    <w:rsid w:val="004D24D5"/>
    <w:rsid w:val="004D2F38"/>
    <w:rsid w:val="004D4305"/>
    <w:rsid w:val="004D4EAF"/>
    <w:rsid w:val="004D66B6"/>
    <w:rsid w:val="004D6BC6"/>
    <w:rsid w:val="004E05CE"/>
    <w:rsid w:val="004E0B60"/>
    <w:rsid w:val="004E1092"/>
    <w:rsid w:val="004E2879"/>
    <w:rsid w:val="004E2D7F"/>
    <w:rsid w:val="004E323A"/>
    <w:rsid w:val="004E56D9"/>
    <w:rsid w:val="004E5771"/>
    <w:rsid w:val="004F52A4"/>
    <w:rsid w:val="004F59E3"/>
    <w:rsid w:val="004F6B48"/>
    <w:rsid w:val="004F74E4"/>
    <w:rsid w:val="004F750F"/>
    <w:rsid w:val="005010DF"/>
    <w:rsid w:val="005019C0"/>
    <w:rsid w:val="00502386"/>
    <w:rsid w:val="00502A03"/>
    <w:rsid w:val="00502ABB"/>
    <w:rsid w:val="00503736"/>
    <w:rsid w:val="00504645"/>
    <w:rsid w:val="00505B4D"/>
    <w:rsid w:val="00506B2E"/>
    <w:rsid w:val="00512CCA"/>
    <w:rsid w:val="00512FB4"/>
    <w:rsid w:val="00513286"/>
    <w:rsid w:val="00514032"/>
    <w:rsid w:val="00514C5A"/>
    <w:rsid w:val="005157B0"/>
    <w:rsid w:val="005159B9"/>
    <w:rsid w:val="00520721"/>
    <w:rsid w:val="005218CC"/>
    <w:rsid w:val="00521C8F"/>
    <w:rsid w:val="00524B7D"/>
    <w:rsid w:val="00526D53"/>
    <w:rsid w:val="0052766B"/>
    <w:rsid w:val="00527B1A"/>
    <w:rsid w:val="005303CA"/>
    <w:rsid w:val="00531159"/>
    <w:rsid w:val="00534A17"/>
    <w:rsid w:val="00534B67"/>
    <w:rsid w:val="0053501A"/>
    <w:rsid w:val="005356CC"/>
    <w:rsid w:val="005368C6"/>
    <w:rsid w:val="0054020B"/>
    <w:rsid w:val="00540B80"/>
    <w:rsid w:val="00540EBA"/>
    <w:rsid w:val="0054103E"/>
    <w:rsid w:val="00541148"/>
    <w:rsid w:val="005422DF"/>
    <w:rsid w:val="005422EA"/>
    <w:rsid w:val="00542719"/>
    <w:rsid w:val="00546786"/>
    <w:rsid w:val="00546BAD"/>
    <w:rsid w:val="00546F7B"/>
    <w:rsid w:val="00551CD3"/>
    <w:rsid w:val="00552C37"/>
    <w:rsid w:val="00553212"/>
    <w:rsid w:val="005539BC"/>
    <w:rsid w:val="005545CF"/>
    <w:rsid w:val="0055609D"/>
    <w:rsid w:val="00556254"/>
    <w:rsid w:val="00557AA7"/>
    <w:rsid w:val="005619A7"/>
    <w:rsid w:val="00562258"/>
    <w:rsid w:val="005649C1"/>
    <w:rsid w:val="00564FDF"/>
    <w:rsid w:val="00566088"/>
    <w:rsid w:val="0057087A"/>
    <w:rsid w:val="00571817"/>
    <w:rsid w:val="005719DE"/>
    <w:rsid w:val="005732D3"/>
    <w:rsid w:val="0057355F"/>
    <w:rsid w:val="005735B4"/>
    <w:rsid w:val="00577948"/>
    <w:rsid w:val="00581262"/>
    <w:rsid w:val="00582659"/>
    <w:rsid w:val="00586D61"/>
    <w:rsid w:val="00587844"/>
    <w:rsid w:val="00590579"/>
    <w:rsid w:val="00593CAE"/>
    <w:rsid w:val="00595251"/>
    <w:rsid w:val="005A0051"/>
    <w:rsid w:val="005A1817"/>
    <w:rsid w:val="005A24F6"/>
    <w:rsid w:val="005A3071"/>
    <w:rsid w:val="005A32A6"/>
    <w:rsid w:val="005A3851"/>
    <w:rsid w:val="005A44C2"/>
    <w:rsid w:val="005A4A23"/>
    <w:rsid w:val="005B53A2"/>
    <w:rsid w:val="005B6155"/>
    <w:rsid w:val="005B6D51"/>
    <w:rsid w:val="005B70C1"/>
    <w:rsid w:val="005B76B6"/>
    <w:rsid w:val="005B7CF7"/>
    <w:rsid w:val="005C068F"/>
    <w:rsid w:val="005C198A"/>
    <w:rsid w:val="005C326E"/>
    <w:rsid w:val="005C38B2"/>
    <w:rsid w:val="005C61A9"/>
    <w:rsid w:val="005C6276"/>
    <w:rsid w:val="005C75C6"/>
    <w:rsid w:val="005D0625"/>
    <w:rsid w:val="005D0DE6"/>
    <w:rsid w:val="005D3C43"/>
    <w:rsid w:val="005D6D03"/>
    <w:rsid w:val="005E2FC0"/>
    <w:rsid w:val="005E54B5"/>
    <w:rsid w:val="005E6ABF"/>
    <w:rsid w:val="005E6E91"/>
    <w:rsid w:val="005E6FAC"/>
    <w:rsid w:val="005E79DB"/>
    <w:rsid w:val="005F0188"/>
    <w:rsid w:val="005F3FED"/>
    <w:rsid w:val="005F461B"/>
    <w:rsid w:val="005F5E68"/>
    <w:rsid w:val="005F6DE1"/>
    <w:rsid w:val="005F7DFD"/>
    <w:rsid w:val="006026B6"/>
    <w:rsid w:val="006057F7"/>
    <w:rsid w:val="006065A1"/>
    <w:rsid w:val="00606FD1"/>
    <w:rsid w:val="00610321"/>
    <w:rsid w:val="0061074B"/>
    <w:rsid w:val="006111D4"/>
    <w:rsid w:val="006113F3"/>
    <w:rsid w:val="00611633"/>
    <w:rsid w:val="00611C5F"/>
    <w:rsid w:val="006131D0"/>
    <w:rsid w:val="0061417E"/>
    <w:rsid w:val="00616943"/>
    <w:rsid w:val="00617E51"/>
    <w:rsid w:val="0062054F"/>
    <w:rsid w:val="0062071C"/>
    <w:rsid w:val="006209A9"/>
    <w:rsid w:val="0062224B"/>
    <w:rsid w:val="00622763"/>
    <w:rsid w:val="00624D6E"/>
    <w:rsid w:val="00626E51"/>
    <w:rsid w:val="00627226"/>
    <w:rsid w:val="00627328"/>
    <w:rsid w:val="00627521"/>
    <w:rsid w:val="00627EC9"/>
    <w:rsid w:val="006310B1"/>
    <w:rsid w:val="00631985"/>
    <w:rsid w:val="00631C64"/>
    <w:rsid w:val="00632886"/>
    <w:rsid w:val="00632AFF"/>
    <w:rsid w:val="00632F3C"/>
    <w:rsid w:val="00633BDB"/>
    <w:rsid w:val="0063481B"/>
    <w:rsid w:val="006357CA"/>
    <w:rsid w:val="0063647F"/>
    <w:rsid w:val="00636600"/>
    <w:rsid w:val="00637178"/>
    <w:rsid w:val="00637346"/>
    <w:rsid w:val="00637E66"/>
    <w:rsid w:val="0064059C"/>
    <w:rsid w:val="00640612"/>
    <w:rsid w:val="00640E09"/>
    <w:rsid w:val="006410D2"/>
    <w:rsid w:val="00641220"/>
    <w:rsid w:val="00641FDD"/>
    <w:rsid w:val="00643A61"/>
    <w:rsid w:val="00643D50"/>
    <w:rsid w:val="00646D6B"/>
    <w:rsid w:val="00646F3D"/>
    <w:rsid w:val="00646FD7"/>
    <w:rsid w:val="00652937"/>
    <w:rsid w:val="00652F85"/>
    <w:rsid w:val="0065437B"/>
    <w:rsid w:val="006563EA"/>
    <w:rsid w:val="00656402"/>
    <w:rsid w:val="00660299"/>
    <w:rsid w:val="006615ED"/>
    <w:rsid w:val="00664072"/>
    <w:rsid w:val="00666A30"/>
    <w:rsid w:val="00670654"/>
    <w:rsid w:val="00674EDF"/>
    <w:rsid w:val="0067760E"/>
    <w:rsid w:val="00677C4C"/>
    <w:rsid w:val="00683799"/>
    <w:rsid w:val="0068382C"/>
    <w:rsid w:val="006874F1"/>
    <w:rsid w:val="00687855"/>
    <w:rsid w:val="006907BB"/>
    <w:rsid w:val="00690A9D"/>
    <w:rsid w:val="00690E7C"/>
    <w:rsid w:val="00692587"/>
    <w:rsid w:val="00693A6B"/>
    <w:rsid w:val="00693FEC"/>
    <w:rsid w:val="00694C90"/>
    <w:rsid w:val="0069577D"/>
    <w:rsid w:val="006959BD"/>
    <w:rsid w:val="00695F58"/>
    <w:rsid w:val="00696EF3"/>
    <w:rsid w:val="0069769C"/>
    <w:rsid w:val="006A02F4"/>
    <w:rsid w:val="006A05F2"/>
    <w:rsid w:val="006A22F5"/>
    <w:rsid w:val="006A25D6"/>
    <w:rsid w:val="006A4390"/>
    <w:rsid w:val="006A600F"/>
    <w:rsid w:val="006B049D"/>
    <w:rsid w:val="006B1DD3"/>
    <w:rsid w:val="006B2D9F"/>
    <w:rsid w:val="006B34EA"/>
    <w:rsid w:val="006B3568"/>
    <w:rsid w:val="006B3ACA"/>
    <w:rsid w:val="006B442F"/>
    <w:rsid w:val="006B4807"/>
    <w:rsid w:val="006B4B20"/>
    <w:rsid w:val="006C0596"/>
    <w:rsid w:val="006C0B43"/>
    <w:rsid w:val="006C1AB9"/>
    <w:rsid w:val="006C1C5C"/>
    <w:rsid w:val="006C1DDF"/>
    <w:rsid w:val="006C249F"/>
    <w:rsid w:val="006C2797"/>
    <w:rsid w:val="006C31FD"/>
    <w:rsid w:val="006C354B"/>
    <w:rsid w:val="006C7A7E"/>
    <w:rsid w:val="006D0A2D"/>
    <w:rsid w:val="006D2B46"/>
    <w:rsid w:val="006D3FB7"/>
    <w:rsid w:val="006D44D5"/>
    <w:rsid w:val="006D5A67"/>
    <w:rsid w:val="006D660E"/>
    <w:rsid w:val="006E02C8"/>
    <w:rsid w:val="006E2271"/>
    <w:rsid w:val="006E2840"/>
    <w:rsid w:val="006E33A0"/>
    <w:rsid w:val="006E3E03"/>
    <w:rsid w:val="006E4007"/>
    <w:rsid w:val="006E5152"/>
    <w:rsid w:val="006E587A"/>
    <w:rsid w:val="006E5EFE"/>
    <w:rsid w:val="006E654B"/>
    <w:rsid w:val="006E6B95"/>
    <w:rsid w:val="006E783D"/>
    <w:rsid w:val="006F1C6C"/>
    <w:rsid w:val="006F2846"/>
    <w:rsid w:val="006F2981"/>
    <w:rsid w:val="006F2D4D"/>
    <w:rsid w:val="006F3A36"/>
    <w:rsid w:val="006F3A84"/>
    <w:rsid w:val="006F3CFE"/>
    <w:rsid w:val="006F4EFB"/>
    <w:rsid w:val="006F5B49"/>
    <w:rsid w:val="006F623A"/>
    <w:rsid w:val="006F7B01"/>
    <w:rsid w:val="00702A32"/>
    <w:rsid w:val="00702C51"/>
    <w:rsid w:val="00703020"/>
    <w:rsid w:val="00703CCA"/>
    <w:rsid w:val="00704648"/>
    <w:rsid w:val="007062AC"/>
    <w:rsid w:val="0070733A"/>
    <w:rsid w:val="00707827"/>
    <w:rsid w:val="007100E9"/>
    <w:rsid w:val="0071110B"/>
    <w:rsid w:val="00711120"/>
    <w:rsid w:val="007116D9"/>
    <w:rsid w:val="00711963"/>
    <w:rsid w:val="007134C1"/>
    <w:rsid w:val="00713775"/>
    <w:rsid w:val="00715168"/>
    <w:rsid w:val="007152EC"/>
    <w:rsid w:val="00716232"/>
    <w:rsid w:val="00716B85"/>
    <w:rsid w:val="00717FDF"/>
    <w:rsid w:val="0072175A"/>
    <w:rsid w:val="0072360E"/>
    <w:rsid w:val="00725AB8"/>
    <w:rsid w:val="007260D9"/>
    <w:rsid w:val="00726338"/>
    <w:rsid w:val="00727CF2"/>
    <w:rsid w:val="00730942"/>
    <w:rsid w:val="00730EB1"/>
    <w:rsid w:val="0073149E"/>
    <w:rsid w:val="00731B86"/>
    <w:rsid w:val="00731BB9"/>
    <w:rsid w:val="007320C4"/>
    <w:rsid w:val="0073250C"/>
    <w:rsid w:val="007360FD"/>
    <w:rsid w:val="00737220"/>
    <w:rsid w:val="00741BF4"/>
    <w:rsid w:val="00742D14"/>
    <w:rsid w:val="00742D41"/>
    <w:rsid w:val="0074371B"/>
    <w:rsid w:val="00743D71"/>
    <w:rsid w:val="00744F3A"/>
    <w:rsid w:val="00747384"/>
    <w:rsid w:val="007475B0"/>
    <w:rsid w:val="00747793"/>
    <w:rsid w:val="007508CC"/>
    <w:rsid w:val="00750B66"/>
    <w:rsid w:val="00751913"/>
    <w:rsid w:val="00751F72"/>
    <w:rsid w:val="00752DBF"/>
    <w:rsid w:val="0075311C"/>
    <w:rsid w:val="00753801"/>
    <w:rsid w:val="0075500C"/>
    <w:rsid w:val="0075732E"/>
    <w:rsid w:val="00757341"/>
    <w:rsid w:val="00761636"/>
    <w:rsid w:val="0076192B"/>
    <w:rsid w:val="00761D1F"/>
    <w:rsid w:val="00761E73"/>
    <w:rsid w:val="00761EF3"/>
    <w:rsid w:val="00761F7A"/>
    <w:rsid w:val="007659F7"/>
    <w:rsid w:val="007663AF"/>
    <w:rsid w:val="00767157"/>
    <w:rsid w:val="00767803"/>
    <w:rsid w:val="00771D7E"/>
    <w:rsid w:val="00771ED8"/>
    <w:rsid w:val="007734AA"/>
    <w:rsid w:val="007734D8"/>
    <w:rsid w:val="007741AC"/>
    <w:rsid w:val="00774BA6"/>
    <w:rsid w:val="00775325"/>
    <w:rsid w:val="00775518"/>
    <w:rsid w:val="00776D33"/>
    <w:rsid w:val="007804D8"/>
    <w:rsid w:val="007811BD"/>
    <w:rsid w:val="00781515"/>
    <w:rsid w:val="007817B3"/>
    <w:rsid w:val="007821FB"/>
    <w:rsid w:val="007854E2"/>
    <w:rsid w:val="00787BB9"/>
    <w:rsid w:val="00787CDA"/>
    <w:rsid w:val="00787CF5"/>
    <w:rsid w:val="00790D30"/>
    <w:rsid w:val="007918C3"/>
    <w:rsid w:val="007923D0"/>
    <w:rsid w:val="00794E98"/>
    <w:rsid w:val="007A20DB"/>
    <w:rsid w:val="007A5960"/>
    <w:rsid w:val="007B078A"/>
    <w:rsid w:val="007B1C7E"/>
    <w:rsid w:val="007B42CB"/>
    <w:rsid w:val="007B75B1"/>
    <w:rsid w:val="007B782E"/>
    <w:rsid w:val="007C11BF"/>
    <w:rsid w:val="007C21C1"/>
    <w:rsid w:val="007C29C9"/>
    <w:rsid w:val="007C47F7"/>
    <w:rsid w:val="007C55A0"/>
    <w:rsid w:val="007C5951"/>
    <w:rsid w:val="007C5EAD"/>
    <w:rsid w:val="007C690F"/>
    <w:rsid w:val="007C6C81"/>
    <w:rsid w:val="007D3AAD"/>
    <w:rsid w:val="007D3D2E"/>
    <w:rsid w:val="007D3DBC"/>
    <w:rsid w:val="007D6D05"/>
    <w:rsid w:val="007D7DE1"/>
    <w:rsid w:val="007E24BF"/>
    <w:rsid w:val="007E2C59"/>
    <w:rsid w:val="007E40C9"/>
    <w:rsid w:val="007E4822"/>
    <w:rsid w:val="007E4884"/>
    <w:rsid w:val="007E6665"/>
    <w:rsid w:val="007E7938"/>
    <w:rsid w:val="007F03A6"/>
    <w:rsid w:val="007F0705"/>
    <w:rsid w:val="007F26BC"/>
    <w:rsid w:val="007F28F3"/>
    <w:rsid w:val="007F49FC"/>
    <w:rsid w:val="007F4B57"/>
    <w:rsid w:val="007F4FE1"/>
    <w:rsid w:val="007F59A9"/>
    <w:rsid w:val="007F7321"/>
    <w:rsid w:val="0080077C"/>
    <w:rsid w:val="00800C27"/>
    <w:rsid w:val="00800F82"/>
    <w:rsid w:val="00802BE5"/>
    <w:rsid w:val="008040D7"/>
    <w:rsid w:val="00805092"/>
    <w:rsid w:val="00806203"/>
    <w:rsid w:val="008067BA"/>
    <w:rsid w:val="008103D6"/>
    <w:rsid w:val="0081054E"/>
    <w:rsid w:val="00811B16"/>
    <w:rsid w:val="0081237B"/>
    <w:rsid w:val="0081374F"/>
    <w:rsid w:val="008147D9"/>
    <w:rsid w:val="008153EE"/>
    <w:rsid w:val="00815490"/>
    <w:rsid w:val="0081583B"/>
    <w:rsid w:val="008167F7"/>
    <w:rsid w:val="00817B66"/>
    <w:rsid w:val="00820601"/>
    <w:rsid w:val="00820830"/>
    <w:rsid w:val="00821B22"/>
    <w:rsid w:val="00822472"/>
    <w:rsid w:val="00822968"/>
    <w:rsid w:val="00822BBB"/>
    <w:rsid w:val="00823AD3"/>
    <w:rsid w:val="00824C30"/>
    <w:rsid w:val="008264BA"/>
    <w:rsid w:val="00826F41"/>
    <w:rsid w:val="0083286A"/>
    <w:rsid w:val="00835BE6"/>
    <w:rsid w:val="00840981"/>
    <w:rsid w:val="00842AFF"/>
    <w:rsid w:val="00842B98"/>
    <w:rsid w:val="008433EF"/>
    <w:rsid w:val="00843E96"/>
    <w:rsid w:val="00844318"/>
    <w:rsid w:val="0084509A"/>
    <w:rsid w:val="008451A6"/>
    <w:rsid w:val="008454F8"/>
    <w:rsid w:val="00845E9E"/>
    <w:rsid w:val="00846AA5"/>
    <w:rsid w:val="00846AD4"/>
    <w:rsid w:val="00847DC5"/>
    <w:rsid w:val="008507F5"/>
    <w:rsid w:val="00850C2D"/>
    <w:rsid w:val="00850E17"/>
    <w:rsid w:val="0085312B"/>
    <w:rsid w:val="008538E1"/>
    <w:rsid w:val="0085496F"/>
    <w:rsid w:val="0085607C"/>
    <w:rsid w:val="00856668"/>
    <w:rsid w:val="008569EB"/>
    <w:rsid w:val="0085781A"/>
    <w:rsid w:val="0086626F"/>
    <w:rsid w:val="0087021B"/>
    <w:rsid w:val="0087210D"/>
    <w:rsid w:val="00873E46"/>
    <w:rsid w:val="00873E76"/>
    <w:rsid w:val="008803C5"/>
    <w:rsid w:val="008826EE"/>
    <w:rsid w:val="00884F95"/>
    <w:rsid w:val="00884FC9"/>
    <w:rsid w:val="008874E2"/>
    <w:rsid w:val="008914A0"/>
    <w:rsid w:val="0089410C"/>
    <w:rsid w:val="0089651D"/>
    <w:rsid w:val="00896BEF"/>
    <w:rsid w:val="00897800"/>
    <w:rsid w:val="00897E43"/>
    <w:rsid w:val="00897FE7"/>
    <w:rsid w:val="008A030E"/>
    <w:rsid w:val="008A050D"/>
    <w:rsid w:val="008A2A08"/>
    <w:rsid w:val="008A2E0F"/>
    <w:rsid w:val="008A4243"/>
    <w:rsid w:val="008A478C"/>
    <w:rsid w:val="008A5C48"/>
    <w:rsid w:val="008B0083"/>
    <w:rsid w:val="008B0317"/>
    <w:rsid w:val="008B1A85"/>
    <w:rsid w:val="008B1D77"/>
    <w:rsid w:val="008B2E36"/>
    <w:rsid w:val="008B33DC"/>
    <w:rsid w:val="008B3489"/>
    <w:rsid w:val="008B568C"/>
    <w:rsid w:val="008B7319"/>
    <w:rsid w:val="008B7D87"/>
    <w:rsid w:val="008C0A65"/>
    <w:rsid w:val="008C0DC7"/>
    <w:rsid w:val="008C1B55"/>
    <w:rsid w:val="008C2372"/>
    <w:rsid w:val="008C4D20"/>
    <w:rsid w:val="008C5B49"/>
    <w:rsid w:val="008C6583"/>
    <w:rsid w:val="008C6CAC"/>
    <w:rsid w:val="008C7549"/>
    <w:rsid w:val="008D0F54"/>
    <w:rsid w:val="008D1311"/>
    <w:rsid w:val="008D19DE"/>
    <w:rsid w:val="008D2429"/>
    <w:rsid w:val="008D27A3"/>
    <w:rsid w:val="008D2F11"/>
    <w:rsid w:val="008D408A"/>
    <w:rsid w:val="008D5566"/>
    <w:rsid w:val="008D67DE"/>
    <w:rsid w:val="008E368B"/>
    <w:rsid w:val="008E578D"/>
    <w:rsid w:val="008E74DB"/>
    <w:rsid w:val="008F016B"/>
    <w:rsid w:val="008F0480"/>
    <w:rsid w:val="008F07CF"/>
    <w:rsid w:val="008F2E23"/>
    <w:rsid w:val="008F3F46"/>
    <w:rsid w:val="008F4B74"/>
    <w:rsid w:val="008F6916"/>
    <w:rsid w:val="009008E1"/>
    <w:rsid w:val="00902029"/>
    <w:rsid w:val="00902D59"/>
    <w:rsid w:val="009030DB"/>
    <w:rsid w:val="009036A9"/>
    <w:rsid w:val="0090643F"/>
    <w:rsid w:val="00906C2F"/>
    <w:rsid w:val="009079FB"/>
    <w:rsid w:val="00911EFF"/>
    <w:rsid w:val="00913726"/>
    <w:rsid w:val="0091569F"/>
    <w:rsid w:val="009156B4"/>
    <w:rsid w:val="009167C0"/>
    <w:rsid w:val="0091782D"/>
    <w:rsid w:val="00920053"/>
    <w:rsid w:val="00920EC5"/>
    <w:rsid w:val="009215DF"/>
    <w:rsid w:val="00922169"/>
    <w:rsid w:val="00922B3D"/>
    <w:rsid w:val="009251FB"/>
    <w:rsid w:val="0092756D"/>
    <w:rsid w:val="00931B1D"/>
    <w:rsid w:val="00931C9D"/>
    <w:rsid w:val="0093238B"/>
    <w:rsid w:val="009336C2"/>
    <w:rsid w:val="00933E7A"/>
    <w:rsid w:val="009342DA"/>
    <w:rsid w:val="00936085"/>
    <w:rsid w:val="0094190B"/>
    <w:rsid w:val="00941A6C"/>
    <w:rsid w:val="0094321B"/>
    <w:rsid w:val="00943B29"/>
    <w:rsid w:val="00945C5D"/>
    <w:rsid w:val="00946F72"/>
    <w:rsid w:val="009475F9"/>
    <w:rsid w:val="00947888"/>
    <w:rsid w:val="009509DD"/>
    <w:rsid w:val="0095172C"/>
    <w:rsid w:val="00951889"/>
    <w:rsid w:val="00952234"/>
    <w:rsid w:val="0095269D"/>
    <w:rsid w:val="00952FEF"/>
    <w:rsid w:val="009539BC"/>
    <w:rsid w:val="0095435B"/>
    <w:rsid w:val="009550C2"/>
    <w:rsid w:val="00955890"/>
    <w:rsid w:val="00956515"/>
    <w:rsid w:val="00957C83"/>
    <w:rsid w:val="0096063B"/>
    <w:rsid w:val="00961B98"/>
    <w:rsid w:val="009629B1"/>
    <w:rsid w:val="009678B7"/>
    <w:rsid w:val="00970C82"/>
    <w:rsid w:val="009728FD"/>
    <w:rsid w:val="009740C4"/>
    <w:rsid w:val="0097446E"/>
    <w:rsid w:val="00974E26"/>
    <w:rsid w:val="00975481"/>
    <w:rsid w:val="009759BB"/>
    <w:rsid w:val="009767AA"/>
    <w:rsid w:val="00977648"/>
    <w:rsid w:val="00981035"/>
    <w:rsid w:val="00983315"/>
    <w:rsid w:val="00984A86"/>
    <w:rsid w:val="009867CC"/>
    <w:rsid w:val="00987774"/>
    <w:rsid w:val="00992C4B"/>
    <w:rsid w:val="00993516"/>
    <w:rsid w:val="00993D64"/>
    <w:rsid w:val="00994649"/>
    <w:rsid w:val="00995205"/>
    <w:rsid w:val="00997357"/>
    <w:rsid w:val="009A0721"/>
    <w:rsid w:val="009A1F84"/>
    <w:rsid w:val="009A245B"/>
    <w:rsid w:val="009A2C46"/>
    <w:rsid w:val="009A2DC1"/>
    <w:rsid w:val="009A3E38"/>
    <w:rsid w:val="009A45B3"/>
    <w:rsid w:val="009A4930"/>
    <w:rsid w:val="009A498F"/>
    <w:rsid w:val="009A4A32"/>
    <w:rsid w:val="009A4FB0"/>
    <w:rsid w:val="009A5A96"/>
    <w:rsid w:val="009A7337"/>
    <w:rsid w:val="009A7B5F"/>
    <w:rsid w:val="009A7DA9"/>
    <w:rsid w:val="009B08E9"/>
    <w:rsid w:val="009B2097"/>
    <w:rsid w:val="009B238F"/>
    <w:rsid w:val="009B3E59"/>
    <w:rsid w:val="009B4868"/>
    <w:rsid w:val="009B5C97"/>
    <w:rsid w:val="009B7671"/>
    <w:rsid w:val="009C1BD1"/>
    <w:rsid w:val="009C1FD3"/>
    <w:rsid w:val="009C3C19"/>
    <w:rsid w:val="009C3C86"/>
    <w:rsid w:val="009C6FB4"/>
    <w:rsid w:val="009D0CA2"/>
    <w:rsid w:val="009D1B58"/>
    <w:rsid w:val="009D2030"/>
    <w:rsid w:val="009D4102"/>
    <w:rsid w:val="009D51F0"/>
    <w:rsid w:val="009D559B"/>
    <w:rsid w:val="009D57FD"/>
    <w:rsid w:val="009D5AF0"/>
    <w:rsid w:val="009D77DA"/>
    <w:rsid w:val="009E2B46"/>
    <w:rsid w:val="009E442A"/>
    <w:rsid w:val="009E5720"/>
    <w:rsid w:val="009E6136"/>
    <w:rsid w:val="009F024F"/>
    <w:rsid w:val="009F1D1E"/>
    <w:rsid w:val="009F1DBC"/>
    <w:rsid w:val="009F2448"/>
    <w:rsid w:val="009F2C6E"/>
    <w:rsid w:val="009F3B1B"/>
    <w:rsid w:val="009F3BA1"/>
    <w:rsid w:val="009F4DB0"/>
    <w:rsid w:val="009F5109"/>
    <w:rsid w:val="009F7A69"/>
    <w:rsid w:val="00A00A05"/>
    <w:rsid w:val="00A00D21"/>
    <w:rsid w:val="00A00E51"/>
    <w:rsid w:val="00A01E32"/>
    <w:rsid w:val="00A024B0"/>
    <w:rsid w:val="00A067C6"/>
    <w:rsid w:val="00A07808"/>
    <w:rsid w:val="00A10204"/>
    <w:rsid w:val="00A10D9D"/>
    <w:rsid w:val="00A1178E"/>
    <w:rsid w:val="00A128EB"/>
    <w:rsid w:val="00A1331B"/>
    <w:rsid w:val="00A1388C"/>
    <w:rsid w:val="00A13EBF"/>
    <w:rsid w:val="00A14030"/>
    <w:rsid w:val="00A1436E"/>
    <w:rsid w:val="00A145A7"/>
    <w:rsid w:val="00A159A1"/>
    <w:rsid w:val="00A15CE6"/>
    <w:rsid w:val="00A17911"/>
    <w:rsid w:val="00A205BB"/>
    <w:rsid w:val="00A214E3"/>
    <w:rsid w:val="00A2161F"/>
    <w:rsid w:val="00A21BB9"/>
    <w:rsid w:val="00A25FCD"/>
    <w:rsid w:val="00A2728D"/>
    <w:rsid w:val="00A27542"/>
    <w:rsid w:val="00A27B96"/>
    <w:rsid w:val="00A30715"/>
    <w:rsid w:val="00A30D6A"/>
    <w:rsid w:val="00A32691"/>
    <w:rsid w:val="00A327FB"/>
    <w:rsid w:val="00A333FA"/>
    <w:rsid w:val="00A33C16"/>
    <w:rsid w:val="00A3465D"/>
    <w:rsid w:val="00A35768"/>
    <w:rsid w:val="00A35809"/>
    <w:rsid w:val="00A3676A"/>
    <w:rsid w:val="00A37263"/>
    <w:rsid w:val="00A37A2C"/>
    <w:rsid w:val="00A37D8F"/>
    <w:rsid w:val="00A42182"/>
    <w:rsid w:val="00A4222D"/>
    <w:rsid w:val="00A4322A"/>
    <w:rsid w:val="00A43D76"/>
    <w:rsid w:val="00A45686"/>
    <w:rsid w:val="00A45F7D"/>
    <w:rsid w:val="00A467F3"/>
    <w:rsid w:val="00A50518"/>
    <w:rsid w:val="00A50751"/>
    <w:rsid w:val="00A50C05"/>
    <w:rsid w:val="00A524A0"/>
    <w:rsid w:val="00A56805"/>
    <w:rsid w:val="00A654C5"/>
    <w:rsid w:val="00A65A81"/>
    <w:rsid w:val="00A67660"/>
    <w:rsid w:val="00A676C1"/>
    <w:rsid w:val="00A71A92"/>
    <w:rsid w:val="00A7321F"/>
    <w:rsid w:val="00A75D1D"/>
    <w:rsid w:val="00A75D41"/>
    <w:rsid w:val="00A75EA2"/>
    <w:rsid w:val="00A76B78"/>
    <w:rsid w:val="00A76DF1"/>
    <w:rsid w:val="00A76EFC"/>
    <w:rsid w:val="00A77896"/>
    <w:rsid w:val="00A81094"/>
    <w:rsid w:val="00A8160C"/>
    <w:rsid w:val="00A82334"/>
    <w:rsid w:val="00A83394"/>
    <w:rsid w:val="00A835BC"/>
    <w:rsid w:val="00A840B1"/>
    <w:rsid w:val="00A844CD"/>
    <w:rsid w:val="00A84812"/>
    <w:rsid w:val="00A85998"/>
    <w:rsid w:val="00A8647C"/>
    <w:rsid w:val="00A918E7"/>
    <w:rsid w:val="00A9198C"/>
    <w:rsid w:val="00A925D6"/>
    <w:rsid w:val="00A928FC"/>
    <w:rsid w:val="00A94103"/>
    <w:rsid w:val="00A94CC5"/>
    <w:rsid w:val="00A94F89"/>
    <w:rsid w:val="00A9655E"/>
    <w:rsid w:val="00A9698E"/>
    <w:rsid w:val="00A975FE"/>
    <w:rsid w:val="00A976CA"/>
    <w:rsid w:val="00AA1803"/>
    <w:rsid w:val="00AA210A"/>
    <w:rsid w:val="00AA212C"/>
    <w:rsid w:val="00AA549E"/>
    <w:rsid w:val="00AA54F2"/>
    <w:rsid w:val="00AA5EC0"/>
    <w:rsid w:val="00AA6571"/>
    <w:rsid w:val="00AA73FB"/>
    <w:rsid w:val="00AB0861"/>
    <w:rsid w:val="00AB12F4"/>
    <w:rsid w:val="00AB2DC3"/>
    <w:rsid w:val="00AB2E22"/>
    <w:rsid w:val="00AB3BE6"/>
    <w:rsid w:val="00AB487E"/>
    <w:rsid w:val="00AB4A5F"/>
    <w:rsid w:val="00AB7892"/>
    <w:rsid w:val="00AB7AB6"/>
    <w:rsid w:val="00AC1838"/>
    <w:rsid w:val="00AC1941"/>
    <w:rsid w:val="00AC284D"/>
    <w:rsid w:val="00AC33A3"/>
    <w:rsid w:val="00AC36F4"/>
    <w:rsid w:val="00AC43A0"/>
    <w:rsid w:val="00AD01C6"/>
    <w:rsid w:val="00AD0285"/>
    <w:rsid w:val="00AD1016"/>
    <w:rsid w:val="00AD136C"/>
    <w:rsid w:val="00AD2213"/>
    <w:rsid w:val="00AD5902"/>
    <w:rsid w:val="00AD763F"/>
    <w:rsid w:val="00AE2712"/>
    <w:rsid w:val="00AE2E2B"/>
    <w:rsid w:val="00AE34B6"/>
    <w:rsid w:val="00AE389B"/>
    <w:rsid w:val="00AE40BB"/>
    <w:rsid w:val="00AE42A2"/>
    <w:rsid w:val="00AE527E"/>
    <w:rsid w:val="00AE690B"/>
    <w:rsid w:val="00AE74B4"/>
    <w:rsid w:val="00AF114E"/>
    <w:rsid w:val="00AF50B5"/>
    <w:rsid w:val="00AF5A3E"/>
    <w:rsid w:val="00AF6825"/>
    <w:rsid w:val="00AF712F"/>
    <w:rsid w:val="00B0066D"/>
    <w:rsid w:val="00B00F57"/>
    <w:rsid w:val="00B01347"/>
    <w:rsid w:val="00B01D51"/>
    <w:rsid w:val="00B02A22"/>
    <w:rsid w:val="00B0374E"/>
    <w:rsid w:val="00B0490B"/>
    <w:rsid w:val="00B051C9"/>
    <w:rsid w:val="00B06790"/>
    <w:rsid w:val="00B13006"/>
    <w:rsid w:val="00B13061"/>
    <w:rsid w:val="00B14105"/>
    <w:rsid w:val="00B14661"/>
    <w:rsid w:val="00B15AB2"/>
    <w:rsid w:val="00B16C85"/>
    <w:rsid w:val="00B2023B"/>
    <w:rsid w:val="00B21A78"/>
    <w:rsid w:val="00B24394"/>
    <w:rsid w:val="00B2469B"/>
    <w:rsid w:val="00B246BA"/>
    <w:rsid w:val="00B2696F"/>
    <w:rsid w:val="00B26E09"/>
    <w:rsid w:val="00B273BD"/>
    <w:rsid w:val="00B2741E"/>
    <w:rsid w:val="00B27459"/>
    <w:rsid w:val="00B3090E"/>
    <w:rsid w:val="00B322DC"/>
    <w:rsid w:val="00B325E2"/>
    <w:rsid w:val="00B32EA6"/>
    <w:rsid w:val="00B33D67"/>
    <w:rsid w:val="00B340A6"/>
    <w:rsid w:val="00B3439C"/>
    <w:rsid w:val="00B3481E"/>
    <w:rsid w:val="00B369A1"/>
    <w:rsid w:val="00B40063"/>
    <w:rsid w:val="00B40EB8"/>
    <w:rsid w:val="00B41322"/>
    <w:rsid w:val="00B43260"/>
    <w:rsid w:val="00B443CA"/>
    <w:rsid w:val="00B4494A"/>
    <w:rsid w:val="00B45772"/>
    <w:rsid w:val="00B458CF"/>
    <w:rsid w:val="00B51B5C"/>
    <w:rsid w:val="00B525A1"/>
    <w:rsid w:val="00B52CFA"/>
    <w:rsid w:val="00B54356"/>
    <w:rsid w:val="00B562F5"/>
    <w:rsid w:val="00B56ED0"/>
    <w:rsid w:val="00B57BA6"/>
    <w:rsid w:val="00B60BAF"/>
    <w:rsid w:val="00B6152F"/>
    <w:rsid w:val="00B61D8E"/>
    <w:rsid w:val="00B63C7E"/>
    <w:rsid w:val="00B64AF3"/>
    <w:rsid w:val="00B704ED"/>
    <w:rsid w:val="00B72425"/>
    <w:rsid w:val="00B75020"/>
    <w:rsid w:val="00B75DE1"/>
    <w:rsid w:val="00B81134"/>
    <w:rsid w:val="00B814D5"/>
    <w:rsid w:val="00B8383B"/>
    <w:rsid w:val="00B85D3B"/>
    <w:rsid w:val="00B864D6"/>
    <w:rsid w:val="00B87319"/>
    <w:rsid w:val="00B902CB"/>
    <w:rsid w:val="00B94BFB"/>
    <w:rsid w:val="00B9503C"/>
    <w:rsid w:val="00B95158"/>
    <w:rsid w:val="00B95FF5"/>
    <w:rsid w:val="00B96F97"/>
    <w:rsid w:val="00B9708D"/>
    <w:rsid w:val="00B97475"/>
    <w:rsid w:val="00BA07DD"/>
    <w:rsid w:val="00BA0A3C"/>
    <w:rsid w:val="00BA3730"/>
    <w:rsid w:val="00BA64F0"/>
    <w:rsid w:val="00BA68DE"/>
    <w:rsid w:val="00BA6D43"/>
    <w:rsid w:val="00BA7CF5"/>
    <w:rsid w:val="00BB153C"/>
    <w:rsid w:val="00BB1C4B"/>
    <w:rsid w:val="00BB1FE3"/>
    <w:rsid w:val="00BB3880"/>
    <w:rsid w:val="00BB78CE"/>
    <w:rsid w:val="00BB7BC7"/>
    <w:rsid w:val="00BC031C"/>
    <w:rsid w:val="00BC0D86"/>
    <w:rsid w:val="00BC29D7"/>
    <w:rsid w:val="00BC48DC"/>
    <w:rsid w:val="00BC61A3"/>
    <w:rsid w:val="00BC7978"/>
    <w:rsid w:val="00BD04E3"/>
    <w:rsid w:val="00BD2E3E"/>
    <w:rsid w:val="00BD3522"/>
    <w:rsid w:val="00BD3805"/>
    <w:rsid w:val="00BD4C94"/>
    <w:rsid w:val="00BD4D1B"/>
    <w:rsid w:val="00BD5374"/>
    <w:rsid w:val="00BD554E"/>
    <w:rsid w:val="00BD5D81"/>
    <w:rsid w:val="00BE081D"/>
    <w:rsid w:val="00BE1ECC"/>
    <w:rsid w:val="00BE2242"/>
    <w:rsid w:val="00BE38C0"/>
    <w:rsid w:val="00BE3B52"/>
    <w:rsid w:val="00BE3FC0"/>
    <w:rsid w:val="00BE4E69"/>
    <w:rsid w:val="00BE6506"/>
    <w:rsid w:val="00BE7B83"/>
    <w:rsid w:val="00BF1591"/>
    <w:rsid w:val="00BF2CB5"/>
    <w:rsid w:val="00BF356F"/>
    <w:rsid w:val="00BF3E3B"/>
    <w:rsid w:val="00BF4934"/>
    <w:rsid w:val="00BF58AD"/>
    <w:rsid w:val="00BF5F70"/>
    <w:rsid w:val="00BF6C40"/>
    <w:rsid w:val="00BF70CA"/>
    <w:rsid w:val="00BF73F7"/>
    <w:rsid w:val="00C00DEC"/>
    <w:rsid w:val="00C01ABC"/>
    <w:rsid w:val="00C01BCC"/>
    <w:rsid w:val="00C04725"/>
    <w:rsid w:val="00C04BB2"/>
    <w:rsid w:val="00C106B0"/>
    <w:rsid w:val="00C10973"/>
    <w:rsid w:val="00C201A9"/>
    <w:rsid w:val="00C2085A"/>
    <w:rsid w:val="00C212BF"/>
    <w:rsid w:val="00C21801"/>
    <w:rsid w:val="00C21D4A"/>
    <w:rsid w:val="00C226AA"/>
    <w:rsid w:val="00C23261"/>
    <w:rsid w:val="00C236DC"/>
    <w:rsid w:val="00C23B02"/>
    <w:rsid w:val="00C25957"/>
    <w:rsid w:val="00C27399"/>
    <w:rsid w:val="00C27BC1"/>
    <w:rsid w:val="00C30023"/>
    <w:rsid w:val="00C3053C"/>
    <w:rsid w:val="00C305E5"/>
    <w:rsid w:val="00C30815"/>
    <w:rsid w:val="00C32371"/>
    <w:rsid w:val="00C3329C"/>
    <w:rsid w:val="00C34719"/>
    <w:rsid w:val="00C34B81"/>
    <w:rsid w:val="00C36EDB"/>
    <w:rsid w:val="00C373F5"/>
    <w:rsid w:val="00C378A5"/>
    <w:rsid w:val="00C42122"/>
    <w:rsid w:val="00C429E2"/>
    <w:rsid w:val="00C44545"/>
    <w:rsid w:val="00C445EF"/>
    <w:rsid w:val="00C44793"/>
    <w:rsid w:val="00C46E79"/>
    <w:rsid w:val="00C47931"/>
    <w:rsid w:val="00C47F62"/>
    <w:rsid w:val="00C50FC5"/>
    <w:rsid w:val="00C5105B"/>
    <w:rsid w:val="00C514D5"/>
    <w:rsid w:val="00C52509"/>
    <w:rsid w:val="00C52611"/>
    <w:rsid w:val="00C53A9A"/>
    <w:rsid w:val="00C54127"/>
    <w:rsid w:val="00C54DA0"/>
    <w:rsid w:val="00C55157"/>
    <w:rsid w:val="00C55789"/>
    <w:rsid w:val="00C56117"/>
    <w:rsid w:val="00C60865"/>
    <w:rsid w:val="00C610AD"/>
    <w:rsid w:val="00C62728"/>
    <w:rsid w:val="00C63D03"/>
    <w:rsid w:val="00C641CD"/>
    <w:rsid w:val="00C66EAC"/>
    <w:rsid w:val="00C67054"/>
    <w:rsid w:val="00C67AD2"/>
    <w:rsid w:val="00C71C99"/>
    <w:rsid w:val="00C72C11"/>
    <w:rsid w:val="00C73CDD"/>
    <w:rsid w:val="00C74F6E"/>
    <w:rsid w:val="00C7598E"/>
    <w:rsid w:val="00C76A95"/>
    <w:rsid w:val="00C76EDD"/>
    <w:rsid w:val="00C80D0F"/>
    <w:rsid w:val="00C820DC"/>
    <w:rsid w:val="00C84054"/>
    <w:rsid w:val="00C84B11"/>
    <w:rsid w:val="00C854C7"/>
    <w:rsid w:val="00C85900"/>
    <w:rsid w:val="00C86BAB"/>
    <w:rsid w:val="00C874AD"/>
    <w:rsid w:val="00C91C39"/>
    <w:rsid w:val="00C91D9C"/>
    <w:rsid w:val="00C92EDD"/>
    <w:rsid w:val="00C939D6"/>
    <w:rsid w:val="00C95A59"/>
    <w:rsid w:val="00C964C8"/>
    <w:rsid w:val="00C97D22"/>
    <w:rsid w:val="00C97E82"/>
    <w:rsid w:val="00CA1AF4"/>
    <w:rsid w:val="00CA1D32"/>
    <w:rsid w:val="00CA3617"/>
    <w:rsid w:val="00CA4A13"/>
    <w:rsid w:val="00CA4DB4"/>
    <w:rsid w:val="00CA6898"/>
    <w:rsid w:val="00CA6D60"/>
    <w:rsid w:val="00CA78AD"/>
    <w:rsid w:val="00CB0AB2"/>
    <w:rsid w:val="00CB1017"/>
    <w:rsid w:val="00CB1A2B"/>
    <w:rsid w:val="00CB21A6"/>
    <w:rsid w:val="00CB244B"/>
    <w:rsid w:val="00CB2F07"/>
    <w:rsid w:val="00CB4EBA"/>
    <w:rsid w:val="00CB5854"/>
    <w:rsid w:val="00CB707E"/>
    <w:rsid w:val="00CB72FD"/>
    <w:rsid w:val="00CB7F1B"/>
    <w:rsid w:val="00CB7FB8"/>
    <w:rsid w:val="00CC271B"/>
    <w:rsid w:val="00CC2BA9"/>
    <w:rsid w:val="00CC4E0C"/>
    <w:rsid w:val="00CC4E0D"/>
    <w:rsid w:val="00CC5F88"/>
    <w:rsid w:val="00CC7376"/>
    <w:rsid w:val="00CC7AE8"/>
    <w:rsid w:val="00CD0997"/>
    <w:rsid w:val="00CD133D"/>
    <w:rsid w:val="00CD138F"/>
    <w:rsid w:val="00CD1E43"/>
    <w:rsid w:val="00CD1FF4"/>
    <w:rsid w:val="00CD2150"/>
    <w:rsid w:val="00CD257A"/>
    <w:rsid w:val="00CD2980"/>
    <w:rsid w:val="00CD37AC"/>
    <w:rsid w:val="00CD707E"/>
    <w:rsid w:val="00CE1080"/>
    <w:rsid w:val="00CE1CC5"/>
    <w:rsid w:val="00CE2B29"/>
    <w:rsid w:val="00CE2B85"/>
    <w:rsid w:val="00CE32DC"/>
    <w:rsid w:val="00CE3D0B"/>
    <w:rsid w:val="00CE552F"/>
    <w:rsid w:val="00CE55E9"/>
    <w:rsid w:val="00CE5ED5"/>
    <w:rsid w:val="00CE7273"/>
    <w:rsid w:val="00CF0D90"/>
    <w:rsid w:val="00CF26EA"/>
    <w:rsid w:val="00CF2811"/>
    <w:rsid w:val="00CF3AE9"/>
    <w:rsid w:val="00CF3FA2"/>
    <w:rsid w:val="00CF4289"/>
    <w:rsid w:val="00CF73E0"/>
    <w:rsid w:val="00CF7F97"/>
    <w:rsid w:val="00D00FC7"/>
    <w:rsid w:val="00D0212C"/>
    <w:rsid w:val="00D029A2"/>
    <w:rsid w:val="00D04BDD"/>
    <w:rsid w:val="00D05397"/>
    <w:rsid w:val="00D0786F"/>
    <w:rsid w:val="00D128D6"/>
    <w:rsid w:val="00D14C5A"/>
    <w:rsid w:val="00D151AE"/>
    <w:rsid w:val="00D157D5"/>
    <w:rsid w:val="00D1636E"/>
    <w:rsid w:val="00D20270"/>
    <w:rsid w:val="00D20AAE"/>
    <w:rsid w:val="00D21D94"/>
    <w:rsid w:val="00D24C41"/>
    <w:rsid w:val="00D310C3"/>
    <w:rsid w:val="00D31742"/>
    <w:rsid w:val="00D31B0C"/>
    <w:rsid w:val="00D3232F"/>
    <w:rsid w:val="00D32D70"/>
    <w:rsid w:val="00D33C2F"/>
    <w:rsid w:val="00D36274"/>
    <w:rsid w:val="00D367E0"/>
    <w:rsid w:val="00D3782E"/>
    <w:rsid w:val="00D412A1"/>
    <w:rsid w:val="00D42AEC"/>
    <w:rsid w:val="00D43021"/>
    <w:rsid w:val="00D436AF"/>
    <w:rsid w:val="00D43EC2"/>
    <w:rsid w:val="00D463F7"/>
    <w:rsid w:val="00D46877"/>
    <w:rsid w:val="00D47379"/>
    <w:rsid w:val="00D51A8F"/>
    <w:rsid w:val="00D51FF9"/>
    <w:rsid w:val="00D5278C"/>
    <w:rsid w:val="00D53D05"/>
    <w:rsid w:val="00D5450A"/>
    <w:rsid w:val="00D54531"/>
    <w:rsid w:val="00D54F43"/>
    <w:rsid w:val="00D55B77"/>
    <w:rsid w:val="00D55CA8"/>
    <w:rsid w:val="00D60083"/>
    <w:rsid w:val="00D62FE8"/>
    <w:rsid w:val="00D641C9"/>
    <w:rsid w:val="00D64A94"/>
    <w:rsid w:val="00D70257"/>
    <w:rsid w:val="00D70D47"/>
    <w:rsid w:val="00D70E73"/>
    <w:rsid w:val="00D714C2"/>
    <w:rsid w:val="00D7204D"/>
    <w:rsid w:val="00D757D6"/>
    <w:rsid w:val="00D76911"/>
    <w:rsid w:val="00D808E7"/>
    <w:rsid w:val="00D80EC8"/>
    <w:rsid w:val="00D82ABA"/>
    <w:rsid w:val="00D83471"/>
    <w:rsid w:val="00D84FC5"/>
    <w:rsid w:val="00D8584D"/>
    <w:rsid w:val="00D873C1"/>
    <w:rsid w:val="00D8750E"/>
    <w:rsid w:val="00D90461"/>
    <w:rsid w:val="00D9051C"/>
    <w:rsid w:val="00D92380"/>
    <w:rsid w:val="00D9396D"/>
    <w:rsid w:val="00D941CC"/>
    <w:rsid w:val="00D945FF"/>
    <w:rsid w:val="00D948C9"/>
    <w:rsid w:val="00D96937"/>
    <w:rsid w:val="00DA2AEB"/>
    <w:rsid w:val="00DA3628"/>
    <w:rsid w:val="00DA4856"/>
    <w:rsid w:val="00DA61DA"/>
    <w:rsid w:val="00DA698E"/>
    <w:rsid w:val="00DB252E"/>
    <w:rsid w:val="00DB2C1F"/>
    <w:rsid w:val="00DB314C"/>
    <w:rsid w:val="00DB32A7"/>
    <w:rsid w:val="00DB33CD"/>
    <w:rsid w:val="00DB3EFF"/>
    <w:rsid w:val="00DB688F"/>
    <w:rsid w:val="00DC09C3"/>
    <w:rsid w:val="00DC0FAC"/>
    <w:rsid w:val="00DC2A29"/>
    <w:rsid w:val="00DC382E"/>
    <w:rsid w:val="00DC4460"/>
    <w:rsid w:val="00DC6FFD"/>
    <w:rsid w:val="00DC7307"/>
    <w:rsid w:val="00DD08A2"/>
    <w:rsid w:val="00DD15E2"/>
    <w:rsid w:val="00DD237B"/>
    <w:rsid w:val="00DD2E0B"/>
    <w:rsid w:val="00DD3220"/>
    <w:rsid w:val="00DD3458"/>
    <w:rsid w:val="00DD4283"/>
    <w:rsid w:val="00DD7D57"/>
    <w:rsid w:val="00DD7FA4"/>
    <w:rsid w:val="00DE11D9"/>
    <w:rsid w:val="00DE218F"/>
    <w:rsid w:val="00DE295A"/>
    <w:rsid w:val="00DE463F"/>
    <w:rsid w:val="00DE50A6"/>
    <w:rsid w:val="00DE6332"/>
    <w:rsid w:val="00DF028E"/>
    <w:rsid w:val="00DF0FDC"/>
    <w:rsid w:val="00DF13E3"/>
    <w:rsid w:val="00DF4395"/>
    <w:rsid w:val="00DF53A6"/>
    <w:rsid w:val="00DF630C"/>
    <w:rsid w:val="00DF632A"/>
    <w:rsid w:val="00E0006B"/>
    <w:rsid w:val="00E002D7"/>
    <w:rsid w:val="00E02610"/>
    <w:rsid w:val="00E02D2F"/>
    <w:rsid w:val="00E052A6"/>
    <w:rsid w:val="00E06010"/>
    <w:rsid w:val="00E06331"/>
    <w:rsid w:val="00E06D1F"/>
    <w:rsid w:val="00E10737"/>
    <w:rsid w:val="00E1138D"/>
    <w:rsid w:val="00E1496D"/>
    <w:rsid w:val="00E15D8C"/>
    <w:rsid w:val="00E16C47"/>
    <w:rsid w:val="00E20238"/>
    <w:rsid w:val="00E20B4B"/>
    <w:rsid w:val="00E21C3A"/>
    <w:rsid w:val="00E21F46"/>
    <w:rsid w:val="00E22136"/>
    <w:rsid w:val="00E22BDF"/>
    <w:rsid w:val="00E23B15"/>
    <w:rsid w:val="00E24225"/>
    <w:rsid w:val="00E2513C"/>
    <w:rsid w:val="00E2681A"/>
    <w:rsid w:val="00E30E7B"/>
    <w:rsid w:val="00E331DB"/>
    <w:rsid w:val="00E36993"/>
    <w:rsid w:val="00E36E2B"/>
    <w:rsid w:val="00E37E84"/>
    <w:rsid w:val="00E40FBF"/>
    <w:rsid w:val="00E41D17"/>
    <w:rsid w:val="00E44775"/>
    <w:rsid w:val="00E47B61"/>
    <w:rsid w:val="00E5064C"/>
    <w:rsid w:val="00E51A4B"/>
    <w:rsid w:val="00E51B2B"/>
    <w:rsid w:val="00E521CA"/>
    <w:rsid w:val="00E53431"/>
    <w:rsid w:val="00E53DAE"/>
    <w:rsid w:val="00E56CA2"/>
    <w:rsid w:val="00E6036B"/>
    <w:rsid w:val="00E62752"/>
    <w:rsid w:val="00E6310D"/>
    <w:rsid w:val="00E63941"/>
    <w:rsid w:val="00E65305"/>
    <w:rsid w:val="00E653E4"/>
    <w:rsid w:val="00E66273"/>
    <w:rsid w:val="00E733DD"/>
    <w:rsid w:val="00E73F28"/>
    <w:rsid w:val="00E7537F"/>
    <w:rsid w:val="00E76EF0"/>
    <w:rsid w:val="00E77404"/>
    <w:rsid w:val="00E81398"/>
    <w:rsid w:val="00E83D9E"/>
    <w:rsid w:val="00E83FF9"/>
    <w:rsid w:val="00E84521"/>
    <w:rsid w:val="00E85AD2"/>
    <w:rsid w:val="00E862ED"/>
    <w:rsid w:val="00E8659D"/>
    <w:rsid w:val="00E86651"/>
    <w:rsid w:val="00E875B0"/>
    <w:rsid w:val="00E87742"/>
    <w:rsid w:val="00E87DD8"/>
    <w:rsid w:val="00E87E7D"/>
    <w:rsid w:val="00E92409"/>
    <w:rsid w:val="00E92B08"/>
    <w:rsid w:val="00E933A4"/>
    <w:rsid w:val="00E949FD"/>
    <w:rsid w:val="00E950A7"/>
    <w:rsid w:val="00E967A3"/>
    <w:rsid w:val="00EA0C09"/>
    <w:rsid w:val="00EA28B0"/>
    <w:rsid w:val="00EA3B51"/>
    <w:rsid w:val="00EA440F"/>
    <w:rsid w:val="00EA6802"/>
    <w:rsid w:val="00EB0A4C"/>
    <w:rsid w:val="00EB19EE"/>
    <w:rsid w:val="00EB27B7"/>
    <w:rsid w:val="00EB2B2C"/>
    <w:rsid w:val="00EB2D5D"/>
    <w:rsid w:val="00EB46A7"/>
    <w:rsid w:val="00EB5CB1"/>
    <w:rsid w:val="00EB6D75"/>
    <w:rsid w:val="00EB6FDC"/>
    <w:rsid w:val="00EB70FE"/>
    <w:rsid w:val="00EB7202"/>
    <w:rsid w:val="00EC0AF5"/>
    <w:rsid w:val="00EC0C64"/>
    <w:rsid w:val="00EC1F0A"/>
    <w:rsid w:val="00EC24A8"/>
    <w:rsid w:val="00EC4D24"/>
    <w:rsid w:val="00EC4E26"/>
    <w:rsid w:val="00EC63B8"/>
    <w:rsid w:val="00EC6DC0"/>
    <w:rsid w:val="00EC7884"/>
    <w:rsid w:val="00EC7950"/>
    <w:rsid w:val="00EC7FB8"/>
    <w:rsid w:val="00ED3DD7"/>
    <w:rsid w:val="00ED417E"/>
    <w:rsid w:val="00ED4ED5"/>
    <w:rsid w:val="00ED501D"/>
    <w:rsid w:val="00ED57B9"/>
    <w:rsid w:val="00ED6319"/>
    <w:rsid w:val="00ED669C"/>
    <w:rsid w:val="00ED7812"/>
    <w:rsid w:val="00EE0B39"/>
    <w:rsid w:val="00EE1A98"/>
    <w:rsid w:val="00EE1BBC"/>
    <w:rsid w:val="00EE34D4"/>
    <w:rsid w:val="00EE5105"/>
    <w:rsid w:val="00EE566E"/>
    <w:rsid w:val="00EE7930"/>
    <w:rsid w:val="00EF04CF"/>
    <w:rsid w:val="00EF2D64"/>
    <w:rsid w:val="00EF321F"/>
    <w:rsid w:val="00EF34A7"/>
    <w:rsid w:val="00EF5A6E"/>
    <w:rsid w:val="00EF62F9"/>
    <w:rsid w:val="00EF7028"/>
    <w:rsid w:val="00EF7E9F"/>
    <w:rsid w:val="00F00C37"/>
    <w:rsid w:val="00F00D63"/>
    <w:rsid w:val="00F01236"/>
    <w:rsid w:val="00F012D4"/>
    <w:rsid w:val="00F043BE"/>
    <w:rsid w:val="00F053E5"/>
    <w:rsid w:val="00F055BA"/>
    <w:rsid w:val="00F068E9"/>
    <w:rsid w:val="00F075DF"/>
    <w:rsid w:val="00F07FC2"/>
    <w:rsid w:val="00F112CB"/>
    <w:rsid w:val="00F11FD2"/>
    <w:rsid w:val="00F123FB"/>
    <w:rsid w:val="00F1450C"/>
    <w:rsid w:val="00F168D4"/>
    <w:rsid w:val="00F20884"/>
    <w:rsid w:val="00F21886"/>
    <w:rsid w:val="00F2192D"/>
    <w:rsid w:val="00F2396A"/>
    <w:rsid w:val="00F242A1"/>
    <w:rsid w:val="00F25589"/>
    <w:rsid w:val="00F2684E"/>
    <w:rsid w:val="00F27140"/>
    <w:rsid w:val="00F316A9"/>
    <w:rsid w:val="00F3230D"/>
    <w:rsid w:val="00F32C42"/>
    <w:rsid w:val="00F32D0A"/>
    <w:rsid w:val="00F335EC"/>
    <w:rsid w:val="00F33EE7"/>
    <w:rsid w:val="00F35934"/>
    <w:rsid w:val="00F37248"/>
    <w:rsid w:val="00F3732B"/>
    <w:rsid w:val="00F40DC0"/>
    <w:rsid w:val="00F443B8"/>
    <w:rsid w:val="00F44598"/>
    <w:rsid w:val="00F446F2"/>
    <w:rsid w:val="00F47C5C"/>
    <w:rsid w:val="00F50C17"/>
    <w:rsid w:val="00F513C0"/>
    <w:rsid w:val="00F517C1"/>
    <w:rsid w:val="00F5304B"/>
    <w:rsid w:val="00F531F3"/>
    <w:rsid w:val="00F541A4"/>
    <w:rsid w:val="00F57D92"/>
    <w:rsid w:val="00F64830"/>
    <w:rsid w:val="00F649AD"/>
    <w:rsid w:val="00F649D5"/>
    <w:rsid w:val="00F65393"/>
    <w:rsid w:val="00F65AB6"/>
    <w:rsid w:val="00F66451"/>
    <w:rsid w:val="00F66949"/>
    <w:rsid w:val="00F67205"/>
    <w:rsid w:val="00F673CE"/>
    <w:rsid w:val="00F728D5"/>
    <w:rsid w:val="00F7358B"/>
    <w:rsid w:val="00F73617"/>
    <w:rsid w:val="00F7398F"/>
    <w:rsid w:val="00F7455A"/>
    <w:rsid w:val="00F77A4D"/>
    <w:rsid w:val="00F77D15"/>
    <w:rsid w:val="00F8095C"/>
    <w:rsid w:val="00F80E6A"/>
    <w:rsid w:val="00F8303B"/>
    <w:rsid w:val="00F832F7"/>
    <w:rsid w:val="00F8512A"/>
    <w:rsid w:val="00F91698"/>
    <w:rsid w:val="00F92265"/>
    <w:rsid w:val="00F936C3"/>
    <w:rsid w:val="00F93B34"/>
    <w:rsid w:val="00F94D27"/>
    <w:rsid w:val="00F962C8"/>
    <w:rsid w:val="00FA102F"/>
    <w:rsid w:val="00FA2D44"/>
    <w:rsid w:val="00FA44EC"/>
    <w:rsid w:val="00FA4E10"/>
    <w:rsid w:val="00FA4F5F"/>
    <w:rsid w:val="00FA729E"/>
    <w:rsid w:val="00FB0593"/>
    <w:rsid w:val="00FB05B6"/>
    <w:rsid w:val="00FB06F1"/>
    <w:rsid w:val="00FB0784"/>
    <w:rsid w:val="00FB48F5"/>
    <w:rsid w:val="00FB76DA"/>
    <w:rsid w:val="00FB7B7C"/>
    <w:rsid w:val="00FC1F96"/>
    <w:rsid w:val="00FC5942"/>
    <w:rsid w:val="00FC5E3C"/>
    <w:rsid w:val="00FC60EB"/>
    <w:rsid w:val="00FC705D"/>
    <w:rsid w:val="00FC720D"/>
    <w:rsid w:val="00FC76A3"/>
    <w:rsid w:val="00FC7D80"/>
    <w:rsid w:val="00FC7FD3"/>
    <w:rsid w:val="00FD1557"/>
    <w:rsid w:val="00FD5B38"/>
    <w:rsid w:val="00FD6888"/>
    <w:rsid w:val="00FE067A"/>
    <w:rsid w:val="00FE0F0B"/>
    <w:rsid w:val="00FE1E31"/>
    <w:rsid w:val="00FE1F28"/>
    <w:rsid w:val="00FE2410"/>
    <w:rsid w:val="00FE2C03"/>
    <w:rsid w:val="00FE3155"/>
    <w:rsid w:val="00FE3C35"/>
    <w:rsid w:val="00FE639D"/>
    <w:rsid w:val="00FE6E80"/>
    <w:rsid w:val="00FF0A6F"/>
    <w:rsid w:val="00FF104D"/>
    <w:rsid w:val="00FF2F24"/>
    <w:rsid w:val="00FF47B4"/>
    <w:rsid w:val="00FF4870"/>
    <w:rsid w:val="00FF5210"/>
    <w:rsid w:val="00FF6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C2A7B4-C013-4BE1-99D5-C121F077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qFormat/>
    <w:rsid w:val="002C79D6"/>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11"/>
    <w:next w:val="a"/>
    <w:link w:val="20"/>
    <w:uiPriority w:val="9"/>
    <w:unhideWhenUsed/>
    <w:qFormat/>
    <w:rsid w:val="002D7384"/>
    <w:pPr>
      <w:keepNext w:val="0"/>
      <w:tabs>
        <w:tab w:val="right" w:leader="dot" w:pos="10206"/>
      </w:tabs>
      <w:spacing w:afterLines="70" w:after="252" w:line="440" w:lineRule="exact"/>
      <w:ind w:right="-2"/>
      <w:jc w:val="both"/>
      <w:outlineLvl w:val="1"/>
    </w:pPr>
    <w:rPr>
      <w:bCs w:val="0"/>
      <w:noProof/>
      <w:kern w:val="2"/>
      <w:szCs w:val="28"/>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57FD"/>
    <w:pPr>
      <w:ind w:leftChars="200" w:left="480"/>
    </w:pPr>
  </w:style>
  <w:style w:type="paragraph" w:styleId="HTML">
    <w:name w:val="HTML Preformatted"/>
    <w:basedOn w:val="a"/>
    <w:link w:val="HTML0"/>
    <w:uiPriority w:val="99"/>
    <w:unhideWhenUsed/>
    <w:rsid w:val="009D5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333333"/>
      <w:kern w:val="0"/>
      <w:sz w:val="20"/>
      <w:szCs w:val="24"/>
      <w:lang w:val="x-none" w:eastAsia="x-none"/>
    </w:rPr>
  </w:style>
  <w:style w:type="character" w:customStyle="1" w:styleId="HTML0">
    <w:name w:val="HTML 預設格式 字元"/>
    <w:link w:val="HTML"/>
    <w:uiPriority w:val="99"/>
    <w:rsid w:val="009D57FD"/>
    <w:rPr>
      <w:rFonts w:ascii="細明體" w:eastAsia="細明體" w:hAnsi="細明體" w:cs="細明體"/>
      <w:color w:val="333333"/>
      <w:kern w:val="0"/>
      <w:szCs w:val="24"/>
    </w:rPr>
  </w:style>
  <w:style w:type="paragraph" w:styleId="a5">
    <w:name w:val="header"/>
    <w:basedOn w:val="a"/>
    <w:link w:val="a6"/>
    <w:unhideWhenUsed/>
    <w:rsid w:val="00C10973"/>
    <w:pPr>
      <w:tabs>
        <w:tab w:val="center" w:pos="4153"/>
        <w:tab w:val="right" w:pos="8306"/>
      </w:tabs>
      <w:snapToGrid w:val="0"/>
    </w:pPr>
    <w:rPr>
      <w:kern w:val="0"/>
      <w:sz w:val="20"/>
      <w:szCs w:val="20"/>
      <w:lang w:val="x-none" w:eastAsia="x-none"/>
    </w:rPr>
  </w:style>
  <w:style w:type="character" w:customStyle="1" w:styleId="a6">
    <w:name w:val="頁首 字元"/>
    <w:link w:val="a5"/>
    <w:rsid w:val="00C10973"/>
    <w:rPr>
      <w:sz w:val="20"/>
      <w:szCs w:val="20"/>
    </w:rPr>
  </w:style>
  <w:style w:type="paragraph" w:styleId="a7">
    <w:name w:val="footer"/>
    <w:basedOn w:val="a"/>
    <w:link w:val="a8"/>
    <w:unhideWhenUsed/>
    <w:rsid w:val="00C10973"/>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C10973"/>
    <w:rPr>
      <w:sz w:val="20"/>
      <w:szCs w:val="20"/>
    </w:rPr>
  </w:style>
  <w:style w:type="character" w:styleId="a9">
    <w:name w:val="annotation reference"/>
    <w:uiPriority w:val="99"/>
    <w:semiHidden/>
    <w:unhideWhenUsed/>
    <w:rsid w:val="00A00E51"/>
    <w:rPr>
      <w:sz w:val="18"/>
      <w:szCs w:val="18"/>
    </w:rPr>
  </w:style>
  <w:style w:type="paragraph" w:styleId="aa">
    <w:name w:val="annotation text"/>
    <w:basedOn w:val="a"/>
    <w:link w:val="ab"/>
    <w:uiPriority w:val="99"/>
    <w:semiHidden/>
    <w:unhideWhenUsed/>
    <w:rsid w:val="00A00E51"/>
  </w:style>
  <w:style w:type="character" w:customStyle="1" w:styleId="ab">
    <w:name w:val="註解文字 字元"/>
    <w:basedOn w:val="a0"/>
    <w:link w:val="aa"/>
    <w:uiPriority w:val="99"/>
    <w:semiHidden/>
    <w:rsid w:val="00A00E51"/>
  </w:style>
  <w:style w:type="paragraph" w:styleId="ac">
    <w:name w:val="annotation subject"/>
    <w:basedOn w:val="aa"/>
    <w:next w:val="aa"/>
    <w:link w:val="ad"/>
    <w:uiPriority w:val="99"/>
    <w:semiHidden/>
    <w:unhideWhenUsed/>
    <w:rsid w:val="00A00E51"/>
    <w:rPr>
      <w:b/>
      <w:bCs/>
      <w:kern w:val="0"/>
      <w:sz w:val="20"/>
      <w:szCs w:val="20"/>
      <w:lang w:val="x-none" w:eastAsia="x-none"/>
    </w:rPr>
  </w:style>
  <w:style w:type="character" w:customStyle="1" w:styleId="ad">
    <w:name w:val="註解主旨 字元"/>
    <w:link w:val="ac"/>
    <w:uiPriority w:val="99"/>
    <w:semiHidden/>
    <w:rsid w:val="00A00E51"/>
    <w:rPr>
      <w:b/>
      <w:bCs/>
    </w:rPr>
  </w:style>
  <w:style w:type="paragraph" w:styleId="ae">
    <w:name w:val="Balloon Text"/>
    <w:basedOn w:val="a"/>
    <w:link w:val="af"/>
    <w:uiPriority w:val="99"/>
    <w:semiHidden/>
    <w:unhideWhenUsed/>
    <w:rsid w:val="00A00E51"/>
    <w:rPr>
      <w:rFonts w:ascii="Cambria" w:hAnsi="Cambria"/>
      <w:kern w:val="0"/>
      <w:sz w:val="18"/>
      <w:szCs w:val="18"/>
      <w:lang w:val="x-none" w:eastAsia="x-none"/>
    </w:rPr>
  </w:style>
  <w:style w:type="character" w:customStyle="1" w:styleId="af">
    <w:name w:val="註解方塊文字 字元"/>
    <w:link w:val="ae"/>
    <w:uiPriority w:val="99"/>
    <w:semiHidden/>
    <w:rsid w:val="00A00E51"/>
    <w:rPr>
      <w:rFonts w:ascii="Cambria" w:eastAsia="新細明體" w:hAnsi="Cambria" w:cs="Times New Roman"/>
      <w:sz w:val="18"/>
      <w:szCs w:val="18"/>
    </w:rPr>
  </w:style>
  <w:style w:type="character" w:styleId="af0">
    <w:name w:val="Hyperlink"/>
    <w:uiPriority w:val="99"/>
    <w:unhideWhenUsed/>
    <w:rsid w:val="00FC76A3"/>
    <w:rPr>
      <w:color w:val="003366"/>
      <w:u w:val="single"/>
    </w:rPr>
  </w:style>
  <w:style w:type="paragraph" w:styleId="af1">
    <w:name w:val="No Spacing"/>
    <w:uiPriority w:val="1"/>
    <w:qFormat/>
    <w:rsid w:val="001B5EE9"/>
    <w:pPr>
      <w:widowControl w:val="0"/>
      <w:adjustRightInd w:val="0"/>
      <w:textAlignment w:val="baseline"/>
    </w:pPr>
    <w:rPr>
      <w:rFonts w:ascii="Times New Roman" w:hAnsi="Times New Roman"/>
      <w:sz w:val="24"/>
    </w:rPr>
  </w:style>
  <w:style w:type="character" w:customStyle="1" w:styleId="10">
    <w:name w:val="標題 1 字元"/>
    <w:link w:val="1"/>
    <w:rsid w:val="002C79D6"/>
    <w:rPr>
      <w:rFonts w:ascii="Cambria" w:eastAsia="新細明體" w:hAnsi="Cambria" w:cs="Times New Roman"/>
      <w:b/>
      <w:bCs/>
      <w:kern w:val="52"/>
      <w:sz w:val="52"/>
      <w:szCs w:val="52"/>
    </w:rPr>
  </w:style>
  <w:style w:type="paragraph" w:customStyle="1" w:styleId="11">
    <w:name w:val="樣式1"/>
    <w:basedOn w:val="1"/>
    <w:link w:val="12"/>
    <w:qFormat/>
    <w:rsid w:val="000C19BC"/>
    <w:pPr>
      <w:spacing w:before="0" w:after="0" w:line="400" w:lineRule="exact"/>
      <w:jc w:val="center"/>
    </w:pPr>
    <w:rPr>
      <w:rFonts w:ascii="標楷體" w:eastAsia="標楷體" w:hAnsi="標楷體"/>
      <w:sz w:val="32"/>
      <w:szCs w:val="32"/>
    </w:rPr>
  </w:style>
  <w:style w:type="paragraph" w:customStyle="1" w:styleId="13">
    <w:name w:val="標題1"/>
    <w:basedOn w:val="11"/>
    <w:link w:val="14"/>
    <w:qFormat/>
    <w:rsid w:val="000C19BC"/>
  </w:style>
  <w:style w:type="character" w:customStyle="1" w:styleId="12">
    <w:name w:val="樣式1 字元"/>
    <w:link w:val="11"/>
    <w:rsid w:val="000C19BC"/>
    <w:rPr>
      <w:rFonts w:ascii="標楷體" w:eastAsia="標楷體" w:hAnsi="標楷體" w:cs="Times New Roman"/>
      <w:b/>
      <w:bCs/>
      <w:kern w:val="52"/>
      <w:sz w:val="32"/>
      <w:szCs w:val="32"/>
    </w:rPr>
  </w:style>
  <w:style w:type="paragraph" w:styleId="af2">
    <w:name w:val="TOC Heading"/>
    <w:basedOn w:val="1"/>
    <w:next w:val="a"/>
    <w:uiPriority w:val="39"/>
    <w:unhideWhenUsed/>
    <w:qFormat/>
    <w:rsid w:val="000C19BC"/>
    <w:pPr>
      <w:keepLines/>
      <w:widowControl/>
      <w:spacing w:before="480" w:after="0" w:line="276" w:lineRule="auto"/>
      <w:outlineLvl w:val="9"/>
    </w:pPr>
    <w:rPr>
      <w:color w:val="365F91"/>
      <w:kern w:val="0"/>
      <w:sz w:val="28"/>
      <w:szCs w:val="28"/>
    </w:rPr>
  </w:style>
  <w:style w:type="character" w:customStyle="1" w:styleId="14">
    <w:name w:val="標題1 字元"/>
    <w:basedOn w:val="12"/>
    <w:link w:val="13"/>
    <w:rsid w:val="000C19BC"/>
    <w:rPr>
      <w:rFonts w:ascii="標楷體" w:eastAsia="標楷體" w:hAnsi="標楷體" w:cs="Times New Roman"/>
      <w:b/>
      <w:bCs/>
      <w:kern w:val="52"/>
      <w:sz w:val="32"/>
      <w:szCs w:val="32"/>
    </w:rPr>
  </w:style>
  <w:style w:type="paragraph" w:styleId="15">
    <w:name w:val="toc 1"/>
    <w:basedOn w:val="a"/>
    <w:next w:val="a"/>
    <w:link w:val="16"/>
    <w:autoRedefine/>
    <w:uiPriority w:val="39"/>
    <w:unhideWhenUsed/>
    <w:qFormat/>
    <w:rsid w:val="00476F13"/>
    <w:pPr>
      <w:tabs>
        <w:tab w:val="right" w:leader="dot" w:pos="9628"/>
      </w:tabs>
      <w:spacing w:line="480" w:lineRule="exact"/>
      <w:ind w:left="566" w:hangingChars="202" w:hanging="566"/>
    </w:pPr>
    <w:rPr>
      <w:rFonts w:ascii="標楷體" w:eastAsia="標楷體" w:hAnsi="標楷體" w:cs="Calibri"/>
      <w:b/>
      <w:bCs/>
      <w:noProof/>
      <w:sz w:val="28"/>
      <w:szCs w:val="28"/>
    </w:rPr>
  </w:style>
  <w:style w:type="paragraph" w:styleId="21">
    <w:name w:val="toc 2"/>
    <w:basedOn w:val="a"/>
    <w:next w:val="a"/>
    <w:autoRedefine/>
    <w:uiPriority w:val="39"/>
    <w:unhideWhenUsed/>
    <w:qFormat/>
    <w:rsid w:val="000465EA"/>
    <w:pPr>
      <w:ind w:left="240"/>
    </w:pPr>
    <w:rPr>
      <w:rFonts w:cs="Calibri"/>
      <w:smallCaps/>
      <w:sz w:val="20"/>
      <w:szCs w:val="20"/>
    </w:rPr>
  </w:style>
  <w:style w:type="paragraph" w:styleId="3">
    <w:name w:val="toc 3"/>
    <w:basedOn w:val="a"/>
    <w:next w:val="a"/>
    <w:autoRedefine/>
    <w:uiPriority w:val="39"/>
    <w:unhideWhenUsed/>
    <w:qFormat/>
    <w:rsid w:val="000465EA"/>
    <w:pPr>
      <w:ind w:left="480"/>
    </w:pPr>
    <w:rPr>
      <w:rFonts w:cs="Calibri"/>
      <w:i/>
      <w:iCs/>
      <w:sz w:val="20"/>
      <w:szCs w:val="20"/>
    </w:rPr>
  </w:style>
  <w:style w:type="paragraph" w:styleId="4">
    <w:name w:val="toc 4"/>
    <w:basedOn w:val="a"/>
    <w:next w:val="a"/>
    <w:autoRedefine/>
    <w:uiPriority w:val="39"/>
    <w:unhideWhenUsed/>
    <w:rsid w:val="004A496E"/>
    <w:pPr>
      <w:ind w:left="720"/>
    </w:pPr>
    <w:rPr>
      <w:rFonts w:cs="Calibri"/>
      <w:sz w:val="18"/>
      <w:szCs w:val="18"/>
    </w:rPr>
  </w:style>
  <w:style w:type="paragraph" w:styleId="5">
    <w:name w:val="toc 5"/>
    <w:basedOn w:val="a"/>
    <w:next w:val="a"/>
    <w:autoRedefine/>
    <w:uiPriority w:val="39"/>
    <w:unhideWhenUsed/>
    <w:rsid w:val="004A496E"/>
    <w:pPr>
      <w:ind w:left="960"/>
    </w:pPr>
    <w:rPr>
      <w:rFonts w:cs="Calibri"/>
      <w:sz w:val="18"/>
      <w:szCs w:val="18"/>
    </w:rPr>
  </w:style>
  <w:style w:type="paragraph" w:styleId="6">
    <w:name w:val="toc 6"/>
    <w:basedOn w:val="a"/>
    <w:next w:val="a"/>
    <w:autoRedefine/>
    <w:uiPriority w:val="39"/>
    <w:unhideWhenUsed/>
    <w:rsid w:val="004A496E"/>
    <w:pPr>
      <w:ind w:left="1200"/>
    </w:pPr>
    <w:rPr>
      <w:rFonts w:cs="Calibri"/>
      <w:sz w:val="18"/>
      <w:szCs w:val="18"/>
    </w:rPr>
  </w:style>
  <w:style w:type="paragraph" w:styleId="7">
    <w:name w:val="toc 7"/>
    <w:basedOn w:val="a"/>
    <w:next w:val="a"/>
    <w:autoRedefine/>
    <w:uiPriority w:val="39"/>
    <w:unhideWhenUsed/>
    <w:rsid w:val="004A496E"/>
    <w:pPr>
      <w:ind w:left="1440"/>
    </w:pPr>
    <w:rPr>
      <w:rFonts w:cs="Calibri"/>
      <w:sz w:val="18"/>
      <w:szCs w:val="18"/>
    </w:rPr>
  </w:style>
  <w:style w:type="paragraph" w:styleId="8">
    <w:name w:val="toc 8"/>
    <w:basedOn w:val="a"/>
    <w:next w:val="a"/>
    <w:autoRedefine/>
    <w:uiPriority w:val="39"/>
    <w:unhideWhenUsed/>
    <w:rsid w:val="004A496E"/>
    <w:pPr>
      <w:ind w:left="1680"/>
    </w:pPr>
    <w:rPr>
      <w:rFonts w:cs="Calibri"/>
      <w:sz w:val="18"/>
      <w:szCs w:val="18"/>
    </w:rPr>
  </w:style>
  <w:style w:type="paragraph" w:styleId="9">
    <w:name w:val="toc 9"/>
    <w:basedOn w:val="a"/>
    <w:next w:val="a"/>
    <w:autoRedefine/>
    <w:uiPriority w:val="39"/>
    <w:unhideWhenUsed/>
    <w:rsid w:val="004A496E"/>
    <w:pPr>
      <w:ind w:left="1920"/>
    </w:pPr>
    <w:rPr>
      <w:rFonts w:cs="Calibri"/>
      <w:sz w:val="18"/>
      <w:szCs w:val="18"/>
    </w:rPr>
  </w:style>
  <w:style w:type="paragraph" w:styleId="af3">
    <w:name w:val="Body Text"/>
    <w:basedOn w:val="a"/>
    <w:link w:val="af4"/>
    <w:uiPriority w:val="99"/>
    <w:rsid w:val="00646D6B"/>
    <w:pPr>
      <w:widowControl/>
      <w:jc w:val="both"/>
    </w:pPr>
    <w:rPr>
      <w:rFonts w:ascii="標楷體" w:eastAsia="標楷體" w:hAnsi="標楷體"/>
      <w:kern w:val="0"/>
      <w:sz w:val="20"/>
      <w:szCs w:val="24"/>
    </w:rPr>
  </w:style>
  <w:style w:type="character" w:customStyle="1" w:styleId="af4">
    <w:name w:val="本文 字元"/>
    <w:basedOn w:val="a0"/>
    <w:link w:val="af3"/>
    <w:uiPriority w:val="99"/>
    <w:rsid w:val="00646D6B"/>
    <w:rPr>
      <w:rFonts w:ascii="標楷體" w:eastAsia="標楷體" w:hAnsi="標楷體"/>
      <w:szCs w:val="24"/>
    </w:rPr>
  </w:style>
  <w:style w:type="paragraph" w:styleId="af5">
    <w:name w:val="Body Text Indent"/>
    <w:basedOn w:val="a"/>
    <w:link w:val="af6"/>
    <w:unhideWhenUsed/>
    <w:rsid w:val="00042F6C"/>
    <w:pPr>
      <w:spacing w:after="120"/>
      <w:ind w:leftChars="200" w:left="480"/>
    </w:pPr>
  </w:style>
  <w:style w:type="character" w:customStyle="1" w:styleId="af6">
    <w:name w:val="本文縮排 字元"/>
    <w:basedOn w:val="a0"/>
    <w:link w:val="af5"/>
    <w:rsid w:val="00042F6C"/>
    <w:rPr>
      <w:kern w:val="2"/>
      <w:sz w:val="24"/>
      <w:szCs w:val="22"/>
    </w:rPr>
  </w:style>
  <w:style w:type="paragraph" w:styleId="Web">
    <w:name w:val="Normal (Web)"/>
    <w:basedOn w:val="a"/>
    <w:rsid w:val="005368C6"/>
    <w:pPr>
      <w:widowControl/>
      <w:spacing w:before="100" w:beforeAutospacing="1" w:after="100" w:afterAutospacing="1"/>
    </w:pPr>
    <w:rPr>
      <w:rFonts w:ascii="新細明體" w:hAnsi="新細明體"/>
      <w:kern w:val="0"/>
      <w:szCs w:val="24"/>
    </w:rPr>
  </w:style>
  <w:style w:type="character" w:customStyle="1" w:styleId="20">
    <w:name w:val="標題 2 字元"/>
    <w:basedOn w:val="a0"/>
    <w:link w:val="2"/>
    <w:uiPriority w:val="9"/>
    <w:rsid w:val="002D7384"/>
    <w:rPr>
      <w:rFonts w:ascii="標楷體" w:eastAsia="標楷體" w:hAnsi="標楷體"/>
      <w:b/>
      <w:noProof/>
      <w:kern w:val="2"/>
      <w:sz w:val="32"/>
      <w:szCs w:val="28"/>
    </w:rPr>
  </w:style>
  <w:style w:type="paragraph" w:styleId="30">
    <w:name w:val="Body Text Indent 3"/>
    <w:basedOn w:val="a"/>
    <w:link w:val="31"/>
    <w:semiHidden/>
    <w:rsid w:val="002D7384"/>
    <w:pPr>
      <w:ind w:left="340" w:firstLine="1077"/>
    </w:pPr>
    <w:rPr>
      <w:rFonts w:ascii="標楷體" w:eastAsia="標楷體" w:hAnsi="標楷體"/>
      <w:szCs w:val="24"/>
    </w:rPr>
  </w:style>
  <w:style w:type="character" w:customStyle="1" w:styleId="31">
    <w:name w:val="本文縮排 3 字元"/>
    <w:basedOn w:val="a0"/>
    <w:link w:val="30"/>
    <w:semiHidden/>
    <w:rsid w:val="002D7384"/>
    <w:rPr>
      <w:rFonts w:ascii="標楷體" w:eastAsia="標楷體" w:hAnsi="標楷體"/>
      <w:kern w:val="2"/>
      <w:sz w:val="24"/>
      <w:szCs w:val="24"/>
    </w:rPr>
  </w:style>
  <w:style w:type="paragraph" w:styleId="22">
    <w:name w:val="Body Text 2"/>
    <w:basedOn w:val="a"/>
    <w:link w:val="23"/>
    <w:semiHidden/>
    <w:rsid w:val="002D7384"/>
    <w:rPr>
      <w:rFonts w:ascii="新細明體" w:hAnsi="Times New Roman"/>
      <w:b/>
      <w:color w:val="000000"/>
      <w:sz w:val="40"/>
      <w:szCs w:val="20"/>
    </w:rPr>
  </w:style>
  <w:style w:type="character" w:customStyle="1" w:styleId="23">
    <w:name w:val="本文 2 字元"/>
    <w:basedOn w:val="a0"/>
    <w:link w:val="22"/>
    <w:semiHidden/>
    <w:rsid w:val="002D7384"/>
    <w:rPr>
      <w:rFonts w:ascii="新細明體" w:hAnsi="Times New Roman"/>
      <w:b/>
      <w:color w:val="000000"/>
      <w:kern w:val="2"/>
      <w:sz w:val="40"/>
    </w:rPr>
  </w:style>
  <w:style w:type="paragraph" w:styleId="af7">
    <w:name w:val="endnote text"/>
    <w:basedOn w:val="a"/>
    <w:link w:val="af8"/>
    <w:uiPriority w:val="99"/>
    <w:semiHidden/>
    <w:unhideWhenUsed/>
    <w:rsid w:val="002D7384"/>
    <w:pPr>
      <w:snapToGrid w:val="0"/>
    </w:pPr>
  </w:style>
  <w:style w:type="character" w:customStyle="1" w:styleId="af8">
    <w:name w:val="章節附註文字 字元"/>
    <w:basedOn w:val="a0"/>
    <w:link w:val="af7"/>
    <w:uiPriority w:val="99"/>
    <w:semiHidden/>
    <w:rsid w:val="002D7384"/>
    <w:rPr>
      <w:kern w:val="2"/>
      <w:sz w:val="24"/>
      <w:szCs w:val="22"/>
    </w:rPr>
  </w:style>
  <w:style w:type="character" w:styleId="af9">
    <w:name w:val="endnote reference"/>
    <w:uiPriority w:val="99"/>
    <w:semiHidden/>
    <w:unhideWhenUsed/>
    <w:rsid w:val="002D7384"/>
    <w:rPr>
      <w:vertAlign w:val="superscript"/>
    </w:rPr>
  </w:style>
  <w:style w:type="paragraph" w:styleId="afa">
    <w:name w:val="Block Text"/>
    <w:basedOn w:val="a"/>
    <w:rsid w:val="002D7384"/>
    <w:pPr>
      <w:spacing w:line="360" w:lineRule="atLeast"/>
      <w:ind w:left="1140" w:right="57" w:hanging="480"/>
      <w:jc w:val="both"/>
      <w:textAlignment w:val="center"/>
    </w:pPr>
    <w:rPr>
      <w:rFonts w:ascii="Times New Roman" w:eastAsia="標楷體" w:hAnsi="Times New Roman"/>
      <w:bCs/>
      <w:szCs w:val="20"/>
    </w:rPr>
  </w:style>
  <w:style w:type="paragraph" w:styleId="24">
    <w:name w:val="Body Text Indent 2"/>
    <w:basedOn w:val="a"/>
    <w:link w:val="25"/>
    <w:semiHidden/>
    <w:unhideWhenUsed/>
    <w:rsid w:val="002D7384"/>
    <w:pPr>
      <w:spacing w:after="120" w:line="480" w:lineRule="auto"/>
      <w:ind w:leftChars="200" w:left="480"/>
    </w:pPr>
  </w:style>
  <w:style w:type="character" w:customStyle="1" w:styleId="25">
    <w:name w:val="本文縮排 2 字元"/>
    <w:basedOn w:val="a0"/>
    <w:link w:val="24"/>
    <w:semiHidden/>
    <w:rsid w:val="002D7384"/>
    <w:rPr>
      <w:kern w:val="2"/>
      <w:sz w:val="24"/>
      <w:szCs w:val="22"/>
    </w:rPr>
  </w:style>
  <w:style w:type="paragraph" w:customStyle="1" w:styleId="afb">
    <w:name w:val="條文二十一之一、"/>
    <w:basedOn w:val="a"/>
    <w:rsid w:val="002D7384"/>
    <w:pPr>
      <w:kinsoku w:val="0"/>
      <w:adjustRightInd w:val="0"/>
      <w:spacing w:line="500" w:lineRule="atLeast"/>
      <w:ind w:left="2552" w:hanging="567"/>
      <w:jc w:val="both"/>
      <w:textAlignment w:val="baseline"/>
    </w:pPr>
    <w:rPr>
      <w:rFonts w:ascii="Times New Roman" w:eastAsia="研澤楷書體" w:hAnsi="Times New Roman"/>
      <w:spacing w:val="20"/>
      <w:kern w:val="0"/>
      <w:sz w:val="28"/>
      <w:szCs w:val="20"/>
    </w:rPr>
  </w:style>
  <w:style w:type="paragraph" w:customStyle="1" w:styleId="Char">
    <w:name w:val="字元 字元 Char"/>
    <w:basedOn w:val="a"/>
    <w:rsid w:val="002D7384"/>
    <w:pPr>
      <w:widowControl/>
      <w:spacing w:after="160" w:line="240" w:lineRule="exact"/>
    </w:pPr>
    <w:rPr>
      <w:rFonts w:ascii="Arial" w:eastAsia="Times New Roman" w:hAnsi="Arial" w:cs="Arial"/>
      <w:kern w:val="0"/>
      <w:sz w:val="20"/>
      <w:szCs w:val="20"/>
      <w:lang w:eastAsia="en-US"/>
    </w:rPr>
  </w:style>
  <w:style w:type="character" w:styleId="afc">
    <w:name w:val="FollowedHyperlink"/>
    <w:uiPriority w:val="99"/>
    <w:semiHidden/>
    <w:unhideWhenUsed/>
    <w:rsid w:val="002D7384"/>
    <w:rPr>
      <w:color w:val="800080"/>
      <w:u w:val="single"/>
    </w:rPr>
  </w:style>
  <w:style w:type="character" w:customStyle="1" w:styleId="16">
    <w:name w:val="目錄 1 字元"/>
    <w:link w:val="15"/>
    <w:uiPriority w:val="39"/>
    <w:rsid w:val="002D7384"/>
    <w:rPr>
      <w:rFonts w:ascii="標楷體" w:eastAsia="標楷體" w:hAnsi="標楷體" w:cs="Calibri"/>
      <w:b/>
      <w:bCs/>
      <w:noProof/>
      <w:kern w:val="2"/>
      <w:sz w:val="28"/>
      <w:szCs w:val="28"/>
    </w:rPr>
  </w:style>
  <w:style w:type="paragraph" w:styleId="afd">
    <w:name w:val="Revision"/>
    <w:hidden/>
    <w:uiPriority w:val="99"/>
    <w:semiHidden/>
    <w:rsid w:val="002D738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6682">
      <w:bodyDiv w:val="1"/>
      <w:marLeft w:val="0"/>
      <w:marRight w:val="0"/>
      <w:marTop w:val="0"/>
      <w:marBottom w:val="0"/>
      <w:divBdr>
        <w:top w:val="none" w:sz="0" w:space="0" w:color="auto"/>
        <w:left w:val="none" w:sz="0" w:space="0" w:color="auto"/>
        <w:bottom w:val="none" w:sz="0" w:space="0" w:color="auto"/>
        <w:right w:val="none" w:sz="0" w:space="0" w:color="auto"/>
      </w:divBdr>
    </w:div>
    <w:div w:id="481771700">
      <w:bodyDiv w:val="1"/>
      <w:marLeft w:val="0"/>
      <w:marRight w:val="0"/>
      <w:marTop w:val="0"/>
      <w:marBottom w:val="0"/>
      <w:divBdr>
        <w:top w:val="none" w:sz="0" w:space="0" w:color="auto"/>
        <w:left w:val="none" w:sz="0" w:space="0" w:color="auto"/>
        <w:bottom w:val="none" w:sz="0" w:space="0" w:color="auto"/>
        <w:right w:val="none" w:sz="0" w:space="0" w:color="auto"/>
      </w:divBdr>
    </w:div>
    <w:div w:id="800195719">
      <w:bodyDiv w:val="1"/>
      <w:marLeft w:val="0"/>
      <w:marRight w:val="0"/>
      <w:marTop w:val="0"/>
      <w:marBottom w:val="0"/>
      <w:divBdr>
        <w:top w:val="none" w:sz="0" w:space="0" w:color="auto"/>
        <w:left w:val="none" w:sz="0" w:space="0" w:color="auto"/>
        <w:bottom w:val="none" w:sz="0" w:space="0" w:color="auto"/>
        <w:right w:val="none" w:sz="0" w:space="0" w:color="auto"/>
      </w:divBdr>
    </w:div>
    <w:div w:id="989401938">
      <w:bodyDiv w:val="1"/>
      <w:marLeft w:val="0"/>
      <w:marRight w:val="0"/>
      <w:marTop w:val="0"/>
      <w:marBottom w:val="0"/>
      <w:divBdr>
        <w:top w:val="none" w:sz="0" w:space="0" w:color="auto"/>
        <w:left w:val="none" w:sz="0" w:space="0" w:color="auto"/>
        <w:bottom w:val="none" w:sz="0" w:space="0" w:color="auto"/>
        <w:right w:val="none" w:sz="0" w:space="0" w:color="auto"/>
      </w:divBdr>
    </w:div>
    <w:div w:id="1248538405">
      <w:bodyDiv w:val="1"/>
      <w:marLeft w:val="0"/>
      <w:marRight w:val="0"/>
      <w:marTop w:val="0"/>
      <w:marBottom w:val="0"/>
      <w:divBdr>
        <w:top w:val="none" w:sz="0" w:space="0" w:color="auto"/>
        <w:left w:val="none" w:sz="0" w:space="0" w:color="auto"/>
        <w:bottom w:val="none" w:sz="0" w:space="0" w:color="auto"/>
        <w:right w:val="none" w:sz="0" w:space="0" w:color="auto"/>
      </w:divBdr>
    </w:div>
    <w:div w:id="1584796731">
      <w:bodyDiv w:val="1"/>
      <w:marLeft w:val="0"/>
      <w:marRight w:val="0"/>
      <w:marTop w:val="0"/>
      <w:marBottom w:val="0"/>
      <w:divBdr>
        <w:top w:val="none" w:sz="0" w:space="0" w:color="auto"/>
        <w:left w:val="none" w:sz="0" w:space="0" w:color="auto"/>
        <w:bottom w:val="none" w:sz="0" w:space="0" w:color="auto"/>
        <w:right w:val="none" w:sz="0" w:space="0" w:color="auto"/>
      </w:divBdr>
    </w:div>
    <w:div w:id="1891528174">
      <w:bodyDiv w:val="1"/>
      <w:marLeft w:val="0"/>
      <w:marRight w:val="0"/>
      <w:marTop w:val="0"/>
      <w:marBottom w:val="0"/>
      <w:divBdr>
        <w:top w:val="none" w:sz="0" w:space="0" w:color="auto"/>
        <w:left w:val="none" w:sz="0" w:space="0" w:color="auto"/>
        <w:bottom w:val="none" w:sz="0" w:space="0" w:color="auto"/>
        <w:right w:val="none" w:sz="0" w:space="0" w:color="auto"/>
      </w:divBdr>
    </w:div>
    <w:div w:id="21311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B9D8A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34DC-D0D8-4AA7-89D8-8C057C4A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739</Words>
  <Characters>4214</Characters>
  <Application>Microsoft Office Word</Application>
  <DocSecurity>0</DocSecurity>
  <Lines>35</Lines>
  <Paragraphs>9</Paragraphs>
  <ScaleCrop>false</ScaleCrop>
  <Company>Hewlett-Packard Company</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柯馥甄</dc:creator>
  <cp:keywords/>
  <cp:lastModifiedBy>高婉容</cp:lastModifiedBy>
  <cp:revision>3</cp:revision>
  <cp:lastPrinted>2018-07-26T08:23:00Z</cp:lastPrinted>
  <dcterms:created xsi:type="dcterms:W3CDTF">2018-08-07T06:28:00Z</dcterms:created>
  <dcterms:modified xsi:type="dcterms:W3CDTF">2018-08-07T06:31:00Z</dcterms:modified>
</cp:coreProperties>
</file>