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DD" w:rsidRDefault="002E74DD">
      <w:pPr>
        <w:rPr>
          <w:rFonts w:ascii="標楷體" w:eastAsia="標楷體" w:hAnsi="標楷體"/>
          <w:b/>
          <w:sz w:val="28"/>
          <w:szCs w:val="28"/>
        </w:rPr>
      </w:pPr>
    </w:p>
    <w:p w:rsidR="00156824" w:rsidRPr="002E74DD" w:rsidRDefault="00BE4A1B">
      <w:pPr>
        <w:rPr>
          <w:rFonts w:ascii="標楷體" w:eastAsia="標楷體" w:hAnsi="標楷體"/>
          <w:b/>
          <w:sz w:val="36"/>
          <w:szCs w:val="36"/>
        </w:rPr>
      </w:pPr>
      <w:r w:rsidRPr="002E74DD">
        <w:rPr>
          <w:rFonts w:ascii="標楷體" w:eastAsia="標楷體" w:hAnsi="標楷體" w:hint="eastAsia"/>
          <w:b/>
          <w:sz w:val="36"/>
          <w:szCs w:val="36"/>
        </w:rPr>
        <w:t>開放外國企業來</w:t>
      </w:r>
      <w:proofErr w:type="gramStart"/>
      <w:r w:rsidRPr="002E74DD">
        <w:rPr>
          <w:rFonts w:ascii="標楷體" w:eastAsia="標楷體" w:hAnsi="標楷體" w:hint="eastAsia"/>
          <w:b/>
          <w:sz w:val="36"/>
          <w:szCs w:val="36"/>
        </w:rPr>
        <w:t>臺</w:t>
      </w:r>
      <w:proofErr w:type="gramEnd"/>
      <w:r w:rsidRPr="002E74DD">
        <w:rPr>
          <w:rFonts w:ascii="標楷體" w:eastAsia="標楷體" w:hAnsi="標楷體" w:hint="eastAsia"/>
          <w:b/>
          <w:sz w:val="36"/>
          <w:szCs w:val="36"/>
        </w:rPr>
        <w:t>第一上市</w:t>
      </w:r>
      <w:r w:rsidR="0066044B" w:rsidRPr="002E74DD">
        <w:rPr>
          <w:rFonts w:ascii="標楷體" w:eastAsia="標楷體" w:hAnsi="標楷體" w:hint="eastAsia"/>
          <w:b/>
          <w:sz w:val="36"/>
          <w:szCs w:val="36"/>
        </w:rPr>
        <w:t>上櫃及</w:t>
      </w:r>
      <w:proofErr w:type="gramStart"/>
      <w:r w:rsidR="0066044B" w:rsidRPr="002E74DD">
        <w:rPr>
          <w:rFonts w:ascii="標楷體" w:eastAsia="標楷體" w:hAnsi="標楷體" w:hint="eastAsia"/>
          <w:b/>
          <w:sz w:val="36"/>
          <w:szCs w:val="36"/>
        </w:rPr>
        <w:t>登錄興櫃</w:t>
      </w:r>
      <w:r w:rsidRPr="002E74DD">
        <w:rPr>
          <w:rFonts w:ascii="標楷體" w:eastAsia="標楷體" w:hAnsi="標楷體" w:hint="eastAsia"/>
          <w:b/>
          <w:sz w:val="36"/>
          <w:szCs w:val="36"/>
        </w:rPr>
        <w:t>股票</w:t>
      </w:r>
      <w:proofErr w:type="gramEnd"/>
      <w:r w:rsidRPr="002E74DD">
        <w:rPr>
          <w:rFonts w:ascii="標楷體" w:eastAsia="標楷體" w:hAnsi="標楷體" w:hint="eastAsia"/>
          <w:b/>
          <w:sz w:val="36"/>
          <w:szCs w:val="36"/>
        </w:rPr>
        <w:t>得為無面額或面額</w:t>
      </w:r>
      <w:proofErr w:type="gramStart"/>
      <w:r w:rsidRPr="002E74DD">
        <w:rPr>
          <w:rFonts w:ascii="標楷體" w:eastAsia="標楷體" w:hAnsi="標楷體" w:hint="eastAsia"/>
          <w:b/>
          <w:sz w:val="36"/>
          <w:szCs w:val="36"/>
        </w:rPr>
        <w:t>不限新臺幣</w:t>
      </w:r>
      <w:proofErr w:type="gramEnd"/>
      <w:r w:rsidRPr="002E74DD">
        <w:rPr>
          <w:rFonts w:ascii="標楷體" w:eastAsia="標楷體" w:hAnsi="標楷體" w:hint="eastAsia"/>
          <w:b/>
          <w:sz w:val="36"/>
          <w:szCs w:val="36"/>
        </w:rPr>
        <w:t>十元</w:t>
      </w:r>
      <w:r w:rsidR="00B75CA3" w:rsidRPr="002E74DD">
        <w:rPr>
          <w:rFonts w:ascii="標楷體" w:eastAsia="標楷體" w:hAnsi="標楷體" w:hint="eastAsia"/>
          <w:b/>
          <w:sz w:val="36"/>
          <w:szCs w:val="36"/>
        </w:rPr>
        <w:t>-</w:t>
      </w:r>
      <w:r w:rsidR="00F66818" w:rsidRPr="002E74DD">
        <w:rPr>
          <w:rFonts w:ascii="標楷體" w:eastAsia="標楷體" w:hAnsi="標楷體" w:hint="eastAsia"/>
          <w:b/>
          <w:sz w:val="36"/>
          <w:szCs w:val="36"/>
        </w:rPr>
        <w:t>投資人</w:t>
      </w:r>
      <w:r w:rsidR="00875F9E" w:rsidRPr="002E74DD">
        <w:rPr>
          <w:rFonts w:ascii="標楷體" w:eastAsia="標楷體" w:hAnsi="標楷體" w:hint="eastAsia"/>
          <w:b/>
          <w:sz w:val="36"/>
          <w:szCs w:val="36"/>
        </w:rPr>
        <w:t>宣導手冊</w:t>
      </w:r>
    </w:p>
    <w:p w:rsidR="00BE4A1B" w:rsidRPr="00B75CA3" w:rsidRDefault="00BE4A1B">
      <w:pPr>
        <w:rPr>
          <w:rFonts w:ascii="標楷體" w:eastAsia="標楷體" w:hAnsi="標楷體"/>
          <w:b/>
          <w:sz w:val="28"/>
          <w:szCs w:val="28"/>
        </w:rPr>
      </w:pPr>
    </w:p>
    <w:p w:rsidR="00BE4A1B" w:rsidRPr="00F66818" w:rsidRDefault="00BE4A1B">
      <w:pPr>
        <w:rPr>
          <w:rFonts w:ascii="標楷體" w:eastAsia="標楷體" w:hAnsi="標楷體"/>
          <w:b/>
          <w:sz w:val="28"/>
          <w:szCs w:val="28"/>
        </w:rPr>
      </w:pPr>
      <w:r w:rsidRPr="00F66818">
        <w:rPr>
          <w:rFonts w:ascii="標楷體" w:eastAsia="標楷體" w:hAnsi="標楷體" w:hint="eastAsia"/>
          <w:b/>
          <w:sz w:val="28"/>
          <w:szCs w:val="28"/>
        </w:rPr>
        <w:t>目錄:</w:t>
      </w:r>
    </w:p>
    <w:p w:rsidR="00BE4A1B" w:rsidRPr="00F66818" w:rsidRDefault="00F66818" w:rsidP="00F66818">
      <w:pPr>
        <w:rPr>
          <w:rFonts w:ascii="標楷體" w:eastAsia="標楷體" w:hAnsi="標楷體"/>
          <w:b/>
          <w:sz w:val="28"/>
          <w:szCs w:val="28"/>
        </w:rPr>
      </w:pPr>
      <w:r>
        <w:rPr>
          <w:rFonts w:ascii="標楷體" w:eastAsia="標楷體" w:hAnsi="標楷體" w:hint="eastAsia"/>
          <w:b/>
          <w:sz w:val="28"/>
          <w:szCs w:val="28"/>
        </w:rPr>
        <w:t>一、</w:t>
      </w:r>
      <w:r w:rsidR="00BE4A1B" w:rsidRPr="00F66818">
        <w:rPr>
          <w:rFonts w:ascii="標楷體" w:eastAsia="標楷體" w:hAnsi="標楷體" w:hint="eastAsia"/>
          <w:b/>
          <w:sz w:val="28"/>
          <w:szCs w:val="28"/>
        </w:rPr>
        <w:t>前言</w:t>
      </w:r>
    </w:p>
    <w:p w:rsidR="00BE4A1B" w:rsidRPr="00FC5303" w:rsidRDefault="00F66818" w:rsidP="00F66818">
      <w:pPr>
        <w:rPr>
          <w:rFonts w:ascii="標楷體" w:eastAsia="標楷體" w:hAnsi="標楷體"/>
          <w:b/>
          <w:sz w:val="28"/>
          <w:szCs w:val="28"/>
        </w:rPr>
      </w:pPr>
      <w:r>
        <w:rPr>
          <w:rFonts w:ascii="標楷體" w:eastAsia="標楷體" w:hAnsi="標楷體" w:hint="eastAsia"/>
          <w:b/>
          <w:sz w:val="28"/>
          <w:szCs w:val="28"/>
        </w:rPr>
        <w:t>二、</w:t>
      </w:r>
      <w:r w:rsidR="00F80A3A" w:rsidRPr="00FC5303">
        <w:rPr>
          <w:rFonts w:ascii="標楷體" w:eastAsia="標楷體" w:hAnsi="標楷體" w:hint="eastAsia"/>
          <w:b/>
          <w:sz w:val="28"/>
          <w:szCs w:val="28"/>
        </w:rPr>
        <w:t>相關規範之主要差異比較</w:t>
      </w:r>
    </w:p>
    <w:p w:rsidR="00BE4A1B" w:rsidRPr="00FC5303" w:rsidRDefault="007925A6">
      <w:pPr>
        <w:rPr>
          <w:rFonts w:ascii="標楷體" w:eastAsia="標楷體" w:hAnsi="標楷體"/>
          <w:b/>
          <w:sz w:val="28"/>
          <w:szCs w:val="28"/>
        </w:rPr>
      </w:pPr>
      <w:r w:rsidRPr="00FC5303">
        <w:rPr>
          <w:rFonts w:ascii="標楷體" w:eastAsia="標楷體" w:hAnsi="標楷體" w:hint="eastAsia"/>
          <w:b/>
          <w:sz w:val="28"/>
          <w:szCs w:val="28"/>
        </w:rPr>
        <w:t>三、</w:t>
      </w:r>
      <w:r w:rsidR="00C633A3" w:rsidRPr="00FC5303">
        <w:rPr>
          <w:rFonts w:ascii="標楷體" w:eastAsia="標楷體" w:hAnsi="標楷體" w:hint="eastAsia"/>
          <w:b/>
          <w:sz w:val="28"/>
          <w:szCs w:val="28"/>
        </w:rPr>
        <w:t>證券簡稱辨別方式</w:t>
      </w:r>
    </w:p>
    <w:p w:rsidR="00E5452C" w:rsidRPr="00FC5303" w:rsidRDefault="00E5452C">
      <w:pPr>
        <w:rPr>
          <w:rFonts w:ascii="標楷體" w:eastAsia="標楷體" w:hAnsi="標楷體"/>
          <w:b/>
          <w:sz w:val="28"/>
          <w:szCs w:val="28"/>
        </w:rPr>
      </w:pPr>
      <w:r w:rsidRPr="00FC5303">
        <w:rPr>
          <w:rFonts w:ascii="標楷體" w:eastAsia="標楷體" w:hAnsi="標楷體" w:hint="eastAsia"/>
          <w:b/>
          <w:sz w:val="28"/>
          <w:szCs w:val="28"/>
        </w:rPr>
        <w:t>四、投資人投資時應特別注意事項</w:t>
      </w:r>
    </w:p>
    <w:p w:rsidR="00BE4A1B" w:rsidRPr="00F66818" w:rsidRDefault="00E5452C">
      <w:pPr>
        <w:rPr>
          <w:rFonts w:ascii="標楷體" w:eastAsia="標楷體" w:hAnsi="標楷體"/>
          <w:b/>
          <w:sz w:val="28"/>
          <w:szCs w:val="28"/>
        </w:rPr>
      </w:pPr>
      <w:r w:rsidRPr="00FC5303">
        <w:rPr>
          <w:rFonts w:ascii="標楷體" w:eastAsia="標楷體" w:hAnsi="標楷體" w:hint="eastAsia"/>
          <w:b/>
          <w:sz w:val="28"/>
          <w:szCs w:val="28"/>
        </w:rPr>
        <w:t>五</w:t>
      </w:r>
      <w:r w:rsidR="007925A6" w:rsidRPr="00FC5303">
        <w:rPr>
          <w:rFonts w:ascii="標楷體" w:eastAsia="標楷體" w:hAnsi="標楷體" w:hint="eastAsia"/>
          <w:b/>
          <w:sz w:val="28"/>
          <w:szCs w:val="28"/>
        </w:rPr>
        <w:t>、投資人查詢相關資</w:t>
      </w:r>
      <w:r w:rsidR="007925A6" w:rsidRPr="00F66818">
        <w:rPr>
          <w:rFonts w:ascii="標楷體" w:eastAsia="標楷體" w:hAnsi="標楷體" w:hint="eastAsia"/>
          <w:b/>
          <w:sz w:val="28"/>
          <w:szCs w:val="28"/>
        </w:rPr>
        <w:t>訊管道</w:t>
      </w:r>
    </w:p>
    <w:p w:rsidR="00BE4A1B" w:rsidRPr="00F66818" w:rsidRDefault="00255411">
      <w:pPr>
        <w:rPr>
          <w:rFonts w:ascii="標楷體" w:eastAsia="標楷體" w:hAnsi="標楷體"/>
          <w:b/>
          <w:sz w:val="28"/>
          <w:szCs w:val="28"/>
        </w:rPr>
      </w:pPr>
      <w:r w:rsidRPr="00F66818">
        <w:rPr>
          <w:rFonts w:ascii="標楷體" w:eastAsia="標楷體" w:hAnsi="標楷體" w:hint="eastAsia"/>
          <w:b/>
          <w:sz w:val="28"/>
          <w:szCs w:val="28"/>
        </w:rPr>
        <w:t>六、結語</w:t>
      </w:r>
    </w:p>
    <w:p w:rsidR="00BE4A1B" w:rsidRDefault="00BE4A1B">
      <w:pPr>
        <w:rPr>
          <w:rFonts w:ascii="標楷體" w:eastAsia="標楷體" w:hAnsi="標楷體"/>
          <w:sz w:val="28"/>
          <w:szCs w:val="28"/>
        </w:rPr>
      </w:pPr>
    </w:p>
    <w:p w:rsidR="00F66818" w:rsidRDefault="00F66818">
      <w:pPr>
        <w:rPr>
          <w:rFonts w:ascii="標楷體" w:eastAsia="標楷體" w:hAnsi="標楷體"/>
          <w:sz w:val="28"/>
          <w:szCs w:val="28"/>
        </w:rPr>
      </w:pPr>
    </w:p>
    <w:p w:rsidR="00F66818" w:rsidRDefault="00F66818">
      <w:pPr>
        <w:rPr>
          <w:rFonts w:ascii="標楷體" w:eastAsia="標楷體" w:hAnsi="標楷體"/>
          <w:sz w:val="28"/>
          <w:szCs w:val="28"/>
        </w:rPr>
      </w:pPr>
    </w:p>
    <w:p w:rsidR="00F66818" w:rsidRDefault="00F66818">
      <w:pPr>
        <w:rPr>
          <w:rFonts w:ascii="標楷體" w:eastAsia="標楷體" w:hAnsi="標楷體"/>
          <w:sz w:val="28"/>
          <w:szCs w:val="28"/>
        </w:rPr>
      </w:pPr>
    </w:p>
    <w:p w:rsidR="00F66818" w:rsidRDefault="00F66818">
      <w:pPr>
        <w:rPr>
          <w:rFonts w:ascii="標楷體" w:eastAsia="標楷體" w:hAnsi="標楷體"/>
          <w:sz w:val="28"/>
          <w:szCs w:val="28"/>
        </w:rPr>
      </w:pPr>
    </w:p>
    <w:p w:rsidR="00F66818" w:rsidRDefault="00F66818">
      <w:pPr>
        <w:rPr>
          <w:rFonts w:ascii="標楷體" w:eastAsia="標楷體" w:hAnsi="標楷體"/>
          <w:sz w:val="28"/>
          <w:szCs w:val="28"/>
        </w:rPr>
      </w:pPr>
    </w:p>
    <w:p w:rsidR="00F66818" w:rsidRDefault="00F66818">
      <w:pPr>
        <w:rPr>
          <w:rFonts w:ascii="標楷體" w:eastAsia="標楷體" w:hAnsi="標楷體"/>
          <w:sz w:val="28"/>
          <w:szCs w:val="28"/>
        </w:rPr>
      </w:pPr>
    </w:p>
    <w:p w:rsidR="00F66818" w:rsidRDefault="00F66818">
      <w:pPr>
        <w:rPr>
          <w:rFonts w:ascii="標楷體" w:eastAsia="標楷體" w:hAnsi="標楷體"/>
          <w:sz w:val="28"/>
          <w:szCs w:val="28"/>
        </w:rPr>
      </w:pPr>
    </w:p>
    <w:p w:rsidR="00BE4A1B" w:rsidRPr="00F66818" w:rsidRDefault="00BE4A1B" w:rsidP="00F66818">
      <w:pPr>
        <w:jc w:val="center"/>
        <w:rPr>
          <w:rFonts w:ascii="標楷體" w:eastAsia="標楷體" w:hAnsi="標楷體"/>
          <w:b/>
          <w:sz w:val="28"/>
          <w:szCs w:val="28"/>
        </w:rPr>
      </w:pPr>
      <w:r w:rsidRPr="00F66818">
        <w:rPr>
          <w:rFonts w:ascii="標楷體" w:eastAsia="標楷體" w:hAnsi="標楷體" w:hint="eastAsia"/>
          <w:b/>
          <w:sz w:val="28"/>
          <w:szCs w:val="28"/>
        </w:rPr>
        <w:lastRenderedPageBreak/>
        <w:t>一、前言</w:t>
      </w:r>
    </w:p>
    <w:p w:rsidR="00BE4A1B" w:rsidRPr="00FC5303" w:rsidRDefault="00990ACC" w:rsidP="005F2A32">
      <w:pPr>
        <w:ind w:firstLineChars="200" w:firstLine="560"/>
        <w:rPr>
          <w:rFonts w:ascii="標楷體" w:eastAsia="標楷體" w:hAnsi="標楷體"/>
          <w:sz w:val="28"/>
          <w:szCs w:val="28"/>
        </w:rPr>
      </w:pPr>
      <w:r w:rsidRPr="00817510">
        <w:rPr>
          <w:rFonts w:ascii="標楷體" w:eastAsia="標楷體" w:hAnsi="標楷體" w:hint="eastAsia"/>
          <w:sz w:val="28"/>
          <w:szCs w:val="28"/>
        </w:rPr>
        <w:t>為提升我國資本市場國際競爭力並降低企業籌資成本，</w:t>
      </w:r>
      <w:r w:rsidR="00223AFA">
        <w:rPr>
          <w:rFonts w:ascii="標楷體" w:eastAsia="標楷體" w:hAnsi="標楷體" w:hint="eastAsia"/>
          <w:sz w:val="28"/>
          <w:szCs w:val="28"/>
        </w:rPr>
        <w:t>參</w:t>
      </w:r>
      <w:r w:rsidRPr="00817510">
        <w:rPr>
          <w:rFonts w:ascii="標楷體" w:eastAsia="標楷體" w:hAnsi="標楷體" w:hint="eastAsia"/>
          <w:sz w:val="28"/>
          <w:szCs w:val="28"/>
        </w:rPr>
        <w:t>考現行美國、日本、新加坡及香港等國際資本市場對於上市公司股票面額</w:t>
      </w:r>
      <w:r w:rsidR="00223AFA">
        <w:rPr>
          <w:rFonts w:ascii="標楷體" w:eastAsia="標楷體" w:hAnsi="標楷體" w:hint="eastAsia"/>
          <w:sz w:val="28"/>
          <w:szCs w:val="28"/>
        </w:rPr>
        <w:t>之</w:t>
      </w:r>
      <w:r w:rsidRPr="00817510">
        <w:rPr>
          <w:rFonts w:ascii="標楷體" w:eastAsia="標楷體" w:hAnsi="標楷體" w:hint="eastAsia"/>
          <w:sz w:val="28"/>
          <w:szCs w:val="28"/>
        </w:rPr>
        <w:t>規範，</w:t>
      </w:r>
      <w:proofErr w:type="gramStart"/>
      <w:r w:rsidRPr="00817510">
        <w:rPr>
          <w:rFonts w:ascii="標楷體" w:eastAsia="標楷體" w:hAnsi="標楷體" w:hint="eastAsia"/>
          <w:sz w:val="28"/>
          <w:szCs w:val="28"/>
        </w:rPr>
        <w:t>均已改採</w:t>
      </w:r>
      <w:proofErr w:type="gramEnd"/>
      <w:r w:rsidRPr="00817510">
        <w:rPr>
          <w:rFonts w:ascii="標楷體" w:eastAsia="標楷體" w:hAnsi="標楷體" w:hint="eastAsia"/>
          <w:sz w:val="28"/>
          <w:szCs w:val="28"/>
        </w:rPr>
        <w:t>不限定面額或取消面額制度，以符合企業實際經營狀況，故臺灣證券交易所及證券櫃檯買賣中心業擬具「</w:t>
      </w:r>
      <w:r w:rsidR="00817510" w:rsidRPr="00817510">
        <w:rPr>
          <w:rFonts w:ascii="標楷體" w:eastAsia="標楷體" w:hAnsi="標楷體" w:hint="eastAsia"/>
          <w:sz w:val="28"/>
          <w:szCs w:val="28"/>
        </w:rPr>
        <w:t>放寬外國企業來</w:t>
      </w:r>
      <w:proofErr w:type="gramStart"/>
      <w:r w:rsidR="00817510" w:rsidRPr="00817510">
        <w:rPr>
          <w:rFonts w:ascii="標楷體" w:eastAsia="標楷體" w:hAnsi="標楷體" w:hint="eastAsia"/>
          <w:sz w:val="28"/>
          <w:szCs w:val="28"/>
        </w:rPr>
        <w:t>臺</w:t>
      </w:r>
      <w:proofErr w:type="gramEnd"/>
      <w:r w:rsidR="00817510" w:rsidRPr="00817510">
        <w:rPr>
          <w:rFonts w:ascii="標楷體" w:eastAsia="標楷體" w:hAnsi="標楷體" w:hint="eastAsia"/>
          <w:sz w:val="28"/>
          <w:szCs w:val="28"/>
        </w:rPr>
        <w:t>第一</w:t>
      </w:r>
      <w:r w:rsidR="00817510" w:rsidRPr="00FC5303">
        <w:rPr>
          <w:rFonts w:ascii="標楷體" w:eastAsia="標楷體" w:hAnsi="標楷體" w:hint="eastAsia"/>
          <w:sz w:val="28"/>
          <w:szCs w:val="28"/>
        </w:rPr>
        <w:t>上市</w:t>
      </w:r>
      <w:r w:rsidR="00535902" w:rsidRPr="00FC5303">
        <w:rPr>
          <w:rFonts w:ascii="標楷體" w:eastAsia="標楷體" w:hAnsi="標楷體" w:hint="eastAsia"/>
          <w:sz w:val="28"/>
          <w:szCs w:val="28"/>
        </w:rPr>
        <w:t>、上</w:t>
      </w:r>
      <w:r w:rsidR="00817510" w:rsidRPr="00FC5303">
        <w:rPr>
          <w:rFonts w:ascii="標楷體" w:eastAsia="標楷體" w:hAnsi="標楷體" w:hint="eastAsia"/>
          <w:sz w:val="28"/>
          <w:szCs w:val="28"/>
        </w:rPr>
        <w:t>櫃及</w:t>
      </w:r>
      <w:proofErr w:type="gramStart"/>
      <w:r w:rsidR="00817510" w:rsidRPr="00FC5303">
        <w:rPr>
          <w:rFonts w:ascii="標楷體" w:eastAsia="標楷體" w:hAnsi="標楷體" w:hint="eastAsia"/>
          <w:sz w:val="28"/>
          <w:szCs w:val="28"/>
        </w:rPr>
        <w:t>登錄興櫃之</w:t>
      </w:r>
      <w:proofErr w:type="gramEnd"/>
      <w:r w:rsidR="00817510" w:rsidRPr="00FC5303">
        <w:rPr>
          <w:rFonts w:ascii="標楷體" w:eastAsia="標楷體" w:hAnsi="標楷體" w:hint="eastAsia"/>
          <w:sz w:val="28"/>
          <w:szCs w:val="28"/>
        </w:rPr>
        <w:t>每股面額規定</w:t>
      </w:r>
      <w:r w:rsidRPr="00FC5303">
        <w:rPr>
          <w:rFonts w:ascii="標楷體" w:eastAsia="標楷體" w:hAnsi="標楷體" w:hint="eastAsia"/>
          <w:sz w:val="28"/>
          <w:szCs w:val="28"/>
        </w:rPr>
        <w:t>」</w:t>
      </w:r>
      <w:r w:rsidR="00817510" w:rsidRPr="00FC5303">
        <w:rPr>
          <w:rFonts w:ascii="標楷體" w:eastAsia="標楷體" w:hAnsi="標楷體" w:hint="eastAsia"/>
          <w:sz w:val="28"/>
          <w:szCs w:val="28"/>
        </w:rPr>
        <w:t>規劃</w:t>
      </w:r>
      <w:r w:rsidRPr="00FC5303">
        <w:rPr>
          <w:rFonts w:ascii="標楷體" w:eastAsia="標楷體" w:hAnsi="標楷體" w:hint="eastAsia"/>
          <w:sz w:val="28"/>
          <w:szCs w:val="28"/>
        </w:rPr>
        <w:t>方案，以減少企業回</w:t>
      </w:r>
      <w:proofErr w:type="gramStart"/>
      <w:r w:rsidRPr="00FC5303">
        <w:rPr>
          <w:rFonts w:ascii="標楷體" w:eastAsia="標楷體" w:hAnsi="標楷體" w:hint="eastAsia"/>
          <w:sz w:val="28"/>
          <w:szCs w:val="28"/>
        </w:rPr>
        <w:t>臺</w:t>
      </w:r>
      <w:proofErr w:type="gramEnd"/>
      <w:r w:rsidR="00535902" w:rsidRPr="00FC5303">
        <w:rPr>
          <w:rFonts w:ascii="標楷體" w:eastAsia="標楷體" w:hAnsi="標楷體" w:hint="eastAsia"/>
          <w:sz w:val="28"/>
          <w:szCs w:val="28"/>
        </w:rPr>
        <w:t>第一上市、上櫃及登錄</w:t>
      </w:r>
      <w:proofErr w:type="gramStart"/>
      <w:r w:rsidR="00535902" w:rsidRPr="00FC5303">
        <w:rPr>
          <w:rFonts w:ascii="標楷體" w:eastAsia="標楷體" w:hAnsi="標楷體" w:hint="eastAsia"/>
          <w:sz w:val="28"/>
          <w:szCs w:val="28"/>
        </w:rPr>
        <w:t>興櫃</w:t>
      </w:r>
      <w:r w:rsidRPr="00FC5303">
        <w:rPr>
          <w:rFonts w:ascii="標楷體" w:eastAsia="標楷體" w:hAnsi="標楷體" w:hint="eastAsia"/>
          <w:sz w:val="28"/>
          <w:szCs w:val="28"/>
        </w:rPr>
        <w:t>時</w:t>
      </w:r>
      <w:proofErr w:type="gramEnd"/>
      <w:r w:rsidRPr="00FC5303">
        <w:rPr>
          <w:rFonts w:ascii="標楷體" w:eastAsia="標楷體" w:hAnsi="標楷體" w:hint="eastAsia"/>
          <w:sz w:val="28"/>
          <w:szCs w:val="28"/>
        </w:rPr>
        <w:t>須先於海外進行股權架構重組之不必要成本及稅務風險，並提升</w:t>
      </w:r>
      <w:r w:rsidR="00535902" w:rsidRPr="00FC5303">
        <w:rPr>
          <w:rFonts w:ascii="標楷體" w:eastAsia="標楷體" w:hAnsi="標楷體" w:hint="eastAsia"/>
          <w:sz w:val="28"/>
          <w:szCs w:val="28"/>
        </w:rPr>
        <w:t>第一上市、上櫃及</w:t>
      </w:r>
      <w:proofErr w:type="gramStart"/>
      <w:r w:rsidR="00535902" w:rsidRPr="00FC5303">
        <w:rPr>
          <w:rFonts w:ascii="標楷體" w:eastAsia="標楷體" w:hAnsi="標楷體" w:hint="eastAsia"/>
          <w:sz w:val="28"/>
          <w:szCs w:val="28"/>
        </w:rPr>
        <w:t>外國興櫃</w:t>
      </w:r>
      <w:r w:rsidRPr="00FC5303">
        <w:rPr>
          <w:rFonts w:ascii="標楷體" w:eastAsia="標楷體" w:hAnsi="標楷體" w:hint="eastAsia"/>
          <w:sz w:val="28"/>
          <w:szCs w:val="28"/>
        </w:rPr>
        <w:t>公司</w:t>
      </w:r>
      <w:proofErr w:type="gramEnd"/>
      <w:r w:rsidRPr="00FC5303">
        <w:rPr>
          <w:rFonts w:ascii="標楷體" w:eastAsia="標楷體" w:hAnsi="標楷體" w:hint="eastAsia"/>
          <w:sz w:val="28"/>
          <w:szCs w:val="28"/>
        </w:rPr>
        <w:t>整體資訊透明度，便利投資人瞭解公司實際營運狀況，本案業經主管機關核准在案</w:t>
      </w:r>
      <w:r w:rsidR="00817510" w:rsidRPr="00FC5303">
        <w:rPr>
          <w:rFonts w:ascii="標楷體" w:eastAsia="標楷體" w:hAnsi="標楷體" w:hint="eastAsia"/>
          <w:sz w:val="28"/>
          <w:szCs w:val="28"/>
        </w:rPr>
        <w:t>，並</w:t>
      </w:r>
      <w:r w:rsidRPr="00FC5303">
        <w:rPr>
          <w:rFonts w:ascii="標楷體" w:eastAsia="標楷體" w:hAnsi="標楷體" w:hint="eastAsia"/>
          <w:sz w:val="28"/>
          <w:szCs w:val="28"/>
        </w:rPr>
        <w:t>自民國101年起</w:t>
      </w:r>
      <w:r w:rsidR="00817510" w:rsidRPr="00FC5303">
        <w:rPr>
          <w:rFonts w:ascii="標楷體" w:eastAsia="標楷體" w:hAnsi="標楷體" w:hint="eastAsia"/>
          <w:sz w:val="28"/>
          <w:szCs w:val="28"/>
        </w:rPr>
        <w:t>正式施行</w:t>
      </w:r>
      <w:r w:rsidR="00BE4A1B" w:rsidRPr="00FC5303">
        <w:rPr>
          <w:rFonts w:ascii="標楷體" w:eastAsia="標楷體" w:hAnsi="標楷體" w:hint="eastAsia"/>
          <w:sz w:val="28"/>
          <w:szCs w:val="28"/>
        </w:rPr>
        <w:t>。</w:t>
      </w:r>
    </w:p>
    <w:p w:rsidR="00990ACC" w:rsidRDefault="00223AFA" w:rsidP="005F2A32">
      <w:pPr>
        <w:ind w:firstLineChars="200" w:firstLine="560"/>
        <w:rPr>
          <w:rFonts w:ascii="標楷體" w:eastAsia="標楷體" w:hAnsi="標楷體"/>
          <w:sz w:val="28"/>
          <w:szCs w:val="28"/>
        </w:rPr>
      </w:pPr>
      <w:proofErr w:type="gramStart"/>
      <w:r w:rsidRPr="00FC5303">
        <w:rPr>
          <w:rFonts w:ascii="標楷體" w:eastAsia="標楷體" w:hAnsi="標楷體" w:hint="eastAsia"/>
          <w:sz w:val="28"/>
          <w:szCs w:val="28"/>
        </w:rPr>
        <w:t>鑑</w:t>
      </w:r>
      <w:proofErr w:type="gramEnd"/>
      <w:r w:rsidRPr="00FC5303">
        <w:rPr>
          <w:rFonts w:ascii="標楷體" w:eastAsia="標楷體" w:hAnsi="標楷體" w:hint="eastAsia"/>
          <w:sz w:val="28"/>
          <w:szCs w:val="28"/>
        </w:rPr>
        <w:t>於日後</w:t>
      </w:r>
      <w:r w:rsidR="001D1BE3" w:rsidRPr="00FC5303">
        <w:rPr>
          <w:rFonts w:ascii="標楷體" w:eastAsia="標楷體" w:hAnsi="標楷體" w:hint="eastAsia"/>
          <w:sz w:val="28"/>
          <w:szCs w:val="28"/>
        </w:rPr>
        <w:t>第一上市、上櫃及</w:t>
      </w:r>
      <w:proofErr w:type="gramStart"/>
      <w:r w:rsidR="001D1BE3" w:rsidRPr="00FC5303">
        <w:rPr>
          <w:rFonts w:ascii="標楷體" w:eastAsia="標楷體" w:hAnsi="標楷體" w:hint="eastAsia"/>
          <w:sz w:val="28"/>
          <w:szCs w:val="28"/>
        </w:rPr>
        <w:t>外國興櫃</w:t>
      </w:r>
      <w:r w:rsidRPr="00FC5303">
        <w:rPr>
          <w:rFonts w:ascii="標楷體" w:eastAsia="標楷體" w:hAnsi="標楷體" w:hint="eastAsia"/>
          <w:sz w:val="28"/>
          <w:szCs w:val="28"/>
        </w:rPr>
        <w:t>公司</w:t>
      </w:r>
      <w:proofErr w:type="gramEnd"/>
      <w:r w:rsidRPr="00FC5303">
        <w:rPr>
          <w:rFonts w:ascii="標楷體" w:eastAsia="標楷體" w:hAnsi="標楷體" w:hint="eastAsia"/>
          <w:sz w:val="28"/>
          <w:szCs w:val="28"/>
        </w:rPr>
        <w:t>股票面額可能</w:t>
      </w:r>
      <w:proofErr w:type="gramStart"/>
      <w:r w:rsidRPr="00FC5303">
        <w:rPr>
          <w:rFonts w:ascii="標楷體" w:eastAsia="標楷體" w:hAnsi="標楷體" w:hint="eastAsia"/>
          <w:sz w:val="28"/>
          <w:szCs w:val="28"/>
        </w:rPr>
        <w:t>採</w:t>
      </w:r>
      <w:proofErr w:type="gramEnd"/>
      <w:r w:rsidRPr="00FC5303">
        <w:rPr>
          <w:rFonts w:ascii="標楷體" w:eastAsia="標楷體" w:hAnsi="標楷體" w:hint="eastAsia"/>
          <w:sz w:val="28"/>
          <w:szCs w:val="28"/>
        </w:rPr>
        <w:t>行無面額或面額非屬新臺幣</w:t>
      </w:r>
      <w:r w:rsidR="00A47F7E" w:rsidRPr="00FC5303">
        <w:rPr>
          <w:rFonts w:ascii="標楷體" w:eastAsia="標楷體" w:hAnsi="標楷體" w:hint="eastAsia"/>
          <w:sz w:val="28"/>
          <w:szCs w:val="28"/>
        </w:rPr>
        <w:t>(下同)</w:t>
      </w:r>
      <w:r w:rsidRPr="00FC5303">
        <w:rPr>
          <w:rFonts w:ascii="標楷體" w:eastAsia="標楷體" w:hAnsi="標楷體" w:hint="eastAsia"/>
          <w:sz w:val="28"/>
          <w:szCs w:val="28"/>
        </w:rPr>
        <w:t>十元，其相關交易制度、財務報告及證券簡稱等，與現行已</w:t>
      </w:r>
      <w:r w:rsidR="001D1BE3" w:rsidRPr="00FC5303">
        <w:rPr>
          <w:rFonts w:ascii="標楷體" w:eastAsia="標楷體" w:hAnsi="標楷體" w:hint="eastAsia"/>
          <w:sz w:val="28"/>
          <w:szCs w:val="28"/>
        </w:rPr>
        <w:t>上市、上櫃及</w:t>
      </w:r>
      <w:proofErr w:type="gramStart"/>
      <w:r w:rsidR="001D1BE3" w:rsidRPr="00FC5303">
        <w:rPr>
          <w:rFonts w:ascii="標楷體" w:eastAsia="標楷體" w:hAnsi="標楷體" w:hint="eastAsia"/>
          <w:sz w:val="28"/>
          <w:szCs w:val="28"/>
        </w:rPr>
        <w:t>登錄興櫃</w:t>
      </w:r>
      <w:r w:rsidRPr="00FC5303">
        <w:rPr>
          <w:rFonts w:ascii="標楷體" w:eastAsia="標楷體" w:hAnsi="標楷體" w:hint="eastAsia"/>
          <w:sz w:val="28"/>
          <w:szCs w:val="28"/>
        </w:rPr>
        <w:t>公司</w:t>
      </w:r>
      <w:proofErr w:type="gramEnd"/>
      <w:r w:rsidRPr="00FC5303">
        <w:rPr>
          <w:rFonts w:ascii="標楷體" w:eastAsia="標楷體" w:hAnsi="標楷體" w:hint="eastAsia"/>
          <w:sz w:val="28"/>
          <w:szCs w:val="28"/>
        </w:rPr>
        <w:t>有不同之處，宜特別提醒投資人注意，</w:t>
      </w:r>
      <w:proofErr w:type="gramStart"/>
      <w:r w:rsidRPr="00FC5303">
        <w:rPr>
          <w:rFonts w:ascii="標楷體" w:eastAsia="標楷體" w:hAnsi="標楷體" w:hint="eastAsia"/>
          <w:sz w:val="28"/>
          <w:szCs w:val="28"/>
        </w:rPr>
        <w:t>爰</w:t>
      </w:r>
      <w:proofErr w:type="gramEnd"/>
      <w:r w:rsidRPr="00FC5303">
        <w:rPr>
          <w:rFonts w:ascii="標楷體" w:eastAsia="標楷體" w:hAnsi="標楷體" w:hint="eastAsia"/>
          <w:sz w:val="28"/>
          <w:szCs w:val="28"/>
        </w:rPr>
        <w:t>由臺灣證券交易所及證券櫃檯買賣中心</w:t>
      </w:r>
      <w:r w:rsidR="00875F9E" w:rsidRPr="00FC5303">
        <w:rPr>
          <w:rFonts w:ascii="標楷體" w:eastAsia="標楷體" w:hAnsi="標楷體" w:hint="eastAsia"/>
          <w:sz w:val="28"/>
          <w:szCs w:val="28"/>
        </w:rPr>
        <w:t>共同</w:t>
      </w:r>
      <w:proofErr w:type="gramStart"/>
      <w:r w:rsidR="00875F9E" w:rsidRPr="00FC5303">
        <w:rPr>
          <w:rFonts w:ascii="標楷體" w:eastAsia="標楷體" w:hAnsi="標楷體" w:hint="eastAsia"/>
          <w:sz w:val="28"/>
          <w:szCs w:val="28"/>
        </w:rPr>
        <w:t>編製本宣導</w:t>
      </w:r>
      <w:proofErr w:type="gramEnd"/>
      <w:r w:rsidR="00875F9E" w:rsidRPr="00FC5303">
        <w:rPr>
          <w:rFonts w:ascii="標楷體" w:eastAsia="標楷體" w:hAnsi="標楷體" w:hint="eastAsia"/>
          <w:sz w:val="28"/>
          <w:szCs w:val="28"/>
        </w:rPr>
        <w:t>手冊，以適當提醒投資人於投資</w:t>
      </w:r>
      <w:r w:rsidR="001D1BE3" w:rsidRPr="00FC5303">
        <w:rPr>
          <w:rFonts w:ascii="標楷體" w:eastAsia="標楷體" w:hAnsi="標楷體" w:hint="eastAsia"/>
          <w:sz w:val="28"/>
          <w:szCs w:val="28"/>
        </w:rPr>
        <w:t>第一上市、上櫃及</w:t>
      </w:r>
      <w:proofErr w:type="gramStart"/>
      <w:r w:rsidR="001D1BE3" w:rsidRPr="00FC5303">
        <w:rPr>
          <w:rFonts w:ascii="標楷體" w:eastAsia="標楷體" w:hAnsi="標楷體" w:hint="eastAsia"/>
          <w:sz w:val="28"/>
          <w:szCs w:val="28"/>
        </w:rPr>
        <w:t>外國興櫃公司</w:t>
      </w:r>
      <w:proofErr w:type="gramEnd"/>
      <w:r w:rsidR="00875F9E" w:rsidRPr="00FC5303">
        <w:rPr>
          <w:rFonts w:ascii="標楷體" w:eastAsia="標楷體" w:hAnsi="標楷體" w:hint="eastAsia"/>
          <w:sz w:val="28"/>
          <w:szCs w:val="28"/>
        </w:rPr>
        <w:t>有價證券前，應充分瞭解其股票面額及發行相關基本</w:t>
      </w:r>
      <w:r w:rsidR="00E5452C" w:rsidRPr="00FC5303">
        <w:rPr>
          <w:rFonts w:ascii="標楷體" w:eastAsia="標楷體" w:hAnsi="標楷體" w:hint="eastAsia"/>
          <w:sz w:val="28"/>
          <w:szCs w:val="28"/>
        </w:rPr>
        <w:t>資</w:t>
      </w:r>
      <w:r w:rsidR="00875F9E" w:rsidRPr="00FC5303">
        <w:rPr>
          <w:rFonts w:ascii="標楷體" w:eastAsia="標楷體" w:hAnsi="標楷體" w:hint="eastAsia"/>
          <w:sz w:val="28"/>
          <w:szCs w:val="28"/>
        </w:rPr>
        <w:t>料，</w:t>
      </w:r>
      <w:r w:rsidR="00875F9E">
        <w:rPr>
          <w:rFonts w:ascii="標楷體" w:eastAsia="標楷體" w:hAnsi="標楷體" w:hint="eastAsia"/>
          <w:sz w:val="28"/>
          <w:szCs w:val="28"/>
        </w:rPr>
        <w:t>以保障自身權益。</w:t>
      </w:r>
    </w:p>
    <w:p w:rsidR="00875F9E" w:rsidRDefault="00875F9E" w:rsidP="00BE4A1B">
      <w:pPr>
        <w:rPr>
          <w:rFonts w:ascii="標楷體" w:eastAsia="標楷體" w:hAnsi="標楷體"/>
          <w:sz w:val="28"/>
          <w:szCs w:val="28"/>
        </w:rPr>
      </w:pPr>
    </w:p>
    <w:p w:rsidR="00B100D6" w:rsidRDefault="00B100D6" w:rsidP="00BE4A1B">
      <w:pPr>
        <w:rPr>
          <w:rFonts w:ascii="標楷體" w:eastAsia="標楷體" w:hAnsi="標楷體"/>
          <w:sz w:val="28"/>
          <w:szCs w:val="28"/>
        </w:rPr>
      </w:pPr>
    </w:p>
    <w:p w:rsidR="00817510" w:rsidRPr="00B405F5" w:rsidRDefault="000A6F3E" w:rsidP="00B405F5">
      <w:pPr>
        <w:pStyle w:val="a3"/>
        <w:numPr>
          <w:ilvl w:val="0"/>
          <w:numId w:val="2"/>
        </w:numPr>
        <w:ind w:leftChars="0"/>
        <w:jc w:val="center"/>
        <w:rPr>
          <w:rFonts w:ascii="標楷體" w:eastAsia="標楷體" w:hAnsi="標楷體"/>
          <w:b/>
          <w:sz w:val="28"/>
          <w:szCs w:val="28"/>
        </w:rPr>
      </w:pPr>
      <w:r>
        <w:rPr>
          <w:rFonts w:ascii="標楷體" w:eastAsia="標楷體" w:hAnsi="標楷體" w:hint="eastAsia"/>
          <w:b/>
          <w:sz w:val="28"/>
          <w:szCs w:val="28"/>
        </w:rPr>
        <w:lastRenderedPageBreak/>
        <w:t>相關規範之主要差異比較</w:t>
      </w:r>
    </w:p>
    <w:p w:rsidR="00875F9E" w:rsidRPr="00FC5303" w:rsidRDefault="00875F9E" w:rsidP="00875F9E">
      <w:pPr>
        <w:pStyle w:val="a3"/>
        <w:ind w:leftChars="0" w:left="0" w:firstLineChars="171" w:firstLine="479"/>
        <w:rPr>
          <w:rFonts w:ascii="標楷體" w:eastAsia="標楷體" w:hAnsi="標楷體"/>
          <w:sz w:val="28"/>
          <w:szCs w:val="28"/>
        </w:rPr>
      </w:pPr>
      <w:r w:rsidRPr="00FC5303">
        <w:rPr>
          <w:rFonts w:ascii="標楷體" w:eastAsia="標楷體" w:hAnsi="標楷體" w:hint="eastAsia"/>
          <w:sz w:val="28"/>
          <w:szCs w:val="28"/>
        </w:rPr>
        <w:t>配合前開政策開放，</w:t>
      </w:r>
      <w:r w:rsidR="00C36EEB" w:rsidRPr="00FC5303">
        <w:rPr>
          <w:rFonts w:ascii="標楷體" w:eastAsia="標楷體" w:hAnsi="標楷體" w:hint="eastAsia"/>
          <w:sz w:val="28"/>
          <w:szCs w:val="28"/>
        </w:rPr>
        <w:t>有關</w:t>
      </w:r>
      <w:r w:rsidR="00036D0F" w:rsidRPr="00FC5303">
        <w:rPr>
          <w:rFonts w:ascii="Times New Roman" w:eastAsia="標楷體" w:hAnsi="Times New Roman" w:hint="eastAsia"/>
          <w:sz w:val="28"/>
          <w:szCs w:val="28"/>
        </w:rPr>
        <w:t>上市櫃股票變更交易方法</w:t>
      </w:r>
      <w:r w:rsidR="00036D0F" w:rsidRPr="00FC5303">
        <w:rPr>
          <w:rFonts w:ascii="標楷體" w:eastAsia="標楷體" w:hAnsi="標楷體" w:hint="eastAsia"/>
          <w:sz w:val="28"/>
          <w:szCs w:val="28"/>
        </w:rPr>
        <w:t>、</w:t>
      </w:r>
      <w:r w:rsidR="00036D0F" w:rsidRPr="00FC5303">
        <w:rPr>
          <w:rFonts w:ascii="Times New Roman" w:eastAsia="標楷體" w:hAnsi="Times New Roman" w:hint="eastAsia"/>
          <w:sz w:val="28"/>
          <w:szCs w:val="28"/>
        </w:rPr>
        <w:t>分盤方式交易</w:t>
      </w:r>
      <w:r w:rsidR="00036D0F" w:rsidRPr="00FC5303">
        <w:rPr>
          <w:rFonts w:ascii="標楷體" w:eastAsia="標楷體" w:hAnsi="標楷體" w:hint="eastAsia"/>
          <w:sz w:val="28"/>
          <w:szCs w:val="28"/>
        </w:rPr>
        <w:t>、</w:t>
      </w:r>
      <w:r w:rsidR="00036D0F" w:rsidRPr="00FC5303">
        <w:rPr>
          <w:rFonts w:ascii="Times New Roman" w:eastAsia="標楷體" w:hAnsi="Times New Roman" w:hint="eastAsia"/>
          <w:sz w:val="28"/>
          <w:szCs w:val="28"/>
        </w:rPr>
        <w:t>信用交易</w:t>
      </w:r>
      <w:r w:rsidR="00B100D6" w:rsidRPr="00FC5303">
        <w:rPr>
          <w:rFonts w:ascii="Times New Roman" w:eastAsia="標楷體" w:hAnsi="Times New Roman" w:hint="eastAsia"/>
          <w:sz w:val="28"/>
          <w:szCs w:val="28"/>
        </w:rPr>
        <w:t>等標準，暨</w:t>
      </w:r>
      <w:r w:rsidR="00036D0F" w:rsidRPr="00FC5303">
        <w:rPr>
          <w:rFonts w:ascii="Times New Roman" w:eastAsia="標楷體" w:hAnsi="Times New Roman" w:hint="eastAsia"/>
          <w:sz w:val="28"/>
          <w:szCs w:val="28"/>
        </w:rPr>
        <w:t>上市櫃</w:t>
      </w:r>
      <w:proofErr w:type="gramStart"/>
      <w:r w:rsidR="00036D0F" w:rsidRPr="00FC5303">
        <w:rPr>
          <w:rFonts w:ascii="Times New Roman" w:eastAsia="標楷體" w:hAnsi="Times New Roman" w:hint="eastAsia"/>
          <w:sz w:val="28"/>
          <w:szCs w:val="28"/>
        </w:rPr>
        <w:t>及興櫃公司</w:t>
      </w:r>
      <w:proofErr w:type="gramEnd"/>
      <w:r w:rsidR="00036D0F" w:rsidRPr="00FC5303">
        <w:rPr>
          <w:rFonts w:ascii="Times New Roman" w:eastAsia="標楷體" w:hAnsi="Times New Roman" w:hint="eastAsia"/>
          <w:sz w:val="28"/>
          <w:szCs w:val="28"/>
        </w:rPr>
        <w:t>重大訊息</w:t>
      </w:r>
      <w:r w:rsidR="00B100D6" w:rsidRPr="00FC5303">
        <w:rPr>
          <w:rFonts w:ascii="Times New Roman" w:eastAsia="標楷體" w:hAnsi="Times New Roman" w:hint="eastAsia"/>
          <w:sz w:val="28"/>
          <w:szCs w:val="28"/>
        </w:rPr>
        <w:t>、重大訊息說明記者會等資訊公開</w:t>
      </w:r>
      <w:r w:rsidR="00036D0F" w:rsidRPr="00FC5303">
        <w:rPr>
          <w:rFonts w:ascii="Times New Roman" w:eastAsia="標楷體" w:hAnsi="Times New Roman" w:hint="eastAsia"/>
          <w:sz w:val="28"/>
          <w:szCs w:val="28"/>
        </w:rPr>
        <w:t>規定</w:t>
      </w:r>
      <w:r w:rsidRPr="00FC5303">
        <w:rPr>
          <w:rFonts w:ascii="標楷體" w:eastAsia="標楷體" w:hAnsi="標楷體" w:hint="eastAsia"/>
          <w:sz w:val="28"/>
          <w:szCs w:val="28"/>
        </w:rPr>
        <w:t>，</w:t>
      </w:r>
      <w:r w:rsidR="00C36EEB" w:rsidRPr="00FC5303">
        <w:rPr>
          <w:rFonts w:ascii="標楷體" w:eastAsia="標楷體" w:hAnsi="標楷體" w:hint="eastAsia"/>
          <w:sz w:val="28"/>
          <w:szCs w:val="28"/>
        </w:rPr>
        <w:t>將因外國企業股票面額是否為十元而有不同的規範，茲</w:t>
      </w:r>
      <w:r w:rsidR="00B100D6" w:rsidRPr="00FC5303">
        <w:rPr>
          <w:rFonts w:ascii="標楷體" w:eastAsia="標楷體" w:hAnsi="標楷體" w:hint="eastAsia"/>
          <w:sz w:val="28"/>
          <w:szCs w:val="28"/>
        </w:rPr>
        <w:t>列表說明</w:t>
      </w:r>
      <w:r w:rsidRPr="00FC5303">
        <w:rPr>
          <w:rFonts w:ascii="標楷體" w:eastAsia="標楷體" w:hAnsi="標楷體" w:hint="eastAsia"/>
          <w:sz w:val="28"/>
          <w:szCs w:val="28"/>
        </w:rPr>
        <w:t>如下</w:t>
      </w:r>
      <w:r w:rsidR="00B100D6" w:rsidRPr="00FC5303">
        <w:rPr>
          <w:rFonts w:ascii="標楷體" w:eastAsia="標楷體" w:hAnsi="標楷體" w:hint="eastAsia"/>
          <w:sz w:val="28"/>
          <w:szCs w:val="28"/>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3500"/>
        <w:gridCol w:w="3827"/>
      </w:tblGrid>
      <w:tr w:rsidR="00D47520" w:rsidRPr="00F814DD" w:rsidTr="006467E3">
        <w:trPr>
          <w:tblHeader/>
        </w:trPr>
        <w:tc>
          <w:tcPr>
            <w:tcW w:w="2137" w:type="dxa"/>
            <w:vAlign w:val="center"/>
          </w:tcPr>
          <w:p w:rsidR="00D47520" w:rsidRPr="00F814DD" w:rsidRDefault="00D47520" w:rsidP="006467E3">
            <w:pPr>
              <w:spacing w:line="480" w:lineRule="exact"/>
              <w:jc w:val="center"/>
              <w:rPr>
                <w:rFonts w:ascii="Times New Roman" w:eastAsia="標楷體" w:hAnsi="Times New Roman"/>
                <w:b/>
                <w:sz w:val="28"/>
                <w:szCs w:val="28"/>
              </w:rPr>
            </w:pPr>
            <w:r w:rsidRPr="00F814DD">
              <w:rPr>
                <w:rFonts w:ascii="Times New Roman" w:eastAsia="標楷體" w:hAnsi="標楷體"/>
                <w:b/>
                <w:sz w:val="28"/>
                <w:szCs w:val="28"/>
              </w:rPr>
              <w:t>項目</w:t>
            </w:r>
          </w:p>
        </w:tc>
        <w:tc>
          <w:tcPr>
            <w:tcW w:w="3500" w:type="dxa"/>
            <w:vAlign w:val="center"/>
          </w:tcPr>
          <w:p w:rsidR="00D47520" w:rsidRPr="00F814DD" w:rsidRDefault="00D47520" w:rsidP="006467E3">
            <w:pPr>
              <w:spacing w:line="480" w:lineRule="exact"/>
              <w:jc w:val="center"/>
              <w:rPr>
                <w:rFonts w:ascii="Times New Roman" w:eastAsia="標楷體" w:hAnsi="Times New Roman"/>
                <w:b/>
                <w:sz w:val="28"/>
                <w:szCs w:val="28"/>
              </w:rPr>
            </w:pPr>
            <w:r>
              <w:rPr>
                <w:rFonts w:ascii="Times New Roman" w:eastAsia="標楷體" w:hAnsi="標楷體" w:hint="eastAsia"/>
                <w:b/>
                <w:sz w:val="28"/>
                <w:szCs w:val="28"/>
              </w:rPr>
              <w:t>面額十元公司</w:t>
            </w:r>
          </w:p>
        </w:tc>
        <w:tc>
          <w:tcPr>
            <w:tcW w:w="3827" w:type="dxa"/>
            <w:vAlign w:val="center"/>
          </w:tcPr>
          <w:p w:rsidR="00D47520" w:rsidRPr="00F814DD" w:rsidRDefault="00D47520" w:rsidP="006467E3">
            <w:pPr>
              <w:spacing w:line="480" w:lineRule="exact"/>
              <w:jc w:val="center"/>
              <w:rPr>
                <w:rFonts w:ascii="Times New Roman" w:eastAsia="標楷體" w:hAnsi="Times New Roman"/>
                <w:b/>
                <w:sz w:val="28"/>
                <w:szCs w:val="28"/>
              </w:rPr>
            </w:pPr>
            <w:r>
              <w:rPr>
                <w:rFonts w:ascii="Times New Roman" w:eastAsia="標楷體" w:hAnsi="Times New Roman" w:hint="eastAsia"/>
                <w:b/>
                <w:sz w:val="28"/>
                <w:szCs w:val="28"/>
              </w:rPr>
              <w:t>非面額十元公司</w:t>
            </w:r>
          </w:p>
        </w:tc>
      </w:tr>
      <w:tr w:rsidR="00D47520" w:rsidRPr="000210B1" w:rsidTr="006467E3">
        <w:tc>
          <w:tcPr>
            <w:tcW w:w="2137" w:type="dxa"/>
          </w:tcPr>
          <w:p w:rsidR="00D47520" w:rsidRPr="00036D0F" w:rsidRDefault="00D47520" w:rsidP="006467E3">
            <w:pPr>
              <w:spacing w:line="400" w:lineRule="exact"/>
              <w:jc w:val="both"/>
              <w:rPr>
                <w:rFonts w:ascii="Times New Roman" w:eastAsia="標楷體" w:hAnsi="Times New Roman"/>
                <w:sz w:val="28"/>
                <w:szCs w:val="28"/>
              </w:rPr>
            </w:pPr>
            <w:r w:rsidRPr="00036D0F">
              <w:rPr>
                <w:rFonts w:ascii="Times New Roman" w:eastAsia="標楷體" w:hAnsi="Times New Roman" w:hint="eastAsia"/>
                <w:sz w:val="28"/>
                <w:szCs w:val="28"/>
              </w:rPr>
              <w:t>上市櫃股票變更交易方法</w:t>
            </w:r>
          </w:p>
        </w:tc>
        <w:tc>
          <w:tcPr>
            <w:tcW w:w="3500" w:type="dxa"/>
          </w:tcPr>
          <w:p w:rsidR="00D47520" w:rsidRPr="00036D0F" w:rsidRDefault="00D47520" w:rsidP="006467E3">
            <w:pPr>
              <w:spacing w:line="400" w:lineRule="exact"/>
              <w:jc w:val="both"/>
              <w:rPr>
                <w:rFonts w:ascii="Times New Roman" w:eastAsia="標楷體" w:hAnsi="Times New Roman"/>
                <w:sz w:val="28"/>
                <w:szCs w:val="28"/>
              </w:rPr>
            </w:pPr>
            <w:r w:rsidRPr="00036D0F">
              <w:rPr>
                <w:rFonts w:ascii="Times New Roman" w:eastAsia="標楷體" w:hAnsi="Times New Roman" w:hint="eastAsia"/>
                <w:sz w:val="28"/>
                <w:szCs w:val="28"/>
              </w:rPr>
              <w:t>淨值低於財務報告所列示股本二分之一者</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每股淨值低於五元</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w:t>
            </w:r>
          </w:p>
        </w:tc>
        <w:tc>
          <w:tcPr>
            <w:tcW w:w="3827" w:type="dxa"/>
          </w:tcPr>
          <w:p w:rsidR="00D47520" w:rsidRPr="00036D0F" w:rsidRDefault="00D47520" w:rsidP="006467E3">
            <w:pPr>
              <w:spacing w:line="400" w:lineRule="exact"/>
              <w:jc w:val="both"/>
              <w:rPr>
                <w:rFonts w:ascii="Times New Roman" w:eastAsia="標楷體" w:hAnsi="Times New Roman"/>
                <w:sz w:val="28"/>
                <w:szCs w:val="28"/>
              </w:rPr>
            </w:pPr>
            <w:r w:rsidRPr="00036D0F">
              <w:rPr>
                <w:rFonts w:ascii="Times New Roman" w:eastAsia="標楷體" w:hAnsi="Times New Roman" w:hint="eastAsia"/>
                <w:sz w:val="28"/>
                <w:szCs w:val="28"/>
              </w:rPr>
              <w:t>淨值低於財務報告所列示</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股本</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資本公積</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股本溢價</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二分之一</w:t>
            </w:r>
            <w:r>
              <w:rPr>
                <w:rFonts w:ascii="Times New Roman" w:eastAsia="標楷體" w:hAnsi="Times New Roman" w:hint="eastAsia"/>
                <w:sz w:val="28"/>
                <w:szCs w:val="28"/>
              </w:rPr>
              <w:t>者</w:t>
            </w:r>
            <w:r w:rsidRPr="00036D0F">
              <w:rPr>
                <w:rFonts w:ascii="Times New Roman" w:eastAsia="標楷體" w:hAnsi="Times New Roman" w:hint="eastAsia"/>
                <w:sz w:val="28"/>
                <w:szCs w:val="28"/>
              </w:rPr>
              <w:t>。</w:t>
            </w:r>
          </w:p>
        </w:tc>
      </w:tr>
      <w:tr w:rsidR="00D47520" w:rsidRPr="000210B1" w:rsidTr="006467E3">
        <w:tc>
          <w:tcPr>
            <w:tcW w:w="2137" w:type="dxa"/>
          </w:tcPr>
          <w:p w:rsidR="00D47520" w:rsidRPr="00036D0F" w:rsidRDefault="00D47520" w:rsidP="006467E3">
            <w:pPr>
              <w:spacing w:line="400" w:lineRule="exact"/>
              <w:jc w:val="both"/>
              <w:rPr>
                <w:rFonts w:ascii="Times New Roman" w:eastAsia="標楷體" w:hAnsi="Times New Roman"/>
                <w:sz w:val="28"/>
                <w:szCs w:val="28"/>
              </w:rPr>
            </w:pPr>
            <w:r w:rsidRPr="00036D0F">
              <w:rPr>
                <w:rFonts w:ascii="Times New Roman" w:eastAsia="標楷體" w:hAnsi="Times New Roman" w:hint="eastAsia"/>
                <w:sz w:val="28"/>
                <w:szCs w:val="28"/>
              </w:rPr>
              <w:t>上市櫃股票分盤方式交易</w:t>
            </w:r>
          </w:p>
        </w:tc>
        <w:tc>
          <w:tcPr>
            <w:tcW w:w="3500" w:type="dxa"/>
          </w:tcPr>
          <w:p w:rsidR="00D47520" w:rsidRPr="00036D0F" w:rsidRDefault="00D47520" w:rsidP="006467E3">
            <w:pPr>
              <w:spacing w:line="400" w:lineRule="exact"/>
              <w:jc w:val="both"/>
              <w:rPr>
                <w:rFonts w:ascii="Times New Roman" w:eastAsia="標楷體" w:hAnsi="Times New Roman"/>
                <w:sz w:val="28"/>
                <w:szCs w:val="28"/>
              </w:rPr>
            </w:pPr>
            <w:r w:rsidRPr="00036D0F">
              <w:rPr>
                <w:rFonts w:ascii="Times New Roman" w:eastAsia="標楷體" w:hAnsi="Times New Roman" w:hint="eastAsia"/>
                <w:sz w:val="28"/>
                <w:szCs w:val="28"/>
              </w:rPr>
              <w:t>淨值低於財務報告所列示股本十分之三者</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每股淨值低於三元</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w:t>
            </w:r>
          </w:p>
        </w:tc>
        <w:tc>
          <w:tcPr>
            <w:tcW w:w="3827" w:type="dxa"/>
          </w:tcPr>
          <w:p w:rsidR="00D47520" w:rsidRPr="00036D0F" w:rsidRDefault="00D47520" w:rsidP="006467E3">
            <w:pPr>
              <w:spacing w:line="400" w:lineRule="exact"/>
              <w:jc w:val="both"/>
              <w:rPr>
                <w:rFonts w:ascii="Times New Roman" w:eastAsia="標楷體" w:hAnsi="Times New Roman"/>
                <w:sz w:val="28"/>
                <w:szCs w:val="28"/>
              </w:rPr>
            </w:pPr>
            <w:r w:rsidRPr="00036D0F">
              <w:rPr>
                <w:rFonts w:ascii="Times New Roman" w:eastAsia="標楷體" w:hAnsi="Times New Roman" w:hint="eastAsia"/>
                <w:sz w:val="28"/>
                <w:szCs w:val="28"/>
              </w:rPr>
              <w:t>淨值低於財務報告所列示</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股本</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資本公積</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股本溢價</w:t>
            </w:r>
            <w:r w:rsidRPr="00036D0F">
              <w:rPr>
                <w:rFonts w:ascii="Times New Roman" w:eastAsia="標楷體" w:hAnsi="Times New Roman" w:hint="eastAsia"/>
                <w:sz w:val="28"/>
                <w:szCs w:val="28"/>
              </w:rPr>
              <w:t>))</w:t>
            </w:r>
            <w:r w:rsidRPr="00036D0F">
              <w:rPr>
                <w:rFonts w:ascii="Times New Roman" w:eastAsia="標楷體" w:hAnsi="Times New Roman" w:hint="eastAsia"/>
                <w:sz w:val="28"/>
                <w:szCs w:val="28"/>
              </w:rPr>
              <w:t>十分之三</w:t>
            </w:r>
            <w:r>
              <w:rPr>
                <w:rFonts w:ascii="Times New Roman" w:eastAsia="標楷體" w:hAnsi="Times New Roman" w:hint="eastAsia"/>
                <w:sz w:val="28"/>
                <w:szCs w:val="28"/>
              </w:rPr>
              <w:t>者</w:t>
            </w:r>
            <w:r w:rsidRPr="00036D0F">
              <w:rPr>
                <w:rFonts w:ascii="Times New Roman" w:eastAsia="標楷體" w:hAnsi="Times New Roman" w:hint="eastAsia"/>
                <w:sz w:val="28"/>
                <w:szCs w:val="28"/>
              </w:rPr>
              <w:t>。</w:t>
            </w:r>
          </w:p>
        </w:tc>
      </w:tr>
      <w:tr w:rsidR="00D47520" w:rsidRPr="00C2736F" w:rsidTr="006467E3">
        <w:tc>
          <w:tcPr>
            <w:tcW w:w="2137" w:type="dxa"/>
          </w:tcPr>
          <w:p w:rsidR="00D47520" w:rsidRPr="00036D0F" w:rsidRDefault="00D47520" w:rsidP="006467E3">
            <w:pPr>
              <w:spacing w:line="400" w:lineRule="exact"/>
              <w:rPr>
                <w:rFonts w:ascii="Times New Roman" w:eastAsia="標楷體" w:hAnsi="Times New Roman"/>
                <w:sz w:val="28"/>
                <w:szCs w:val="28"/>
              </w:rPr>
            </w:pPr>
            <w:r w:rsidRPr="00036D0F">
              <w:rPr>
                <w:rFonts w:ascii="Times New Roman" w:eastAsia="標楷體" w:hAnsi="Times New Roman" w:hint="eastAsia"/>
                <w:sz w:val="28"/>
                <w:szCs w:val="28"/>
              </w:rPr>
              <w:t>上市</w:t>
            </w:r>
            <w:r w:rsidRPr="0065526C">
              <w:rPr>
                <w:rFonts w:ascii="Times New Roman" w:eastAsia="標楷體" w:hAnsi="Times New Roman" w:hint="eastAsia"/>
                <w:sz w:val="28"/>
                <w:szCs w:val="28"/>
              </w:rPr>
              <w:t>櫃股票</w:t>
            </w:r>
            <w:r w:rsidRPr="0065526C">
              <w:rPr>
                <w:rFonts w:ascii="標楷體" w:eastAsia="標楷體" w:hAnsi="標楷體" w:hint="eastAsia"/>
                <w:sz w:val="28"/>
                <w:szCs w:val="28"/>
              </w:rPr>
              <w:t>融資融券</w:t>
            </w:r>
            <w:r w:rsidRPr="0065526C">
              <w:rPr>
                <w:rFonts w:ascii="Times New Roman" w:eastAsia="標楷體" w:hAnsi="Times New Roman" w:hint="eastAsia"/>
                <w:sz w:val="28"/>
                <w:szCs w:val="28"/>
              </w:rPr>
              <w:t>交易</w:t>
            </w:r>
          </w:p>
        </w:tc>
        <w:tc>
          <w:tcPr>
            <w:tcW w:w="3500" w:type="dxa"/>
          </w:tcPr>
          <w:p w:rsidR="00D47520" w:rsidRPr="00BF0B92" w:rsidRDefault="00D47520" w:rsidP="006467E3">
            <w:pPr>
              <w:pStyle w:val="a3"/>
              <w:widowControl/>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ascii="Times New Roman" w:eastAsia="標楷體" w:hAnsi="Times New Roman"/>
                <w:sz w:val="28"/>
                <w:szCs w:val="28"/>
              </w:rPr>
            </w:pPr>
            <w:r w:rsidRPr="00BF0B92">
              <w:rPr>
                <w:rFonts w:ascii="Times New Roman" w:eastAsia="標楷體" w:hAnsi="Times New Roman" w:cs="Times New Roman" w:hint="eastAsia"/>
                <w:sz w:val="28"/>
                <w:szCs w:val="28"/>
              </w:rPr>
              <w:t>每股淨值在票面以上。</w:t>
            </w:r>
            <w:r w:rsidRPr="00BF0B92">
              <w:rPr>
                <w:rFonts w:ascii="Times New Roman" w:eastAsia="標楷體" w:hAnsi="Times New Roman" w:hint="eastAsia"/>
                <w:sz w:val="28"/>
                <w:szCs w:val="28"/>
                <w:u w:val="single"/>
              </w:rPr>
              <w:t>(</w:t>
            </w:r>
            <w:r w:rsidRPr="00BF0B92">
              <w:rPr>
                <w:rFonts w:ascii="Times New Roman" w:eastAsia="標楷體" w:hAnsi="Times New Roman" w:hint="eastAsia"/>
                <w:sz w:val="28"/>
                <w:szCs w:val="28"/>
                <w:u w:val="single"/>
              </w:rPr>
              <w:t>上市櫃股票均適用</w:t>
            </w:r>
            <w:r w:rsidRPr="00BF0B92">
              <w:rPr>
                <w:rFonts w:ascii="Times New Roman" w:eastAsia="標楷體" w:hAnsi="Times New Roman" w:hint="eastAsia"/>
                <w:sz w:val="28"/>
                <w:szCs w:val="28"/>
                <w:u w:val="single"/>
              </w:rPr>
              <w:t>)</w:t>
            </w:r>
          </w:p>
          <w:p w:rsidR="00D47520" w:rsidRPr="000A08CB" w:rsidRDefault="00D47520" w:rsidP="006467E3">
            <w:pPr>
              <w:pStyle w:val="a3"/>
              <w:widowControl/>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ascii="Times New Roman" w:eastAsia="標楷體" w:hAnsi="Times New Roman"/>
                <w:sz w:val="28"/>
                <w:szCs w:val="28"/>
              </w:rPr>
            </w:pPr>
            <w:r w:rsidRPr="000A08CB">
              <w:rPr>
                <w:rFonts w:ascii="Times New Roman" w:eastAsia="標楷體" w:hAnsi="Times New Roman" w:hint="eastAsia"/>
                <w:sz w:val="28"/>
                <w:szCs w:val="28"/>
                <w:u w:val="single"/>
              </w:rPr>
              <w:t>上市股票</w:t>
            </w:r>
            <w:r w:rsidRPr="000A08CB">
              <w:rPr>
                <w:rFonts w:ascii="標楷體" w:eastAsia="標楷體" w:hAnsi="標楷體" w:hint="eastAsia"/>
                <w:sz w:val="28"/>
                <w:szCs w:val="28"/>
              </w:rPr>
              <w:t>股權過度集中之審查標準係以實收資本額作為級距，</w:t>
            </w:r>
            <w:r w:rsidRPr="000A08CB">
              <w:rPr>
                <w:rFonts w:ascii="Times New Roman" w:eastAsia="標楷體" w:hAnsi="Times New Roman" w:hint="eastAsia"/>
                <w:sz w:val="28"/>
                <w:szCs w:val="28"/>
                <w:u w:val="single"/>
              </w:rPr>
              <w:t>上櫃股票</w:t>
            </w:r>
            <w:r w:rsidRPr="000A08CB">
              <w:rPr>
                <w:rFonts w:ascii="標楷體" w:eastAsia="標楷體" w:hAnsi="標楷體" w:hint="eastAsia"/>
                <w:sz w:val="28"/>
                <w:szCs w:val="28"/>
              </w:rPr>
              <w:t>係以發行股數作為級距。</w:t>
            </w:r>
          </w:p>
          <w:p w:rsidR="00D47520" w:rsidRPr="009B15B6" w:rsidRDefault="00D47520" w:rsidP="006467E3">
            <w:pPr>
              <w:pStyle w:val="a3"/>
              <w:widowControl/>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ascii="Times New Roman" w:eastAsia="標楷體" w:hAnsi="Times New Roman"/>
                <w:sz w:val="28"/>
                <w:szCs w:val="28"/>
              </w:rPr>
            </w:pPr>
            <w:r w:rsidRPr="00FF26ED">
              <w:rPr>
                <w:rFonts w:ascii="Times New Roman" w:eastAsia="標楷體" w:hAnsi="Times New Roman" w:cs="Times New Roman" w:hint="eastAsia"/>
                <w:sz w:val="28"/>
                <w:szCs w:val="28"/>
              </w:rPr>
              <w:t>實收資本額</w:t>
            </w:r>
            <w:r w:rsidRPr="00FF26ED">
              <w:rPr>
                <w:rFonts w:ascii="Times New Roman" w:eastAsia="標楷體" w:hAnsi="Times New Roman" w:hint="eastAsia"/>
                <w:sz w:val="28"/>
                <w:szCs w:val="28"/>
              </w:rPr>
              <w:t>應</w:t>
            </w:r>
            <w:r w:rsidRPr="00FF26ED">
              <w:rPr>
                <w:rFonts w:ascii="Times New Roman" w:eastAsia="標楷體" w:hAnsi="Times New Roman" w:cs="Times New Roman" w:hint="eastAsia"/>
                <w:sz w:val="28"/>
                <w:szCs w:val="28"/>
              </w:rPr>
              <w:t>達新台幣三億元以</w:t>
            </w:r>
            <w:r>
              <w:rPr>
                <w:rFonts w:ascii="Times New Roman" w:eastAsia="標楷體" w:hAnsi="Times New Roman" w:cs="Times New Roman" w:hint="eastAsia"/>
                <w:sz w:val="28"/>
                <w:szCs w:val="28"/>
              </w:rPr>
              <w:t>上。</w:t>
            </w:r>
            <w:r w:rsidRPr="0065526C">
              <w:rPr>
                <w:rFonts w:ascii="Times New Roman" w:eastAsia="標楷體" w:hAnsi="Times New Roman" w:cs="Times New Roman" w:hint="eastAsia"/>
                <w:sz w:val="28"/>
                <w:szCs w:val="28"/>
                <w:u w:val="single"/>
              </w:rPr>
              <w:t>(</w:t>
            </w:r>
            <w:r w:rsidRPr="0065526C">
              <w:rPr>
                <w:rFonts w:ascii="Times New Roman" w:eastAsia="標楷體" w:hAnsi="Times New Roman" w:cs="Times New Roman" w:hint="eastAsia"/>
                <w:sz w:val="28"/>
                <w:szCs w:val="28"/>
                <w:u w:val="single"/>
              </w:rPr>
              <w:t>僅上櫃股票適用</w:t>
            </w:r>
            <w:r w:rsidRPr="0065526C">
              <w:rPr>
                <w:rFonts w:ascii="Times New Roman" w:eastAsia="標楷體" w:hAnsi="Times New Roman" w:cs="Times New Roman" w:hint="eastAsia"/>
                <w:sz w:val="28"/>
                <w:szCs w:val="28"/>
                <w:u w:val="single"/>
              </w:rPr>
              <w:t>)</w:t>
            </w:r>
          </w:p>
          <w:p w:rsidR="00D47520" w:rsidRPr="004967BC" w:rsidRDefault="00D47520" w:rsidP="006467E3">
            <w:pPr>
              <w:pStyle w:val="a3"/>
              <w:widowControl/>
              <w:numPr>
                <w:ilvl w:val="0"/>
                <w:numId w:val="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0"/>
              <w:jc w:val="both"/>
              <w:rPr>
                <w:rFonts w:ascii="Times New Roman" w:eastAsia="標楷體" w:hAnsi="Times New Roman"/>
                <w:sz w:val="28"/>
                <w:szCs w:val="28"/>
              </w:rPr>
            </w:pPr>
            <w:r w:rsidRPr="00FF26ED">
              <w:rPr>
                <w:rFonts w:ascii="Times New Roman" w:eastAsia="標楷體" w:hAnsi="Times New Roman" w:hint="eastAsia"/>
                <w:sz w:val="28"/>
                <w:szCs w:val="28"/>
              </w:rPr>
              <w:t>獲利能力標準</w:t>
            </w:r>
            <w:r>
              <w:rPr>
                <w:rFonts w:ascii="Times New Roman" w:eastAsia="標楷體" w:hAnsi="Times New Roman" w:hint="eastAsia"/>
                <w:sz w:val="28"/>
                <w:szCs w:val="28"/>
              </w:rPr>
              <w:t>之</w:t>
            </w:r>
            <w:r w:rsidRPr="00FF26ED">
              <w:rPr>
                <w:rFonts w:ascii="Times New Roman" w:eastAsia="標楷體" w:hAnsi="Times New Roman" w:hint="eastAsia"/>
                <w:sz w:val="28"/>
                <w:szCs w:val="28"/>
              </w:rPr>
              <w:t>計算基礎</w:t>
            </w:r>
            <w:r>
              <w:rPr>
                <w:rFonts w:ascii="Times New Roman" w:eastAsia="標楷體" w:hAnsi="Times New Roman" w:hint="eastAsia"/>
                <w:sz w:val="28"/>
                <w:szCs w:val="28"/>
              </w:rPr>
              <w:t>為</w:t>
            </w:r>
            <w:r w:rsidRPr="00FF26ED">
              <w:rPr>
                <w:rFonts w:ascii="Times New Roman" w:eastAsia="標楷體" w:hAnsi="Times New Roman" w:hint="eastAsia"/>
                <w:sz w:val="28"/>
                <w:szCs w:val="28"/>
              </w:rPr>
              <w:t>「實收資本額」。</w:t>
            </w:r>
            <w:r w:rsidRPr="0065526C">
              <w:rPr>
                <w:rFonts w:ascii="Times New Roman" w:eastAsia="標楷體" w:hAnsi="Times New Roman" w:cs="Times New Roman" w:hint="eastAsia"/>
                <w:sz w:val="28"/>
                <w:szCs w:val="28"/>
                <w:u w:val="single"/>
              </w:rPr>
              <w:t>(</w:t>
            </w:r>
            <w:r w:rsidRPr="0065526C">
              <w:rPr>
                <w:rFonts w:ascii="Times New Roman" w:eastAsia="標楷體" w:hAnsi="Times New Roman" w:cs="Times New Roman" w:hint="eastAsia"/>
                <w:sz w:val="28"/>
                <w:szCs w:val="28"/>
                <w:u w:val="single"/>
              </w:rPr>
              <w:t>僅上櫃股票適用</w:t>
            </w:r>
            <w:r w:rsidRPr="0065526C">
              <w:rPr>
                <w:rFonts w:ascii="Times New Roman" w:eastAsia="標楷體" w:hAnsi="Times New Roman" w:cs="Times New Roman" w:hint="eastAsia"/>
                <w:sz w:val="28"/>
                <w:szCs w:val="28"/>
                <w:u w:val="single"/>
              </w:rPr>
              <w:t>)</w:t>
            </w:r>
          </w:p>
        </w:tc>
        <w:tc>
          <w:tcPr>
            <w:tcW w:w="3827" w:type="dxa"/>
          </w:tcPr>
          <w:p w:rsidR="00D47520" w:rsidRPr="00FF26ED" w:rsidRDefault="00D47520" w:rsidP="006467E3">
            <w:pPr>
              <w:pStyle w:val="a3"/>
              <w:widowControl/>
              <w:numPr>
                <w:ilvl w:val="0"/>
                <w:numId w:val="9"/>
              </w:numPr>
              <w:spacing w:line="400" w:lineRule="exact"/>
              <w:ind w:leftChars="0"/>
              <w:jc w:val="both"/>
              <w:rPr>
                <w:rFonts w:ascii="標楷體" w:eastAsia="標楷體" w:hAnsi="標楷體" w:cs="細明體"/>
                <w:color w:val="000000"/>
                <w:u w:val="single"/>
              </w:rPr>
            </w:pPr>
            <w:r>
              <w:rPr>
                <w:rFonts w:eastAsia="標楷體" w:cs="新細明體" w:hint="eastAsia"/>
                <w:kern w:val="0"/>
                <w:sz w:val="28"/>
                <w:szCs w:val="28"/>
              </w:rPr>
              <w:t>改以</w:t>
            </w:r>
            <w:r w:rsidRPr="00FF26ED">
              <w:rPr>
                <w:rFonts w:eastAsia="標楷體" w:cs="新細明體" w:hint="eastAsia"/>
                <w:kern w:val="0"/>
                <w:sz w:val="28"/>
                <w:szCs w:val="28"/>
              </w:rPr>
              <w:t>「無累積虧損」為</w:t>
            </w:r>
            <w:r>
              <w:rPr>
                <w:rFonts w:eastAsia="標楷體" w:cs="新細明體" w:hint="eastAsia"/>
                <w:kern w:val="0"/>
                <w:sz w:val="28"/>
                <w:szCs w:val="28"/>
              </w:rPr>
              <w:t>審核標準</w:t>
            </w:r>
            <w:r>
              <w:rPr>
                <w:rFonts w:ascii="標楷體" w:eastAsia="標楷體" w:hAnsi="標楷體" w:hint="eastAsia"/>
                <w:sz w:val="28"/>
                <w:szCs w:val="28"/>
              </w:rPr>
              <w:t>。</w:t>
            </w:r>
          </w:p>
          <w:p w:rsidR="00D47520" w:rsidRPr="0065526C" w:rsidRDefault="00D47520" w:rsidP="006467E3">
            <w:pPr>
              <w:pStyle w:val="a3"/>
              <w:widowControl/>
              <w:numPr>
                <w:ilvl w:val="0"/>
                <w:numId w:val="9"/>
              </w:numPr>
              <w:spacing w:line="400" w:lineRule="exact"/>
              <w:ind w:leftChars="0"/>
              <w:jc w:val="both"/>
              <w:rPr>
                <w:rFonts w:ascii="Times New Roman" w:eastAsia="標楷體" w:hAnsi="Times New Roman"/>
                <w:sz w:val="28"/>
                <w:szCs w:val="28"/>
              </w:rPr>
            </w:pPr>
            <w:r>
              <w:rPr>
                <w:rFonts w:eastAsia="標楷體" w:cs="新細明體" w:hint="eastAsia"/>
                <w:kern w:val="0"/>
                <w:sz w:val="28"/>
                <w:szCs w:val="28"/>
              </w:rPr>
              <w:t>改以</w:t>
            </w:r>
            <w:r>
              <w:rPr>
                <w:rFonts w:ascii="標楷體" w:eastAsia="標楷體" w:hAnsi="標楷體" w:hint="eastAsia"/>
                <w:sz w:val="28"/>
                <w:szCs w:val="28"/>
              </w:rPr>
              <w:t>發行股數</w:t>
            </w:r>
            <w:r w:rsidRPr="0065526C">
              <w:rPr>
                <w:rFonts w:ascii="標楷體" w:eastAsia="標楷體" w:hAnsi="標楷體" w:hint="eastAsia"/>
                <w:sz w:val="28"/>
                <w:szCs w:val="28"/>
              </w:rPr>
              <w:t>作為級距</w:t>
            </w:r>
            <w:r w:rsidRPr="00F300B9">
              <w:rPr>
                <w:rFonts w:ascii="標楷體" w:eastAsia="標楷體" w:hAnsi="標楷體" w:hint="eastAsia"/>
                <w:sz w:val="28"/>
                <w:szCs w:val="28"/>
              </w:rPr>
              <w:t>。</w:t>
            </w:r>
          </w:p>
          <w:p w:rsidR="00D47520" w:rsidRDefault="00D47520" w:rsidP="006467E3">
            <w:pPr>
              <w:pStyle w:val="a3"/>
              <w:widowControl/>
              <w:spacing w:line="400" w:lineRule="exact"/>
              <w:ind w:leftChars="0" w:left="439"/>
              <w:jc w:val="both"/>
              <w:rPr>
                <w:rFonts w:ascii="Times New Roman" w:eastAsia="標楷體" w:hAnsi="Times New Roman"/>
                <w:sz w:val="28"/>
                <w:szCs w:val="28"/>
              </w:rPr>
            </w:pPr>
          </w:p>
          <w:p w:rsidR="00D47520" w:rsidRDefault="00D47520" w:rsidP="006467E3">
            <w:pPr>
              <w:pStyle w:val="a3"/>
              <w:widowControl/>
              <w:spacing w:line="400" w:lineRule="exact"/>
              <w:ind w:leftChars="0" w:left="439"/>
              <w:jc w:val="both"/>
              <w:rPr>
                <w:rFonts w:ascii="Times New Roman" w:eastAsia="標楷體" w:hAnsi="Times New Roman"/>
                <w:sz w:val="28"/>
                <w:szCs w:val="28"/>
              </w:rPr>
            </w:pPr>
          </w:p>
          <w:p w:rsidR="00D47520" w:rsidRDefault="00D47520" w:rsidP="006467E3">
            <w:pPr>
              <w:widowControl/>
              <w:spacing w:line="400" w:lineRule="exact"/>
              <w:jc w:val="both"/>
              <w:rPr>
                <w:rFonts w:ascii="Times New Roman" w:eastAsia="標楷體" w:hAnsi="Times New Roman"/>
                <w:sz w:val="28"/>
                <w:szCs w:val="28"/>
              </w:rPr>
            </w:pPr>
          </w:p>
          <w:p w:rsidR="00D47520" w:rsidRPr="000172A2" w:rsidRDefault="00D47520" w:rsidP="006467E3">
            <w:pPr>
              <w:widowControl/>
              <w:spacing w:line="400" w:lineRule="exact"/>
              <w:jc w:val="both"/>
              <w:rPr>
                <w:rFonts w:ascii="Times New Roman" w:eastAsia="標楷體" w:hAnsi="Times New Roman"/>
                <w:sz w:val="28"/>
                <w:szCs w:val="28"/>
              </w:rPr>
            </w:pPr>
          </w:p>
          <w:p w:rsidR="00D47520" w:rsidRPr="009B15B6" w:rsidRDefault="00D47520" w:rsidP="006467E3">
            <w:pPr>
              <w:pStyle w:val="a3"/>
              <w:widowControl/>
              <w:numPr>
                <w:ilvl w:val="0"/>
                <w:numId w:val="9"/>
              </w:numPr>
              <w:spacing w:line="400" w:lineRule="exact"/>
              <w:ind w:leftChars="0"/>
              <w:jc w:val="both"/>
              <w:rPr>
                <w:rFonts w:ascii="Times New Roman" w:eastAsia="標楷體" w:hAnsi="Times New Roman"/>
                <w:sz w:val="28"/>
                <w:szCs w:val="28"/>
              </w:rPr>
            </w:pPr>
            <w:r w:rsidRPr="00FF26ED">
              <w:rPr>
                <w:rFonts w:ascii="Times New Roman" w:eastAsia="標楷體" w:hAnsi="Times New Roman" w:cs="Times New Roman" w:hint="eastAsia"/>
                <w:sz w:val="28"/>
                <w:szCs w:val="28"/>
              </w:rPr>
              <w:t>改</w:t>
            </w:r>
            <w:r>
              <w:rPr>
                <w:rFonts w:ascii="Times New Roman" w:eastAsia="標楷體" w:hAnsi="Times New Roman" w:cs="Times New Roman" w:hint="eastAsia"/>
                <w:sz w:val="28"/>
                <w:szCs w:val="28"/>
              </w:rPr>
              <w:t>以「</w:t>
            </w:r>
            <w:r w:rsidRPr="00FF26ED">
              <w:rPr>
                <w:rFonts w:ascii="Times New Roman" w:eastAsia="標楷體" w:hAnsi="Times New Roman" w:cs="Times New Roman" w:hint="eastAsia"/>
                <w:sz w:val="28"/>
                <w:szCs w:val="28"/>
              </w:rPr>
              <w:t>股東權益</w:t>
            </w:r>
            <w:r>
              <w:rPr>
                <w:rFonts w:ascii="Times New Roman" w:eastAsia="標楷體" w:hAnsi="Times New Roman" w:hint="eastAsia"/>
                <w:sz w:val="28"/>
                <w:szCs w:val="28"/>
              </w:rPr>
              <w:t>應</w:t>
            </w:r>
            <w:r w:rsidRPr="00FF26ED">
              <w:rPr>
                <w:rFonts w:ascii="Times New Roman" w:eastAsia="標楷體" w:hAnsi="Times New Roman" w:cs="Times New Roman" w:hint="eastAsia"/>
                <w:sz w:val="28"/>
                <w:szCs w:val="28"/>
              </w:rPr>
              <w:t>達新台幣六億元以上</w:t>
            </w:r>
            <w:r>
              <w:rPr>
                <w:rFonts w:ascii="Times New Roman" w:eastAsia="標楷體" w:hAnsi="Times New Roman" w:cs="Times New Roman" w:hint="eastAsia"/>
                <w:sz w:val="28"/>
                <w:szCs w:val="28"/>
              </w:rPr>
              <w:t>」</w:t>
            </w:r>
            <w:r w:rsidRPr="00FF26ED">
              <w:rPr>
                <w:rFonts w:eastAsia="標楷體" w:cs="新細明體" w:hint="eastAsia"/>
                <w:kern w:val="0"/>
                <w:sz w:val="28"/>
                <w:szCs w:val="28"/>
              </w:rPr>
              <w:t>為</w:t>
            </w:r>
            <w:r>
              <w:rPr>
                <w:rFonts w:eastAsia="標楷體" w:cs="新細明體" w:hint="eastAsia"/>
                <w:kern w:val="0"/>
                <w:sz w:val="28"/>
                <w:szCs w:val="28"/>
              </w:rPr>
              <w:t>審核標準</w:t>
            </w:r>
            <w:r>
              <w:rPr>
                <w:rFonts w:ascii="標楷體" w:eastAsia="標楷體" w:hAnsi="標楷體" w:hint="eastAsia"/>
                <w:sz w:val="28"/>
                <w:szCs w:val="28"/>
              </w:rPr>
              <w:t>。</w:t>
            </w:r>
          </w:p>
          <w:p w:rsidR="00D47520" w:rsidRDefault="00D47520" w:rsidP="006467E3">
            <w:pPr>
              <w:pStyle w:val="a3"/>
              <w:widowControl/>
              <w:numPr>
                <w:ilvl w:val="0"/>
                <w:numId w:val="9"/>
              </w:numPr>
              <w:spacing w:line="400" w:lineRule="exact"/>
              <w:ind w:leftChars="0"/>
              <w:jc w:val="both"/>
              <w:rPr>
                <w:rFonts w:ascii="Times New Roman" w:eastAsia="標楷體" w:hAnsi="Times New Roman"/>
                <w:sz w:val="28"/>
                <w:szCs w:val="28"/>
              </w:rPr>
            </w:pPr>
            <w:r w:rsidRPr="004967BC">
              <w:rPr>
                <w:rFonts w:ascii="Times New Roman" w:eastAsia="標楷體" w:hAnsi="Times New Roman" w:hint="eastAsia"/>
                <w:sz w:val="28"/>
                <w:szCs w:val="28"/>
              </w:rPr>
              <w:t>改</w:t>
            </w:r>
            <w:r>
              <w:rPr>
                <w:rFonts w:ascii="Times New Roman" w:eastAsia="標楷體" w:hAnsi="Times New Roman" w:cs="Times New Roman" w:hint="eastAsia"/>
                <w:sz w:val="28"/>
                <w:szCs w:val="28"/>
              </w:rPr>
              <w:t>以</w:t>
            </w:r>
            <w:r>
              <w:rPr>
                <w:rFonts w:ascii="Times New Roman" w:eastAsia="標楷體" w:hAnsi="Times New Roman" w:hint="eastAsia"/>
                <w:sz w:val="28"/>
                <w:szCs w:val="28"/>
              </w:rPr>
              <w:t>「股東權益」</w:t>
            </w:r>
            <w:r w:rsidRPr="00FF26ED">
              <w:rPr>
                <w:rFonts w:eastAsia="標楷體" w:cs="新細明體" w:hint="eastAsia"/>
                <w:kern w:val="0"/>
                <w:sz w:val="28"/>
                <w:szCs w:val="28"/>
              </w:rPr>
              <w:t>為</w:t>
            </w:r>
            <w:r>
              <w:rPr>
                <w:rFonts w:eastAsia="標楷體" w:cs="新細明體" w:hint="eastAsia"/>
                <w:kern w:val="0"/>
                <w:sz w:val="28"/>
                <w:szCs w:val="28"/>
              </w:rPr>
              <w:t>審核標準</w:t>
            </w:r>
            <w:r>
              <w:rPr>
                <w:rFonts w:ascii="Times New Roman" w:eastAsia="標楷體" w:hAnsi="Times New Roman" w:hint="eastAsia"/>
                <w:sz w:val="28"/>
                <w:szCs w:val="28"/>
              </w:rPr>
              <w:t>，比率部分則未</w:t>
            </w:r>
            <w:r w:rsidRPr="004967BC">
              <w:rPr>
                <w:rFonts w:ascii="Times New Roman" w:eastAsia="標楷體" w:hAnsi="Times New Roman" w:hint="eastAsia"/>
                <w:sz w:val="28"/>
                <w:szCs w:val="28"/>
              </w:rPr>
              <w:t>調整。</w:t>
            </w:r>
          </w:p>
          <w:p w:rsidR="00D47520" w:rsidRPr="00036D0F" w:rsidRDefault="00D47520" w:rsidP="006467E3">
            <w:pPr>
              <w:spacing w:line="400" w:lineRule="exact"/>
              <w:jc w:val="both"/>
              <w:rPr>
                <w:rFonts w:ascii="Times New Roman" w:eastAsia="標楷體" w:hAnsi="Times New Roman"/>
                <w:sz w:val="28"/>
                <w:szCs w:val="28"/>
              </w:rPr>
            </w:pPr>
          </w:p>
        </w:tc>
      </w:tr>
      <w:tr w:rsidR="00D47520" w:rsidRPr="009E5019" w:rsidTr="006467E3">
        <w:tc>
          <w:tcPr>
            <w:tcW w:w="2137" w:type="dxa"/>
          </w:tcPr>
          <w:p w:rsidR="00D47520" w:rsidRPr="00036D0F" w:rsidRDefault="00D47520" w:rsidP="006467E3">
            <w:pPr>
              <w:spacing w:line="400" w:lineRule="exact"/>
              <w:ind w:left="2" w:firstLine="2"/>
              <w:rPr>
                <w:rFonts w:ascii="Times New Roman" w:eastAsia="標楷體" w:hAnsi="Times New Roman"/>
                <w:color w:val="000000"/>
                <w:sz w:val="28"/>
                <w:szCs w:val="28"/>
              </w:rPr>
            </w:pPr>
            <w:r w:rsidRPr="00036D0F">
              <w:rPr>
                <w:rFonts w:ascii="Times New Roman" w:eastAsia="標楷體" w:hAnsi="Times New Roman" w:hint="eastAsia"/>
                <w:color w:val="000000"/>
                <w:sz w:val="28"/>
                <w:szCs w:val="28"/>
              </w:rPr>
              <w:t>上市櫃</w:t>
            </w:r>
            <w:proofErr w:type="gramStart"/>
            <w:r w:rsidRPr="00036D0F">
              <w:rPr>
                <w:rFonts w:ascii="Times New Roman" w:eastAsia="標楷體" w:hAnsi="Times New Roman" w:hint="eastAsia"/>
                <w:color w:val="000000"/>
                <w:sz w:val="28"/>
                <w:szCs w:val="28"/>
              </w:rPr>
              <w:t>及興櫃公司</w:t>
            </w:r>
            <w:proofErr w:type="gramEnd"/>
            <w:r w:rsidRPr="00036D0F">
              <w:rPr>
                <w:rFonts w:ascii="Times New Roman" w:eastAsia="標楷體" w:hAnsi="Times New Roman" w:hint="eastAsia"/>
                <w:color w:val="000000"/>
                <w:sz w:val="28"/>
                <w:szCs w:val="28"/>
              </w:rPr>
              <w:t>重大訊息規定</w:t>
            </w:r>
          </w:p>
        </w:tc>
        <w:tc>
          <w:tcPr>
            <w:tcW w:w="3500" w:type="dxa"/>
          </w:tcPr>
          <w:p w:rsidR="00D47520" w:rsidRDefault="00D47520" w:rsidP="006467E3">
            <w:pPr>
              <w:spacing w:line="400" w:lineRule="exact"/>
              <w:jc w:val="both"/>
              <w:rPr>
                <w:rFonts w:ascii="Times New Roman" w:eastAsia="標楷體" w:hAnsi="Times New Roman"/>
                <w:color w:val="000000"/>
                <w:sz w:val="28"/>
                <w:szCs w:val="28"/>
              </w:rPr>
            </w:pPr>
            <w:r w:rsidRPr="00036D0F">
              <w:rPr>
                <w:rFonts w:ascii="Times New Roman" w:eastAsia="標楷體" w:hAnsi="Times New Roman" w:hint="eastAsia"/>
                <w:color w:val="000000"/>
                <w:sz w:val="28"/>
                <w:szCs w:val="28"/>
              </w:rPr>
              <w:t>以實收資本額之一定比例規範董事會決議公開財務預測、更新</w:t>
            </w:r>
            <w:r w:rsidRPr="00036D0F">
              <w:rPr>
                <w:rFonts w:ascii="Times New Roman" w:eastAsia="標楷體" w:hAnsi="Times New Roman" w:hint="eastAsia"/>
                <w:color w:val="000000"/>
                <w:sz w:val="28"/>
                <w:szCs w:val="28"/>
              </w:rPr>
              <w:t>(</w:t>
            </w:r>
            <w:r w:rsidRPr="00036D0F">
              <w:rPr>
                <w:rFonts w:ascii="Times New Roman" w:eastAsia="標楷體" w:hAnsi="Times New Roman" w:hint="eastAsia"/>
                <w:color w:val="000000"/>
                <w:sz w:val="28"/>
                <w:szCs w:val="28"/>
              </w:rPr>
              <w:t>正</w:t>
            </w:r>
            <w:r w:rsidRPr="00036D0F">
              <w:rPr>
                <w:rFonts w:ascii="Times New Roman" w:eastAsia="標楷體" w:hAnsi="Times New Roman" w:hint="eastAsia"/>
                <w:color w:val="000000"/>
                <w:sz w:val="28"/>
                <w:szCs w:val="28"/>
              </w:rPr>
              <w:t>)</w:t>
            </w:r>
            <w:r w:rsidRPr="00036D0F">
              <w:rPr>
                <w:rFonts w:ascii="Times New Roman" w:eastAsia="標楷體" w:hAnsi="Times New Roman" w:hint="eastAsia"/>
                <w:color w:val="000000"/>
                <w:sz w:val="28"/>
                <w:szCs w:val="28"/>
              </w:rPr>
              <w:t>財務預測或重大投資案等事項之公告標準。</w:t>
            </w:r>
            <w:r w:rsidRPr="00036D0F">
              <w:rPr>
                <w:rFonts w:ascii="Times New Roman" w:eastAsia="標楷體" w:hAnsi="Times New Roman"/>
                <w:color w:val="000000"/>
                <w:sz w:val="28"/>
                <w:szCs w:val="28"/>
              </w:rPr>
              <w:t xml:space="preserve"> </w:t>
            </w:r>
          </w:p>
          <w:p w:rsidR="00D47520" w:rsidRDefault="00D47520" w:rsidP="006467E3">
            <w:pPr>
              <w:spacing w:line="400" w:lineRule="exact"/>
              <w:jc w:val="both"/>
              <w:rPr>
                <w:rFonts w:ascii="Times New Roman" w:eastAsia="標楷體" w:hAnsi="Times New Roman"/>
                <w:color w:val="000000"/>
                <w:sz w:val="28"/>
                <w:szCs w:val="28"/>
              </w:rPr>
            </w:pPr>
          </w:p>
          <w:p w:rsidR="00D47520" w:rsidRDefault="00D47520" w:rsidP="006467E3">
            <w:pPr>
              <w:spacing w:line="40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例如：</w:t>
            </w:r>
            <w:r w:rsidRPr="005C18F5">
              <w:rPr>
                <w:rFonts w:ascii="Times New Roman" w:eastAsia="標楷體" w:hAnsi="Times New Roman" w:hint="eastAsia"/>
                <w:color w:val="000000"/>
                <w:sz w:val="28"/>
                <w:szCs w:val="28"/>
              </w:rPr>
              <w:t>董事會或股東會決議直接或間接進行投資計劃</w:t>
            </w:r>
            <w:r w:rsidRPr="005C18F5">
              <w:rPr>
                <w:rFonts w:ascii="Times New Roman" w:eastAsia="標楷體" w:hAnsi="Times New Roman" w:hint="eastAsia"/>
                <w:color w:val="000000"/>
                <w:sz w:val="28"/>
                <w:szCs w:val="28"/>
                <w:u w:val="single"/>
              </w:rPr>
              <w:t>達該公司實收資本額百分之二十</w:t>
            </w:r>
            <w:r w:rsidRPr="005C18F5">
              <w:rPr>
                <w:rFonts w:ascii="Times New Roman" w:eastAsia="標楷體" w:hAnsi="Times New Roman" w:hint="eastAsia"/>
                <w:color w:val="000000"/>
                <w:sz w:val="28"/>
                <w:szCs w:val="28"/>
              </w:rPr>
              <w:t>或新台幣一億元以上者，或前開事項有重大變動者。</w:t>
            </w:r>
          </w:p>
          <w:p w:rsidR="00D47520" w:rsidRPr="00036D0F" w:rsidRDefault="00D47520" w:rsidP="006467E3">
            <w:pPr>
              <w:spacing w:line="400" w:lineRule="exact"/>
              <w:jc w:val="both"/>
              <w:rPr>
                <w:rFonts w:ascii="Times New Roman" w:eastAsia="標楷體" w:hAnsi="Times New Roman"/>
                <w:color w:val="000000"/>
                <w:sz w:val="28"/>
                <w:szCs w:val="28"/>
              </w:rPr>
            </w:pPr>
          </w:p>
        </w:tc>
        <w:tc>
          <w:tcPr>
            <w:tcW w:w="3827" w:type="dxa"/>
          </w:tcPr>
          <w:p w:rsidR="00D47520" w:rsidRDefault="00D47520" w:rsidP="006467E3">
            <w:pPr>
              <w:spacing w:line="400" w:lineRule="exact"/>
              <w:ind w:leftChars="-48" w:left="-98" w:hangingChars="6" w:hanging="17"/>
              <w:jc w:val="both"/>
              <w:rPr>
                <w:rFonts w:ascii="Times New Roman" w:eastAsia="標楷體" w:hAnsi="Times New Roman"/>
                <w:color w:val="000000"/>
                <w:sz w:val="28"/>
                <w:szCs w:val="28"/>
              </w:rPr>
            </w:pPr>
            <w:r w:rsidRPr="001249F2">
              <w:rPr>
                <w:rFonts w:eastAsia="標楷體" w:hAnsi="標楷體" w:hint="eastAsia"/>
                <w:kern w:val="0"/>
                <w:sz w:val="28"/>
                <w:szCs w:val="32"/>
              </w:rPr>
              <w:lastRenderedPageBreak/>
              <w:t>改以股東權益</w:t>
            </w:r>
            <w:r w:rsidRPr="00036D0F">
              <w:rPr>
                <w:rFonts w:ascii="Times New Roman" w:eastAsia="標楷體" w:hAnsi="Times New Roman" w:hint="eastAsia"/>
                <w:color w:val="000000"/>
                <w:sz w:val="28"/>
                <w:szCs w:val="28"/>
              </w:rPr>
              <w:t>計算之</w:t>
            </w:r>
            <w:r w:rsidRPr="001249F2">
              <w:rPr>
                <w:rFonts w:eastAsia="標楷體" w:hAnsi="標楷體" w:hint="eastAsia"/>
                <w:kern w:val="0"/>
                <w:sz w:val="28"/>
                <w:szCs w:val="32"/>
              </w:rPr>
              <w:t>，</w:t>
            </w:r>
            <w:r>
              <w:rPr>
                <w:rFonts w:eastAsia="標楷體" w:hAnsi="標楷體" w:hint="eastAsia"/>
                <w:kern w:val="0"/>
                <w:sz w:val="28"/>
                <w:szCs w:val="32"/>
              </w:rPr>
              <w:t>但</w:t>
            </w:r>
            <w:r w:rsidRPr="001249F2">
              <w:rPr>
                <w:rFonts w:eastAsia="標楷體" w:hAnsi="標楷體" w:hint="eastAsia"/>
                <w:kern w:val="0"/>
                <w:sz w:val="28"/>
                <w:szCs w:val="32"/>
              </w:rPr>
              <w:t>為調整股東權益與</w:t>
            </w:r>
            <w:r>
              <w:rPr>
                <w:rFonts w:eastAsia="標楷體" w:hAnsi="標楷體" w:hint="eastAsia"/>
                <w:kern w:val="0"/>
                <w:sz w:val="28"/>
                <w:szCs w:val="32"/>
              </w:rPr>
              <w:t>實收資本額</w:t>
            </w:r>
            <w:r w:rsidRPr="001249F2">
              <w:rPr>
                <w:rFonts w:eastAsia="標楷體" w:hAnsi="標楷體" w:hint="eastAsia"/>
                <w:kern w:val="0"/>
                <w:sz w:val="28"/>
                <w:szCs w:val="32"/>
              </w:rPr>
              <w:t>之差異，</w:t>
            </w:r>
            <w:r>
              <w:rPr>
                <w:rFonts w:eastAsia="標楷體" w:hAnsi="標楷體" w:hint="eastAsia"/>
                <w:kern w:val="0"/>
                <w:sz w:val="28"/>
                <w:szCs w:val="32"/>
              </w:rPr>
              <w:t>故</w:t>
            </w:r>
            <w:r w:rsidRPr="001249F2">
              <w:rPr>
                <w:rFonts w:eastAsia="標楷體" w:hAnsi="標楷體" w:hint="eastAsia"/>
                <w:kern w:val="0"/>
                <w:sz w:val="28"/>
                <w:szCs w:val="32"/>
              </w:rPr>
              <w:t>將相關指標之比例降低為原本之半數，但仍維持絕對金額之標準。</w:t>
            </w:r>
          </w:p>
          <w:p w:rsidR="00D47520" w:rsidRDefault="00D47520" w:rsidP="006467E3">
            <w:pPr>
              <w:spacing w:line="400" w:lineRule="exact"/>
              <w:ind w:leftChars="-48" w:left="-98" w:hangingChars="6" w:hanging="17"/>
              <w:jc w:val="both"/>
              <w:rPr>
                <w:rFonts w:ascii="Times New Roman" w:eastAsia="標楷體" w:hAnsi="Times New Roman"/>
                <w:color w:val="000000"/>
                <w:sz w:val="28"/>
                <w:szCs w:val="28"/>
              </w:rPr>
            </w:pPr>
          </w:p>
          <w:p w:rsidR="00D47520" w:rsidRPr="00036D0F" w:rsidRDefault="00D47520" w:rsidP="006467E3">
            <w:pPr>
              <w:spacing w:line="400" w:lineRule="exact"/>
              <w:ind w:leftChars="-48" w:left="-98" w:hangingChars="6" w:hanging="17"/>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例如：</w:t>
            </w:r>
            <w:r w:rsidRPr="005C18F5">
              <w:rPr>
                <w:rFonts w:ascii="Times New Roman" w:eastAsia="標楷體" w:hAnsi="Times New Roman" w:hint="eastAsia"/>
                <w:color w:val="000000"/>
                <w:sz w:val="28"/>
                <w:szCs w:val="28"/>
              </w:rPr>
              <w:t>董事會或股東會決議直接或間接進行投資計劃達該公司</w:t>
            </w:r>
            <w:r w:rsidRPr="005C18F5">
              <w:rPr>
                <w:rFonts w:ascii="Times New Roman" w:eastAsia="標楷體" w:hAnsi="Times New Roman" w:hint="eastAsia"/>
                <w:color w:val="000000"/>
                <w:sz w:val="28"/>
                <w:szCs w:val="28"/>
                <w:u w:val="single"/>
              </w:rPr>
              <w:t>股東權益百分之十</w:t>
            </w:r>
            <w:r w:rsidRPr="005C18F5">
              <w:rPr>
                <w:rFonts w:ascii="Times New Roman" w:eastAsia="標楷體" w:hAnsi="Times New Roman" w:hint="eastAsia"/>
                <w:color w:val="000000"/>
                <w:sz w:val="28"/>
                <w:szCs w:val="28"/>
              </w:rPr>
              <w:t>或新台幣一億元以上者，或前開事項有重大變動者。</w:t>
            </w:r>
          </w:p>
        </w:tc>
      </w:tr>
      <w:tr w:rsidR="00D47520" w:rsidRPr="009E5019" w:rsidTr="006467E3">
        <w:tc>
          <w:tcPr>
            <w:tcW w:w="2137" w:type="dxa"/>
          </w:tcPr>
          <w:p w:rsidR="00D47520" w:rsidRPr="00036D0F" w:rsidRDefault="00D47520" w:rsidP="006467E3">
            <w:pPr>
              <w:spacing w:line="400" w:lineRule="exact"/>
              <w:ind w:left="2" w:firstLine="2"/>
              <w:rPr>
                <w:rFonts w:ascii="Times New Roman" w:eastAsia="標楷體" w:hAnsi="Times New Roman"/>
                <w:color w:val="000000"/>
                <w:sz w:val="28"/>
                <w:szCs w:val="28"/>
              </w:rPr>
            </w:pPr>
            <w:r w:rsidRPr="00036D0F">
              <w:rPr>
                <w:rFonts w:ascii="Times New Roman" w:eastAsia="標楷體" w:hAnsi="Times New Roman" w:hint="eastAsia"/>
                <w:color w:val="000000"/>
                <w:sz w:val="28"/>
                <w:szCs w:val="28"/>
              </w:rPr>
              <w:lastRenderedPageBreak/>
              <w:t>上市櫃</w:t>
            </w:r>
            <w:proofErr w:type="gramStart"/>
            <w:r w:rsidRPr="00036D0F">
              <w:rPr>
                <w:rFonts w:ascii="Times New Roman" w:eastAsia="標楷體" w:hAnsi="Times New Roman" w:hint="eastAsia"/>
                <w:color w:val="000000"/>
                <w:sz w:val="28"/>
                <w:szCs w:val="28"/>
              </w:rPr>
              <w:t>及興櫃公司</w:t>
            </w:r>
            <w:proofErr w:type="gramEnd"/>
            <w:r w:rsidRPr="00036D0F">
              <w:rPr>
                <w:rFonts w:ascii="Times New Roman" w:eastAsia="標楷體" w:hAnsi="Times New Roman" w:hint="eastAsia"/>
                <w:color w:val="000000"/>
                <w:sz w:val="28"/>
                <w:szCs w:val="28"/>
              </w:rPr>
              <w:t>重大訊息說明記者會規定</w:t>
            </w:r>
          </w:p>
        </w:tc>
        <w:tc>
          <w:tcPr>
            <w:tcW w:w="3500" w:type="dxa"/>
          </w:tcPr>
          <w:p w:rsidR="00D47520" w:rsidRDefault="00D47520" w:rsidP="006467E3">
            <w:pPr>
              <w:spacing w:line="400" w:lineRule="exact"/>
              <w:jc w:val="both"/>
              <w:rPr>
                <w:rFonts w:ascii="Times New Roman" w:eastAsia="標楷體" w:hAnsi="Times New Roman"/>
                <w:color w:val="000000"/>
                <w:sz w:val="28"/>
                <w:szCs w:val="28"/>
              </w:rPr>
            </w:pPr>
            <w:r w:rsidRPr="00036D0F">
              <w:rPr>
                <w:rFonts w:ascii="Times New Roman" w:eastAsia="標楷體" w:hAnsi="Times New Roman" w:hint="eastAsia"/>
                <w:color w:val="000000"/>
                <w:sz w:val="28"/>
                <w:szCs w:val="28"/>
              </w:rPr>
              <w:t>以實收資本額之一定比例規範董事會決議減資、合併、撤銷合併、分割、收購、股份受讓、解散、關係人交易及發生重大災害或環境污染等事件之公告標準。</w:t>
            </w:r>
          </w:p>
          <w:p w:rsidR="00D47520" w:rsidRDefault="00D47520" w:rsidP="006467E3">
            <w:pPr>
              <w:spacing w:line="400" w:lineRule="exact"/>
              <w:jc w:val="both"/>
              <w:rPr>
                <w:rFonts w:ascii="Times New Roman" w:eastAsia="標楷體" w:hAnsi="Times New Roman"/>
                <w:color w:val="000000"/>
                <w:sz w:val="28"/>
                <w:szCs w:val="28"/>
              </w:rPr>
            </w:pPr>
          </w:p>
          <w:p w:rsidR="00D47520" w:rsidRDefault="00D47520" w:rsidP="006467E3">
            <w:pPr>
              <w:spacing w:line="40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例如：</w:t>
            </w:r>
            <w:r w:rsidRPr="00C656FC">
              <w:rPr>
                <w:rFonts w:ascii="標楷體" w:eastAsia="標楷體" w:hAnsi="標楷體" w:hint="eastAsia"/>
                <w:sz w:val="28"/>
                <w:szCs w:val="28"/>
              </w:rPr>
              <w:t>公司與關係人間</w:t>
            </w:r>
            <w:r>
              <w:rPr>
                <w:rFonts w:ascii="標楷體" w:eastAsia="標楷體" w:hAnsi="標楷體" w:hint="eastAsia"/>
                <w:sz w:val="28"/>
                <w:szCs w:val="28"/>
              </w:rPr>
              <w:t>之</w:t>
            </w:r>
            <w:r w:rsidRPr="00C656FC">
              <w:rPr>
                <w:rFonts w:ascii="標楷體" w:eastAsia="標楷體" w:hAnsi="標楷體" w:hint="eastAsia"/>
                <w:sz w:val="28"/>
                <w:szCs w:val="28"/>
              </w:rPr>
              <w:t>取得或處分不動產，每筆交易或</w:t>
            </w:r>
            <w:proofErr w:type="gramStart"/>
            <w:r w:rsidRPr="00C656FC">
              <w:rPr>
                <w:rFonts w:ascii="標楷體" w:eastAsia="標楷體" w:hAnsi="標楷體" w:hint="eastAsia"/>
                <w:sz w:val="28"/>
                <w:szCs w:val="28"/>
              </w:rPr>
              <w:t>一</w:t>
            </w:r>
            <w:proofErr w:type="gramEnd"/>
            <w:r w:rsidRPr="00C656FC">
              <w:rPr>
                <w:rFonts w:ascii="標楷體" w:eastAsia="標楷體" w:hAnsi="標楷體" w:hint="eastAsia"/>
                <w:sz w:val="28"/>
                <w:szCs w:val="28"/>
              </w:rPr>
              <w:t>年內與同一相對人交易累積金額達公司</w:t>
            </w:r>
            <w:r w:rsidRPr="00C656FC">
              <w:rPr>
                <w:rFonts w:ascii="標楷體" w:eastAsia="標楷體" w:hAnsi="標楷體" w:hint="eastAsia"/>
                <w:sz w:val="28"/>
                <w:szCs w:val="28"/>
                <w:u w:val="single"/>
              </w:rPr>
              <w:t>實收資本額百分之二十</w:t>
            </w:r>
            <w:r w:rsidRPr="00C656FC">
              <w:rPr>
                <w:rFonts w:ascii="標楷體" w:eastAsia="標楷體" w:hAnsi="標楷體" w:hint="eastAsia"/>
                <w:sz w:val="28"/>
                <w:szCs w:val="28"/>
              </w:rPr>
              <w:t>或新台幣三億元以上者</w:t>
            </w:r>
            <w:r w:rsidRPr="00036D0F">
              <w:rPr>
                <w:rFonts w:ascii="Times New Roman" w:eastAsia="標楷體" w:hAnsi="Times New Roman" w:hint="eastAsia"/>
                <w:color w:val="000000"/>
                <w:sz w:val="28"/>
                <w:szCs w:val="28"/>
              </w:rPr>
              <w:t>。</w:t>
            </w:r>
          </w:p>
          <w:p w:rsidR="00D47520" w:rsidRPr="00036D0F" w:rsidRDefault="00D47520" w:rsidP="006467E3">
            <w:pPr>
              <w:spacing w:line="400" w:lineRule="exact"/>
              <w:jc w:val="both"/>
              <w:rPr>
                <w:rFonts w:ascii="Times New Roman" w:eastAsia="標楷體" w:hAnsi="Times New Roman"/>
                <w:color w:val="000000"/>
                <w:sz w:val="28"/>
                <w:szCs w:val="28"/>
              </w:rPr>
            </w:pPr>
          </w:p>
        </w:tc>
        <w:tc>
          <w:tcPr>
            <w:tcW w:w="3827" w:type="dxa"/>
          </w:tcPr>
          <w:p w:rsidR="00D47520" w:rsidRDefault="00D47520" w:rsidP="006467E3">
            <w:pPr>
              <w:spacing w:line="400" w:lineRule="exact"/>
              <w:ind w:leftChars="-48" w:left="-98" w:hangingChars="6" w:hanging="17"/>
              <w:jc w:val="both"/>
              <w:rPr>
                <w:rFonts w:eastAsia="標楷體" w:hAnsi="標楷體"/>
                <w:kern w:val="0"/>
                <w:sz w:val="28"/>
                <w:szCs w:val="32"/>
              </w:rPr>
            </w:pPr>
            <w:r w:rsidRPr="001249F2">
              <w:rPr>
                <w:rFonts w:eastAsia="標楷體" w:hAnsi="標楷體" w:hint="eastAsia"/>
                <w:kern w:val="0"/>
                <w:sz w:val="28"/>
                <w:szCs w:val="32"/>
              </w:rPr>
              <w:t>改以股東權益</w:t>
            </w:r>
            <w:r w:rsidRPr="00036D0F">
              <w:rPr>
                <w:rFonts w:ascii="Times New Roman" w:eastAsia="標楷體" w:hAnsi="Times New Roman" w:hint="eastAsia"/>
                <w:color w:val="000000"/>
                <w:sz w:val="28"/>
                <w:szCs w:val="28"/>
              </w:rPr>
              <w:t>計算之</w:t>
            </w:r>
            <w:r w:rsidRPr="001249F2">
              <w:rPr>
                <w:rFonts w:eastAsia="標楷體" w:hAnsi="標楷體" w:hint="eastAsia"/>
                <w:kern w:val="0"/>
                <w:sz w:val="28"/>
                <w:szCs w:val="32"/>
              </w:rPr>
              <w:t>，</w:t>
            </w:r>
            <w:r>
              <w:rPr>
                <w:rFonts w:eastAsia="標楷體" w:hAnsi="標楷體" w:hint="eastAsia"/>
                <w:kern w:val="0"/>
                <w:sz w:val="28"/>
                <w:szCs w:val="32"/>
              </w:rPr>
              <w:t>但</w:t>
            </w:r>
            <w:r w:rsidRPr="001249F2">
              <w:rPr>
                <w:rFonts w:eastAsia="標楷體" w:hAnsi="標楷體" w:hint="eastAsia"/>
                <w:kern w:val="0"/>
                <w:sz w:val="28"/>
                <w:szCs w:val="32"/>
              </w:rPr>
              <w:t>為調整股東權益與</w:t>
            </w:r>
            <w:r>
              <w:rPr>
                <w:rFonts w:eastAsia="標楷體" w:hAnsi="標楷體" w:hint="eastAsia"/>
                <w:kern w:val="0"/>
                <w:sz w:val="28"/>
                <w:szCs w:val="32"/>
              </w:rPr>
              <w:t>實收資本額</w:t>
            </w:r>
            <w:r w:rsidRPr="001249F2">
              <w:rPr>
                <w:rFonts w:eastAsia="標楷體" w:hAnsi="標楷體" w:hint="eastAsia"/>
                <w:kern w:val="0"/>
                <w:sz w:val="28"/>
                <w:szCs w:val="32"/>
              </w:rPr>
              <w:t>之差異，</w:t>
            </w:r>
            <w:r>
              <w:rPr>
                <w:rFonts w:eastAsia="標楷體" w:hAnsi="標楷體" w:hint="eastAsia"/>
                <w:kern w:val="0"/>
                <w:sz w:val="28"/>
                <w:szCs w:val="32"/>
              </w:rPr>
              <w:t>故</w:t>
            </w:r>
            <w:r w:rsidRPr="001249F2">
              <w:rPr>
                <w:rFonts w:eastAsia="標楷體" w:hAnsi="標楷體" w:hint="eastAsia"/>
                <w:kern w:val="0"/>
                <w:sz w:val="28"/>
                <w:szCs w:val="32"/>
              </w:rPr>
              <w:t>將相關指標之比例降低為原本之半數，但仍維持絕對金額之標準。</w:t>
            </w:r>
          </w:p>
          <w:p w:rsidR="00D47520" w:rsidRDefault="00D47520" w:rsidP="006467E3">
            <w:pPr>
              <w:spacing w:line="400" w:lineRule="exact"/>
              <w:ind w:leftChars="-48" w:left="-98" w:hangingChars="6" w:hanging="17"/>
              <w:jc w:val="both"/>
              <w:rPr>
                <w:rFonts w:eastAsia="標楷體" w:hAnsi="標楷體"/>
                <w:kern w:val="0"/>
                <w:sz w:val="28"/>
                <w:szCs w:val="32"/>
              </w:rPr>
            </w:pPr>
          </w:p>
          <w:p w:rsidR="00D47520" w:rsidRDefault="00D47520" w:rsidP="006467E3">
            <w:pPr>
              <w:spacing w:line="400" w:lineRule="exact"/>
              <w:ind w:leftChars="-48" w:left="-98" w:hangingChars="6" w:hanging="17"/>
              <w:jc w:val="both"/>
              <w:rPr>
                <w:rFonts w:eastAsia="標楷體" w:hAnsi="標楷體"/>
                <w:kern w:val="0"/>
                <w:sz w:val="28"/>
                <w:szCs w:val="32"/>
              </w:rPr>
            </w:pPr>
          </w:p>
          <w:p w:rsidR="00D47520" w:rsidRDefault="00D47520" w:rsidP="006467E3">
            <w:pPr>
              <w:spacing w:line="400" w:lineRule="exact"/>
              <w:ind w:leftChars="-48" w:left="-98" w:hangingChars="6" w:hanging="17"/>
              <w:jc w:val="both"/>
              <w:rPr>
                <w:sz w:val="28"/>
                <w:szCs w:val="28"/>
              </w:rPr>
            </w:pPr>
            <w:r>
              <w:rPr>
                <w:rFonts w:ascii="Times New Roman" w:eastAsia="標楷體" w:hAnsi="Times New Roman" w:hint="eastAsia"/>
                <w:color w:val="000000"/>
                <w:sz w:val="28"/>
                <w:szCs w:val="28"/>
              </w:rPr>
              <w:t>例如：</w:t>
            </w:r>
            <w:r w:rsidRPr="00C656FC">
              <w:rPr>
                <w:rFonts w:ascii="標楷體" w:eastAsia="標楷體" w:hAnsi="標楷體" w:hint="eastAsia"/>
                <w:sz w:val="28"/>
                <w:szCs w:val="28"/>
              </w:rPr>
              <w:t>公司與關係人間</w:t>
            </w:r>
            <w:r>
              <w:rPr>
                <w:rFonts w:ascii="標楷體" w:eastAsia="標楷體" w:hAnsi="標楷體" w:hint="eastAsia"/>
                <w:sz w:val="28"/>
                <w:szCs w:val="28"/>
              </w:rPr>
              <w:t>之</w:t>
            </w:r>
            <w:r w:rsidRPr="00C656FC">
              <w:rPr>
                <w:rFonts w:ascii="標楷體" w:eastAsia="標楷體" w:hAnsi="標楷體" w:hint="eastAsia"/>
                <w:sz w:val="28"/>
                <w:szCs w:val="28"/>
              </w:rPr>
              <w:t>取得或處分不動產，每筆交易或</w:t>
            </w:r>
            <w:proofErr w:type="gramStart"/>
            <w:r w:rsidRPr="00C656FC">
              <w:rPr>
                <w:rFonts w:ascii="標楷體" w:eastAsia="標楷體" w:hAnsi="標楷體" w:hint="eastAsia"/>
                <w:sz w:val="28"/>
                <w:szCs w:val="28"/>
              </w:rPr>
              <w:t>一</w:t>
            </w:r>
            <w:proofErr w:type="gramEnd"/>
            <w:r w:rsidRPr="00C656FC">
              <w:rPr>
                <w:rFonts w:ascii="標楷體" w:eastAsia="標楷體" w:hAnsi="標楷體" w:hint="eastAsia"/>
                <w:sz w:val="28"/>
                <w:szCs w:val="28"/>
              </w:rPr>
              <w:t>年內與同一相對人交易累積金額達公司</w:t>
            </w:r>
            <w:r w:rsidRPr="00C656FC">
              <w:rPr>
                <w:rFonts w:ascii="標楷體" w:eastAsia="標楷體" w:hAnsi="標楷體" w:hint="eastAsia"/>
                <w:sz w:val="28"/>
                <w:szCs w:val="28"/>
                <w:u w:val="single"/>
              </w:rPr>
              <w:t>股東權益百分之十</w:t>
            </w:r>
            <w:r w:rsidRPr="00C656FC">
              <w:rPr>
                <w:rFonts w:ascii="標楷體" w:eastAsia="標楷體" w:hAnsi="標楷體" w:hint="eastAsia"/>
                <w:sz w:val="28"/>
                <w:szCs w:val="28"/>
              </w:rPr>
              <w:t>或新台幣三億元以上者</w:t>
            </w:r>
            <w:r w:rsidRPr="00036D0F">
              <w:rPr>
                <w:rFonts w:ascii="Times New Roman" w:eastAsia="標楷體" w:hAnsi="Times New Roman" w:hint="eastAsia"/>
                <w:color w:val="000000"/>
                <w:sz w:val="28"/>
                <w:szCs w:val="28"/>
              </w:rPr>
              <w:t>。</w:t>
            </w:r>
          </w:p>
          <w:p w:rsidR="00D47520" w:rsidRPr="00036D0F" w:rsidRDefault="00D47520" w:rsidP="006467E3">
            <w:pPr>
              <w:spacing w:line="400" w:lineRule="exact"/>
              <w:ind w:leftChars="-48" w:left="-98" w:hangingChars="6" w:hanging="17"/>
              <w:jc w:val="both"/>
              <w:rPr>
                <w:sz w:val="28"/>
                <w:szCs w:val="28"/>
              </w:rPr>
            </w:pPr>
          </w:p>
        </w:tc>
      </w:tr>
    </w:tbl>
    <w:p w:rsidR="00DB0181" w:rsidRPr="00D47520" w:rsidRDefault="00DB0181" w:rsidP="00875F9E">
      <w:pPr>
        <w:pStyle w:val="a3"/>
        <w:ind w:leftChars="0" w:left="0" w:firstLineChars="171" w:firstLine="479"/>
        <w:rPr>
          <w:rFonts w:ascii="標楷體" w:eastAsia="標楷體" w:hAnsi="標楷體"/>
          <w:sz w:val="28"/>
          <w:szCs w:val="28"/>
        </w:rPr>
      </w:pPr>
    </w:p>
    <w:p w:rsidR="00C656FC" w:rsidRDefault="00C656FC" w:rsidP="00875F9E">
      <w:pPr>
        <w:pStyle w:val="a3"/>
        <w:ind w:leftChars="0" w:left="0" w:firstLineChars="171" w:firstLine="479"/>
        <w:rPr>
          <w:rFonts w:ascii="標楷體" w:eastAsia="標楷體" w:hAnsi="標楷體"/>
          <w:sz w:val="28"/>
          <w:szCs w:val="28"/>
        </w:rPr>
      </w:pPr>
    </w:p>
    <w:p w:rsidR="00C656FC" w:rsidRDefault="00C656FC" w:rsidP="00875F9E">
      <w:pPr>
        <w:pStyle w:val="a3"/>
        <w:ind w:leftChars="0" w:left="0" w:firstLineChars="171" w:firstLine="479"/>
        <w:rPr>
          <w:rFonts w:ascii="標楷體" w:eastAsia="標楷體" w:hAnsi="標楷體"/>
          <w:sz w:val="28"/>
          <w:szCs w:val="28"/>
        </w:rPr>
      </w:pPr>
    </w:p>
    <w:p w:rsidR="00230656" w:rsidRDefault="00230656" w:rsidP="00875F9E">
      <w:pPr>
        <w:pStyle w:val="a3"/>
        <w:ind w:leftChars="0" w:left="0" w:firstLineChars="171" w:firstLine="479"/>
        <w:rPr>
          <w:rFonts w:ascii="標楷體" w:eastAsia="標楷體" w:hAnsi="標楷體"/>
          <w:sz w:val="28"/>
          <w:szCs w:val="28"/>
        </w:rPr>
      </w:pPr>
    </w:p>
    <w:p w:rsidR="00230656" w:rsidRDefault="00230656" w:rsidP="00875F9E">
      <w:pPr>
        <w:pStyle w:val="a3"/>
        <w:ind w:leftChars="0" w:left="0" w:firstLineChars="171" w:firstLine="479"/>
        <w:rPr>
          <w:rFonts w:ascii="標楷體" w:eastAsia="標楷體" w:hAnsi="標楷體"/>
          <w:sz w:val="28"/>
          <w:szCs w:val="28"/>
        </w:rPr>
      </w:pPr>
    </w:p>
    <w:p w:rsidR="00230656" w:rsidRPr="003E240A" w:rsidRDefault="00230656" w:rsidP="00875F9E">
      <w:pPr>
        <w:pStyle w:val="a3"/>
        <w:ind w:leftChars="0" w:left="0" w:firstLineChars="171" w:firstLine="479"/>
        <w:rPr>
          <w:rFonts w:ascii="標楷體" w:eastAsia="標楷體" w:hAnsi="標楷體"/>
          <w:sz w:val="28"/>
          <w:szCs w:val="28"/>
        </w:rPr>
      </w:pPr>
    </w:p>
    <w:p w:rsidR="00A9487A" w:rsidRPr="00FC5303" w:rsidRDefault="00C633A3" w:rsidP="00A9487A">
      <w:pPr>
        <w:pStyle w:val="a3"/>
        <w:numPr>
          <w:ilvl w:val="0"/>
          <w:numId w:val="2"/>
        </w:numPr>
        <w:ind w:leftChars="0"/>
        <w:jc w:val="center"/>
        <w:rPr>
          <w:rFonts w:ascii="標楷體" w:eastAsia="標楷體" w:hAnsi="標楷體"/>
          <w:b/>
          <w:sz w:val="28"/>
          <w:szCs w:val="28"/>
        </w:rPr>
      </w:pPr>
      <w:r w:rsidRPr="00FC5303">
        <w:rPr>
          <w:rFonts w:ascii="標楷體" w:eastAsia="標楷體" w:hAnsi="標楷體" w:hint="eastAsia"/>
          <w:b/>
          <w:sz w:val="28"/>
          <w:szCs w:val="28"/>
        </w:rPr>
        <w:lastRenderedPageBreak/>
        <w:t>證券</w:t>
      </w:r>
      <w:r w:rsidR="00DB0181" w:rsidRPr="00FC5303">
        <w:rPr>
          <w:rFonts w:ascii="標楷體" w:eastAsia="標楷體" w:hAnsi="標楷體" w:hint="eastAsia"/>
          <w:b/>
          <w:sz w:val="28"/>
          <w:szCs w:val="28"/>
        </w:rPr>
        <w:t>簡稱辨別方式</w:t>
      </w:r>
    </w:p>
    <w:p w:rsidR="00DB0181" w:rsidRDefault="00FB3469" w:rsidP="00FB3469">
      <w:pPr>
        <w:pStyle w:val="a3"/>
        <w:ind w:leftChars="0" w:left="0" w:firstLineChars="200" w:firstLine="560"/>
        <w:jc w:val="both"/>
        <w:rPr>
          <w:rFonts w:ascii="標楷體" w:eastAsia="標楷體" w:cs="標楷體"/>
          <w:kern w:val="0"/>
          <w:sz w:val="28"/>
          <w:szCs w:val="28"/>
          <w:lang w:val="zh-TW"/>
        </w:rPr>
      </w:pPr>
      <w:r w:rsidRPr="00FC5303">
        <w:rPr>
          <w:rFonts w:ascii="標楷體" w:eastAsia="標楷體" w:cs="標楷體" w:hint="eastAsia"/>
          <w:kern w:val="0"/>
          <w:sz w:val="28"/>
          <w:szCs w:val="28"/>
          <w:lang w:val="zh-TW"/>
        </w:rPr>
        <w:t>自民國</w:t>
      </w:r>
      <w:r w:rsidRPr="00FC5303">
        <w:rPr>
          <w:rFonts w:ascii="標楷體" w:eastAsia="標楷體" w:cs="標楷體"/>
          <w:kern w:val="0"/>
          <w:sz w:val="28"/>
          <w:szCs w:val="28"/>
          <w:lang w:val="zh-TW"/>
        </w:rPr>
        <w:t>101</w:t>
      </w:r>
      <w:r w:rsidRPr="00FC5303">
        <w:rPr>
          <w:rFonts w:ascii="標楷體" w:eastAsia="標楷體" w:cs="標楷體" w:hint="eastAsia"/>
          <w:kern w:val="0"/>
          <w:sz w:val="28"/>
          <w:szCs w:val="28"/>
          <w:lang w:val="zh-TW"/>
        </w:rPr>
        <w:t>年</w:t>
      </w:r>
      <w:r w:rsidRPr="00FC5303">
        <w:rPr>
          <w:rFonts w:ascii="標楷體" w:eastAsia="標楷體" w:cs="標楷體"/>
          <w:kern w:val="0"/>
          <w:sz w:val="28"/>
          <w:szCs w:val="28"/>
          <w:lang w:val="zh-TW"/>
        </w:rPr>
        <w:t>1</w:t>
      </w:r>
      <w:r w:rsidRPr="00FC5303">
        <w:rPr>
          <w:rFonts w:ascii="標楷體" w:eastAsia="標楷體" w:cs="標楷體" w:hint="eastAsia"/>
          <w:kern w:val="0"/>
          <w:sz w:val="28"/>
          <w:szCs w:val="28"/>
          <w:lang w:val="zh-TW"/>
        </w:rPr>
        <w:t>月</w:t>
      </w:r>
      <w:r w:rsidRPr="00FC5303">
        <w:rPr>
          <w:rFonts w:ascii="標楷體" w:eastAsia="標楷體" w:cs="標楷體"/>
          <w:kern w:val="0"/>
          <w:sz w:val="28"/>
          <w:szCs w:val="28"/>
          <w:lang w:val="zh-TW"/>
        </w:rPr>
        <w:t>2</w:t>
      </w:r>
      <w:r w:rsidRPr="00FC5303">
        <w:rPr>
          <w:rFonts w:ascii="標楷體" w:eastAsia="標楷體" w:cs="標楷體" w:hint="eastAsia"/>
          <w:kern w:val="0"/>
          <w:sz w:val="28"/>
          <w:szCs w:val="28"/>
          <w:lang w:val="zh-TW"/>
        </w:rPr>
        <w:t>日起</w:t>
      </w:r>
      <w:r w:rsidR="00DB0181" w:rsidRPr="00FC5303">
        <w:rPr>
          <w:rFonts w:ascii="標楷體" w:eastAsia="標楷體" w:cs="標楷體" w:hint="eastAsia"/>
          <w:kern w:val="0"/>
          <w:sz w:val="28"/>
          <w:szCs w:val="28"/>
          <w:lang w:val="zh-TW"/>
        </w:rPr>
        <w:t>，</w:t>
      </w:r>
      <w:r w:rsidR="0087425A" w:rsidRPr="00FC5303">
        <w:rPr>
          <w:rFonts w:ascii="標楷體" w:eastAsia="標楷體" w:cs="標楷體" w:hint="eastAsia"/>
          <w:kern w:val="0"/>
          <w:sz w:val="28"/>
          <w:szCs w:val="28"/>
          <w:lang w:val="zh-TW"/>
        </w:rPr>
        <w:t>第一上市、</w:t>
      </w:r>
      <w:r w:rsidR="0087425A" w:rsidRPr="00FC5303">
        <w:rPr>
          <w:rFonts w:ascii="標楷體" w:eastAsia="標楷體" w:hAnsi="標楷體" w:hint="eastAsia"/>
          <w:sz w:val="28"/>
          <w:szCs w:val="28"/>
        </w:rPr>
        <w:t>上櫃及外國興櫃</w:t>
      </w:r>
      <w:r w:rsidR="0087425A" w:rsidRPr="00FC5303">
        <w:rPr>
          <w:rFonts w:ascii="標楷體" w:eastAsia="標楷體" w:cs="標楷體" w:hint="eastAsia"/>
          <w:kern w:val="0"/>
          <w:sz w:val="28"/>
          <w:szCs w:val="28"/>
          <w:lang w:val="zh-TW"/>
        </w:rPr>
        <w:t>公司</w:t>
      </w:r>
      <w:r w:rsidR="00DB0181" w:rsidRPr="00FC5303">
        <w:rPr>
          <w:rFonts w:ascii="標楷體" w:eastAsia="標楷體" w:cs="標楷體" w:hint="eastAsia"/>
          <w:kern w:val="0"/>
          <w:sz w:val="28"/>
          <w:szCs w:val="28"/>
          <w:lang w:val="zh-TW"/>
        </w:rPr>
        <w:t>之證券簡稱首碼統一以英文字元「</w:t>
      </w:r>
      <w:r w:rsidR="00DB0181" w:rsidRPr="00FC5303">
        <w:rPr>
          <w:rFonts w:ascii="標楷體" w:eastAsia="標楷體" w:cs="標楷體"/>
          <w:kern w:val="0"/>
          <w:sz w:val="28"/>
          <w:szCs w:val="28"/>
          <w:lang w:val="zh-TW"/>
        </w:rPr>
        <w:t>F</w:t>
      </w:r>
      <w:r w:rsidR="00DB0181" w:rsidRPr="00FC5303">
        <w:rPr>
          <w:rFonts w:ascii="標楷體" w:eastAsia="標楷體" w:cs="標楷體" w:hint="eastAsia"/>
          <w:kern w:val="0"/>
          <w:sz w:val="28"/>
          <w:szCs w:val="28"/>
          <w:lang w:val="zh-TW"/>
        </w:rPr>
        <w:t>」</w:t>
      </w:r>
      <w:r w:rsidR="00DB0181" w:rsidRPr="00FC5303">
        <w:rPr>
          <w:rFonts w:ascii="標楷體" w:eastAsia="標楷體" w:cs="標楷體"/>
          <w:kern w:val="0"/>
          <w:sz w:val="28"/>
          <w:szCs w:val="28"/>
          <w:lang w:val="zh-TW"/>
        </w:rPr>
        <w:t>(</w:t>
      </w:r>
      <w:r w:rsidR="00DB0181" w:rsidRPr="00FC5303">
        <w:rPr>
          <w:rFonts w:ascii="標楷體" w:eastAsia="標楷體" w:cs="標楷體" w:hint="eastAsia"/>
          <w:kern w:val="0"/>
          <w:sz w:val="28"/>
          <w:szCs w:val="28"/>
          <w:lang w:val="zh-TW"/>
        </w:rPr>
        <w:t>代表外國發行人</w:t>
      </w:r>
      <w:r w:rsidR="00DB0181" w:rsidRPr="00FC5303">
        <w:rPr>
          <w:rFonts w:ascii="標楷體" w:eastAsia="標楷體" w:cs="標楷體"/>
          <w:kern w:val="0"/>
          <w:sz w:val="28"/>
          <w:szCs w:val="28"/>
          <w:lang w:val="zh-TW"/>
        </w:rPr>
        <w:t>-Foreign Issuers)</w:t>
      </w:r>
      <w:r w:rsidR="00DB0181" w:rsidRPr="00FC5303">
        <w:rPr>
          <w:rFonts w:ascii="標楷體" w:eastAsia="標楷體" w:cs="標楷體" w:hint="eastAsia"/>
          <w:kern w:val="0"/>
          <w:sz w:val="28"/>
          <w:szCs w:val="28"/>
          <w:lang w:val="zh-TW"/>
        </w:rPr>
        <w:t>進行註記，其中面額十元之第一上市</w:t>
      </w:r>
      <w:r w:rsidR="001976ED" w:rsidRPr="00FC5303">
        <w:rPr>
          <w:rFonts w:ascii="標楷體" w:eastAsia="標楷體" w:cs="標楷體" w:hint="eastAsia"/>
          <w:kern w:val="0"/>
          <w:sz w:val="28"/>
          <w:szCs w:val="28"/>
          <w:lang w:val="zh-TW"/>
        </w:rPr>
        <w:t>、</w:t>
      </w:r>
      <w:r w:rsidR="001976ED" w:rsidRPr="00FC5303">
        <w:rPr>
          <w:rFonts w:ascii="標楷體" w:eastAsia="標楷體" w:hAnsi="標楷體" w:hint="eastAsia"/>
          <w:sz w:val="28"/>
          <w:szCs w:val="28"/>
        </w:rPr>
        <w:t>上櫃及外國興櫃</w:t>
      </w:r>
      <w:r w:rsidR="00DB0181" w:rsidRPr="00FC5303">
        <w:rPr>
          <w:rFonts w:ascii="標楷體" w:eastAsia="標楷體" w:cs="標楷體" w:hint="eastAsia"/>
          <w:kern w:val="0"/>
          <w:sz w:val="28"/>
          <w:szCs w:val="28"/>
          <w:lang w:val="zh-TW"/>
        </w:rPr>
        <w:t>公司證券簡稱前二碼為「</w:t>
      </w:r>
      <w:r w:rsidR="00DB0181" w:rsidRPr="00FC5303">
        <w:rPr>
          <w:rFonts w:ascii="標楷體" w:eastAsia="標楷體" w:cs="標楷體"/>
          <w:kern w:val="0"/>
          <w:sz w:val="28"/>
          <w:szCs w:val="28"/>
          <w:lang w:val="zh-TW"/>
        </w:rPr>
        <w:t>F-</w:t>
      </w:r>
      <w:r w:rsidR="00DB0181" w:rsidRPr="00FC5303">
        <w:rPr>
          <w:rFonts w:ascii="標楷體" w:eastAsia="標楷體" w:cs="標楷體" w:hint="eastAsia"/>
          <w:kern w:val="0"/>
          <w:sz w:val="28"/>
          <w:szCs w:val="28"/>
          <w:lang w:val="zh-TW"/>
        </w:rPr>
        <w:t>」</w:t>
      </w:r>
      <w:r w:rsidR="00DB0181" w:rsidRPr="00FC5303">
        <w:rPr>
          <w:rFonts w:ascii="標楷體" w:eastAsia="標楷體" w:cs="標楷體"/>
          <w:kern w:val="0"/>
          <w:sz w:val="28"/>
          <w:szCs w:val="28"/>
          <w:lang w:val="zh-TW"/>
        </w:rPr>
        <w:t>(</w:t>
      </w:r>
      <w:r w:rsidR="00DB0181" w:rsidRPr="00FC5303">
        <w:rPr>
          <w:rFonts w:ascii="標楷體" w:eastAsia="標楷體" w:cs="標楷體" w:hint="eastAsia"/>
          <w:kern w:val="0"/>
          <w:sz w:val="28"/>
          <w:szCs w:val="28"/>
          <w:lang w:val="zh-TW"/>
        </w:rPr>
        <w:t>例如「</w:t>
      </w:r>
      <w:r w:rsidR="00DB0181" w:rsidRPr="00FC5303">
        <w:rPr>
          <w:rFonts w:ascii="標楷體" w:eastAsia="標楷體" w:cs="標楷體"/>
          <w:kern w:val="0"/>
          <w:sz w:val="28"/>
          <w:szCs w:val="28"/>
          <w:lang w:val="zh-TW"/>
        </w:rPr>
        <w:t>KY</w:t>
      </w:r>
      <w:r w:rsidR="00DB0181" w:rsidRPr="00FC5303">
        <w:rPr>
          <w:rFonts w:ascii="標楷體" w:eastAsia="標楷體" w:cs="標楷體" w:hint="eastAsia"/>
          <w:kern w:val="0"/>
          <w:sz w:val="28"/>
          <w:szCs w:val="28"/>
          <w:lang w:val="zh-TW"/>
        </w:rPr>
        <w:t>亞塑」更改為「</w:t>
      </w:r>
      <w:r w:rsidR="00DB0181" w:rsidRPr="00FC5303">
        <w:rPr>
          <w:rFonts w:ascii="標楷體" w:eastAsia="標楷體" w:cs="標楷體"/>
          <w:kern w:val="0"/>
          <w:sz w:val="28"/>
          <w:szCs w:val="28"/>
          <w:lang w:val="zh-TW"/>
        </w:rPr>
        <w:t>F-</w:t>
      </w:r>
      <w:r w:rsidR="00DB0181" w:rsidRPr="00FC5303">
        <w:rPr>
          <w:rFonts w:ascii="標楷體" w:eastAsia="標楷體" w:cs="標楷體" w:hint="eastAsia"/>
          <w:kern w:val="0"/>
          <w:sz w:val="28"/>
          <w:szCs w:val="28"/>
          <w:lang w:val="zh-TW"/>
        </w:rPr>
        <w:t>亞塑」</w:t>
      </w:r>
      <w:r w:rsidR="00DB0181" w:rsidRPr="00FC5303">
        <w:rPr>
          <w:rFonts w:ascii="標楷體" w:eastAsia="標楷體" w:cs="標楷體"/>
          <w:kern w:val="0"/>
          <w:sz w:val="28"/>
          <w:szCs w:val="28"/>
          <w:lang w:val="zh-TW"/>
        </w:rPr>
        <w:t>)</w:t>
      </w:r>
      <w:r w:rsidR="00DB0181" w:rsidRPr="00FC5303">
        <w:rPr>
          <w:rFonts w:ascii="標楷體" w:eastAsia="標楷體" w:cs="標楷體" w:hint="eastAsia"/>
          <w:kern w:val="0"/>
          <w:sz w:val="28"/>
          <w:szCs w:val="28"/>
          <w:lang w:val="zh-TW"/>
        </w:rPr>
        <w:t>，而股票為無面額或面額非十元之第一上市</w:t>
      </w:r>
      <w:r w:rsidR="00B40A8C" w:rsidRPr="00FC5303">
        <w:rPr>
          <w:rFonts w:ascii="標楷體" w:eastAsia="標楷體" w:cs="標楷體" w:hint="eastAsia"/>
          <w:kern w:val="0"/>
          <w:sz w:val="28"/>
          <w:szCs w:val="28"/>
          <w:lang w:val="zh-TW"/>
        </w:rPr>
        <w:t>、</w:t>
      </w:r>
      <w:r w:rsidR="00B40A8C" w:rsidRPr="00FC5303">
        <w:rPr>
          <w:rFonts w:ascii="標楷體" w:eastAsia="標楷體" w:hAnsi="標楷體" w:hint="eastAsia"/>
          <w:sz w:val="28"/>
          <w:szCs w:val="28"/>
        </w:rPr>
        <w:t>上櫃及外國興櫃</w:t>
      </w:r>
      <w:r w:rsidR="00DB0181" w:rsidRPr="00FC5303">
        <w:rPr>
          <w:rFonts w:ascii="標楷體" w:eastAsia="標楷體" w:cs="標楷體" w:hint="eastAsia"/>
          <w:kern w:val="0"/>
          <w:sz w:val="28"/>
          <w:szCs w:val="28"/>
          <w:lang w:val="zh-TW"/>
        </w:rPr>
        <w:t>公司證券簡稱前二</w:t>
      </w:r>
      <w:r w:rsidR="00DB0181" w:rsidRPr="00A9487A">
        <w:rPr>
          <w:rFonts w:ascii="標楷體" w:eastAsia="標楷體" w:cs="標楷體" w:hint="eastAsia"/>
          <w:kern w:val="0"/>
          <w:sz w:val="28"/>
          <w:szCs w:val="28"/>
          <w:lang w:val="zh-TW"/>
        </w:rPr>
        <w:t>碼則為「</w:t>
      </w:r>
      <w:r w:rsidR="00DB0181" w:rsidRPr="00A9487A">
        <w:rPr>
          <w:rFonts w:ascii="標楷體" w:eastAsia="標楷體" w:cs="標楷體"/>
          <w:kern w:val="0"/>
          <w:sz w:val="28"/>
          <w:szCs w:val="28"/>
          <w:lang w:val="zh-TW"/>
        </w:rPr>
        <w:t>F*</w:t>
      </w:r>
      <w:r w:rsidR="00DB0181" w:rsidRPr="00A9487A">
        <w:rPr>
          <w:rFonts w:ascii="標楷體" w:eastAsia="標楷體" w:cs="標楷體" w:hint="eastAsia"/>
          <w:kern w:val="0"/>
          <w:sz w:val="28"/>
          <w:szCs w:val="28"/>
          <w:lang w:val="zh-TW"/>
        </w:rPr>
        <w:t>」</w:t>
      </w:r>
      <w:r w:rsidR="00DB0181" w:rsidRPr="00A9487A">
        <w:rPr>
          <w:rFonts w:ascii="標楷體" w:eastAsia="標楷體" w:cs="標楷體"/>
          <w:kern w:val="0"/>
          <w:sz w:val="28"/>
          <w:szCs w:val="28"/>
          <w:lang w:val="zh-TW"/>
        </w:rPr>
        <w:t>(</w:t>
      </w:r>
      <w:r w:rsidR="00DB0181" w:rsidRPr="00A9487A">
        <w:rPr>
          <w:rFonts w:ascii="標楷體" w:eastAsia="標楷體" w:cs="標楷體" w:hint="eastAsia"/>
          <w:kern w:val="0"/>
          <w:sz w:val="28"/>
          <w:szCs w:val="28"/>
          <w:lang w:val="zh-TW"/>
        </w:rPr>
        <w:t>例如「</w:t>
      </w:r>
      <w:r w:rsidR="00DB0181" w:rsidRPr="00A9487A">
        <w:rPr>
          <w:rFonts w:ascii="標楷體" w:eastAsia="標楷體" w:cs="標楷體"/>
          <w:kern w:val="0"/>
          <w:sz w:val="28"/>
          <w:szCs w:val="28"/>
          <w:lang w:val="zh-TW"/>
        </w:rPr>
        <w:t>F*</w:t>
      </w:r>
      <w:r w:rsidR="00DB0181" w:rsidRPr="00A9487A">
        <w:rPr>
          <w:rFonts w:ascii="標楷體" w:eastAsia="標楷體" w:cs="標楷體" w:hint="eastAsia"/>
          <w:kern w:val="0"/>
          <w:sz w:val="28"/>
          <w:szCs w:val="28"/>
          <w:lang w:val="zh-TW"/>
        </w:rPr>
        <w:t>國際」</w:t>
      </w:r>
      <w:r w:rsidR="00DB0181" w:rsidRPr="00A9487A">
        <w:rPr>
          <w:rFonts w:ascii="標楷體" w:eastAsia="標楷體" w:cs="標楷體"/>
          <w:kern w:val="0"/>
          <w:sz w:val="28"/>
          <w:szCs w:val="28"/>
          <w:lang w:val="zh-TW"/>
        </w:rPr>
        <w:t>)</w:t>
      </w:r>
      <w:r w:rsidR="00DB0181" w:rsidRPr="00A9487A">
        <w:rPr>
          <w:rFonts w:ascii="標楷體" w:eastAsia="標楷體" w:cs="標楷體" w:hint="eastAsia"/>
          <w:kern w:val="0"/>
          <w:sz w:val="28"/>
          <w:szCs w:val="28"/>
          <w:lang w:val="zh-TW"/>
        </w:rPr>
        <w:t>，以便於投資人日後辨識並藉以區別為外國公司</w:t>
      </w:r>
      <w:r w:rsidR="00552E42">
        <w:rPr>
          <w:rFonts w:ascii="標楷體" w:eastAsia="標楷體" w:cs="標楷體" w:hint="eastAsia"/>
          <w:kern w:val="0"/>
          <w:sz w:val="28"/>
          <w:szCs w:val="28"/>
          <w:lang w:val="zh-TW"/>
        </w:rPr>
        <w:t>。</w:t>
      </w:r>
    </w:p>
    <w:p w:rsidR="007955E6" w:rsidRDefault="007955E6" w:rsidP="00814D5B">
      <w:pPr>
        <w:pStyle w:val="a3"/>
        <w:ind w:leftChars="0" w:left="0"/>
        <w:rPr>
          <w:rFonts w:ascii="標楷體" w:eastAsia="標楷體" w:cs="標楷體"/>
          <w:kern w:val="0"/>
          <w:sz w:val="28"/>
          <w:szCs w:val="28"/>
          <w:lang w:val="zh-TW"/>
        </w:rPr>
      </w:pPr>
    </w:p>
    <w:p w:rsidR="007955E6" w:rsidRPr="00FC5303" w:rsidRDefault="007955E6" w:rsidP="007955E6">
      <w:pPr>
        <w:pStyle w:val="a3"/>
        <w:ind w:leftChars="0" w:left="0"/>
        <w:jc w:val="center"/>
        <w:rPr>
          <w:rFonts w:ascii="標楷體" w:eastAsia="標楷體" w:hAnsi="標楷體"/>
          <w:b/>
          <w:sz w:val="28"/>
          <w:szCs w:val="28"/>
        </w:rPr>
      </w:pPr>
      <w:r w:rsidRPr="00FC5303">
        <w:rPr>
          <w:rFonts w:ascii="標楷體" w:eastAsia="標楷體" w:hAnsi="標楷體" w:hint="eastAsia"/>
          <w:b/>
          <w:sz w:val="28"/>
          <w:szCs w:val="28"/>
        </w:rPr>
        <w:t>四、投資人投資時應特別注意事項</w:t>
      </w:r>
    </w:p>
    <w:p w:rsidR="007955E6" w:rsidRPr="00560982" w:rsidRDefault="007955E6" w:rsidP="007955E6">
      <w:pPr>
        <w:spacing w:line="480" w:lineRule="exact"/>
        <w:ind w:left="566" w:hangingChars="202" w:hanging="566"/>
        <w:jc w:val="both"/>
        <w:rPr>
          <w:rFonts w:ascii="標楷體" w:eastAsia="標楷體" w:hAnsi="標楷體"/>
          <w:b/>
          <w:sz w:val="28"/>
          <w:szCs w:val="28"/>
        </w:rPr>
      </w:pPr>
      <w:r>
        <w:rPr>
          <w:rFonts w:ascii="標楷體" w:eastAsia="標楷體" w:hAnsi="標楷體" w:hint="eastAsia"/>
          <w:b/>
          <w:sz w:val="28"/>
          <w:szCs w:val="28"/>
        </w:rPr>
        <w:t>(</w:t>
      </w:r>
      <w:proofErr w:type="gramStart"/>
      <w:r>
        <w:rPr>
          <w:rFonts w:ascii="標楷體" w:eastAsia="標楷體" w:hAnsi="標楷體" w:hint="eastAsia"/>
          <w:b/>
          <w:sz w:val="28"/>
          <w:szCs w:val="28"/>
        </w:rPr>
        <w:t>一</w:t>
      </w:r>
      <w:proofErr w:type="gramEnd"/>
      <w:r>
        <w:rPr>
          <w:rFonts w:ascii="標楷體" w:eastAsia="標楷體" w:hAnsi="標楷體" w:hint="eastAsia"/>
          <w:b/>
          <w:sz w:val="28"/>
          <w:szCs w:val="28"/>
        </w:rPr>
        <w:t>)投資人閱讀</w:t>
      </w:r>
      <w:r>
        <w:rPr>
          <w:rFonts w:ascii="標楷體" w:eastAsia="標楷體" w:hint="eastAsia"/>
          <w:b/>
          <w:sz w:val="28"/>
          <w:szCs w:val="28"/>
        </w:rPr>
        <w:t>財務報表時應特別注意之事項</w:t>
      </w:r>
    </w:p>
    <w:p w:rsidR="007955E6" w:rsidRDefault="007955E6" w:rsidP="00B100D6">
      <w:pPr>
        <w:ind w:left="567"/>
        <w:jc w:val="both"/>
        <w:rPr>
          <w:rFonts w:ascii="標楷體" w:eastAsia="標楷體" w:cs="標楷體"/>
          <w:kern w:val="0"/>
          <w:sz w:val="28"/>
          <w:szCs w:val="28"/>
          <w:lang w:val="zh-TW"/>
        </w:rPr>
      </w:pPr>
      <w:r>
        <w:rPr>
          <w:rFonts w:ascii="標楷體" w:eastAsia="標楷體" w:hAnsi="標楷體" w:hint="eastAsia"/>
          <w:sz w:val="28"/>
          <w:szCs w:val="28"/>
        </w:rPr>
        <w:t xml:space="preserve">    </w:t>
      </w:r>
      <w:r w:rsidRPr="00294E10">
        <w:rPr>
          <w:rFonts w:ascii="標楷體" w:eastAsia="標楷體" w:hAnsi="標楷體" w:hint="eastAsia"/>
          <w:sz w:val="28"/>
          <w:szCs w:val="28"/>
        </w:rPr>
        <w:t>外國企業</w:t>
      </w:r>
      <w:r>
        <w:rPr>
          <w:rFonts w:ascii="標楷體" w:eastAsia="標楷體" w:hAnsi="標楷體" w:hint="eastAsia"/>
          <w:sz w:val="28"/>
          <w:szCs w:val="28"/>
        </w:rPr>
        <w:t>股票若為無面額，則其財務報告所列示股本之意義代表「</w:t>
      </w:r>
      <w:r w:rsidRPr="003711F9">
        <w:rPr>
          <w:rFonts w:eastAsia="標楷體" w:hAnsi="標楷體" w:hint="eastAsia"/>
          <w:sz w:val="28"/>
          <w:szCs w:val="28"/>
        </w:rPr>
        <w:t>股東投入資本</w:t>
      </w:r>
      <w:r>
        <w:rPr>
          <w:rFonts w:eastAsia="標楷體" w:hAnsi="標楷體" w:hint="eastAsia"/>
          <w:sz w:val="28"/>
          <w:szCs w:val="28"/>
        </w:rPr>
        <w:t>」，即為歷年來增資發行所募集資金之總額，等於股票每股面額十元公司之股本加上資本公積</w:t>
      </w:r>
      <w:r>
        <w:rPr>
          <w:rFonts w:eastAsia="標楷體" w:hAnsi="標楷體" w:hint="eastAsia"/>
          <w:sz w:val="28"/>
          <w:szCs w:val="28"/>
        </w:rPr>
        <w:t>-</w:t>
      </w:r>
      <w:r>
        <w:rPr>
          <w:rFonts w:eastAsia="標楷體" w:hAnsi="標楷體" w:hint="eastAsia"/>
          <w:sz w:val="28"/>
          <w:szCs w:val="28"/>
        </w:rPr>
        <w:t>發行溢價，無面額及每股面額十元之外國企業兩者股本之代表意義並不相同；股票每股面額非十元外國企業</w:t>
      </w:r>
      <w:r>
        <w:rPr>
          <w:rFonts w:ascii="標楷體" w:eastAsia="標楷體" w:hAnsi="標楷體" w:hint="eastAsia"/>
          <w:sz w:val="28"/>
          <w:szCs w:val="28"/>
        </w:rPr>
        <w:t>，相較於</w:t>
      </w:r>
      <w:r>
        <w:rPr>
          <w:rFonts w:eastAsia="標楷體" w:hAnsi="標楷體" w:hint="eastAsia"/>
          <w:sz w:val="28"/>
          <w:szCs w:val="28"/>
        </w:rPr>
        <w:t>股票每股面額十元公司，即使發行股數相同，因每股面額不同致股本亦不相同，且公司發行之股票每股面額不同或為無面額所計算之每股盈餘較不具比較性，因此投資人做投資決策時，宜仔細閱讀及使用外國企業財</w:t>
      </w:r>
      <w:r>
        <w:rPr>
          <w:rFonts w:eastAsia="標楷體" w:hAnsi="標楷體" w:hint="eastAsia"/>
          <w:sz w:val="28"/>
          <w:szCs w:val="28"/>
        </w:rPr>
        <w:lastRenderedPageBreak/>
        <w:t>務報告之股本、每股盈餘等資訊，並辨別上述差異所造成之影響</w:t>
      </w:r>
      <w:r w:rsidRPr="00CC7AE6">
        <w:rPr>
          <w:rFonts w:ascii="標楷體" w:eastAsia="標楷體" w:cs="標楷體" w:hint="eastAsia"/>
          <w:kern w:val="0"/>
          <w:sz w:val="28"/>
          <w:szCs w:val="28"/>
          <w:lang w:val="zh-TW"/>
        </w:rPr>
        <w:t>。</w:t>
      </w:r>
    </w:p>
    <w:p w:rsidR="00B100D6" w:rsidRDefault="00B100D6" w:rsidP="007955E6">
      <w:pPr>
        <w:spacing w:line="480" w:lineRule="exact"/>
        <w:ind w:left="566" w:hangingChars="202" w:hanging="566"/>
        <w:jc w:val="both"/>
        <w:rPr>
          <w:rFonts w:ascii="標楷體" w:eastAsia="標楷體" w:hAnsi="標楷體"/>
          <w:b/>
          <w:sz w:val="28"/>
          <w:szCs w:val="28"/>
        </w:rPr>
      </w:pPr>
    </w:p>
    <w:p w:rsidR="007955E6" w:rsidRDefault="007955E6" w:rsidP="007955E6">
      <w:pPr>
        <w:spacing w:line="480" w:lineRule="exact"/>
        <w:ind w:left="566" w:hangingChars="202" w:hanging="566"/>
        <w:jc w:val="both"/>
        <w:rPr>
          <w:rFonts w:ascii="標楷體" w:eastAsia="標楷體" w:hAnsi="標楷體"/>
          <w:b/>
          <w:sz w:val="28"/>
          <w:szCs w:val="28"/>
        </w:rPr>
      </w:pPr>
      <w:r>
        <w:rPr>
          <w:rFonts w:ascii="標楷體" w:eastAsia="標楷體" w:hAnsi="標楷體" w:hint="eastAsia"/>
          <w:b/>
          <w:sz w:val="28"/>
          <w:szCs w:val="28"/>
        </w:rPr>
        <w:t>【釋例】</w:t>
      </w:r>
    </w:p>
    <w:p w:rsidR="007955E6" w:rsidRDefault="007955E6" w:rsidP="007955E6">
      <w:pPr>
        <w:spacing w:line="480" w:lineRule="exact"/>
        <w:ind w:leftChars="59" w:left="142" w:firstLine="1"/>
        <w:jc w:val="both"/>
        <w:rPr>
          <w:rFonts w:ascii="標楷體" w:eastAsia="標楷體" w:cs="標楷體"/>
          <w:kern w:val="0"/>
          <w:sz w:val="28"/>
          <w:szCs w:val="28"/>
          <w:lang w:val="zh-TW"/>
        </w:rPr>
      </w:pPr>
      <w:r>
        <w:rPr>
          <w:rFonts w:ascii="標楷體" w:eastAsia="標楷體" w:cs="標楷體" w:hint="eastAsia"/>
          <w:kern w:val="0"/>
          <w:sz w:val="28"/>
          <w:szCs w:val="28"/>
          <w:lang w:val="zh-TW"/>
        </w:rPr>
        <w:t>基本假設：</w:t>
      </w:r>
    </w:p>
    <w:p w:rsidR="007955E6" w:rsidRDefault="007955E6" w:rsidP="007955E6">
      <w:pPr>
        <w:spacing w:line="480" w:lineRule="exact"/>
        <w:ind w:leftChars="59" w:left="142" w:firstLine="1"/>
        <w:jc w:val="both"/>
        <w:rPr>
          <w:rFonts w:ascii="標楷體" w:eastAsia="標楷體" w:cs="標楷體"/>
          <w:kern w:val="0"/>
          <w:sz w:val="28"/>
          <w:szCs w:val="28"/>
          <w:lang w:val="zh-TW"/>
        </w:rPr>
      </w:pPr>
      <w:r>
        <w:rPr>
          <w:rFonts w:ascii="標楷體" w:eastAsia="標楷體" w:cs="標楷體" w:hint="eastAsia"/>
          <w:kern w:val="0"/>
          <w:sz w:val="28"/>
          <w:szCs w:val="28"/>
          <w:lang w:val="zh-TW"/>
        </w:rPr>
        <w:t>A公司：無面額，發行價格每股30元，發行股數100仟股</w:t>
      </w:r>
    </w:p>
    <w:p w:rsidR="007955E6" w:rsidRDefault="007955E6" w:rsidP="007955E6">
      <w:pPr>
        <w:spacing w:line="480" w:lineRule="exact"/>
        <w:ind w:leftChars="59" w:left="142" w:firstLine="1"/>
        <w:jc w:val="both"/>
        <w:rPr>
          <w:rFonts w:ascii="標楷體" w:eastAsia="標楷體" w:cs="標楷體"/>
          <w:kern w:val="0"/>
          <w:sz w:val="28"/>
          <w:szCs w:val="28"/>
          <w:lang w:val="zh-TW"/>
        </w:rPr>
      </w:pPr>
      <w:r>
        <w:rPr>
          <w:rFonts w:ascii="標楷體" w:eastAsia="標楷體" w:cs="標楷體" w:hint="eastAsia"/>
          <w:kern w:val="0"/>
          <w:sz w:val="28"/>
          <w:szCs w:val="28"/>
          <w:lang w:val="zh-TW"/>
        </w:rPr>
        <w:t>B公司：每股面額10元，發行價格每股30元，發行股數100仟股</w:t>
      </w:r>
    </w:p>
    <w:p w:rsidR="007955E6" w:rsidRDefault="007955E6" w:rsidP="007955E6">
      <w:pPr>
        <w:spacing w:line="480" w:lineRule="exact"/>
        <w:ind w:leftChars="59" w:left="142" w:firstLine="1"/>
        <w:jc w:val="both"/>
        <w:rPr>
          <w:rFonts w:ascii="標楷體" w:eastAsia="標楷體" w:cs="標楷體"/>
          <w:kern w:val="0"/>
          <w:sz w:val="28"/>
          <w:szCs w:val="28"/>
          <w:lang w:val="zh-TW"/>
        </w:rPr>
      </w:pPr>
      <w:r>
        <w:rPr>
          <w:rFonts w:ascii="標楷體" w:eastAsia="標楷體" w:cs="標楷體" w:hint="eastAsia"/>
          <w:kern w:val="0"/>
          <w:sz w:val="28"/>
          <w:szCs w:val="28"/>
          <w:lang w:val="zh-TW"/>
        </w:rPr>
        <w:t>C公司：每股面額5元，發行價格每股30元，發行股數100仟股</w:t>
      </w:r>
    </w:p>
    <w:p w:rsidR="001E3FAE" w:rsidRDefault="001E3FAE" w:rsidP="007955E6">
      <w:pPr>
        <w:spacing w:line="480" w:lineRule="exact"/>
        <w:ind w:leftChars="59" w:left="142" w:firstLine="1"/>
        <w:jc w:val="both"/>
        <w:rPr>
          <w:rFonts w:ascii="標楷體" w:eastAsia="標楷體" w:cs="標楷體"/>
          <w:kern w:val="0"/>
          <w:sz w:val="28"/>
          <w:szCs w:val="28"/>
          <w:lang w:val="zh-TW"/>
        </w:rPr>
      </w:pPr>
    </w:p>
    <w:p w:rsidR="007955E6" w:rsidRDefault="007955E6" w:rsidP="001E3FAE">
      <w:pPr>
        <w:spacing w:line="480" w:lineRule="exact"/>
        <w:ind w:left="566" w:rightChars="-201" w:right="-482" w:hangingChars="202" w:hanging="566"/>
        <w:rPr>
          <w:rFonts w:ascii="標楷體" w:eastAsia="標楷體" w:cs="標楷體"/>
          <w:kern w:val="0"/>
          <w:sz w:val="28"/>
          <w:szCs w:val="28"/>
          <w:lang w:val="zh-TW"/>
        </w:rPr>
      </w:pPr>
      <w:r>
        <w:rPr>
          <w:rFonts w:ascii="標楷體" w:eastAsia="標楷體" w:cs="標楷體" w:hint="eastAsia"/>
          <w:kern w:val="0"/>
          <w:sz w:val="28"/>
          <w:szCs w:val="28"/>
          <w:lang w:val="zh-TW"/>
        </w:rPr>
        <w:t xml:space="preserve">   </w:t>
      </w:r>
      <w:r w:rsidR="001E3FAE">
        <w:rPr>
          <w:rFonts w:ascii="標楷體" w:eastAsia="標楷體" w:cs="標楷體" w:hint="eastAsia"/>
          <w:kern w:val="0"/>
          <w:sz w:val="28"/>
          <w:szCs w:val="28"/>
          <w:lang w:val="zh-TW"/>
        </w:rPr>
        <w:t xml:space="preserve">財務報告揭示：                            </w:t>
      </w:r>
      <w:r>
        <w:rPr>
          <w:rFonts w:ascii="標楷體" w:eastAsia="標楷體" w:cs="標楷體" w:hint="eastAsia"/>
          <w:kern w:val="0"/>
          <w:sz w:val="28"/>
          <w:szCs w:val="28"/>
          <w:lang w:val="zh-TW"/>
        </w:rPr>
        <w:t xml:space="preserve"> 單位：新台幣仟元</w:t>
      </w:r>
    </w:p>
    <w:tbl>
      <w:tblPr>
        <w:tblStyle w:val="a4"/>
        <w:tblW w:w="8313" w:type="dxa"/>
        <w:tblInd w:w="534" w:type="dxa"/>
        <w:tblLayout w:type="fixed"/>
        <w:tblLook w:val="04A0" w:firstRow="1" w:lastRow="0" w:firstColumn="1" w:lastColumn="0" w:noHBand="0" w:noVBand="1"/>
      </w:tblPr>
      <w:tblGrid>
        <w:gridCol w:w="3969"/>
        <w:gridCol w:w="236"/>
        <w:gridCol w:w="1134"/>
        <w:gridCol w:w="236"/>
        <w:gridCol w:w="1276"/>
        <w:gridCol w:w="236"/>
        <w:gridCol w:w="1226"/>
      </w:tblGrid>
      <w:tr w:rsidR="007955E6" w:rsidTr="0093194F">
        <w:tc>
          <w:tcPr>
            <w:tcW w:w="3969"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科目</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134" w:type="dxa"/>
          </w:tcPr>
          <w:p w:rsidR="007955E6" w:rsidRDefault="007955E6" w:rsidP="0093194F">
            <w:pPr>
              <w:spacing w:line="480" w:lineRule="exact"/>
              <w:jc w:val="center"/>
              <w:rPr>
                <w:rFonts w:ascii="標楷體" w:eastAsia="標楷體" w:cs="標楷體"/>
                <w:kern w:val="0"/>
                <w:sz w:val="28"/>
                <w:szCs w:val="28"/>
                <w:lang w:val="zh-TW"/>
              </w:rPr>
            </w:pPr>
            <w:r>
              <w:rPr>
                <w:rFonts w:ascii="標楷體" w:eastAsia="標楷體" w:cs="標楷體" w:hint="eastAsia"/>
                <w:kern w:val="0"/>
                <w:sz w:val="28"/>
                <w:szCs w:val="28"/>
                <w:lang w:val="zh-TW"/>
              </w:rPr>
              <w:t>A公司</w:t>
            </w:r>
          </w:p>
        </w:tc>
        <w:tc>
          <w:tcPr>
            <w:tcW w:w="236" w:type="dxa"/>
          </w:tcPr>
          <w:p w:rsidR="007955E6" w:rsidRDefault="007955E6" w:rsidP="0093194F">
            <w:pPr>
              <w:spacing w:line="480" w:lineRule="exact"/>
              <w:jc w:val="center"/>
              <w:rPr>
                <w:rFonts w:ascii="標楷體" w:eastAsia="標楷體" w:cs="標楷體"/>
                <w:kern w:val="0"/>
                <w:sz w:val="28"/>
                <w:szCs w:val="28"/>
                <w:lang w:val="zh-TW"/>
              </w:rPr>
            </w:pPr>
          </w:p>
        </w:tc>
        <w:tc>
          <w:tcPr>
            <w:tcW w:w="1276" w:type="dxa"/>
          </w:tcPr>
          <w:p w:rsidR="007955E6" w:rsidRDefault="007955E6" w:rsidP="0093194F">
            <w:pPr>
              <w:spacing w:line="480" w:lineRule="exact"/>
              <w:jc w:val="center"/>
              <w:rPr>
                <w:rFonts w:ascii="標楷體" w:eastAsia="標楷體" w:cs="標楷體"/>
                <w:kern w:val="0"/>
                <w:sz w:val="28"/>
                <w:szCs w:val="28"/>
                <w:lang w:val="zh-TW"/>
              </w:rPr>
            </w:pPr>
            <w:r>
              <w:rPr>
                <w:rFonts w:ascii="標楷體" w:eastAsia="標楷體" w:cs="標楷體" w:hint="eastAsia"/>
                <w:kern w:val="0"/>
                <w:sz w:val="28"/>
                <w:szCs w:val="28"/>
                <w:lang w:val="zh-TW"/>
              </w:rPr>
              <w:t>B公司</w:t>
            </w:r>
          </w:p>
        </w:tc>
        <w:tc>
          <w:tcPr>
            <w:tcW w:w="236" w:type="dxa"/>
          </w:tcPr>
          <w:p w:rsidR="007955E6" w:rsidRDefault="007955E6" w:rsidP="0093194F">
            <w:pPr>
              <w:spacing w:line="480" w:lineRule="exact"/>
              <w:jc w:val="center"/>
              <w:rPr>
                <w:rFonts w:ascii="標楷體" w:eastAsia="標楷體" w:cs="標楷體"/>
                <w:kern w:val="0"/>
                <w:sz w:val="28"/>
                <w:szCs w:val="28"/>
                <w:lang w:val="zh-TW"/>
              </w:rPr>
            </w:pPr>
          </w:p>
        </w:tc>
        <w:tc>
          <w:tcPr>
            <w:tcW w:w="1226" w:type="dxa"/>
          </w:tcPr>
          <w:p w:rsidR="007955E6" w:rsidRDefault="007955E6" w:rsidP="0093194F">
            <w:pPr>
              <w:spacing w:line="480" w:lineRule="exact"/>
              <w:jc w:val="center"/>
              <w:rPr>
                <w:rFonts w:ascii="標楷體" w:eastAsia="標楷體" w:cs="標楷體"/>
                <w:kern w:val="0"/>
                <w:sz w:val="28"/>
                <w:szCs w:val="28"/>
                <w:lang w:val="zh-TW"/>
              </w:rPr>
            </w:pPr>
            <w:r>
              <w:rPr>
                <w:rFonts w:ascii="標楷體" w:eastAsia="標楷體" w:cs="標楷體" w:hint="eastAsia"/>
                <w:kern w:val="0"/>
                <w:sz w:val="28"/>
                <w:szCs w:val="28"/>
                <w:lang w:val="zh-TW"/>
              </w:rPr>
              <w:t>C公司</w:t>
            </w:r>
          </w:p>
        </w:tc>
      </w:tr>
      <w:tr w:rsidR="007955E6" w:rsidTr="0093194F">
        <w:tc>
          <w:tcPr>
            <w:tcW w:w="3969"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股東權益</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134" w:type="dxa"/>
          </w:tcPr>
          <w:p w:rsidR="007955E6" w:rsidRDefault="007955E6" w:rsidP="0093194F">
            <w:pPr>
              <w:spacing w:line="480" w:lineRule="exact"/>
              <w:jc w:val="both"/>
              <w:rPr>
                <w:rFonts w:ascii="標楷體" w:eastAsia="標楷體" w:cs="標楷體"/>
                <w:kern w:val="0"/>
                <w:sz w:val="28"/>
                <w:szCs w:val="28"/>
                <w:lang w:val="zh-TW"/>
              </w:rPr>
            </w:pP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276" w:type="dxa"/>
          </w:tcPr>
          <w:p w:rsidR="007955E6" w:rsidRDefault="007955E6" w:rsidP="0093194F">
            <w:pPr>
              <w:spacing w:line="480" w:lineRule="exact"/>
              <w:jc w:val="both"/>
              <w:rPr>
                <w:rFonts w:ascii="標楷體" w:eastAsia="標楷體" w:cs="標楷體"/>
                <w:kern w:val="0"/>
                <w:sz w:val="28"/>
                <w:szCs w:val="28"/>
                <w:lang w:val="zh-TW"/>
              </w:rPr>
            </w:pP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226" w:type="dxa"/>
          </w:tcPr>
          <w:p w:rsidR="007955E6" w:rsidRDefault="007955E6" w:rsidP="0093194F">
            <w:pPr>
              <w:spacing w:line="480" w:lineRule="exact"/>
              <w:jc w:val="both"/>
              <w:rPr>
                <w:rFonts w:ascii="標楷體" w:eastAsia="標楷體" w:cs="標楷體"/>
                <w:kern w:val="0"/>
                <w:sz w:val="28"/>
                <w:szCs w:val="28"/>
                <w:lang w:val="zh-TW"/>
              </w:rPr>
            </w:pPr>
          </w:p>
        </w:tc>
      </w:tr>
      <w:tr w:rsidR="007955E6" w:rsidTr="0093194F">
        <w:tc>
          <w:tcPr>
            <w:tcW w:w="3969"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 xml:space="preserve">  股本</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134"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3,000</w:t>
            </w:r>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276"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1,000</w:t>
            </w:r>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226"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500</w:t>
            </w:r>
          </w:p>
        </w:tc>
      </w:tr>
      <w:tr w:rsidR="007955E6" w:rsidTr="0093194F">
        <w:tc>
          <w:tcPr>
            <w:tcW w:w="3969"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 xml:space="preserve">  資本公積-發行溢價</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134" w:type="dxa"/>
          </w:tcPr>
          <w:p w:rsidR="007955E6" w:rsidRDefault="007955E6" w:rsidP="0093194F">
            <w:pPr>
              <w:spacing w:line="480" w:lineRule="exact"/>
              <w:jc w:val="right"/>
              <w:rPr>
                <w:rFonts w:ascii="標楷體" w:eastAsia="標楷體" w:cs="標楷體"/>
                <w:kern w:val="0"/>
                <w:sz w:val="28"/>
                <w:szCs w:val="28"/>
                <w:lang w:val="zh-TW"/>
              </w:rPr>
            </w:pPr>
            <w:proofErr w:type="gramStart"/>
            <w:r>
              <w:rPr>
                <w:rFonts w:ascii="標楷體" w:eastAsia="標楷體" w:cs="標楷體" w:hint="eastAsia"/>
                <w:kern w:val="0"/>
                <w:sz w:val="28"/>
                <w:szCs w:val="28"/>
                <w:lang w:val="zh-TW"/>
              </w:rPr>
              <w:t>─</w:t>
            </w:r>
            <w:proofErr w:type="gramEnd"/>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276"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2,000</w:t>
            </w:r>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226"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2,500</w:t>
            </w:r>
          </w:p>
        </w:tc>
      </w:tr>
      <w:tr w:rsidR="007955E6" w:rsidTr="0093194F">
        <w:tc>
          <w:tcPr>
            <w:tcW w:w="3969"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 xml:space="preserve">  合計</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134"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3,000</w:t>
            </w:r>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276"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3,000</w:t>
            </w:r>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226"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3,000</w:t>
            </w:r>
          </w:p>
        </w:tc>
      </w:tr>
    </w:tbl>
    <w:p w:rsidR="007955E6" w:rsidRDefault="007955E6" w:rsidP="007955E6">
      <w:pPr>
        <w:spacing w:line="480" w:lineRule="exact"/>
        <w:ind w:left="566" w:hangingChars="202" w:hanging="566"/>
        <w:jc w:val="both"/>
        <w:rPr>
          <w:rFonts w:ascii="標楷體" w:eastAsia="標楷體" w:cs="標楷體"/>
          <w:kern w:val="0"/>
          <w:sz w:val="28"/>
          <w:szCs w:val="28"/>
          <w:lang w:val="zh-TW"/>
        </w:rPr>
      </w:pPr>
    </w:p>
    <w:p w:rsidR="007955E6" w:rsidRDefault="007955E6" w:rsidP="007955E6">
      <w:pPr>
        <w:spacing w:line="480" w:lineRule="exact"/>
        <w:ind w:leftChars="235" w:left="564" w:firstLine="1"/>
        <w:jc w:val="both"/>
        <w:rPr>
          <w:rFonts w:ascii="標楷體" w:eastAsia="標楷體" w:cs="標楷體"/>
          <w:kern w:val="0"/>
          <w:sz w:val="28"/>
          <w:szCs w:val="28"/>
          <w:lang w:val="zh-TW"/>
        </w:rPr>
      </w:pPr>
      <w:r>
        <w:rPr>
          <w:rFonts w:ascii="標楷體" w:eastAsia="標楷體" w:cs="標楷體" w:hint="eastAsia"/>
          <w:kern w:val="0"/>
          <w:sz w:val="28"/>
          <w:szCs w:val="28"/>
          <w:lang w:val="zh-TW"/>
        </w:rPr>
        <w:t xml:space="preserve">    </w:t>
      </w:r>
      <w:proofErr w:type="gramStart"/>
      <w:r>
        <w:rPr>
          <w:rFonts w:ascii="標楷體" w:eastAsia="標楷體" w:cs="標楷體" w:hint="eastAsia"/>
          <w:kern w:val="0"/>
          <w:sz w:val="28"/>
          <w:szCs w:val="28"/>
          <w:lang w:val="zh-TW"/>
        </w:rPr>
        <w:t>此外，</w:t>
      </w:r>
      <w:proofErr w:type="gramEnd"/>
      <w:r>
        <w:rPr>
          <w:rFonts w:ascii="標楷體" w:eastAsia="標楷體" w:cs="標楷體" w:hint="eastAsia"/>
          <w:kern w:val="0"/>
          <w:sz w:val="28"/>
          <w:szCs w:val="28"/>
          <w:lang w:val="zh-TW"/>
        </w:rPr>
        <w:t>因每股面額之差異，亦將使相同股本及本期純益之二家外國企業，因發行股數不同將使得每股盈餘亦不相同。</w:t>
      </w:r>
    </w:p>
    <w:p w:rsidR="007955E6" w:rsidRDefault="007955E6" w:rsidP="007955E6">
      <w:pPr>
        <w:spacing w:line="480" w:lineRule="exact"/>
        <w:ind w:left="566" w:hangingChars="202" w:hanging="566"/>
        <w:jc w:val="both"/>
        <w:rPr>
          <w:rFonts w:ascii="標楷體" w:eastAsia="標楷體" w:hAnsi="標楷體"/>
          <w:b/>
          <w:sz w:val="28"/>
          <w:szCs w:val="28"/>
        </w:rPr>
      </w:pPr>
      <w:r>
        <w:rPr>
          <w:rFonts w:ascii="標楷體" w:eastAsia="標楷體" w:cs="標楷體" w:hint="eastAsia"/>
          <w:kern w:val="0"/>
          <w:sz w:val="28"/>
          <w:szCs w:val="28"/>
          <w:lang w:val="zh-TW"/>
        </w:rPr>
        <w:t xml:space="preserve">    </w:t>
      </w:r>
      <w:r>
        <w:rPr>
          <w:rFonts w:ascii="標楷體" w:eastAsia="標楷體" w:hAnsi="標楷體" w:hint="eastAsia"/>
          <w:b/>
          <w:sz w:val="28"/>
          <w:szCs w:val="28"/>
        </w:rPr>
        <w:t>【釋例】</w:t>
      </w:r>
    </w:p>
    <w:p w:rsidR="007955E6" w:rsidRDefault="00781998" w:rsidP="00781998">
      <w:pPr>
        <w:spacing w:line="480" w:lineRule="exact"/>
        <w:ind w:left="566" w:rightChars="271" w:right="650" w:hangingChars="202" w:hanging="566"/>
        <w:rPr>
          <w:rFonts w:ascii="標楷體" w:eastAsia="標楷體" w:cs="標楷體"/>
          <w:kern w:val="0"/>
          <w:sz w:val="28"/>
          <w:szCs w:val="28"/>
          <w:lang w:val="zh-TW"/>
        </w:rPr>
      </w:pPr>
      <w:r>
        <w:rPr>
          <w:rFonts w:ascii="標楷體" w:eastAsia="標楷體" w:cs="標楷體" w:hint="eastAsia"/>
          <w:kern w:val="0"/>
          <w:sz w:val="28"/>
          <w:szCs w:val="28"/>
          <w:lang w:val="zh-TW"/>
        </w:rPr>
        <w:t xml:space="preserve">   財務報告揭示：               </w:t>
      </w:r>
      <w:r w:rsidR="007955E6">
        <w:rPr>
          <w:rFonts w:ascii="標楷體" w:eastAsia="標楷體" w:cs="標楷體" w:hint="eastAsia"/>
          <w:kern w:val="0"/>
          <w:sz w:val="28"/>
          <w:szCs w:val="28"/>
          <w:lang w:val="zh-TW"/>
        </w:rPr>
        <w:t>單位：新台幣仟元；仟股</w:t>
      </w:r>
    </w:p>
    <w:tbl>
      <w:tblPr>
        <w:tblStyle w:val="a4"/>
        <w:tblW w:w="7230" w:type="dxa"/>
        <w:tblInd w:w="545" w:type="dxa"/>
        <w:tblLook w:val="04A0" w:firstRow="1" w:lastRow="0" w:firstColumn="1" w:lastColumn="0" w:noHBand="0" w:noVBand="1"/>
      </w:tblPr>
      <w:tblGrid>
        <w:gridCol w:w="3075"/>
        <w:gridCol w:w="236"/>
        <w:gridCol w:w="1792"/>
        <w:gridCol w:w="236"/>
        <w:gridCol w:w="1891"/>
      </w:tblGrid>
      <w:tr w:rsidR="007955E6" w:rsidTr="0093194F">
        <w:tc>
          <w:tcPr>
            <w:tcW w:w="3075"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項目</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792" w:type="dxa"/>
          </w:tcPr>
          <w:p w:rsidR="007955E6" w:rsidRDefault="007955E6" w:rsidP="0093194F">
            <w:pPr>
              <w:spacing w:line="480" w:lineRule="exact"/>
              <w:jc w:val="center"/>
              <w:rPr>
                <w:rFonts w:ascii="標楷體" w:eastAsia="標楷體" w:cs="標楷體"/>
                <w:kern w:val="0"/>
                <w:sz w:val="28"/>
                <w:szCs w:val="28"/>
                <w:lang w:val="zh-TW"/>
              </w:rPr>
            </w:pPr>
            <w:r>
              <w:rPr>
                <w:rFonts w:ascii="標楷體" w:eastAsia="標楷體" w:cs="標楷體" w:hint="eastAsia"/>
                <w:kern w:val="0"/>
                <w:sz w:val="28"/>
                <w:szCs w:val="28"/>
                <w:lang w:val="zh-TW"/>
              </w:rPr>
              <w:t>D公司</w:t>
            </w:r>
          </w:p>
        </w:tc>
        <w:tc>
          <w:tcPr>
            <w:tcW w:w="236" w:type="dxa"/>
          </w:tcPr>
          <w:p w:rsidR="007955E6" w:rsidRDefault="007955E6" w:rsidP="0093194F">
            <w:pPr>
              <w:spacing w:line="480" w:lineRule="exact"/>
              <w:jc w:val="center"/>
              <w:rPr>
                <w:rFonts w:ascii="標楷體" w:eastAsia="標楷體" w:cs="標楷體"/>
                <w:kern w:val="0"/>
                <w:sz w:val="28"/>
                <w:szCs w:val="28"/>
                <w:lang w:val="zh-TW"/>
              </w:rPr>
            </w:pPr>
          </w:p>
        </w:tc>
        <w:tc>
          <w:tcPr>
            <w:tcW w:w="1891" w:type="dxa"/>
          </w:tcPr>
          <w:p w:rsidR="007955E6" w:rsidRDefault="007955E6" w:rsidP="0093194F">
            <w:pPr>
              <w:spacing w:line="480" w:lineRule="exact"/>
              <w:jc w:val="center"/>
              <w:rPr>
                <w:rFonts w:ascii="標楷體" w:eastAsia="標楷體" w:cs="標楷體"/>
                <w:kern w:val="0"/>
                <w:sz w:val="28"/>
                <w:szCs w:val="28"/>
                <w:lang w:val="zh-TW"/>
              </w:rPr>
            </w:pPr>
            <w:r>
              <w:rPr>
                <w:rFonts w:ascii="標楷體" w:eastAsia="標楷體" w:cs="標楷體" w:hint="eastAsia"/>
                <w:kern w:val="0"/>
                <w:sz w:val="28"/>
                <w:szCs w:val="28"/>
                <w:lang w:val="zh-TW"/>
              </w:rPr>
              <w:t>E公司</w:t>
            </w:r>
          </w:p>
        </w:tc>
      </w:tr>
      <w:tr w:rsidR="007955E6" w:rsidTr="0093194F">
        <w:tc>
          <w:tcPr>
            <w:tcW w:w="3075"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 xml:space="preserve">  股本</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792"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100,000</w:t>
            </w:r>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891"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100,000</w:t>
            </w:r>
          </w:p>
        </w:tc>
      </w:tr>
      <w:tr w:rsidR="00781998" w:rsidTr="0093194F">
        <w:tc>
          <w:tcPr>
            <w:tcW w:w="3075" w:type="dxa"/>
          </w:tcPr>
          <w:p w:rsidR="00781998" w:rsidRDefault="00781998"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 xml:space="preserve">  每股面額(元)</w:t>
            </w:r>
          </w:p>
        </w:tc>
        <w:tc>
          <w:tcPr>
            <w:tcW w:w="236" w:type="dxa"/>
          </w:tcPr>
          <w:p w:rsidR="00781998" w:rsidRDefault="00781998" w:rsidP="0093194F">
            <w:pPr>
              <w:spacing w:line="480" w:lineRule="exact"/>
              <w:jc w:val="both"/>
              <w:rPr>
                <w:rFonts w:ascii="標楷體" w:eastAsia="標楷體" w:cs="標楷體"/>
                <w:kern w:val="0"/>
                <w:sz w:val="28"/>
                <w:szCs w:val="28"/>
                <w:lang w:val="zh-TW"/>
              </w:rPr>
            </w:pPr>
          </w:p>
        </w:tc>
        <w:tc>
          <w:tcPr>
            <w:tcW w:w="1792" w:type="dxa"/>
          </w:tcPr>
          <w:p w:rsidR="00781998" w:rsidRDefault="00781998"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10</w:t>
            </w:r>
          </w:p>
        </w:tc>
        <w:tc>
          <w:tcPr>
            <w:tcW w:w="236" w:type="dxa"/>
          </w:tcPr>
          <w:p w:rsidR="00781998" w:rsidRDefault="00781998" w:rsidP="0093194F">
            <w:pPr>
              <w:spacing w:line="480" w:lineRule="exact"/>
              <w:jc w:val="right"/>
              <w:rPr>
                <w:rFonts w:ascii="標楷體" w:eastAsia="標楷體" w:cs="標楷體"/>
                <w:kern w:val="0"/>
                <w:sz w:val="28"/>
                <w:szCs w:val="28"/>
                <w:lang w:val="zh-TW"/>
              </w:rPr>
            </w:pPr>
          </w:p>
        </w:tc>
        <w:tc>
          <w:tcPr>
            <w:tcW w:w="1891" w:type="dxa"/>
          </w:tcPr>
          <w:p w:rsidR="00781998" w:rsidRDefault="00781998"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5</w:t>
            </w:r>
          </w:p>
        </w:tc>
      </w:tr>
      <w:tr w:rsidR="007955E6" w:rsidTr="0093194F">
        <w:tc>
          <w:tcPr>
            <w:tcW w:w="3075"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 xml:space="preserve">  發行股數</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792"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1</w:t>
            </w:r>
            <w:r w:rsidR="00781998">
              <w:rPr>
                <w:rFonts w:ascii="標楷體" w:eastAsia="標楷體" w:cs="標楷體" w:hint="eastAsia"/>
                <w:kern w:val="0"/>
                <w:sz w:val="28"/>
                <w:szCs w:val="28"/>
                <w:lang w:val="zh-TW"/>
              </w:rPr>
              <w:t>0</w:t>
            </w:r>
            <w:r>
              <w:rPr>
                <w:rFonts w:ascii="標楷體" w:eastAsia="標楷體" w:cs="標楷體" w:hint="eastAsia"/>
                <w:kern w:val="0"/>
                <w:sz w:val="28"/>
                <w:szCs w:val="28"/>
                <w:lang w:val="zh-TW"/>
              </w:rPr>
              <w:t>,000</w:t>
            </w:r>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891"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2</w:t>
            </w:r>
            <w:r w:rsidR="00781998">
              <w:rPr>
                <w:rFonts w:ascii="標楷體" w:eastAsia="標楷體" w:cs="標楷體" w:hint="eastAsia"/>
                <w:kern w:val="0"/>
                <w:sz w:val="28"/>
                <w:szCs w:val="28"/>
                <w:lang w:val="zh-TW"/>
              </w:rPr>
              <w:t>0</w:t>
            </w:r>
            <w:r>
              <w:rPr>
                <w:rFonts w:ascii="標楷體" w:eastAsia="標楷體" w:cs="標楷體" w:hint="eastAsia"/>
                <w:kern w:val="0"/>
                <w:sz w:val="28"/>
                <w:szCs w:val="28"/>
                <w:lang w:val="zh-TW"/>
              </w:rPr>
              <w:t>,000</w:t>
            </w:r>
          </w:p>
        </w:tc>
      </w:tr>
      <w:tr w:rsidR="007955E6" w:rsidTr="0093194F">
        <w:tc>
          <w:tcPr>
            <w:tcW w:w="3075"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 xml:space="preserve">  本期純益</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792"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20,000</w:t>
            </w:r>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891"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20,000</w:t>
            </w:r>
          </w:p>
        </w:tc>
      </w:tr>
      <w:tr w:rsidR="007955E6" w:rsidTr="0093194F">
        <w:tc>
          <w:tcPr>
            <w:tcW w:w="3075" w:type="dxa"/>
          </w:tcPr>
          <w:p w:rsidR="007955E6" w:rsidRDefault="007955E6" w:rsidP="0093194F">
            <w:pPr>
              <w:spacing w:line="480" w:lineRule="exact"/>
              <w:jc w:val="both"/>
              <w:rPr>
                <w:rFonts w:ascii="標楷體" w:eastAsia="標楷體" w:cs="標楷體"/>
                <w:kern w:val="0"/>
                <w:sz w:val="28"/>
                <w:szCs w:val="28"/>
                <w:lang w:val="zh-TW"/>
              </w:rPr>
            </w:pPr>
            <w:r>
              <w:rPr>
                <w:rFonts w:ascii="標楷體" w:eastAsia="標楷體" w:cs="標楷體" w:hint="eastAsia"/>
                <w:kern w:val="0"/>
                <w:sz w:val="28"/>
                <w:szCs w:val="28"/>
                <w:lang w:val="zh-TW"/>
              </w:rPr>
              <w:t xml:space="preserve">  每股盈餘(元)</w:t>
            </w:r>
          </w:p>
        </w:tc>
        <w:tc>
          <w:tcPr>
            <w:tcW w:w="236" w:type="dxa"/>
          </w:tcPr>
          <w:p w:rsidR="007955E6" w:rsidRDefault="007955E6" w:rsidP="0093194F">
            <w:pPr>
              <w:spacing w:line="480" w:lineRule="exact"/>
              <w:jc w:val="both"/>
              <w:rPr>
                <w:rFonts w:ascii="標楷體" w:eastAsia="標楷體" w:cs="標楷體"/>
                <w:kern w:val="0"/>
                <w:sz w:val="28"/>
                <w:szCs w:val="28"/>
                <w:lang w:val="zh-TW"/>
              </w:rPr>
            </w:pPr>
          </w:p>
        </w:tc>
        <w:tc>
          <w:tcPr>
            <w:tcW w:w="1792"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2</w:t>
            </w:r>
          </w:p>
        </w:tc>
        <w:tc>
          <w:tcPr>
            <w:tcW w:w="236" w:type="dxa"/>
          </w:tcPr>
          <w:p w:rsidR="007955E6" w:rsidRDefault="007955E6" w:rsidP="0093194F">
            <w:pPr>
              <w:spacing w:line="480" w:lineRule="exact"/>
              <w:jc w:val="right"/>
              <w:rPr>
                <w:rFonts w:ascii="標楷體" w:eastAsia="標楷體" w:cs="標楷體"/>
                <w:kern w:val="0"/>
                <w:sz w:val="28"/>
                <w:szCs w:val="28"/>
                <w:lang w:val="zh-TW"/>
              </w:rPr>
            </w:pPr>
          </w:p>
        </w:tc>
        <w:tc>
          <w:tcPr>
            <w:tcW w:w="1891" w:type="dxa"/>
          </w:tcPr>
          <w:p w:rsidR="007955E6" w:rsidRDefault="007955E6" w:rsidP="0093194F">
            <w:pPr>
              <w:spacing w:line="480" w:lineRule="exact"/>
              <w:jc w:val="right"/>
              <w:rPr>
                <w:rFonts w:ascii="標楷體" w:eastAsia="標楷體" w:cs="標楷體"/>
                <w:kern w:val="0"/>
                <w:sz w:val="28"/>
                <w:szCs w:val="28"/>
                <w:lang w:val="zh-TW"/>
              </w:rPr>
            </w:pPr>
            <w:r>
              <w:rPr>
                <w:rFonts w:ascii="標楷體" w:eastAsia="標楷體" w:cs="標楷體" w:hint="eastAsia"/>
                <w:kern w:val="0"/>
                <w:sz w:val="28"/>
                <w:szCs w:val="28"/>
                <w:lang w:val="zh-TW"/>
              </w:rPr>
              <w:t>1</w:t>
            </w:r>
          </w:p>
        </w:tc>
      </w:tr>
    </w:tbl>
    <w:p w:rsidR="007955E6" w:rsidRDefault="007955E6" w:rsidP="007955E6">
      <w:pPr>
        <w:spacing w:line="480" w:lineRule="exact"/>
        <w:ind w:leftChars="235" w:left="564" w:firstLine="1"/>
        <w:jc w:val="both"/>
        <w:rPr>
          <w:rFonts w:ascii="標楷體" w:eastAsia="標楷體" w:cs="標楷體"/>
          <w:kern w:val="0"/>
          <w:sz w:val="28"/>
          <w:szCs w:val="28"/>
          <w:lang w:val="zh-TW"/>
        </w:rPr>
      </w:pPr>
    </w:p>
    <w:p w:rsidR="007955E6" w:rsidRDefault="007955E6" w:rsidP="007955E6">
      <w:pPr>
        <w:spacing w:line="480" w:lineRule="exact"/>
        <w:ind w:left="566" w:hangingChars="202" w:hanging="566"/>
        <w:jc w:val="both"/>
        <w:rPr>
          <w:rFonts w:ascii="標楷體" w:eastAsia="標楷體" w:hAnsi="標楷體"/>
          <w:b/>
          <w:sz w:val="28"/>
          <w:szCs w:val="28"/>
        </w:rPr>
      </w:pPr>
      <w:r>
        <w:rPr>
          <w:rFonts w:ascii="標楷體" w:eastAsia="標楷體" w:hAnsi="標楷體" w:hint="eastAsia"/>
          <w:b/>
          <w:sz w:val="28"/>
          <w:szCs w:val="28"/>
        </w:rPr>
        <w:lastRenderedPageBreak/>
        <w:t>(二)投資人</w:t>
      </w:r>
      <w:r>
        <w:rPr>
          <w:rFonts w:ascii="標楷體" w:eastAsia="標楷體" w:hint="eastAsia"/>
          <w:b/>
          <w:sz w:val="28"/>
          <w:szCs w:val="28"/>
        </w:rPr>
        <w:t>常使用之財務分析及技術指標是否受影響</w:t>
      </w:r>
    </w:p>
    <w:p w:rsidR="007955E6" w:rsidRDefault="007955E6" w:rsidP="00B100D6">
      <w:pPr>
        <w:ind w:left="567"/>
        <w:jc w:val="both"/>
        <w:rPr>
          <w:rFonts w:ascii="標楷體" w:eastAsia="標楷體" w:hAnsi="標楷體"/>
          <w:sz w:val="28"/>
          <w:szCs w:val="28"/>
        </w:rPr>
      </w:pPr>
      <w:r>
        <w:rPr>
          <w:rFonts w:ascii="標楷體" w:eastAsia="標楷體" w:hAnsi="標楷體" w:hint="eastAsia"/>
          <w:sz w:val="28"/>
          <w:szCs w:val="28"/>
        </w:rPr>
        <w:t xml:space="preserve">    </w:t>
      </w:r>
      <w:r w:rsidRPr="00D342C4">
        <w:rPr>
          <w:rFonts w:ascii="標楷體" w:eastAsia="標楷體" w:hAnsi="標楷體" w:hint="eastAsia"/>
          <w:sz w:val="28"/>
          <w:szCs w:val="28"/>
        </w:rPr>
        <w:t>因外國企業股票</w:t>
      </w:r>
      <w:r w:rsidR="004E05FA" w:rsidRPr="00D342C4">
        <w:rPr>
          <w:rFonts w:ascii="標楷體" w:eastAsia="標楷體" w:hAnsi="標楷體" w:hint="eastAsia"/>
          <w:sz w:val="28"/>
          <w:szCs w:val="28"/>
        </w:rPr>
        <w:t>每股面額</w:t>
      </w:r>
      <w:r w:rsidRPr="00D342C4">
        <w:rPr>
          <w:rFonts w:ascii="標楷體" w:eastAsia="標楷體" w:hAnsi="標楷體" w:hint="eastAsia"/>
          <w:sz w:val="28"/>
          <w:szCs w:val="28"/>
        </w:rPr>
        <w:t>非十元者，其每股盈餘與其他每股面額十元之上</w:t>
      </w:r>
      <w:r w:rsidR="007968A8">
        <w:rPr>
          <w:rFonts w:ascii="標楷體" w:eastAsia="標楷體" w:hAnsi="標楷體" w:hint="eastAsia"/>
          <w:sz w:val="28"/>
          <w:szCs w:val="28"/>
        </w:rPr>
        <w:t>市、上櫃</w:t>
      </w:r>
      <w:proofErr w:type="gramStart"/>
      <w:r w:rsidR="007968A8">
        <w:rPr>
          <w:rFonts w:ascii="標楷體" w:eastAsia="標楷體" w:hAnsi="標楷體" w:hint="eastAsia"/>
          <w:sz w:val="28"/>
          <w:szCs w:val="28"/>
        </w:rPr>
        <w:t>及</w:t>
      </w:r>
      <w:r w:rsidRPr="00D342C4">
        <w:rPr>
          <w:rFonts w:ascii="標楷體" w:eastAsia="標楷體" w:hAnsi="標楷體" w:hint="eastAsia"/>
          <w:sz w:val="28"/>
          <w:szCs w:val="28"/>
        </w:rPr>
        <w:t>興</w:t>
      </w:r>
      <w:r w:rsidR="007968A8">
        <w:rPr>
          <w:rFonts w:ascii="標楷體" w:eastAsia="標楷體" w:hAnsi="標楷體" w:hint="eastAsia"/>
          <w:sz w:val="28"/>
          <w:szCs w:val="28"/>
        </w:rPr>
        <w:t>櫃</w:t>
      </w:r>
      <w:r w:rsidRPr="00D342C4">
        <w:rPr>
          <w:rFonts w:ascii="標楷體" w:eastAsia="標楷體" w:hAnsi="標楷體" w:hint="eastAsia"/>
          <w:sz w:val="28"/>
          <w:szCs w:val="28"/>
        </w:rPr>
        <w:t>公司</w:t>
      </w:r>
      <w:proofErr w:type="gramEnd"/>
      <w:r w:rsidRPr="00D342C4">
        <w:rPr>
          <w:rFonts w:ascii="標楷體" w:eastAsia="標楷體" w:hAnsi="標楷體" w:hint="eastAsia"/>
          <w:sz w:val="28"/>
          <w:szCs w:val="28"/>
        </w:rPr>
        <w:t>相較可能不具比較性，建議投資人應參考股價淨值比、股東權益報酬率、</w:t>
      </w:r>
      <w:r>
        <w:rPr>
          <w:rFonts w:ascii="標楷體" w:eastAsia="標楷體" w:hAnsi="標楷體" w:hint="eastAsia"/>
          <w:sz w:val="28"/>
          <w:szCs w:val="28"/>
        </w:rPr>
        <w:t>股利</w:t>
      </w:r>
      <w:proofErr w:type="gramStart"/>
      <w:r>
        <w:rPr>
          <w:rFonts w:ascii="標楷體" w:eastAsia="標楷體" w:hAnsi="標楷體" w:hint="eastAsia"/>
          <w:sz w:val="28"/>
          <w:szCs w:val="28"/>
        </w:rPr>
        <w:t>殖</w:t>
      </w:r>
      <w:proofErr w:type="gramEnd"/>
      <w:r>
        <w:rPr>
          <w:rFonts w:ascii="標楷體" w:eastAsia="標楷體" w:hAnsi="標楷體" w:hint="eastAsia"/>
          <w:sz w:val="28"/>
          <w:szCs w:val="28"/>
        </w:rPr>
        <w:t>利率、</w:t>
      </w:r>
      <w:r w:rsidRPr="00D342C4">
        <w:rPr>
          <w:rFonts w:ascii="標楷體" w:eastAsia="標楷體" w:hAnsi="標楷體" w:hint="eastAsia"/>
          <w:sz w:val="28"/>
          <w:szCs w:val="28"/>
        </w:rPr>
        <w:t>本益比等其他財務分析指標代替之。</w:t>
      </w:r>
    </w:p>
    <w:p w:rsidR="007955E6" w:rsidRPr="00D342C4" w:rsidRDefault="007955E6" w:rsidP="00B100D6">
      <w:pPr>
        <w:ind w:left="567"/>
        <w:jc w:val="both"/>
        <w:rPr>
          <w:rFonts w:ascii="標楷體" w:eastAsia="標楷體" w:hAnsi="標楷體"/>
          <w:sz w:val="28"/>
          <w:szCs w:val="28"/>
        </w:rPr>
      </w:pPr>
      <w:r>
        <w:rPr>
          <w:rFonts w:ascii="標楷體" w:eastAsia="標楷體" w:hAnsi="標楷體" w:hint="eastAsia"/>
          <w:sz w:val="28"/>
          <w:szCs w:val="28"/>
        </w:rPr>
        <w:t xml:space="preserve">    至於</w:t>
      </w:r>
      <w:r w:rsidRPr="00B355B1">
        <w:rPr>
          <w:rFonts w:eastAsia="標楷體" w:hAnsi="標楷體" w:hint="eastAsia"/>
          <w:kern w:val="0"/>
          <w:sz w:val="28"/>
          <w:szCs w:val="28"/>
        </w:rPr>
        <w:t>現行常用交易面技術分析指標約計有</w:t>
      </w:r>
      <w:r w:rsidRPr="00B355B1">
        <w:rPr>
          <w:rFonts w:eastAsia="標楷體" w:hAnsi="標楷體" w:hint="eastAsia"/>
          <w:kern w:val="0"/>
          <w:sz w:val="28"/>
          <w:szCs w:val="28"/>
        </w:rPr>
        <w:t>60</w:t>
      </w:r>
      <w:r w:rsidRPr="00B355B1">
        <w:rPr>
          <w:rFonts w:eastAsia="標楷體" w:hAnsi="標楷體" w:hint="eastAsia"/>
          <w:kern w:val="0"/>
          <w:sz w:val="28"/>
          <w:szCs w:val="28"/>
        </w:rPr>
        <w:t>個，計算該等指標所使用股票交易資料多以股價、買賣數量、成交量為主，</w:t>
      </w:r>
      <w:r>
        <w:rPr>
          <w:rFonts w:eastAsia="標楷體" w:hAnsi="標楷體" w:hint="eastAsia"/>
          <w:kern w:val="0"/>
          <w:sz w:val="28"/>
          <w:szCs w:val="28"/>
        </w:rPr>
        <w:t>並未</w:t>
      </w:r>
      <w:r w:rsidRPr="00B355B1">
        <w:rPr>
          <w:rFonts w:eastAsia="標楷體" w:hAnsi="標楷體" w:hint="eastAsia"/>
          <w:kern w:val="0"/>
          <w:sz w:val="28"/>
          <w:szCs w:val="28"/>
        </w:rPr>
        <w:t>使用股票面額</w:t>
      </w:r>
      <w:r>
        <w:rPr>
          <w:rFonts w:eastAsia="標楷體" w:hAnsi="標楷體" w:hint="eastAsia"/>
          <w:kern w:val="0"/>
          <w:sz w:val="28"/>
          <w:szCs w:val="28"/>
        </w:rPr>
        <w:t>資料，故投資人使用該等技術分析</w:t>
      </w:r>
      <w:proofErr w:type="gramStart"/>
      <w:r>
        <w:rPr>
          <w:rFonts w:eastAsia="標楷體" w:hAnsi="標楷體" w:hint="eastAsia"/>
          <w:kern w:val="0"/>
          <w:sz w:val="28"/>
          <w:szCs w:val="28"/>
        </w:rPr>
        <w:t>指標均不受</w:t>
      </w:r>
      <w:proofErr w:type="gramEnd"/>
      <w:r>
        <w:rPr>
          <w:rFonts w:eastAsia="標楷體" w:hAnsi="標楷體" w:hint="eastAsia"/>
          <w:kern w:val="0"/>
          <w:sz w:val="28"/>
          <w:szCs w:val="28"/>
        </w:rPr>
        <w:t>影響</w:t>
      </w:r>
      <w:r w:rsidRPr="00B355B1">
        <w:rPr>
          <w:rFonts w:eastAsia="標楷體" w:hAnsi="標楷體" w:hint="eastAsia"/>
          <w:kern w:val="0"/>
          <w:sz w:val="28"/>
          <w:szCs w:val="28"/>
        </w:rPr>
        <w:t>。</w:t>
      </w:r>
    </w:p>
    <w:p w:rsidR="003979E7" w:rsidRPr="00A9487A" w:rsidRDefault="003979E7" w:rsidP="00B100D6">
      <w:pPr>
        <w:pStyle w:val="a3"/>
        <w:ind w:leftChars="0" w:left="0"/>
        <w:rPr>
          <w:rFonts w:ascii="標楷體" w:eastAsia="標楷體" w:hAnsi="標楷體"/>
          <w:sz w:val="28"/>
          <w:szCs w:val="28"/>
        </w:rPr>
      </w:pPr>
    </w:p>
    <w:p w:rsidR="00A87A84" w:rsidRPr="00A87A84" w:rsidRDefault="00F04508" w:rsidP="00F04508">
      <w:pPr>
        <w:pStyle w:val="a3"/>
        <w:ind w:leftChars="0" w:left="0"/>
        <w:jc w:val="center"/>
        <w:rPr>
          <w:rFonts w:ascii="標楷體" w:eastAsia="標楷體" w:hAnsi="標楷體"/>
          <w:b/>
          <w:sz w:val="28"/>
          <w:szCs w:val="28"/>
        </w:rPr>
      </w:pPr>
      <w:r w:rsidRPr="00E42B2B">
        <w:rPr>
          <w:rFonts w:ascii="標楷體" w:eastAsia="標楷體" w:hAnsi="標楷體" w:hint="eastAsia"/>
          <w:b/>
          <w:sz w:val="28"/>
          <w:szCs w:val="28"/>
        </w:rPr>
        <w:t>五、</w:t>
      </w:r>
      <w:r w:rsidR="00A87A84" w:rsidRPr="00E42B2B">
        <w:rPr>
          <w:rFonts w:ascii="標楷體" w:eastAsia="標楷體" w:hAnsi="標楷體" w:hint="eastAsia"/>
          <w:b/>
          <w:sz w:val="28"/>
          <w:szCs w:val="28"/>
        </w:rPr>
        <w:t>投資人查詢相關資訊管道</w:t>
      </w:r>
    </w:p>
    <w:p w:rsidR="00E82CAC" w:rsidRPr="00C303D5" w:rsidRDefault="00E82CAC" w:rsidP="00B100D6">
      <w:pPr>
        <w:pStyle w:val="ab"/>
        <w:spacing w:before="180" w:after="180"/>
        <w:ind w:left="0" w:firstLine="0"/>
        <w:rPr>
          <w:rFonts w:ascii="標楷體"/>
          <w:spacing w:val="26"/>
          <w:sz w:val="28"/>
        </w:rPr>
      </w:pPr>
      <w:r>
        <w:rPr>
          <w:rFonts w:ascii="標楷體" w:hint="eastAsia"/>
          <w:color w:val="0000FF"/>
          <w:spacing w:val="26"/>
          <w:sz w:val="28"/>
        </w:rPr>
        <w:t xml:space="preserve">    </w:t>
      </w:r>
      <w:r w:rsidRPr="00C303D5">
        <w:rPr>
          <w:rFonts w:ascii="標楷體" w:hint="eastAsia"/>
          <w:spacing w:val="26"/>
          <w:sz w:val="28"/>
        </w:rPr>
        <w:t>為便於投資人辨識，目前於「公開資訊觀測站」及「MIS基本市</w:t>
      </w:r>
      <w:proofErr w:type="gramStart"/>
      <w:r w:rsidRPr="00C303D5">
        <w:rPr>
          <w:rFonts w:ascii="標楷體" w:hint="eastAsia"/>
          <w:spacing w:val="26"/>
          <w:sz w:val="28"/>
        </w:rPr>
        <w:t>況</w:t>
      </w:r>
      <w:proofErr w:type="gramEnd"/>
      <w:r w:rsidRPr="00C303D5">
        <w:rPr>
          <w:rFonts w:ascii="標楷體" w:hint="eastAsia"/>
          <w:spacing w:val="26"/>
          <w:sz w:val="28"/>
        </w:rPr>
        <w:t>報導」等網站已加以附註說明，</w:t>
      </w:r>
      <w:proofErr w:type="gramStart"/>
      <w:r w:rsidRPr="00C303D5">
        <w:rPr>
          <w:rFonts w:ascii="標楷體" w:hint="eastAsia"/>
          <w:spacing w:val="26"/>
          <w:sz w:val="28"/>
        </w:rPr>
        <w:t>投醒投資人</w:t>
      </w:r>
      <w:proofErr w:type="gramEnd"/>
      <w:r w:rsidRPr="00C303D5">
        <w:rPr>
          <w:rFonts w:ascii="標楷體" w:hint="eastAsia"/>
          <w:spacing w:val="26"/>
          <w:sz w:val="28"/>
        </w:rPr>
        <w:t>如何辨別外國企業股票是否為無面額股票或每股面額非十元。</w:t>
      </w:r>
    </w:p>
    <w:p w:rsidR="00AB503C" w:rsidRPr="00C303D5" w:rsidRDefault="009C6C7D" w:rsidP="00B100D6">
      <w:pPr>
        <w:pStyle w:val="ab"/>
        <w:numPr>
          <w:ilvl w:val="0"/>
          <w:numId w:val="6"/>
        </w:numPr>
        <w:spacing w:before="180" w:after="180"/>
        <w:ind w:left="851" w:hanging="851"/>
        <w:rPr>
          <w:rFonts w:ascii="標楷體"/>
          <w:spacing w:val="26"/>
          <w:sz w:val="28"/>
        </w:rPr>
      </w:pPr>
      <w:r w:rsidRPr="00C303D5">
        <w:rPr>
          <w:rFonts w:ascii="標楷體" w:hint="eastAsia"/>
          <w:spacing w:val="26"/>
          <w:sz w:val="28"/>
        </w:rPr>
        <w:t>公開資訊觀測站</w:t>
      </w:r>
    </w:p>
    <w:p w:rsidR="00C303D5" w:rsidRDefault="00C303D5" w:rsidP="00B100D6">
      <w:pPr>
        <w:pStyle w:val="ab"/>
        <w:spacing w:before="180" w:after="180"/>
        <w:ind w:left="284" w:firstLine="0"/>
        <w:rPr>
          <w:rFonts w:ascii="標楷體"/>
          <w:color w:val="0000FF"/>
          <w:spacing w:val="26"/>
          <w:sz w:val="28"/>
        </w:rPr>
      </w:pPr>
      <w:r>
        <w:rPr>
          <w:rFonts w:ascii="標楷體" w:hint="eastAsia"/>
          <w:spacing w:val="26"/>
          <w:sz w:val="28"/>
        </w:rPr>
        <w:t xml:space="preserve">    </w:t>
      </w:r>
      <w:r w:rsidRPr="00C303D5">
        <w:rPr>
          <w:rFonts w:ascii="標楷體" w:hint="eastAsia"/>
          <w:spacing w:val="26"/>
          <w:sz w:val="28"/>
        </w:rPr>
        <w:t>投資人</w:t>
      </w:r>
      <w:r w:rsidRPr="00E40528">
        <w:rPr>
          <w:rFonts w:ascii="標楷體" w:hAnsi="標楷體" w:hint="eastAsia"/>
          <w:bCs/>
          <w:sz w:val="28"/>
          <w:szCs w:val="32"/>
        </w:rPr>
        <w:t>可利用</w:t>
      </w:r>
      <w:r w:rsidRPr="005650DD">
        <w:rPr>
          <w:rFonts w:ascii="標楷體" w:hAnsi="標楷體" w:hint="eastAsia"/>
          <w:bCs/>
          <w:color w:val="000000"/>
          <w:sz w:val="28"/>
          <w:szCs w:val="32"/>
        </w:rPr>
        <w:t>公開資訊觀測站</w:t>
      </w:r>
      <w:r w:rsidRPr="00E40528">
        <w:rPr>
          <w:rFonts w:ascii="標楷體" w:hAnsi="標楷體" w:hint="eastAsia"/>
          <w:bCs/>
          <w:sz w:val="28"/>
          <w:szCs w:val="32"/>
        </w:rPr>
        <w:t>查詢外國</w:t>
      </w:r>
      <w:r>
        <w:rPr>
          <w:rFonts w:ascii="標楷體" w:hAnsi="標楷體" w:hint="eastAsia"/>
          <w:bCs/>
          <w:sz w:val="28"/>
          <w:szCs w:val="32"/>
        </w:rPr>
        <w:t>企業</w:t>
      </w:r>
      <w:r w:rsidRPr="00E40528">
        <w:rPr>
          <w:rFonts w:ascii="標楷體" w:hAnsi="標楷體" w:hint="eastAsia"/>
          <w:bCs/>
          <w:sz w:val="28"/>
          <w:szCs w:val="32"/>
        </w:rPr>
        <w:t>之公司基本資料及財務業務相關資訊，除輸入公司代號或證券簡稱，即可查詢外，另可於「各項專區」下之「外國企業</w:t>
      </w:r>
      <w:r>
        <w:rPr>
          <w:rFonts w:ascii="標楷體" w:hAnsi="標楷體" w:hint="eastAsia"/>
          <w:bCs/>
          <w:sz w:val="28"/>
          <w:szCs w:val="32"/>
        </w:rPr>
        <w:t>第一上市櫃</w:t>
      </w:r>
      <w:r w:rsidRPr="00E40528">
        <w:rPr>
          <w:rFonts w:ascii="標楷體" w:hAnsi="標楷體" w:hint="eastAsia"/>
          <w:bCs/>
          <w:sz w:val="28"/>
          <w:szCs w:val="32"/>
        </w:rPr>
        <w:t>專區」更簡便快速查詢，查詢網址為</w:t>
      </w:r>
      <w:r w:rsidRPr="00E40528">
        <w:rPr>
          <w:rFonts w:ascii="標楷體" w:hAnsi="標楷體"/>
          <w:bCs/>
          <w:color w:val="0000FF"/>
          <w:sz w:val="28"/>
          <w:szCs w:val="32"/>
          <w:u w:val="single"/>
        </w:rPr>
        <w:t>newmops.t</w:t>
      </w:r>
      <w:r>
        <w:rPr>
          <w:rFonts w:ascii="標楷體" w:hAnsi="標楷體" w:hint="eastAsia"/>
          <w:bCs/>
          <w:color w:val="0000FF"/>
          <w:sz w:val="28"/>
          <w:szCs w:val="32"/>
          <w:u w:val="single"/>
        </w:rPr>
        <w:t>w</w:t>
      </w:r>
      <w:r w:rsidRPr="00E40528">
        <w:rPr>
          <w:rFonts w:ascii="標楷體" w:hAnsi="標楷體"/>
          <w:bCs/>
          <w:color w:val="0000FF"/>
          <w:sz w:val="28"/>
          <w:szCs w:val="32"/>
          <w:u w:val="single"/>
        </w:rPr>
        <w:t>se.com.tw</w:t>
      </w:r>
      <w:r w:rsidRPr="00E40528">
        <w:rPr>
          <w:rFonts w:ascii="標楷體" w:hAnsi="標楷體" w:hint="eastAsia"/>
          <w:bCs/>
          <w:sz w:val="28"/>
          <w:szCs w:val="32"/>
        </w:rPr>
        <w:t>。</w:t>
      </w:r>
      <w:r w:rsidR="001B4432">
        <w:rPr>
          <w:rFonts w:ascii="標楷體" w:hAnsi="標楷體" w:hint="eastAsia"/>
          <w:bCs/>
          <w:sz w:val="28"/>
          <w:szCs w:val="32"/>
        </w:rPr>
        <w:t>投資人查詢</w:t>
      </w:r>
      <w:r w:rsidR="00842054" w:rsidRPr="00E40528">
        <w:rPr>
          <w:rFonts w:ascii="標楷體" w:hAnsi="標楷體" w:hint="eastAsia"/>
          <w:bCs/>
          <w:sz w:val="28"/>
          <w:szCs w:val="32"/>
        </w:rPr>
        <w:t>「外國企業</w:t>
      </w:r>
      <w:r w:rsidR="00842054">
        <w:rPr>
          <w:rFonts w:ascii="標楷體" w:hAnsi="標楷體" w:hint="eastAsia"/>
          <w:bCs/>
          <w:sz w:val="28"/>
          <w:szCs w:val="32"/>
        </w:rPr>
        <w:t>第一上市櫃</w:t>
      </w:r>
      <w:r w:rsidR="00842054" w:rsidRPr="00E40528">
        <w:rPr>
          <w:rFonts w:ascii="標楷體" w:hAnsi="標楷體" w:hint="eastAsia"/>
          <w:bCs/>
          <w:sz w:val="28"/>
          <w:szCs w:val="32"/>
        </w:rPr>
        <w:t>專區」</w:t>
      </w:r>
      <w:r w:rsidR="001B4432">
        <w:rPr>
          <w:rFonts w:ascii="標楷體" w:hAnsi="標楷體" w:hint="eastAsia"/>
          <w:bCs/>
          <w:sz w:val="28"/>
          <w:szCs w:val="32"/>
        </w:rPr>
        <w:t>相關資訊時，將可藉由</w:t>
      </w:r>
      <w:r w:rsidR="00842054">
        <w:rPr>
          <w:rFonts w:ascii="標楷體" w:hAnsi="標楷體" w:hint="eastAsia"/>
          <w:bCs/>
          <w:sz w:val="28"/>
          <w:szCs w:val="32"/>
        </w:rPr>
        <w:t>外國企業之證券簡稱前二碼辨識其是否為每股面額十元。</w:t>
      </w:r>
    </w:p>
    <w:p w:rsidR="00F04508" w:rsidRDefault="00F04508" w:rsidP="00E82CAC">
      <w:pPr>
        <w:pStyle w:val="ab"/>
        <w:spacing w:before="180" w:after="180"/>
        <w:ind w:left="720" w:firstLine="0"/>
        <w:rPr>
          <w:rFonts w:ascii="標楷體" w:hAnsi="標楷體"/>
          <w:bCs/>
          <w:sz w:val="28"/>
          <w:szCs w:val="32"/>
        </w:rPr>
      </w:pPr>
    </w:p>
    <w:p w:rsidR="00083CEF" w:rsidRDefault="00083CEF" w:rsidP="00E82CAC">
      <w:pPr>
        <w:pStyle w:val="ab"/>
        <w:spacing w:before="180" w:after="180"/>
        <w:ind w:left="720" w:firstLine="0"/>
        <w:rPr>
          <w:rFonts w:ascii="標楷體" w:hAnsi="標楷體"/>
          <w:bCs/>
          <w:sz w:val="28"/>
          <w:szCs w:val="32"/>
        </w:rPr>
      </w:pPr>
      <w:r>
        <w:rPr>
          <w:noProof/>
        </w:rPr>
        <w:lastRenderedPageBreak/>
        <w:drawing>
          <wp:anchor distT="0" distB="0" distL="114300" distR="114300" simplePos="0" relativeHeight="251658240" behindDoc="0" locked="0" layoutInCell="1" allowOverlap="1">
            <wp:simplePos x="0" y="0"/>
            <wp:positionH relativeFrom="column">
              <wp:posOffset>-663575</wp:posOffset>
            </wp:positionH>
            <wp:positionV relativeFrom="paragraph">
              <wp:posOffset>304165</wp:posOffset>
            </wp:positionV>
            <wp:extent cx="6692265" cy="5305425"/>
            <wp:effectExtent l="0" t="0" r="0" b="952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2265" cy="5305425"/>
                    </a:xfrm>
                    <a:prstGeom prst="rect">
                      <a:avLst/>
                    </a:prstGeom>
                  </pic:spPr>
                </pic:pic>
              </a:graphicData>
            </a:graphic>
          </wp:anchor>
        </w:drawing>
      </w:r>
    </w:p>
    <w:p w:rsidR="00083CEF" w:rsidRDefault="00083CEF"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5C6C59" w:rsidRDefault="005C6C59" w:rsidP="00E82CAC">
      <w:pPr>
        <w:pStyle w:val="ab"/>
        <w:spacing w:before="180" w:after="180"/>
        <w:ind w:left="720" w:firstLine="0"/>
        <w:rPr>
          <w:rFonts w:ascii="標楷體" w:hAnsi="標楷體"/>
          <w:bCs/>
          <w:sz w:val="28"/>
          <w:szCs w:val="32"/>
        </w:rPr>
      </w:pPr>
    </w:p>
    <w:p w:rsidR="005C6C59" w:rsidRDefault="005C6C59" w:rsidP="00E82CAC">
      <w:pPr>
        <w:pStyle w:val="ab"/>
        <w:spacing w:before="180" w:after="180"/>
        <w:ind w:left="720" w:firstLine="0"/>
        <w:rPr>
          <w:rFonts w:ascii="標楷體" w:hAnsi="標楷體"/>
          <w:bCs/>
          <w:sz w:val="28"/>
          <w:szCs w:val="32"/>
        </w:rPr>
      </w:pPr>
    </w:p>
    <w:p w:rsidR="005C6C59" w:rsidRDefault="005C6C59"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031E1" w:rsidP="00E82CAC">
      <w:pPr>
        <w:pStyle w:val="ab"/>
        <w:spacing w:before="180" w:after="180"/>
        <w:ind w:left="720" w:firstLine="0"/>
        <w:rPr>
          <w:rFonts w:ascii="標楷體" w:hAnsi="標楷體"/>
          <w:bCs/>
          <w:sz w:val="28"/>
          <w:szCs w:val="32"/>
        </w:rPr>
      </w:pPr>
      <w:r>
        <w:rPr>
          <w:rFonts w:ascii="標楷體" w:hAnsi="標楷體"/>
          <w:bCs/>
          <w:noProof/>
          <w:sz w:val="28"/>
          <w:szCs w:val="32"/>
        </w:rPr>
        <mc:AlternateContent>
          <mc:Choice Requires="wps">
            <w:drawing>
              <wp:anchor distT="0" distB="0" distL="114300" distR="114300" simplePos="0" relativeHeight="251661312" behindDoc="0" locked="0" layoutInCell="1" allowOverlap="1">
                <wp:simplePos x="0" y="0"/>
                <wp:positionH relativeFrom="column">
                  <wp:posOffset>962025</wp:posOffset>
                </wp:positionH>
                <wp:positionV relativeFrom="paragraph">
                  <wp:posOffset>346075</wp:posOffset>
                </wp:positionV>
                <wp:extent cx="4076700" cy="466725"/>
                <wp:effectExtent l="0" t="0" r="19050" b="2857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6700" cy="466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margin-left:75.75pt;margin-top:27.25pt;width:321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" filled="f" strokecolor="red" strokeweight="2pt">
                <v:path arrowok="t"/>
              </v:rect>
            </w:pict>
          </mc:Fallback>
        </mc:AlternateContent>
      </w:r>
    </w:p>
    <w:p w:rsidR="00AB503C" w:rsidRDefault="00AB503C" w:rsidP="00E82CAC">
      <w:pPr>
        <w:pStyle w:val="ab"/>
        <w:spacing w:before="180" w:after="180"/>
        <w:ind w:left="720" w:firstLine="0"/>
        <w:rPr>
          <w:rFonts w:ascii="標楷體" w:hAnsi="標楷體"/>
          <w:bCs/>
          <w:sz w:val="28"/>
          <w:szCs w:val="32"/>
        </w:rPr>
      </w:pPr>
    </w:p>
    <w:p w:rsidR="00AB503C" w:rsidRDefault="00A031E1" w:rsidP="00E82CAC">
      <w:pPr>
        <w:pStyle w:val="ab"/>
        <w:spacing w:before="180" w:after="180"/>
        <w:ind w:left="720" w:firstLine="0"/>
        <w:rPr>
          <w:rFonts w:ascii="標楷體" w:hAnsi="標楷體"/>
          <w:bCs/>
          <w:sz w:val="28"/>
          <w:szCs w:val="32"/>
        </w:rPr>
      </w:pPr>
      <w:r>
        <w:rPr>
          <w:rFonts w:ascii="標楷體" w:hAnsi="標楷體"/>
          <w:bCs/>
          <w:noProof/>
          <w:sz w:val="28"/>
          <w:szCs w:val="32"/>
        </w:rPr>
        <mc:AlternateContent>
          <mc:Choice Requires="wps">
            <w:drawing>
              <wp:anchor distT="0" distB="0" distL="114300" distR="114300" simplePos="0" relativeHeight="251660288" behindDoc="1" locked="0" layoutInCell="1" allowOverlap="1">
                <wp:simplePos x="0" y="0"/>
                <wp:positionH relativeFrom="column">
                  <wp:posOffset>1085850</wp:posOffset>
                </wp:positionH>
                <wp:positionV relativeFrom="paragraph">
                  <wp:posOffset>263525</wp:posOffset>
                </wp:positionV>
                <wp:extent cx="4124325" cy="523875"/>
                <wp:effectExtent l="0" t="0" r="2857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 o:spid="_x0000_s1026" style="position:absolute;margin-left:85.5pt;margin-top:20.75pt;width:324.7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" fillcolor="#4f81bd [3204]" strokecolor="#243f60 [1604]" strokeweight="2pt">
                <v:path arrowok="t"/>
              </v:rect>
            </w:pict>
          </mc:Fallback>
        </mc:AlternateContent>
      </w:r>
      <w:r>
        <w:rPr>
          <w:rFonts w:ascii="標楷體" w:hAnsi="標楷體"/>
          <w:bCs/>
          <w:noProof/>
          <w:sz w:val="28"/>
          <w:szCs w:val="32"/>
        </w:rPr>
        <mc:AlternateContent>
          <mc:Choice Requires="wps">
            <w:drawing>
              <wp:anchor distT="0" distB="0" distL="114300" distR="114300" simplePos="0" relativeHeight="251659264" behindDoc="1" locked="0" layoutInCell="1" allowOverlap="1">
                <wp:simplePos x="0" y="0"/>
                <wp:positionH relativeFrom="column">
                  <wp:posOffset>1133475</wp:posOffset>
                </wp:positionH>
                <wp:positionV relativeFrom="paragraph">
                  <wp:posOffset>320675</wp:posOffset>
                </wp:positionV>
                <wp:extent cx="4010025" cy="419100"/>
                <wp:effectExtent l="19050" t="19050" r="28575"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419100"/>
                        </a:xfrm>
                        <a:prstGeom prst="rect">
                          <a:avLst/>
                        </a:prstGeom>
                        <a:ln w="38100" cmpd="sng">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margin-left:89.25pt;margin-top:25.25pt;width:315.7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" fillcolor="#4f81bd [3204]" strokecolor="red" strokeweight="3pt">
                <v:path arrowok="t"/>
              </v:rect>
            </w:pict>
          </mc:Fallback>
        </mc:AlternateContent>
      </w:r>
    </w:p>
    <w:p w:rsidR="00AB503C" w:rsidRDefault="00AB503C" w:rsidP="00E82CAC">
      <w:pPr>
        <w:pStyle w:val="ab"/>
        <w:spacing w:before="180" w:after="180"/>
        <w:ind w:left="720" w:firstLine="0"/>
        <w:rPr>
          <w:rFonts w:ascii="標楷體" w:hAnsi="標楷體"/>
          <w:bCs/>
          <w:sz w:val="28"/>
          <w:szCs w:val="32"/>
        </w:rPr>
      </w:pPr>
    </w:p>
    <w:p w:rsidR="00083CEF" w:rsidRDefault="00083CEF" w:rsidP="00C303D5">
      <w:pPr>
        <w:pStyle w:val="ab"/>
        <w:numPr>
          <w:ilvl w:val="0"/>
          <w:numId w:val="6"/>
        </w:numPr>
        <w:spacing w:before="180" w:after="180"/>
        <w:rPr>
          <w:rFonts w:ascii="標楷體"/>
          <w:spacing w:val="26"/>
          <w:sz w:val="28"/>
        </w:rPr>
        <w:sectPr w:rsidR="00083CEF" w:rsidSect="00156824">
          <w:footerReference w:type="default" r:id="rId10"/>
          <w:pgSz w:w="11906" w:h="16838"/>
          <w:pgMar w:top="1440" w:right="1800" w:bottom="1440" w:left="1800" w:header="851" w:footer="992" w:gutter="0"/>
          <w:cols w:space="425"/>
          <w:docGrid w:type="lines" w:linePitch="360"/>
        </w:sectPr>
      </w:pPr>
    </w:p>
    <w:p w:rsidR="00AB503C" w:rsidRPr="00842054" w:rsidRDefault="009C6C7D" w:rsidP="00B100D6">
      <w:pPr>
        <w:pStyle w:val="ab"/>
        <w:numPr>
          <w:ilvl w:val="0"/>
          <w:numId w:val="6"/>
        </w:numPr>
        <w:spacing w:before="180" w:after="180"/>
        <w:ind w:left="851" w:hanging="851"/>
        <w:rPr>
          <w:rFonts w:ascii="標楷體" w:hAnsi="標楷體"/>
          <w:bCs/>
          <w:sz w:val="28"/>
          <w:szCs w:val="32"/>
        </w:rPr>
      </w:pPr>
      <w:r w:rsidRPr="00C303D5">
        <w:rPr>
          <w:rFonts w:ascii="標楷體" w:hint="eastAsia"/>
          <w:spacing w:val="26"/>
          <w:sz w:val="28"/>
        </w:rPr>
        <w:lastRenderedPageBreak/>
        <w:t>MIS基本市</w:t>
      </w:r>
      <w:proofErr w:type="gramStart"/>
      <w:r w:rsidRPr="00C303D5">
        <w:rPr>
          <w:rFonts w:ascii="標楷體" w:hint="eastAsia"/>
          <w:spacing w:val="26"/>
          <w:sz w:val="28"/>
        </w:rPr>
        <w:t>況</w:t>
      </w:r>
      <w:proofErr w:type="gramEnd"/>
      <w:r w:rsidRPr="00C303D5">
        <w:rPr>
          <w:rFonts w:ascii="標楷體" w:hint="eastAsia"/>
          <w:spacing w:val="26"/>
          <w:sz w:val="28"/>
        </w:rPr>
        <w:t>報導</w:t>
      </w:r>
    </w:p>
    <w:p w:rsidR="00842054" w:rsidRDefault="00842054" w:rsidP="00B100D6">
      <w:pPr>
        <w:pStyle w:val="ab"/>
        <w:spacing w:before="180" w:after="180"/>
        <w:ind w:left="284" w:firstLine="0"/>
        <w:rPr>
          <w:rFonts w:ascii="標楷體" w:hAnsi="標楷體"/>
          <w:bCs/>
          <w:sz w:val="28"/>
          <w:szCs w:val="32"/>
        </w:rPr>
      </w:pPr>
      <w:r>
        <w:rPr>
          <w:rFonts w:ascii="標楷體" w:hint="eastAsia"/>
          <w:spacing w:val="26"/>
          <w:sz w:val="28"/>
        </w:rPr>
        <w:t xml:space="preserve">    </w:t>
      </w:r>
      <w:r w:rsidRPr="00842054">
        <w:rPr>
          <w:rFonts w:ascii="標楷體" w:hint="eastAsia"/>
          <w:spacing w:val="26"/>
          <w:sz w:val="28"/>
        </w:rPr>
        <w:t>投資人</w:t>
      </w:r>
      <w:r w:rsidRPr="00E82CAC">
        <w:rPr>
          <w:rFonts w:ascii="標楷體" w:hAnsi="標楷體" w:hint="eastAsia"/>
          <w:bCs/>
          <w:color w:val="000000"/>
          <w:sz w:val="28"/>
          <w:szCs w:val="32"/>
        </w:rPr>
        <w:t>亦可利用MIS基本市</w:t>
      </w:r>
      <w:proofErr w:type="gramStart"/>
      <w:r w:rsidRPr="00E82CAC">
        <w:rPr>
          <w:rFonts w:ascii="標楷體" w:hAnsi="標楷體" w:hint="eastAsia"/>
          <w:bCs/>
          <w:color w:val="000000"/>
          <w:sz w:val="28"/>
          <w:szCs w:val="32"/>
        </w:rPr>
        <w:t>況</w:t>
      </w:r>
      <w:proofErr w:type="gramEnd"/>
      <w:r w:rsidRPr="00E82CAC">
        <w:rPr>
          <w:rFonts w:ascii="標楷體" w:hAnsi="標楷體" w:hint="eastAsia"/>
          <w:bCs/>
          <w:color w:val="000000"/>
          <w:sz w:val="28"/>
          <w:szCs w:val="32"/>
        </w:rPr>
        <w:t>報導網站</w:t>
      </w:r>
      <w:r w:rsidRPr="00E40528">
        <w:rPr>
          <w:rFonts w:ascii="標楷體" w:hAnsi="標楷體" w:hint="eastAsia"/>
          <w:bCs/>
          <w:sz w:val="28"/>
          <w:szCs w:val="32"/>
        </w:rPr>
        <w:t>「各項專區」下之「</w:t>
      </w:r>
      <w:r>
        <w:rPr>
          <w:rFonts w:ascii="標楷體" w:hAnsi="標楷體" w:hint="eastAsia"/>
          <w:bCs/>
          <w:sz w:val="28"/>
          <w:szCs w:val="32"/>
        </w:rPr>
        <w:t>海外</w:t>
      </w:r>
      <w:r w:rsidRPr="00E40528">
        <w:rPr>
          <w:rFonts w:ascii="標楷體" w:hAnsi="標楷體" w:hint="eastAsia"/>
          <w:bCs/>
          <w:sz w:val="28"/>
          <w:szCs w:val="32"/>
        </w:rPr>
        <w:t>企業」</w:t>
      </w:r>
      <w:r w:rsidRPr="00E82CAC">
        <w:rPr>
          <w:rFonts w:ascii="標楷體" w:hAnsi="標楷體" w:hint="eastAsia"/>
          <w:bCs/>
          <w:color w:val="000000"/>
          <w:sz w:val="28"/>
          <w:szCs w:val="32"/>
        </w:rPr>
        <w:t>，查詢在</w:t>
      </w:r>
      <w:proofErr w:type="gramStart"/>
      <w:r w:rsidRPr="00E82CAC">
        <w:rPr>
          <w:rFonts w:ascii="標楷體" w:hAnsi="標楷體" w:hint="eastAsia"/>
          <w:bCs/>
          <w:color w:val="000000"/>
          <w:sz w:val="28"/>
          <w:szCs w:val="32"/>
        </w:rPr>
        <w:t>臺</w:t>
      </w:r>
      <w:proofErr w:type="gramEnd"/>
      <w:r w:rsidRPr="00E82CAC">
        <w:rPr>
          <w:rFonts w:ascii="標楷體" w:hAnsi="標楷體" w:hint="eastAsia"/>
          <w:bCs/>
          <w:color w:val="000000"/>
          <w:sz w:val="28"/>
          <w:szCs w:val="32"/>
        </w:rPr>
        <w:t>掛牌外國有價證券之當日交易行情揭示資訊</w:t>
      </w:r>
      <w:r w:rsidR="001B4432">
        <w:rPr>
          <w:rFonts w:ascii="標楷體" w:hAnsi="標楷體" w:hint="eastAsia"/>
          <w:bCs/>
          <w:color w:val="000000"/>
          <w:sz w:val="28"/>
          <w:szCs w:val="32"/>
        </w:rPr>
        <w:t>，</w:t>
      </w:r>
      <w:r w:rsidRPr="00E82CAC">
        <w:rPr>
          <w:rFonts w:ascii="標楷體" w:hAnsi="標楷體" w:hint="eastAsia"/>
          <w:bCs/>
          <w:color w:val="000000"/>
          <w:sz w:val="28"/>
          <w:szCs w:val="32"/>
        </w:rPr>
        <w:t>查詢網址為</w:t>
      </w:r>
      <w:r w:rsidRPr="008767D0">
        <w:rPr>
          <w:rFonts w:ascii="標楷體" w:hAnsi="標楷體"/>
          <w:bCs/>
          <w:color w:val="0000FF"/>
          <w:sz w:val="28"/>
          <w:szCs w:val="32"/>
          <w:u w:val="single"/>
        </w:rPr>
        <w:t>mis.twse.com.tw</w:t>
      </w:r>
      <w:r>
        <w:rPr>
          <w:rFonts w:ascii="標楷體" w:hAnsi="標楷體" w:hint="eastAsia"/>
          <w:bCs/>
          <w:sz w:val="28"/>
          <w:szCs w:val="32"/>
        </w:rPr>
        <w:t>。</w:t>
      </w:r>
      <w:r w:rsidR="001B4432">
        <w:rPr>
          <w:rFonts w:ascii="標楷體" w:hAnsi="標楷體" w:hint="eastAsia"/>
          <w:bCs/>
          <w:sz w:val="28"/>
          <w:szCs w:val="32"/>
        </w:rPr>
        <w:t>投資人查詢</w:t>
      </w:r>
      <w:r w:rsidR="001B4432" w:rsidRPr="00E82CAC">
        <w:rPr>
          <w:rFonts w:ascii="標楷體" w:hAnsi="標楷體" w:hint="eastAsia"/>
          <w:bCs/>
          <w:color w:val="000000"/>
          <w:sz w:val="28"/>
          <w:szCs w:val="32"/>
        </w:rPr>
        <w:t>MIS基本市</w:t>
      </w:r>
      <w:proofErr w:type="gramStart"/>
      <w:r w:rsidR="001B4432" w:rsidRPr="00E82CAC">
        <w:rPr>
          <w:rFonts w:ascii="標楷體" w:hAnsi="標楷體" w:hint="eastAsia"/>
          <w:bCs/>
          <w:color w:val="000000"/>
          <w:sz w:val="28"/>
          <w:szCs w:val="32"/>
        </w:rPr>
        <w:t>況</w:t>
      </w:r>
      <w:proofErr w:type="gramEnd"/>
      <w:r w:rsidR="001B4432" w:rsidRPr="00E82CAC">
        <w:rPr>
          <w:rFonts w:ascii="標楷體" w:hAnsi="標楷體" w:hint="eastAsia"/>
          <w:bCs/>
          <w:color w:val="000000"/>
          <w:sz w:val="28"/>
          <w:szCs w:val="32"/>
        </w:rPr>
        <w:t>報導網站</w:t>
      </w:r>
      <w:r w:rsidR="001B4432" w:rsidRPr="00E40528">
        <w:rPr>
          <w:rFonts w:ascii="標楷體" w:hAnsi="標楷體" w:hint="eastAsia"/>
          <w:bCs/>
          <w:sz w:val="28"/>
          <w:szCs w:val="32"/>
        </w:rPr>
        <w:t>「各項專區」下之「</w:t>
      </w:r>
      <w:r w:rsidR="001B4432">
        <w:rPr>
          <w:rFonts w:ascii="標楷體" w:hAnsi="標楷體" w:hint="eastAsia"/>
          <w:bCs/>
          <w:sz w:val="28"/>
          <w:szCs w:val="32"/>
        </w:rPr>
        <w:t>海外</w:t>
      </w:r>
      <w:r w:rsidR="001B4432" w:rsidRPr="00E40528">
        <w:rPr>
          <w:rFonts w:ascii="標楷體" w:hAnsi="標楷體" w:hint="eastAsia"/>
          <w:bCs/>
          <w:sz w:val="28"/>
          <w:szCs w:val="32"/>
        </w:rPr>
        <w:t>企業」</w:t>
      </w:r>
      <w:r w:rsidR="001B4432">
        <w:rPr>
          <w:rFonts w:ascii="標楷體" w:hAnsi="標楷體" w:hint="eastAsia"/>
          <w:bCs/>
          <w:sz w:val="28"/>
          <w:szCs w:val="32"/>
        </w:rPr>
        <w:t>相關資訊時，將可藉由外國企業之證券簡稱前二碼辨識其是否為每股面額十元。</w:t>
      </w:r>
    </w:p>
    <w:p w:rsidR="00AB503C" w:rsidRDefault="00C303D5" w:rsidP="00E82CAC">
      <w:pPr>
        <w:pStyle w:val="ab"/>
        <w:spacing w:before="180" w:after="180"/>
        <w:ind w:left="720" w:firstLine="0"/>
        <w:rPr>
          <w:rFonts w:ascii="標楷體" w:hAnsi="標楷體"/>
          <w:bCs/>
          <w:sz w:val="28"/>
          <w:szCs w:val="32"/>
        </w:rPr>
      </w:pPr>
      <w:r>
        <w:rPr>
          <w:noProof/>
        </w:rPr>
        <w:drawing>
          <wp:anchor distT="0" distB="0" distL="114300" distR="114300" simplePos="0" relativeHeight="251662336" behindDoc="0" locked="0" layoutInCell="1" allowOverlap="1">
            <wp:simplePos x="0" y="0"/>
            <wp:positionH relativeFrom="column">
              <wp:posOffset>-609600</wp:posOffset>
            </wp:positionH>
            <wp:positionV relativeFrom="paragraph">
              <wp:posOffset>215900</wp:posOffset>
            </wp:positionV>
            <wp:extent cx="6629400" cy="5495925"/>
            <wp:effectExtent l="0" t="0" r="0"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0677" cy="5496984"/>
                    </a:xfrm>
                    <a:prstGeom prst="rect">
                      <a:avLst/>
                    </a:prstGeom>
                  </pic:spPr>
                </pic:pic>
              </a:graphicData>
            </a:graphic>
          </wp:anchor>
        </w:drawing>
      </w:r>
    </w:p>
    <w:p w:rsidR="00AB503C" w:rsidRDefault="00AB503C"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B503C" w:rsidP="00E82CAC">
      <w:pPr>
        <w:pStyle w:val="ab"/>
        <w:spacing w:before="180" w:after="180"/>
        <w:ind w:left="720" w:firstLine="0"/>
        <w:rPr>
          <w:rFonts w:ascii="標楷體" w:hAnsi="標楷體"/>
          <w:bCs/>
          <w:sz w:val="28"/>
          <w:szCs w:val="32"/>
        </w:rPr>
      </w:pPr>
    </w:p>
    <w:p w:rsidR="00AB503C" w:rsidRDefault="00A031E1" w:rsidP="00E82CAC">
      <w:pPr>
        <w:pStyle w:val="ab"/>
        <w:spacing w:before="180" w:after="180"/>
        <w:ind w:left="720" w:firstLine="0"/>
        <w:rPr>
          <w:rFonts w:ascii="標楷體" w:hAnsi="標楷體"/>
          <w:bCs/>
          <w:sz w:val="28"/>
          <w:szCs w:val="32"/>
        </w:rPr>
      </w:pPr>
      <w:r>
        <w:rPr>
          <w:rFonts w:ascii="標楷體" w:hAnsi="標楷體"/>
          <w:bCs/>
          <w:noProof/>
          <w:sz w:val="28"/>
          <w:szCs w:val="32"/>
        </w:rPr>
        <mc:AlternateContent>
          <mc:Choice Requires="wps">
            <w:drawing>
              <wp:anchor distT="0" distB="0" distL="114300" distR="114300" simplePos="0" relativeHeight="251663360" behindDoc="0" locked="0" layoutInCell="1" allowOverlap="1">
                <wp:simplePos x="0" y="0"/>
                <wp:positionH relativeFrom="column">
                  <wp:posOffset>-447675</wp:posOffset>
                </wp:positionH>
                <wp:positionV relativeFrom="paragraph">
                  <wp:posOffset>69850</wp:posOffset>
                </wp:positionV>
                <wp:extent cx="3790950" cy="190500"/>
                <wp:effectExtent l="0" t="0" r="19050" b="190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margin-left:-35.25pt;margin-top:5.5pt;width:298.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" filled="f" strokecolor="red" strokeweight="2pt">
                <v:path arrowok="t"/>
              </v:rect>
            </w:pict>
          </mc:Fallback>
        </mc:AlternateContent>
      </w:r>
    </w:p>
    <w:p w:rsidR="00AB503C" w:rsidRDefault="00AB503C" w:rsidP="00E82CAC">
      <w:pPr>
        <w:pStyle w:val="ab"/>
        <w:spacing w:before="180" w:after="180"/>
        <w:ind w:left="720" w:firstLine="0"/>
        <w:rPr>
          <w:rFonts w:ascii="標楷體" w:hAnsi="標楷體"/>
          <w:bCs/>
          <w:sz w:val="28"/>
          <w:szCs w:val="32"/>
        </w:rPr>
      </w:pPr>
    </w:p>
    <w:p w:rsidR="00C303D5" w:rsidRDefault="00C303D5" w:rsidP="00E82CAC">
      <w:pPr>
        <w:pStyle w:val="ab"/>
        <w:spacing w:before="180" w:after="180"/>
        <w:ind w:left="720" w:firstLine="0"/>
        <w:rPr>
          <w:rFonts w:ascii="標楷體" w:hAnsi="標楷體"/>
          <w:bCs/>
          <w:sz w:val="28"/>
          <w:szCs w:val="32"/>
        </w:rPr>
      </w:pPr>
    </w:p>
    <w:p w:rsidR="00C303D5" w:rsidRDefault="00C303D5" w:rsidP="00E82CAC">
      <w:pPr>
        <w:pStyle w:val="ab"/>
        <w:spacing w:before="180" w:after="180"/>
        <w:ind w:left="720" w:firstLine="0"/>
        <w:rPr>
          <w:rFonts w:ascii="標楷體" w:hAnsi="標楷體"/>
          <w:bCs/>
          <w:sz w:val="28"/>
          <w:szCs w:val="32"/>
        </w:rPr>
      </w:pPr>
    </w:p>
    <w:p w:rsidR="00C303D5" w:rsidRDefault="00C303D5" w:rsidP="00E82CAC">
      <w:pPr>
        <w:pStyle w:val="ab"/>
        <w:spacing w:before="180" w:after="180"/>
        <w:ind w:left="720" w:firstLine="0"/>
        <w:rPr>
          <w:rFonts w:ascii="標楷體" w:hAnsi="標楷體"/>
          <w:bCs/>
          <w:sz w:val="28"/>
          <w:szCs w:val="32"/>
        </w:rPr>
      </w:pPr>
    </w:p>
    <w:p w:rsidR="00A05C5F" w:rsidRDefault="00A05C5F" w:rsidP="00B100D6">
      <w:pPr>
        <w:pStyle w:val="ab"/>
        <w:numPr>
          <w:ilvl w:val="0"/>
          <w:numId w:val="6"/>
        </w:numPr>
        <w:spacing w:before="180" w:after="180"/>
        <w:ind w:left="851" w:hanging="851"/>
        <w:rPr>
          <w:rFonts w:ascii="標楷體" w:hAnsi="標楷體"/>
          <w:bCs/>
          <w:sz w:val="28"/>
          <w:szCs w:val="32"/>
        </w:rPr>
      </w:pPr>
      <w:proofErr w:type="gramStart"/>
      <w:r>
        <w:rPr>
          <w:rFonts w:ascii="標楷體" w:hAnsi="標楷體" w:hint="eastAsia"/>
          <w:bCs/>
          <w:sz w:val="28"/>
          <w:szCs w:val="32"/>
        </w:rPr>
        <w:lastRenderedPageBreak/>
        <w:t>興櫃股票</w:t>
      </w:r>
      <w:proofErr w:type="gramEnd"/>
      <w:r>
        <w:rPr>
          <w:rFonts w:ascii="標楷體" w:hAnsi="標楷體" w:hint="eastAsia"/>
          <w:bCs/>
          <w:sz w:val="28"/>
          <w:szCs w:val="32"/>
        </w:rPr>
        <w:t>交易資訊</w:t>
      </w:r>
    </w:p>
    <w:p w:rsidR="00604D6F" w:rsidRDefault="00604D6F" w:rsidP="005D5FD7">
      <w:pPr>
        <w:pStyle w:val="ab"/>
        <w:spacing w:before="180" w:after="180"/>
        <w:ind w:left="284" w:rightChars="-82" w:right="-197" w:firstLine="0"/>
        <w:rPr>
          <w:rFonts w:ascii="標楷體" w:hAnsi="標楷體"/>
          <w:bCs/>
          <w:sz w:val="28"/>
          <w:szCs w:val="32"/>
        </w:rPr>
      </w:pPr>
      <w:r>
        <w:rPr>
          <w:rFonts w:ascii="標楷體" w:hint="eastAsia"/>
          <w:spacing w:val="26"/>
          <w:sz w:val="28"/>
        </w:rPr>
        <w:t xml:space="preserve">    </w:t>
      </w:r>
      <w:r w:rsidR="00A05C5F" w:rsidRPr="00842054">
        <w:rPr>
          <w:rFonts w:ascii="標楷體" w:hint="eastAsia"/>
          <w:spacing w:val="26"/>
          <w:sz w:val="28"/>
        </w:rPr>
        <w:t>投資人</w:t>
      </w:r>
      <w:r w:rsidR="00A05C5F" w:rsidRPr="00E82CAC">
        <w:rPr>
          <w:rFonts w:ascii="標楷體" w:hAnsi="標楷體" w:hint="eastAsia"/>
          <w:bCs/>
          <w:color w:val="000000"/>
          <w:sz w:val="28"/>
          <w:szCs w:val="32"/>
        </w:rPr>
        <w:t>可利用</w:t>
      </w:r>
      <w:r w:rsidR="00535902" w:rsidRPr="00817510">
        <w:rPr>
          <w:rFonts w:ascii="標楷體" w:hAnsi="標楷體" w:hint="eastAsia"/>
          <w:sz w:val="28"/>
          <w:szCs w:val="28"/>
        </w:rPr>
        <w:t>證券櫃檯買賣中心</w:t>
      </w:r>
      <w:r w:rsidR="00A05C5F" w:rsidRPr="00E82CAC">
        <w:rPr>
          <w:rFonts w:ascii="標楷體" w:hAnsi="標楷體" w:hint="eastAsia"/>
          <w:bCs/>
          <w:color w:val="000000"/>
          <w:sz w:val="28"/>
          <w:szCs w:val="32"/>
        </w:rPr>
        <w:t>網站</w:t>
      </w:r>
      <w:r w:rsidR="00A05C5F" w:rsidRPr="00E40528">
        <w:rPr>
          <w:rFonts w:ascii="標楷體" w:hAnsi="標楷體" w:hint="eastAsia"/>
          <w:bCs/>
          <w:sz w:val="28"/>
          <w:szCs w:val="32"/>
        </w:rPr>
        <w:t>「</w:t>
      </w:r>
      <w:proofErr w:type="gramStart"/>
      <w:r w:rsidR="00A05C5F">
        <w:rPr>
          <w:rFonts w:ascii="標楷體" w:hAnsi="標楷體" w:hint="eastAsia"/>
          <w:bCs/>
          <w:sz w:val="28"/>
          <w:szCs w:val="32"/>
        </w:rPr>
        <w:t>興櫃股票</w:t>
      </w:r>
      <w:proofErr w:type="gramEnd"/>
      <w:r w:rsidR="00A05C5F">
        <w:rPr>
          <w:rFonts w:ascii="標楷體" w:hAnsi="標楷體" w:hint="eastAsia"/>
          <w:bCs/>
          <w:sz w:val="28"/>
          <w:szCs w:val="32"/>
        </w:rPr>
        <w:t>交易資訊</w:t>
      </w:r>
      <w:r w:rsidR="00A05C5F" w:rsidRPr="00E40528">
        <w:rPr>
          <w:rFonts w:ascii="標楷體" w:hAnsi="標楷體" w:hint="eastAsia"/>
          <w:bCs/>
          <w:sz w:val="28"/>
          <w:szCs w:val="32"/>
        </w:rPr>
        <w:t>」下之「</w:t>
      </w:r>
      <w:r w:rsidR="00A05C5F">
        <w:rPr>
          <w:rFonts w:ascii="標楷體" w:hAnsi="標楷體" w:hint="eastAsia"/>
          <w:bCs/>
          <w:sz w:val="28"/>
          <w:szCs w:val="32"/>
        </w:rPr>
        <w:t>最新行情</w:t>
      </w:r>
      <w:r w:rsidR="00A05C5F" w:rsidRPr="00E40528">
        <w:rPr>
          <w:rFonts w:ascii="標楷體" w:hAnsi="標楷體" w:hint="eastAsia"/>
          <w:bCs/>
          <w:sz w:val="28"/>
          <w:szCs w:val="32"/>
        </w:rPr>
        <w:t>」</w:t>
      </w:r>
      <w:proofErr w:type="gramStart"/>
      <w:r w:rsidR="00A05C5F" w:rsidRPr="00E82CAC">
        <w:rPr>
          <w:rFonts w:ascii="標楷體" w:hAnsi="標楷體" w:hint="eastAsia"/>
          <w:bCs/>
          <w:color w:val="000000"/>
          <w:sz w:val="28"/>
          <w:szCs w:val="32"/>
        </w:rPr>
        <w:t>查詢</w:t>
      </w:r>
      <w:r w:rsidR="00A05C5F">
        <w:rPr>
          <w:rFonts w:ascii="標楷體" w:hAnsi="標楷體" w:hint="eastAsia"/>
          <w:bCs/>
          <w:color w:val="000000"/>
          <w:sz w:val="28"/>
          <w:szCs w:val="32"/>
        </w:rPr>
        <w:t>興櫃股票</w:t>
      </w:r>
      <w:proofErr w:type="gramEnd"/>
      <w:r w:rsidR="00A05C5F">
        <w:rPr>
          <w:rFonts w:ascii="標楷體" w:hAnsi="標楷體" w:hint="eastAsia"/>
          <w:bCs/>
          <w:color w:val="000000"/>
          <w:sz w:val="28"/>
          <w:szCs w:val="32"/>
        </w:rPr>
        <w:t>最新交易資訊</w:t>
      </w:r>
      <w:r w:rsidR="001B4432">
        <w:rPr>
          <w:rFonts w:ascii="標楷體" w:hAnsi="標楷體" w:hint="eastAsia"/>
          <w:bCs/>
          <w:color w:val="000000"/>
          <w:sz w:val="28"/>
          <w:szCs w:val="32"/>
        </w:rPr>
        <w:t>，</w:t>
      </w:r>
      <w:r w:rsidR="00A05C5F" w:rsidRPr="00E82CAC">
        <w:rPr>
          <w:rFonts w:ascii="標楷體" w:hAnsi="標楷體" w:hint="eastAsia"/>
          <w:bCs/>
          <w:color w:val="000000"/>
          <w:sz w:val="28"/>
          <w:szCs w:val="32"/>
        </w:rPr>
        <w:t>查詢網址為</w:t>
      </w:r>
      <w:r w:rsidR="005D5FD7" w:rsidRPr="005D5FD7">
        <w:rPr>
          <w:color w:val="FF0000"/>
          <w:u w:val="single"/>
        </w:rPr>
        <w:t>http://www.tpex.org.tw/web/emergingstock/lateststats/new.htm</w:t>
      </w:r>
      <w:r w:rsidR="00A05C5F">
        <w:rPr>
          <w:rFonts w:ascii="標楷體" w:hAnsi="標楷體" w:hint="eastAsia"/>
          <w:bCs/>
          <w:sz w:val="28"/>
          <w:szCs w:val="32"/>
        </w:rPr>
        <w:t>，</w:t>
      </w:r>
      <w:r w:rsidR="001B4432">
        <w:rPr>
          <w:rFonts w:ascii="標楷體" w:hAnsi="標楷體" w:hint="eastAsia"/>
          <w:bCs/>
          <w:sz w:val="28"/>
          <w:szCs w:val="32"/>
        </w:rPr>
        <w:t>投資人查詢</w:t>
      </w:r>
      <w:r w:rsidR="001B4432" w:rsidRPr="00E40528">
        <w:rPr>
          <w:rFonts w:ascii="標楷體" w:hAnsi="標楷體" w:hint="eastAsia"/>
          <w:bCs/>
          <w:sz w:val="28"/>
          <w:szCs w:val="32"/>
        </w:rPr>
        <w:t>「</w:t>
      </w:r>
      <w:proofErr w:type="gramStart"/>
      <w:r w:rsidR="001B4432">
        <w:rPr>
          <w:rFonts w:ascii="標楷體" w:hAnsi="標楷體" w:hint="eastAsia"/>
          <w:bCs/>
          <w:sz w:val="28"/>
          <w:szCs w:val="32"/>
        </w:rPr>
        <w:t>興櫃股票</w:t>
      </w:r>
      <w:proofErr w:type="gramEnd"/>
      <w:r w:rsidR="001B4432">
        <w:rPr>
          <w:rFonts w:ascii="標楷體" w:hAnsi="標楷體" w:hint="eastAsia"/>
          <w:bCs/>
          <w:sz w:val="28"/>
          <w:szCs w:val="32"/>
        </w:rPr>
        <w:t>交易資訊</w:t>
      </w:r>
      <w:r w:rsidR="001B4432" w:rsidRPr="00E40528">
        <w:rPr>
          <w:rFonts w:ascii="標楷體" w:hAnsi="標楷體" w:hint="eastAsia"/>
          <w:bCs/>
          <w:sz w:val="28"/>
          <w:szCs w:val="32"/>
        </w:rPr>
        <w:t>」下之「</w:t>
      </w:r>
      <w:r w:rsidR="001B4432">
        <w:rPr>
          <w:rFonts w:ascii="標楷體" w:hAnsi="標楷體" w:hint="eastAsia"/>
          <w:bCs/>
          <w:sz w:val="28"/>
          <w:szCs w:val="32"/>
        </w:rPr>
        <w:t>最新行情</w:t>
      </w:r>
      <w:r w:rsidR="001B4432" w:rsidRPr="00E40528">
        <w:rPr>
          <w:rFonts w:ascii="標楷體" w:hAnsi="標楷體" w:hint="eastAsia"/>
          <w:bCs/>
          <w:sz w:val="28"/>
          <w:szCs w:val="32"/>
        </w:rPr>
        <w:t>」</w:t>
      </w:r>
      <w:r w:rsidR="001B4432">
        <w:rPr>
          <w:rFonts w:ascii="標楷體" w:hAnsi="標楷體" w:hint="eastAsia"/>
          <w:bCs/>
          <w:sz w:val="28"/>
          <w:szCs w:val="32"/>
        </w:rPr>
        <w:t>相關資訊時，將可藉由證券簡稱前二碼辨識其是否為</w:t>
      </w:r>
      <w:r w:rsidR="00CE0421">
        <w:rPr>
          <w:rFonts w:ascii="標楷體" w:hAnsi="標楷體" w:hint="eastAsia"/>
          <w:bCs/>
          <w:sz w:val="28"/>
          <w:szCs w:val="32"/>
        </w:rPr>
        <w:t>外國企業及是否為</w:t>
      </w:r>
      <w:r w:rsidR="001B4432">
        <w:rPr>
          <w:rFonts w:ascii="標楷體" w:hAnsi="標楷體" w:hint="eastAsia"/>
          <w:bCs/>
          <w:sz w:val="28"/>
          <w:szCs w:val="32"/>
        </w:rPr>
        <w:t>每股面額十元。</w:t>
      </w:r>
    </w:p>
    <w:p w:rsidR="001B4432" w:rsidRDefault="007604CF" w:rsidP="007604CF">
      <w:pPr>
        <w:pStyle w:val="ab"/>
        <w:spacing w:before="180" w:after="180" w:line="240" w:lineRule="atLeast"/>
        <w:ind w:leftChars="-532" w:left="-160" w:hangingChars="399" w:hanging="1117"/>
        <w:rPr>
          <w:rFonts w:ascii="標楷體" w:hAnsi="標楷體"/>
          <w:bCs/>
          <w:sz w:val="28"/>
          <w:szCs w:val="32"/>
        </w:rPr>
      </w:pPr>
      <w:r>
        <w:rPr>
          <w:rFonts w:ascii="標楷體" w:hAnsi="標楷體"/>
          <w:bCs/>
          <w:noProof/>
          <w:sz w:val="28"/>
          <w:szCs w:val="32"/>
        </w:rPr>
        <mc:AlternateContent>
          <mc:Choice Requires="wps">
            <w:drawing>
              <wp:anchor distT="0" distB="0" distL="114300" distR="114300" simplePos="0" relativeHeight="251665408" behindDoc="0" locked="0" layoutInCell="1" allowOverlap="1" wp14:anchorId="4354A4A4" wp14:editId="213CF0A3">
                <wp:simplePos x="0" y="0"/>
                <wp:positionH relativeFrom="column">
                  <wp:posOffset>-930349</wp:posOffset>
                </wp:positionH>
                <wp:positionV relativeFrom="paragraph">
                  <wp:posOffset>940686</wp:posOffset>
                </wp:positionV>
                <wp:extent cx="5613518" cy="404038"/>
                <wp:effectExtent l="0" t="0" r="25400" b="1524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518" cy="4040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73.25pt;margin-top:74.05pt;width:442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" filled="f" strokecolor="red" strokeweight="2pt">
                <v:path arrowok="t"/>
              </v:rect>
            </w:pict>
          </mc:Fallback>
        </mc:AlternateContent>
      </w:r>
      <w:r>
        <w:rPr>
          <w:noProof/>
        </w:rPr>
        <w:drawing>
          <wp:inline distT="0" distB="0" distL="0" distR="0" wp14:anchorId="0A86CAC6" wp14:editId="701DD3D6">
            <wp:extent cx="6932428" cy="4646428"/>
            <wp:effectExtent l="0" t="0" r="1905" b="190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951818" cy="4659424"/>
                    </a:xfrm>
                    <a:prstGeom prst="rect">
                      <a:avLst/>
                    </a:prstGeom>
                  </pic:spPr>
                </pic:pic>
              </a:graphicData>
            </a:graphic>
          </wp:inline>
        </w:drawing>
      </w:r>
    </w:p>
    <w:p w:rsidR="00A05C5F" w:rsidRDefault="00A05C5F" w:rsidP="00E82CAC">
      <w:pPr>
        <w:pStyle w:val="ab"/>
        <w:spacing w:before="180" w:after="180"/>
        <w:ind w:left="720" w:firstLine="0"/>
        <w:rPr>
          <w:rFonts w:ascii="標楷體" w:hAnsi="標楷體"/>
          <w:bCs/>
          <w:sz w:val="28"/>
          <w:szCs w:val="32"/>
        </w:rPr>
      </w:pPr>
      <w:bookmarkStart w:id="0" w:name="_GoBack"/>
      <w:bookmarkEnd w:id="0"/>
    </w:p>
    <w:p w:rsidR="00A05C5F" w:rsidRDefault="00A05C5F" w:rsidP="00E82CAC">
      <w:pPr>
        <w:pStyle w:val="ab"/>
        <w:spacing w:before="180" w:after="180"/>
        <w:ind w:left="720" w:firstLine="0"/>
        <w:rPr>
          <w:rFonts w:ascii="標楷體" w:hAnsi="標楷體"/>
          <w:bCs/>
          <w:sz w:val="28"/>
          <w:szCs w:val="32"/>
        </w:rPr>
      </w:pPr>
    </w:p>
    <w:p w:rsidR="00A05C5F" w:rsidRDefault="00A05C5F" w:rsidP="00E82CAC">
      <w:pPr>
        <w:pStyle w:val="ab"/>
        <w:spacing w:before="180" w:after="180"/>
        <w:ind w:left="720" w:firstLine="0"/>
        <w:rPr>
          <w:rFonts w:ascii="標楷體" w:hAnsi="標楷體"/>
          <w:bCs/>
          <w:sz w:val="28"/>
          <w:szCs w:val="32"/>
        </w:rPr>
      </w:pPr>
    </w:p>
    <w:p w:rsidR="00842054" w:rsidRDefault="00842054" w:rsidP="00E82CAC">
      <w:pPr>
        <w:pStyle w:val="ab"/>
        <w:spacing w:before="180" w:after="180"/>
        <w:ind w:left="720" w:firstLine="0"/>
        <w:rPr>
          <w:rFonts w:ascii="標楷體" w:hAnsi="標楷體"/>
          <w:bCs/>
          <w:sz w:val="28"/>
          <w:szCs w:val="32"/>
        </w:rPr>
      </w:pPr>
    </w:p>
    <w:p w:rsidR="00A87A84" w:rsidRPr="00D342C4" w:rsidRDefault="00A87A84" w:rsidP="00A87A84">
      <w:pPr>
        <w:spacing w:line="480" w:lineRule="exact"/>
        <w:ind w:left="429" w:hangingChars="153" w:hanging="429"/>
        <w:jc w:val="both"/>
        <w:rPr>
          <w:rFonts w:ascii="標楷體" w:eastAsia="標楷體" w:hAnsi="標楷體"/>
          <w:b/>
          <w:sz w:val="28"/>
          <w:szCs w:val="28"/>
        </w:rPr>
      </w:pPr>
    </w:p>
    <w:p w:rsidR="00255411" w:rsidRPr="00255411" w:rsidRDefault="00255411" w:rsidP="0001649A">
      <w:pPr>
        <w:pStyle w:val="a3"/>
        <w:ind w:leftChars="0" w:left="0"/>
        <w:jc w:val="center"/>
        <w:rPr>
          <w:rFonts w:ascii="標楷體" w:eastAsia="標楷體" w:hAnsi="標楷體"/>
          <w:b/>
          <w:sz w:val="28"/>
          <w:szCs w:val="28"/>
        </w:rPr>
      </w:pPr>
      <w:r w:rsidRPr="00255411">
        <w:rPr>
          <w:rFonts w:ascii="標楷體" w:eastAsia="標楷體" w:hAnsi="標楷體" w:hint="eastAsia"/>
          <w:b/>
          <w:sz w:val="28"/>
          <w:szCs w:val="28"/>
        </w:rPr>
        <w:t>六、結語</w:t>
      </w:r>
    </w:p>
    <w:p w:rsidR="00255411" w:rsidRDefault="00255411" w:rsidP="00255411">
      <w:pPr>
        <w:pStyle w:val="a3"/>
        <w:ind w:leftChars="0" w:left="0" w:firstLineChars="200" w:firstLine="560"/>
        <w:rPr>
          <w:rFonts w:ascii="標楷體" w:eastAsia="標楷體" w:hAnsi="標楷體"/>
          <w:sz w:val="28"/>
          <w:szCs w:val="28"/>
        </w:rPr>
      </w:pPr>
      <w:r w:rsidRPr="00255411">
        <w:rPr>
          <w:rFonts w:ascii="標楷體" w:eastAsia="標楷體" w:hAnsi="標楷體" w:hint="eastAsia"/>
          <w:sz w:val="28"/>
          <w:szCs w:val="28"/>
        </w:rPr>
        <w:t>面對資本市場全球化之競爭趨勢，企業之上市地已不再侷限於營運地，</w:t>
      </w:r>
      <w:r>
        <w:rPr>
          <w:rFonts w:ascii="標楷體" w:eastAsia="標楷體" w:hAnsi="標楷體" w:hint="eastAsia"/>
          <w:sz w:val="28"/>
          <w:szCs w:val="28"/>
        </w:rPr>
        <w:t>臺灣證券交易所及證券櫃檯買賣中心</w:t>
      </w:r>
      <w:r w:rsidRPr="00255411">
        <w:rPr>
          <w:rFonts w:ascii="標楷體" w:eastAsia="標楷體" w:hAnsi="標楷體" w:hint="eastAsia"/>
          <w:sz w:val="28"/>
          <w:szCs w:val="28"/>
        </w:rPr>
        <w:t>將持續檢討修正相關法規，致力推動優質外國企業來</w:t>
      </w:r>
      <w:proofErr w:type="gramStart"/>
      <w:r w:rsidRPr="00255411">
        <w:rPr>
          <w:rFonts w:ascii="標楷體" w:eastAsia="標楷體" w:hAnsi="標楷體" w:hint="eastAsia"/>
          <w:sz w:val="28"/>
          <w:szCs w:val="28"/>
        </w:rPr>
        <w:t>臺</w:t>
      </w:r>
      <w:proofErr w:type="gramEnd"/>
      <w:r w:rsidRPr="00255411">
        <w:rPr>
          <w:rFonts w:ascii="標楷體" w:eastAsia="標楷體" w:hAnsi="標楷體" w:hint="eastAsia"/>
          <w:sz w:val="28"/>
          <w:szCs w:val="28"/>
        </w:rPr>
        <w:t>上市</w:t>
      </w:r>
      <w:r w:rsidR="0001649A" w:rsidRPr="00FC5303">
        <w:rPr>
          <w:rFonts w:ascii="標楷體" w:eastAsia="標楷體" w:hAnsi="標楷體" w:hint="eastAsia"/>
          <w:sz w:val="28"/>
          <w:szCs w:val="28"/>
        </w:rPr>
        <w:t>、上櫃及登錄</w:t>
      </w:r>
      <w:proofErr w:type="gramStart"/>
      <w:r w:rsidR="0001649A" w:rsidRPr="00FC5303">
        <w:rPr>
          <w:rFonts w:ascii="標楷體" w:eastAsia="標楷體" w:hAnsi="標楷體" w:hint="eastAsia"/>
          <w:sz w:val="28"/>
          <w:szCs w:val="28"/>
        </w:rPr>
        <w:t>興櫃</w:t>
      </w:r>
      <w:r w:rsidRPr="00FC5303">
        <w:rPr>
          <w:rFonts w:ascii="標楷體" w:eastAsia="標楷體" w:hAnsi="標楷體" w:hint="eastAsia"/>
          <w:sz w:val="28"/>
          <w:szCs w:val="28"/>
        </w:rPr>
        <w:t>，</w:t>
      </w:r>
      <w:proofErr w:type="gramEnd"/>
      <w:r w:rsidRPr="00FC5303">
        <w:rPr>
          <w:rFonts w:ascii="標楷體" w:eastAsia="標楷體" w:hAnsi="標楷體" w:hint="eastAsia"/>
          <w:sz w:val="28"/>
          <w:szCs w:val="28"/>
        </w:rPr>
        <w:t>提升資本市場國際競爭力，展望未來，在開放外國企業來</w:t>
      </w:r>
      <w:proofErr w:type="gramStart"/>
      <w:r w:rsidRPr="00FC5303">
        <w:rPr>
          <w:rFonts w:ascii="標楷體" w:eastAsia="標楷體" w:hAnsi="標楷體" w:hint="eastAsia"/>
          <w:sz w:val="28"/>
          <w:szCs w:val="28"/>
        </w:rPr>
        <w:t>臺</w:t>
      </w:r>
      <w:proofErr w:type="gramEnd"/>
      <w:r w:rsidRPr="00FC5303">
        <w:rPr>
          <w:rFonts w:ascii="標楷體" w:eastAsia="標楷體" w:hAnsi="標楷體" w:hint="eastAsia"/>
          <w:sz w:val="28"/>
          <w:szCs w:val="28"/>
        </w:rPr>
        <w:t>第一上市</w:t>
      </w:r>
      <w:r w:rsidR="00AF1259" w:rsidRPr="00FC5303">
        <w:rPr>
          <w:rFonts w:ascii="標楷體" w:eastAsia="標楷體" w:hAnsi="標楷體" w:hint="eastAsia"/>
          <w:sz w:val="28"/>
          <w:szCs w:val="28"/>
        </w:rPr>
        <w:t>、上櫃及登錄</w:t>
      </w:r>
      <w:proofErr w:type="gramStart"/>
      <w:r w:rsidR="00AF1259" w:rsidRPr="00FC5303">
        <w:rPr>
          <w:rFonts w:ascii="標楷體" w:eastAsia="標楷體" w:hAnsi="標楷體" w:hint="eastAsia"/>
          <w:sz w:val="28"/>
          <w:szCs w:val="28"/>
        </w:rPr>
        <w:t>興櫃</w:t>
      </w:r>
      <w:r w:rsidRPr="00FC5303">
        <w:rPr>
          <w:rFonts w:ascii="標楷體" w:eastAsia="標楷體" w:hAnsi="標楷體" w:hint="eastAsia"/>
          <w:sz w:val="28"/>
          <w:szCs w:val="28"/>
        </w:rPr>
        <w:t>得</w:t>
      </w:r>
      <w:proofErr w:type="gramEnd"/>
      <w:r w:rsidRPr="00FC5303">
        <w:rPr>
          <w:rFonts w:ascii="標楷體" w:eastAsia="標楷體" w:hAnsi="標楷體" w:hint="eastAsia"/>
          <w:sz w:val="28"/>
          <w:szCs w:val="28"/>
        </w:rPr>
        <w:t>為無面額或每股面額</w:t>
      </w:r>
      <w:proofErr w:type="gramStart"/>
      <w:r w:rsidRPr="00FC5303">
        <w:rPr>
          <w:rFonts w:ascii="標楷體" w:eastAsia="標楷體" w:hAnsi="標楷體" w:hint="eastAsia"/>
          <w:sz w:val="28"/>
          <w:szCs w:val="28"/>
        </w:rPr>
        <w:t>不限新臺幣</w:t>
      </w:r>
      <w:proofErr w:type="gramEnd"/>
      <w:r w:rsidRPr="00FC5303">
        <w:rPr>
          <w:rFonts w:ascii="標楷體" w:eastAsia="標楷體" w:hAnsi="標楷體" w:hint="eastAsia"/>
          <w:sz w:val="28"/>
          <w:szCs w:val="28"/>
        </w:rPr>
        <w:t>十元後，預期將吸引更多美國、日本及新加坡等地之優良外國企業將來</w:t>
      </w:r>
      <w:proofErr w:type="gramStart"/>
      <w:r w:rsidRPr="00FC5303">
        <w:rPr>
          <w:rFonts w:ascii="標楷體" w:eastAsia="標楷體" w:hAnsi="標楷體" w:hint="eastAsia"/>
          <w:sz w:val="28"/>
          <w:szCs w:val="28"/>
        </w:rPr>
        <w:t>臺</w:t>
      </w:r>
      <w:proofErr w:type="gramEnd"/>
      <w:r w:rsidRPr="00FC5303">
        <w:rPr>
          <w:rFonts w:ascii="標楷體" w:eastAsia="標楷體" w:hAnsi="標楷體" w:hint="eastAsia"/>
          <w:sz w:val="28"/>
          <w:szCs w:val="28"/>
        </w:rPr>
        <w:t>上市</w:t>
      </w:r>
      <w:r w:rsidR="00957A18" w:rsidRPr="00FC5303">
        <w:rPr>
          <w:rFonts w:ascii="標楷體" w:eastAsia="標楷體" w:hAnsi="標楷體" w:hint="eastAsia"/>
          <w:sz w:val="28"/>
          <w:szCs w:val="28"/>
        </w:rPr>
        <w:t>、上櫃及登錄</w:t>
      </w:r>
      <w:proofErr w:type="gramStart"/>
      <w:r w:rsidR="00957A18" w:rsidRPr="00FC5303">
        <w:rPr>
          <w:rFonts w:ascii="標楷體" w:eastAsia="標楷體" w:hAnsi="標楷體" w:hint="eastAsia"/>
          <w:sz w:val="28"/>
          <w:szCs w:val="28"/>
        </w:rPr>
        <w:t>興櫃</w:t>
      </w:r>
      <w:r w:rsidRPr="00FC5303">
        <w:rPr>
          <w:rFonts w:ascii="標楷體" w:eastAsia="標楷體" w:hAnsi="標楷體" w:hint="eastAsia"/>
          <w:sz w:val="28"/>
          <w:szCs w:val="28"/>
        </w:rPr>
        <w:t>，</w:t>
      </w:r>
      <w:proofErr w:type="gramEnd"/>
      <w:r w:rsidRPr="00255411">
        <w:rPr>
          <w:rFonts w:ascii="標楷體" w:eastAsia="標楷體" w:hAnsi="標楷體" w:hint="eastAsia"/>
          <w:sz w:val="28"/>
          <w:szCs w:val="28"/>
        </w:rPr>
        <w:t>擴大我國資本市場規模。</w:t>
      </w:r>
    </w:p>
    <w:p w:rsidR="00297F00" w:rsidRDefault="00297F00" w:rsidP="00297F00">
      <w:pPr>
        <w:rPr>
          <w:rFonts w:ascii="標楷體" w:eastAsia="標楷體" w:hAnsi="標楷體"/>
          <w:sz w:val="28"/>
          <w:szCs w:val="28"/>
        </w:rPr>
      </w:pPr>
    </w:p>
    <w:p w:rsidR="00297F00" w:rsidRDefault="00297F00" w:rsidP="00297F00">
      <w:pPr>
        <w:rPr>
          <w:rFonts w:ascii="標楷體" w:eastAsia="標楷體" w:hAnsi="標楷體"/>
          <w:sz w:val="28"/>
          <w:szCs w:val="28"/>
        </w:rPr>
      </w:pPr>
    </w:p>
    <w:p w:rsidR="00297F00" w:rsidRPr="00297F00" w:rsidRDefault="00297F00" w:rsidP="00297F00">
      <w:pPr>
        <w:rPr>
          <w:rFonts w:ascii="標楷體" w:eastAsia="標楷體" w:hAnsi="標楷體"/>
          <w:sz w:val="28"/>
          <w:szCs w:val="28"/>
        </w:rPr>
      </w:pPr>
    </w:p>
    <w:tbl>
      <w:tblPr>
        <w:tblStyle w:val="a4"/>
        <w:tblW w:w="859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181"/>
        <w:gridCol w:w="4417"/>
      </w:tblGrid>
      <w:tr w:rsidR="00297F00" w:rsidRPr="00297F00" w:rsidTr="006467E3">
        <w:tc>
          <w:tcPr>
            <w:tcW w:w="4181" w:type="dxa"/>
          </w:tcPr>
          <w:p w:rsidR="00297F00" w:rsidRPr="00297F00" w:rsidRDefault="00297F00" w:rsidP="006467E3">
            <w:pPr>
              <w:rPr>
                <w:rFonts w:ascii="標楷體" w:eastAsia="標楷體" w:hAnsi="標楷體"/>
                <w:sz w:val="28"/>
                <w:szCs w:val="28"/>
              </w:rPr>
            </w:pPr>
            <w:r w:rsidRPr="00297F00">
              <w:rPr>
                <w:rFonts w:ascii="標楷體" w:eastAsia="標楷體" w:hAnsi="標楷體" w:hint="eastAsia"/>
                <w:sz w:val="28"/>
                <w:szCs w:val="28"/>
              </w:rPr>
              <w:t>臺灣證券交易所</w:t>
            </w:r>
          </w:p>
          <w:p w:rsidR="00297F00" w:rsidRPr="00297F00" w:rsidRDefault="00297F00" w:rsidP="006467E3">
            <w:pPr>
              <w:rPr>
                <w:rFonts w:ascii="標楷體" w:eastAsia="標楷體" w:hAnsi="標楷體"/>
                <w:sz w:val="28"/>
                <w:szCs w:val="28"/>
              </w:rPr>
            </w:pPr>
            <w:r w:rsidRPr="00297F00">
              <w:rPr>
                <w:rFonts w:ascii="標楷體" w:eastAsia="標楷體" w:hAnsi="標楷體" w:hint="eastAsia"/>
                <w:sz w:val="28"/>
                <w:szCs w:val="28"/>
              </w:rPr>
              <w:t>地址:11049臺北市信義路5段7號3樓、9至12樓</w:t>
            </w:r>
          </w:p>
          <w:p w:rsidR="00297F00" w:rsidRPr="00297F00" w:rsidRDefault="00297F00" w:rsidP="006467E3">
            <w:pPr>
              <w:rPr>
                <w:rFonts w:ascii="標楷體" w:eastAsia="標楷體" w:hAnsi="標楷體"/>
                <w:sz w:val="28"/>
                <w:szCs w:val="28"/>
              </w:rPr>
            </w:pPr>
            <w:r w:rsidRPr="00297F00">
              <w:rPr>
                <w:rFonts w:ascii="標楷體" w:eastAsia="標楷體" w:hAnsi="標楷體" w:hint="eastAsia"/>
                <w:sz w:val="28"/>
                <w:szCs w:val="28"/>
              </w:rPr>
              <w:t>電話: (02)8101-3101</w:t>
            </w:r>
          </w:p>
          <w:p w:rsidR="00297F00" w:rsidRPr="00297F00" w:rsidRDefault="00297F00" w:rsidP="006467E3">
            <w:pPr>
              <w:rPr>
                <w:rFonts w:ascii="標楷體" w:eastAsia="標楷體" w:hAnsi="標楷體"/>
                <w:sz w:val="28"/>
                <w:szCs w:val="28"/>
              </w:rPr>
            </w:pPr>
            <w:r w:rsidRPr="00297F00">
              <w:rPr>
                <w:rFonts w:ascii="標楷體" w:eastAsia="標楷體" w:hAnsi="標楷體" w:hint="eastAsia"/>
                <w:sz w:val="28"/>
                <w:szCs w:val="28"/>
              </w:rPr>
              <w:t>http://www.twse.com.tw/</w:t>
            </w:r>
          </w:p>
        </w:tc>
        <w:tc>
          <w:tcPr>
            <w:tcW w:w="4417" w:type="dxa"/>
          </w:tcPr>
          <w:p w:rsidR="00297F00" w:rsidRPr="00297F00" w:rsidRDefault="00297F00" w:rsidP="006467E3">
            <w:pPr>
              <w:rPr>
                <w:rFonts w:ascii="標楷體" w:eastAsia="標楷體" w:hAnsi="標楷體"/>
                <w:sz w:val="28"/>
                <w:szCs w:val="28"/>
              </w:rPr>
            </w:pPr>
            <w:r w:rsidRPr="00297F00">
              <w:rPr>
                <w:rFonts w:ascii="標楷體" w:eastAsia="標楷體" w:hAnsi="標楷體" w:hint="eastAsia"/>
                <w:sz w:val="28"/>
                <w:szCs w:val="28"/>
              </w:rPr>
              <w:t>證券櫃檯買賣中心</w:t>
            </w:r>
          </w:p>
          <w:p w:rsidR="00297F00" w:rsidRPr="00297F00" w:rsidRDefault="00297F00" w:rsidP="006467E3">
            <w:pPr>
              <w:rPr>
                <w:rFonts w:ascii="標楷體" w:eastAsia="標楷體" w:hAnsi="標楷體"/>
                <w:sz w:val="28"/>
                <w:szCs w:val="28"/>
              </w:rPr>
            </w:pPr>
            <w:r w:rsidRPr="00297F00">
              <w:rPr>
                <w:rFonts w:ascii="標楷體" w:eastAsia="標楷體" w:hAnsi="標楷體" w:hint="eastAsia"/>
                <w:sz w:val="28"/>
                <w:szCs w:val="28"/>
              </w:rPr>
              <w:t>地址:10084臺北市羅斯福路2            段100號15樓</w:t>
            </w:r>
          </w:p>
          <w:p w:rsidR="00297F00" w:rsidRPr="00297F00" w:rsidRDefault="00297F00" w:rsidP="006467E3">
            <w:pPr>
              <w:rPr>
                <w:rFonts w:ascii="標楷體" w:eastAsia="標楷體" w:hAnsi="標楷體"/>
                <w:sz w:val="28"/>
                <w:szCs w:val="28"/>
              </w:rPr>
            </w:pPr>
            <w:r w:rsidRPr="00297F00">
              <w:rPr>
                <w:rFonts w:ascii="標楷體" w:eastAsia="標楷體" w:hAnsi="標楷體" w:hint="eastAsia"/>
                <w:sz w:val="28"/>
                <w:szCs w:val="28"/>
              </w:rPr>
              <w:t>電話: (02)2369-9555</w:t>
            </w:r>
          </w:p>
          <w:p w:rsidR="00297F00" w:rsidRPr="00297F00" w:rsidRDefault="00297F00" w:rsidP="005D5FD7">
            <w:pPr>
              <w:rPr>
                <w:rFonts w:ascii="標楷體" w:eastAsia="標楷體" w:hAnsi="標楷體"/>
                <w:sz w:val="28"/>
                <w:szCs w:val="28"/>
              </w:rPr>
            </w:pPr>
            <w:r w:rsidRPr="00297F00">
              <w:rPr>
                <w:rFonts w:ascii="標楷體" w:eastAsia="標楷體" w:hAnsi="標楷體" w:hint="eastAsia"/>
                <w:sz w:val="28"/>
                <w:szCs w:val="28"/>
              </w:rPr>
              <w:t>http://www.</w:t>
            </w:r>
            <w:r w:rsidR="005D5FD7">
              <w:rPr>
                <w:rFonts w:ascii="標楷體" w:eastAsia="標楷體" w:hAnsi="標楷體" w:hint="eastAsia"/>
                <w:sz w:val="28"/>
                <w:szCs w:val="28"/>
              </w:rPr>
              <w:t>tpex</w:t>
            </w:r>
            <w:r w:rsidRPr="00297F00">
              <w:rPr>
                <w:rFonts w:ascii="標楷體" w:eastAsia="標楷體" w:hAnsi="標楷體" w:hint="eastAsia"/>
                <w:sz w:val="28"/>
                <w:szCs w:val="28"/>
              </w:rPr>
              <w:t>.org.tw/</w:t>
            </w:r>
          </w:p>
        </w:tc>
      </w:tr>
    </w:tbl>
    <w:p w:rsidR="00297F00" w:rsidRPr="00297F00" w:rsidRDefault="00297F00" w:rsidP="00297F00">
      <w:pPr>
        <w:rPr>
          <w:rFonts w:ascii="標楷體" w:eastAsia="標楷體" w:hAnsi="標楷體"/>
          <w:sz w:val="28"/>
          <w:szCs w:val="28"/>
        </w:rPr>
      </w:pPr>
    </w:p>
    <w:sectPr w:rsidR="00297F00" w:rsidRPr="00297F00" w:rsidSect="001568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BA0" w:rsidRDefault="00EE1BA0" w:rsidP="004D2754">
      <w:r>
        <w:separator/>
      </w:r>
    </w:p>
  </w:endnote>
  <w:endnote w:type="continuationSeparator" w:id="0">
    <w:p w:rsidR="00EE1BA0" w:rsidRDefault="00EE1BA0" w:rsidP="004D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779533"/>
      <w:docPartObj>
        <w:docPartGallery w:val="Page Numbers (Bottom of Page)"/>
        <w:docPartUnique/>
      </w:docPartObj>
    </w:sdtPr>
    <w:sdtEndPr/>
    <w:sdtContent>
      <w:p w:rsidR="00B100D6" w:rsidRDefault="00723061">
        <w:pPr>
          <w:pStyle w:val="a7"/>
          <w:jc w:val="center"/>
        </w:pPr>
        <w:r>
          <w:fldChar w:fldCharType="begin"/>
        </w:r>
        <w:r w:rsidR="00B100D6">
          <w:instrText>PAGE   \* MERGEFORMAT</w:instrText>
        </w:r>
        <w:r>
          <w:fldChar w:fldCharType="separate"/>
        </w:r>
        <w:r w:rsidR="007604CF" w:rsidRPr="007604CF">
          <w:rPr>
            <w:noProof/>
            <w:lang w:val="zh-TW"/>
          </w:rPr>
          <w:t>1</w:t>
        </w:r>
        <w:r>
          <w:fldChar w:fldCharType="end"/>
        </w:r>
      </w:p>
    </w:sdtContent>
  </w:sdt>
  <w:p w:rsidR="00B100D6" w:rsidRDefault="00B100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BA0" w:rsidRDefault="00EE1BA0" w:rsidP="004D2754">
      <w:r>
        <w:separator/>
      </w:r>
    </w:p>
  </w:footnote>
  <w:footnote w:type="continuationSeparator" w:id="0">
    <w:p w:rsidR="00EE1BA0" w:rsidRDefault="00EE1BA0" w:rsidP="004D2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7AB"/>
    <w:multiLevelType w:val="hybridMultilevel"/>
    <w:tmpl w:val="CD20F78A"/>
    <w:lvl w:ilvl="0" w:tplc="08445E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620180"/>
    <w:multiLevelType w:val="hybridMultilevel"/>
    <w:tmpl w:val="A9DCE8EE"/>
    <w:lvl w:ilvl="0" w:tplc="4A8AF92C">
      <w:start w:val="1"/>
      <w:numFmt w:val="taiwaneseCountingThousand"/>
      <w:lvlText w:val="%1、"/>
      <w:lvlJc w:val="left"/>
      <w:pPr>
        <w:ind w:left="1200" w:hanging="720"/>
      </w:pPr>
      <w:rPr>
        <w:rFonts w:hint="default"/>
      </w:rPr>
    </w:lvl>
    <w:lvl w:ilvl="1" w:tplc="AFD27CE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A3D3950"/>
    <w:multiLevelType w:val="hybridMultilevel"/>
    <w:tmpl w:val="EEEEDCF0"/>
    <w:lvl w:ilvl="0" w:tplc="0AB2B0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E0559"/>
    <w:multiLevelType w:val="hybridMultilevel"/>
    <w:tmpl w:val="70DAFFC8"/>
    <w:lvl w:ilvl="0" w:tplc="45485D12">
      <w:start w:val="1"/>
      <w:numFmt w:val="decimal"/>
      <w:lvlText w:val="%1."/>
      <w:lvlJc w:val="left"/>
      <w:pPr>
        <w:ind w:left="439" w:hanging="360"/>
      </w:pPr>
      <w:rPr>
        <w:rFonts w:hint="default"/>
        <w:color w:val="auto"/>
        <w:u w:val="none"/>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4">
    <w:nsid w:val="5B0E7F93"/>
    <w:multiLevelType w:val="hybridMultilevel"/>
    <w:tmpl w:val="B33CBA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BB02E87"/>
    <w:multiLevelType w:val="hybridMultilevel"/>
    <w:tmpl w:val="70F87236"/>
    <w:lvl w:ilvl="0" w:tplc="2D4AD922">
      <w:start w:val="5"/>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65374C66"/>
    <w:multiLevelType w:val="hybridMultilevel"/>
    <w:tmpl w:val="7482FE7C"/>
    <w:lvl w:ilvl="0" w:tplc="252A41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7CD0301"/>
    <w:multiLevelType w:val="hybridMultilevel"/>
    <w:tmpl w:val="8662DCA6"/>
    <w:lvl w:ilvl="0" w:tplc="B9D0180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7B524C27"/>
    <w:multiLevelType w:val="hybridMultilevel"/>
    <w:tmpl w:val="A590FADC"/>
    <w:lvl w:ilvl="0" w:tplc="D8AE410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8"/>
  </w:num>
  <w:num w:numId="3">
    <w:abstractNumId w:val="6"/>
  </w:num>
  <w:num w:numId="4">
    <w:abstractNumId w:val="0"/>
  </w:num>
  <w:num w:numId="5">
    <w:abstractNumId w:val="1"/>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85"/>
    <w:rsid w:val="0001649A"/>
    <w:rsid w:val="000172A2"/>
    <w:rsid w:val="00036D0F"/>
    <w:rsid w:val="00083CEF"/>
    <w:rsid w:val="00091FCD"/>
    <w:rsid w:val="000A08CB"/>
    <w:rsid w:val="000A6F3E"/>
    <w:rsid w:val="00132ACA"/>
    <w:rsid w:val="001410D1"/>
    <w:rsid w:val="001431ED"/>
    <w:rsid w:val="00156824"/>
    <w:rsid w:val="00167A1C"/>
    <w:rsid w:val="0018171A"/>
    <w:rsid w:val="00185334"/>
    <w:rsid w:val="001976ED"/>
    <w:rsid w:val="001B4432"/>
    <w:rsid w:val="001D0FC0"/>
    <w:rsid w:val="001D1BE3"/>
    <w:rsid w:val="001E3FAE"/>
    <w:rsid w:val="001E7984"/>
    <w:rsid w:val="001F4541"/>
    <w:rsid w:val="0020236E"/>
    <w:rsid w:val="00223AFA"/>
    <w:rsid w:val="00230656"/>
    <w:rsid w:val="0023206E"/>
    <w:rsid w:val="00255411"/>
    <w:rsid w:val="00267041"/>
    <w:rsid w:val="002757AE"/>
    <w:rsid w:val="00297F00"/>
    <w:rsid w:val="002C6545"/>
    <w:rsid w:val="002E74DD"/>
    <w:rsid w:val="00323BD6"/>
    <w:rsid w:val="003979E7"/>
    <w:rsid w:val="003E240A"/>
    <w:rsid w:val="0045193E"/>
    <w:rsid w:val="0047604C"/>
    <w:rsid w:val="00494DBE"/>
    <w:rsid w:val="004B1636"/>
    <w:rsid w:val="004D2754"/>
    <w:rsid w:val="004E05FA"/>
    <w:rsid w:val="00511D5D"/>
    <w:rsid w:val="00522540"/>
    <w:rsid w:val="00535902"/>
    <w:rsid w:val="00552E42"/>
    <w:rsid w:val="005C18F5"/>
    <w:rsid w:val="005C6C59"/>
    <w:rsid w:val="005D5FD7"/>
    <w:rsid w:val="005F2A32"/>
    <w:rsid w:val="00601F37"/>
    <w:rsid w:val="00604D6F"/>
    <w:rsid w:val="00637BE6"/>
    <w:rsid w:val="0065526C"/>
    <w:rsid w:val="0066044B"/>
    <w:rsid w:val="006652D7"/>
    <w:rsid w:val="0067108D"/>
    <w:rsid w:val="007068FB"/>
    <w:rsid w:val="00723061"/>
    <w:rsid w:val="00723CEE"/>
    <w:rsid w:val="007604CF"/>
    <w:rsid w:val="007654E0"/>
    <w:rsid w:val="00781998"/>
    <w:rsid w:val="007925A6"/>
    <w:rsid w:val="007955E6"/>
    <w:rsid w:val="007968A8"/>
    <w:rsid w:val="007B4CB4"/>
    <w:rsid w:val="007D7E85"/>
    <w:rsid w:val="007E5013"/>
    <w:rsid w:val="00814D5B"/>
    <w:rsid w:val="00817510"/>
    <w:rsid w:val="00826555"/>
    <w:rsid w:val="008318B3"/>
    <w:rsid w:val="00842054"/>
    <w:rsid w:val="0087425A"/>
    <w:rsid w:val="00875F9E"/>
    <w:rsid w:val="00883BDB"/>
    <w:rsid w:val="00885BBD"/>
    <w:rsid w:val="00892C22"/>
    <w:rsid w:val="008F0F85"/>
    <w:rsid w:val="0091780F"/>
    <w:rsid w:val="00946C64"/>
    <w:rsid w:val="00957A18"/>
    <w:rsid w:val="00965660"/>
    <w:rsid w:val="00990ACC"/>
    <w:rsid w:val="009953CB"/>
    <w:rsid w:val="009B15B6"/>
    <w:rsid w:val="009C5174"/>
    <w:rsid w:val="009C6C7D"/>
    <w:rsid w:val="009D0A5B"/>
    <w:rsid w:val="009D22F8"/>
    <w:rsid w:val="009E5792"/>
    <w:rsid w:val="009E5E39"/>
    <w:rsid w:val="00A031E1"/>
    <w:rsid w:val="00A05C5F"/>
    <w:rsid w:val="00A27C4E"/>
    <w:rsid w:val="00A27D8F"/>
    <w:rsid w:val="00A47F7E"/>
    <w:rsid w:val="00A87A84"/>
    <w:rsid w:val="00A9487A"/>
    <w:rsid w:val="00AB503C"/>
    <w:rsid w:val="00AC1B5F"/>
    <w:rsid w:val="00AC7E4F"/>
    <w:rsid w:val="00AF1259"/>
    <w:rsid w:val="00AF2EF1"/>
    <w:rsid w:val="00B100D6"/>
    <w:rsid w:val="00B11A2D"/>
    <w:rsid w:val="00B27C1D"/>
    <w:rsid w:val="00B405F5"/>
    <w:rsid w:val="00B40A8C"/>
    <w:rsid w:val="00B75CA3"/>
    <w:rsid w:val="00BE06BC"/>
    <w:rsid w:val="00BE4A1B"/>
    <w:rsid w:val="00BF0B92"/>
    <w:rsid w:val="00C10344"/>
    <w:rsid w:val="00C303D5"/>
    <w:rsid w:val="00C36EEB"/>
    <w:rsid w:val="00C6315C"/>
    <w:rsid w:val="00C633A3"/>
    <w:rsid w:val="00C656FC"/>
    <w:rsid w:val="00C730A1"/>
    <w:rsid w:val="00CE0421"/>
    <w:rsid w:val="00D15BA4"/>
    <w:rsid w:val="00D221B9"/>
    <w:rsid w:val="00D33FC0"/>
    <w:rsid w:val="00D47520"/>
    <w:rsid w:val="00DB0181"/>
    <w:rsid w:val="00DF351C"/>
    <w:rsid w:val="00E42B2B"/>
    <w:rsid w:val="00E501DB"/>
    <w:rsid w:val="00E5452C"/>
    <w:rsid w:val="00E82CAC"/>
    <w:rsid w:val="00ED5AF9"/>
    <w:rsid w:val="00EE1BA0"/>
    <w:rsid w:val="00F04508"/>
    <w:rsid w:val="00F66818"/>
    <w:rsid w:val="00F70784"/>
    <w:rsid w:val="00F77A49"/>
    <w:rsid w:val="00F80A3A"/>
    <w:rsid w:val="00F900B3"/>
    <w:rsid w:val="00FB2D43"/>
    <w:rsid w:val="00FB3469"/>
    <w:rsid w:val="00FC5303"/>
    <w:rsid w:val="00FD6A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0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A1B"/>
    <w:pPr>
      <w:ind w:leftChars="200" w:left="480"/>
    </w:pPr>
  </w:style>
  <w:style w:type="table" w:styleId="a4">
    <w:name w:val="Table Grid"/>
    <w:basedOn w:val="a1"/>
    <w:uiPriority w:val="59"/>
    <w:rsid w:val="005225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D2754"/>
    <w:pPr>
      <w:tabs>
        <w:tab w:val="center" w:pos="4153"/>
        <w:tab w:val="right" w:pos="8306"/>
      </w:tabs>
      <w:snapToGrid w:val="0"/>
    </w:pPr>
    <w:rPr>
      <w:sz w:val="20"/>
      <w:szCs w:val="20"/>
    </w:rPr>
  </w:style>
  <w:style w:type="character" w:customStyle="1" w:styleId="a6">
    <w:name w:val="頁首 字元"/>
    <w:basedOn w:val="a0"/>
    <w:link w:val="a5"/>
    <w:uiPriority w:val="99"/>
    <w:rsid w:val="004D2754"/>
    <w:rPr>
      <w:sz w:val="20"/>
      <w:szCs w:val="20"/>
    </w:rPr>
  </w:style>
  <w:style w:type="paragraph" w:styleId="a7">
    <w:name w:val="footer"/>
    <w:basedOn w:val="a"/>
    <w:link w:val="a8"/>
    <w:uiPriority w:val="99"/>
    <w:unhideWhenUsed/>
    <w:rsid w:val="004D2754"/>
    <w:pPr>
      <w:tabs>
        <w:tab w:val="center" w:pos="4153"/>
        <w:tab w:val="right" w:pos="8306"/>
      </w:tabs>
      <w:snapToGrid w:val="0"/>
    </w:pPr>
    <w:rPr>
      <w:sz w:val="20"/>
      <w:szCs w:val="20"/>
    </w:rPr>
  </w:style>
  <w:style w:type="character" w:customStyle="1" w:styleId="a8">
    <w:name w:val="頁尾 字元"/>
    <w:basedOn w:val="a0"/>
    <w:link w:val="a7"/>
    <w:uiPriority w:val="99"/>
    <w:rsid w:val="004D2754"/>
    <w:rPr>
      <w:sz w:val="20"/>
      <w:szCs w:val="20"/>
    </w:rPr>
  </w:style>
  <w:style w:type="paragraph" w:customStyle="1" w:styleId="a9">
    <w:name w:val="字元"/>
    <w:basedOn w:val="a"/>
    <w:rsid w:val="00A87A84"/>
    <w:pPr>
      <w:widowControl/>
      <w:spacing w:after="160" w:line="240" w:lineRule="exact"/>
    </w:pPr>
    <w:rPr>
      <w:rFonts w:ascii="Arial" w:eastAsia="Times New Roman" w:hAnsi="Arial" w:cs="Arial"/>
      <w:kern w:val="0"/>
      <w:sz w:val="20"/>
      <w:szCs w:val="20"/>
      <w:lang w:eastAsia="en-US"/>
    </w:rPr>
  </w:style>
  <w:style w:type="character" w:customStyle="1" w:styleId="aa">
    <w:name w:val="紅字"/>
    <w:basedOn w:val="a0"/>
    <w:rsid w:val="00E82CAC"/>
    <w:rPr>
      <w:rFonts w:ascii="Times New Roman" w:eastAsia="新細明體" w:hAnsi="Times New Roman"/>
      <w:color w:val="FF0000"/>
    </w:rPr>
  </w:style>
  <w:style w:type="paragraph" w:customStyle="1" w:styleId="ab">
    <w:name w:val="主旨"/>
    <w:basedOn w:val="a"/>
    <w:rsid w:val="00E82CAC"/>
    <w:pPr>
      <w:snapToGrid w:val="0"/>
      <w:spacing w:beforeLines="50" w:afterLines="50" w:line="500" w:lineRule="exact"/>
      <w:ind w:left="964" w:hanging="964"/>
      <w:jc w:val="both"/>
    </w:pPr>
    <w:rPr>
      <w:rFonts w:ascii="Times New Roman" w:eastAsia="標楷體" w:hAnsi="Times New Roman" w:cs="Times New Roman"/>
      <w:sz w:val="32"/>
      <w:szCs w:val="20"/>
    </w:rPr>
  </w:style>
  <w:style w:type="paragraph" w:styleId="ac">
    <w:name w:val="Balloon Text"/>
    <w:basedOn w:val="a"/>
    <w:link w:val="ad"/>
    <w:uiPriority w:val="99"/>
    <w:semiHidden/>
    <w:unhideWhenUsed/>
    <w:rsid w:val="00E82CA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82CAC"/>
    <w:rPr>
      <w:rFonts w:asciiTheme="majorHAnsi" w:eastAsiaTheme="majorEastAsia" w:hAnsiTheme="majorHAnsi" w:cstheme="majorBidi"/>
      <w:sz w:val="18"/>
      <w:szCs w:val="18"/>
    </w:rPr>
  </w:style>
  <w:style w:type="character" w:styleId="ae">
    <w:name w:val="Hyperlink"/>
    <w:basedOn w:val="a0"/>
    <w:uiPriority w:val="99"/>
    <w:unhideWhenUsed/>
    <w:rsid w:val="00A05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0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A1B"/>
    <w:pPr>
      <w:ind w:leftChars="200" w:left="480"/>
    </w:pPr>
  </w:style>
  <w:style w:type="table" w:styleId="a4">
    <w:name w:val="Table Grid"/>
    <w:basedOn w:val="a1"/>
    <w:uiPriority w:val="59"/>
    <w:rsid w:val="005225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4D2754"/>
    <w:pPr>
      <w:tabs>
        <w:tab w:val="center" w:pos="4153"/>
        <w:tab w:val="right" w:pos="8306"/>
      </w:tabs>
      <w:snapToGrid w:val="0"/>
    </w:pPr>
    <w:rPr>
      <w:sz w:val="20"/>
      <w:szCs w:val="20"/>
    </w:rPr>
  </w:style>
  <w:style w:type="character" w:customStyle="1" w:styleId="a6">
    <w:name w:val="頁首 字元"/>
    <w:basedOn w:val="a0"/>
    <w:link w:val="a5"/>
    <w:uiPriority w:val="99"/>
    <w:rsid w:val="004D2754"/>
    <w:rPr>
      <w:sz w:val="20"/>
      <w:szCs w:val="20"/>
    </w:rPr>
  </w:style>
  <w:style w:type="paragraph" w:styleId="a7">
    <w:name w:val="footer"/>
    <w:basedOn w:val="a"/>
    <w:link w:val="a8"/>
    <w:uiPriority w:val="99"/>
    <w:unhideWhenUsed/>
    <w:rsid w:val="004D2754"/>
    <w:pPr>
      <w:tabs>
        <w:tab w:val="center" w:pos="4153"/>
        <w:tab w:val="right" w:pos="8306"/>
      </w:tabs>
      <w:snapToGrid w:val="0"/>
    </w:pPr>
    <w:rPr>
      <w:sz w:val="20"/>
      <w:szCs w:val="20"/>
    </w:rPr>
  </w:style>
  <w:style w:type="character" w:customStyle="1" w:styleId="a8">
    <w:name w:val="頁尾 字元"/>
    <w:basedOn w:val="a0"/>
    <w:link w:val="a7"/>
    <w:uiPriority w:val="99"/>
    <w:rsid w:val="004D2754"/>
    <w:rPr>
      <w:sz w:val="20"/>
      <w:szCs w:val="20"/>
    </w:rPr>
  </w:style>
  <w:style w:type="paragraph" w:customStyle="1" w:styleId="a9">
    <w:name w:val="字元"/>
    <w:basedOn w:val="a"/>
    <w:rsid w:val="00A87A84"/>
    <w:pPr>
      <w:widowControl/>
      <w:spacing w:after="160" w:line="240" w:lineRule="exact"/>
    </w:pPr>
    <w:rPr>
      <w:rFonts w:ascii="Arial" w:eastAsia="Times New Roman" w:hAnsi="Arial" w:cs="Arial"/>
      <w:kern w:val="0"/>
      <w:sz w:val="20"/>
      <w:szCs w:val="20"/>
      <w:lang w:eastAsia="en-US"/>
    </w:rPr>
  </w:style>
  <w:style w:type="character" w:customStyle="1" w:styleId="aa">
    <w:name w:val="紅字"/>
    <w:basedOn w:val="a0"/>
    <w:rsid w:val="00E82CAC"/>
    <w:rPr>
      <w:rFonts w:ascii="Times New Roman" w:eastAsia="新細明體" w:hAnsi="Times New Roman"/>
      <w:color w:val="FF0000"/>
    </w:rPr>
  </w:style>
  <w:style w:type="paragraph" w:customStyle="1" w:styleId="ab">
    <w:name w:val="主旨"/>
    <w:basedOn w:val="a"/>
    <w:rsid w:val="00E82CAC"/>
    <w:pPr>
      <w:snapToGrid w:val="0"/>
      <w:spacing w:beforeLines="50" w:afterLines="50" w:line="500" w:lineRule="exact"/>
      <w:ind w:left="964" w:hanging="964"/>
      <w:jc w:val="both"/>
    </w:pPr>
    <w:rPr>
      <w:rFonts w:ascii="Times New Roman" w:eastAsia="標楷體" w:hAnsi="Times New Roman" w:cs="Times New Roman"/>
      <w:sz w:val="32"/>
      <w:szCs w:val="20"/>
    </w:rPr>
  </w:style>
  <w:style w:type="paragraph" w:styleId="ac">
    <w:name w:val="Balloon Text"/>
    <w:basedOn w:val="a"/>
    <w:link w:val="ad"/>
    <w:uiPriority w:val="99"/>
    <w:semiHidden/>
    <w:unhideWhenUsed/>
    <w:rsid w:val="00E82CA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82CAC"/>
    <w:rPr>
      <w:rFonts w:asciiTheme="majorHAnsi" w:eastAsiaTheme="majorEastAsia" w:hAnsiTheme="majorHAnsi" w:cstheme="majorBidi"/>
      <w:sz w:val="18"/>
      <w:szCs w:val="18"/>
    </w:rPr>
  </w:style>
  <w:style w:type="character" w:styleId="ae">
    <w:name w:val="Hyperlink"/>
    <w:basedOn w:val="a0"/>
    <w:uiPriority w:val="99"/>
    <w:unhideWhenUsed/>
    <w:rsid w:val="00A05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9323-DBBC-40EE-9954-BD9E43FA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574</Words>
  <Characters>3273</Characters>
  <Application>Microsoft Office Word</Application>
  <DocSecurity>0</DocSecurity>
  <Lines>27</Lines>
  <Paragraphs>7</Paragraphs>
  <ScaleCrop>false</ScaleCrop>
  <Company>TWSE</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0814</dc:creator>
  <cp:lastModifiedBy>GTSM</cp:lastModifiedBy>
  <cp:revision>8</cp:revision>
  <cp:lastPrinted>2012-01-13T01:18:00Z</cp:lastPrinted>
  <dcterms:created xsi:type="dcterms:W3CDTF">2012-01-18T03:28:00Z</dcterms:created>
  <dcterms:modified xsi:type="dcterms:W3CDTF">2015-02-24T02:07:00Z</dcterms:modified>
</cp:coreProperties>
</file>