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CF" w:rsidRPr="008907F2" w:rsidRDefault="002D66CF" w:rsidP="002D66CF">
      <w:pPr>
        <w:jc w:val="distribute"/>
        <w:rPr>
          <w:rFonts w:ascii="標楷體" w:eastAsia="標楷體" w:hAnsi="標楷體"/>
        </w:rPr>
      </w:pPr>
    </w:p>
    <w:p w:rsidR="002D66CF" w:rsidRPr="00212888" w:rsidRDefault="00293C28" w:rsidP="002D66CF">
      <w:pPr>
        <w:pStyle w:val="a3"/>
        <w:rPr>
          <w:rFonts w:ascii="新細明體" w:hAnsi="新細明體"/>
        </w:rPr>
      </w:pPr>
      <w:r w:rsidRPr="00293C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62.05pt;margin-top:12.75pt;width:158.2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">
            <v:textbox>
              <w:txbxContent>
                <w:p w:rsidR="00134829" w:rsidRDefault="00134829" w:rsidP="002D66C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>基金概況資料表</w:t>
                  </w:r>
                </w:p>
              </w:txbxContent>
            </v:textbox>
          </v:shape>
        </w:pict>
      </w:r>
      <w:r w:rsidR="002D66CF" w:rsidRPr="00212888">
        <w:rPr>
          <w:rFonts w:ascii="新細明體" w:hAnsi="新細明體" w:hint="eastAsia"/>
          <w:noProof/>
        </w:rPr>
        <w:drawing>
          <wp:inline distT="0" distB="0" distL="0" distR="0">
            <wp:extent cx="6118860" cy="708660"/>
            <wp:effectExtent l="0" t="0" r="0" b="0"/>
            <wp:docPr id="1" name="圖片 1" descr="visual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_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6CF" w:rsidRPr="00212888" w:rsidRDefault="002D66CF" w:rsidP="002D66CF">
      <w:pPr>
        <w:rPr>
          <w:rFonts w:eastAsia="標楷體"/>
          <w:b/>
          <w:bCs/>
          <w:szCs w:val="20"/>
        </w:rPr>
      </w:pPr>
      <w:r w:rsidRPr="00212888">
        <w:rPr>
          <w:rFonts w:eastAsia="標楷體"/>
          <w:b/>
          <w:bCs/>
          <w:szCs w:val="20"/>
        </w:rPr>
        <w:t>以下資料由</w:t>
      </w:r>
      <w:r w:rsidR="003555F1">
        <w:rPr>
          <w:rFonts w:eastAsia="標楷體" w:hint="eastAsia"/>
          <w:b/>
          <w:bCs/>
          <w:szCs w:val="20"/>
        </w:rPr>
        <w:t>第一金</w:t>
      </w:r>
      <w:r w:rsidRPr="00212888">
        <w:rPr>
          <w:rFonts w:eastAsia="標楷體" w:hint="eastAsia"/>
          <w:b/>
          <w:bCs/>
          <w:szCs w:val="20"/>
        </w:rPr>
        <w:t>證券投資信託</w:t>
      </w:r>
      <w:r w:rsidRPr="00212888">
        <w:rPr>
          <w:rFonts w:eastAsia="標楷體"/>
          <w:b/>
          <w:bCs/>
          <w:szCs w:val="20"/>
        </w:rPr>
        <w:t>股份有限公司及其</w:t>
      </w:r>
      <w:r w:rsidRPr="00212888">
        <w:rPr>
          <w:rFonts w:eastAsia="標楷體" w:hint="eastAsia"/>
          <w:b/>
          <w:bCs/>
          <w:szCs w:val="20"/>
        </w:rPr>
        <w:t>造市</w:t>
      </w:r>
      <w:r w:rsidRPr="00212888">
        <w:rPr>
          <w:rFonts w:eastAsia="標楷體"/>
          <w:b/>
          <w:bCs/>
          <w:szCs w:val="20"/>
        </w:rPr>
        <w:t>商提供，資料若有錯誤、遺漏或虛偽不實，均由該公司及其</w:t>
      </w:r>
      <w:r w:rsidRPr="00212888">
        <w:rPr>
          <w:rFonts w:eastAsia="標楷體" w:hint="eastAsia"/>
          <w:b/>
          <w:bCs/>
          <w:szCs w:val="20"/>
        </w:rPr>
        <w:t>造市</w:t>
      </w:r>
      <w:r w:rsidRPr="00212888">
        <w:rPr>
          <w:rFonts w:eastAsia="標楷體"/>
          <w:b/>
          <w:bCs/>
          <w:szCs w:val="20"/>
        </w:rPr>
        <w:t>商負責。</w:t>
      </w:r>
    </w:p>
    <w:p w:rsidR="002D66CF" w:rsidRPr="00212888" w:rsidRDefault="002D66CF" w:rsidP="002D66CF">
      <w:pPr>
        <w:jc w:val="both"/>
        <w:rPr>
          <w:rFonts w:ascii="新細明體" w:hAnsi="新細明體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6"/>
        <w:gridCol w:w="6569"/>
      </w:tblGrid>
      <w:tr w:rsidR="002D66CF" w:rsidRPr="00212888" w:rsidTr="007D6946">
        <w:tc>
          <w:tcPr>
            <w:tcW w:w="2186" w:type="dxa"/>
            <w:shd w:val="clear" w:color="auto" w:fill="auto"/>
          </w:tcPr>
          <w:p w:rsidR="002D66CF" w:rsidRPr="00212888" w:rsidRDefault="002D66CF" w:rsidP="00134829">
            <w:pPr>
              <w:jc w:val="both"/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受益憑證代號</w:t>
            </w:r>
          </w:p>
        </w:tc>
        <w:tc>
          <w:tcPr>
            <w:tcW w:w="6569" w:type="dxa"/>
            <w:shd w:val="clear" w:color="auto" w:fill="auto"/>
          </w:tcPr>
          <w:p w:rsidR="002D66CF" w:rsidRPr="00212888" w:rsidRDefault="00134829" w:rsidP="00134829">
            <w:pPr>
              <w:jc w:val="both"/>
              <w:rPr>
                <w:rFonts w:ascii="新細明體" w:hAnsi="新細明體"/>
              </w:rPr>
            </w:pPr>
            <w:r>
              <w:t>T0336Y</w:t>
            </w:r>
          </w:p>
        </w:tc>
      </w:tr>
      <w:tr w:rsidR="002D66CF" w:rsidRPr="00212888" w:rsidTr="007D6946">
        <w:tc>
          <w:tcPr>
            <w:tcW w:w="2186" w:type="dxa"/>
            <w:shd w:val="clear" w:color="auto" w:fill="auto"/>
          </w:tcPr>
          <w:p w:rsidR="002D66CF" w:rsidRPr="00212888" w:rsidRDefault="002D66CF" w:rsidP="00134829">
            <w:pPr>
              <w:jc w:val="both"/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基金統一編號</w:t>
            </w:r>
          </w:p>
        </w:tc>
        <w:tc>
          <w:tcPr>
            <w:tcW w:w="6569" w:type="dxa"/>
            <w:shd w:val="clear" w:color="auto" w:fill="auto"/>
          </w:tcPr>
          <w:p w:rsidR="002D66CF" w:rsidRPr="002E79AE" w:rsidRDefault="00625504" w:rsidP="001348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26202396</w:t>
            </w:r>
          </w:p>
        </w:tc>
      </w:tr>
      <w:tr w:rsidR="002D66CF" w:rsidRPr="00212888" w:rsidTr="007D6946">
        <w:tc>
          <w:tcPr>
            <w:tcW w:w="2186" w:type="dxa"/>
            <w:shd w:val="clear" w:color="auto" w:fill="auto"/>
          </w:tcPr>
          <w:p w:rsidR="002D66CF" w:rsidRPr="00212888" w:rsidRDefault="002D66CF" w:rsidP="00134829">
            <w:pPr>
              <w:jc w:val="both"/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基金名稱</w:t>
            </w:r>
          </w:p>
        </w:tc>
        <w:tc>
          <w:tcPr>
            <w:tcW w:w="6569" w:type="dxa"/>
            <w:shd w:val="clear" w:color="auto" w:fill="auto"/>
          </w:tcPr>
          <w:p w:rsidR="002D66CF" w:rsidRPr="002E79AE" w:rsidRDefault="002E79AE" w:rsidP="00625504">
            <w:pPr>
              <w:jc w:val="both"/>
              <w:rPr>
                <w:rFonts w:ascii="標楷體" w:eastAsia="標楷體" w:hAnsi="標楷體"/>
              </w:rPr>
            </w:pPr>
            <w:r w:rsidRPr="002E79AE">
              <w:rPr>
                <w:rFonts w:ascii="標楷體" w:eastAsia="標楷體" w:hAnsi="標楷體" w:hint="eastAsia"/>
              </w:rPr>
              <w:t>第一金</w:t>
            </w:r>
            <w:r w:rsidR="00625504">
              <w:rPr>
                <w:rFonts w:ascii="標楷體" w:eastAsia="標楷體" w:hAnsi="標楷體" w:hint="eastAsia"/>
              </w:rPr>
              <w:t>創新趨勢</w:t>
            </w:r>
            <w:r w:rsidRPr="002E79AE">
              <w:rPr>
                <w:rFonts w:ascii="標楷體" w:eastAsia="標楷體" w:hAnsi="標楷體" w:hint="eastAsia"/>
              </w:rPr>
              <w:t>基金</w:t>
            </w:r>
          </w:p>
        </w:tc>
      </w:tr>
      <w:tr w:rsidR="002D66CF" w:rsidRPr="00212888" w:rsidTr="007D6946">
        <w:tc>
          <w:tcPr>
            <w:tcW w:w="2186" w:type="dxa"/>
            <w:shd w:val="clear" w:color="auto" w:fill="auto"/>
          </w:tcPr>
          <w:p w:rsidR="002D66CF" w:rsidRPr="00212888" w:rsidRDefault="002D66CF" w:rsidP="00134829">
            <w:pPr>
              <w:jc w:val="both"/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證券投資信託事業</w:t>
            </w:r>
          </w:p>
          <w:p w:rsidR="002D66CF" w:rsidRPr="00212888" w:rsidRDefault="002D66CF" w:rsidP="00134829">
            <w:pPr>
              <w:jc w:val="both"/>
              <w:rPr>
                <w:rFonts w:eastAsia="標楷體" w:hAnsi="標楷體"/>
              </w:rPr>
            </w:pPr>
          </w:p>
          <w:p w:rsidR="002D66CF" w:rsidRPr="00212888" w:rsidRDefault="002D66CF" w:rsidP="00134829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6569" w:type="dxa"/>
            <w:shd w:val="clear" w:color="auto" w:fill="auto"/>
          </w:tcPr>
          <w:p w:rsidR="002D66CF" w:rsidRPr="00212888" w:rsidRDefault="002D66CF" w:rsidP="00134829">
            <w:pPr>
              <w:jc w:val="both"/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名稱</w:t>
            </w:r>
            <w:r w:rsidRPr="00212888">
              <w:rPr>
                <w:rFonts w:ascii="標楷體" w:eastAsia="標楷體" w:hAnsi="標楷體"/>
              </w:rPr>
              <w:t>：</w:t>
            </w:r>
            <w:r w:rsidR="002E79AE">
              <w:rPr>
                <w:rFonts w:ascii="標楷體" w:eastAsia="標楷體" w:hAnsi="標楷體" w:hint="eastAsia"/>
              </w:rPr>
              <w:t>第一金證券投資信託股份有限公司</w:t>
            </w:r>
          </w:p>
          <w:p w:rsidR="002D66CF" w:rsidRPr="00212888" w:rsidRDefault="002D66CF" w:rsidP="00134829">
            <w:pPr>
              <w:jc w:val="both"/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/>
              </w:rPr>
              <w:t>聯絡人：</w:t>
            </w:r>
            <w:r w:rsidR="002E79AE">
              <w:rPr>
                <w:rFonts w:ascii="標楷體" w:eastAsia="標楷體" w:hAnsi="標楷體" w:hint="eastAsia"/>
              </w:rPr>
              <w:t>張素瑛</w:t>
            </w:r>
          </w:p>
          <w:p w:rsidR="002D66CF" w:rsidRPr="00212888" w:rsidRDefault="002D66CF" w:rsidP="00134829">
            <w:pPr>
              <w:jc w:val="both"/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聯絡電話：</w:t>
            </w:r>
            <w:r w:rsidR="002E79AE">
              <w:rPr>
                <w:rFonts w:ascii="標楷體" w:eastAsia="標楷體" w:hAnsi="標楷體" w:hint="eastAsia"/>
              </w:rPr>
              <w:t>2504-1000</w:t>
            </w:r>
            <w:r w:rsidRPr="00212888">
              <w:rPr>
                <w:rFonts w:ascii="標楷體" w:eastAsia="標楷體" w:hAnsi="標楷體" w:hint="eastAsia"/>
              </w:rPr>
              <w:t xml:space="preserve">   </w:t>
            </w:r>
            <w:r w:rsidRPr="00212888">
              <w:rPr>
                <w:rFonts w:ascii="標楷體" w:eastAsia="標楷體" w:hAnsi="標楷體"/>
              </w:rPr>
              <w:t xml:space="preserve"> 分機：</w:t>
            </w:r>
            <w:r w:rsidR="002E79AE">
              <w:rPr>
                <w:rFonts w:ascii="標楷體" w:eastAsia="標楷體" w:hAnsi="標楷體" w:hint="eastAsia"/>
              </w:rPr>
              <w:t>7748</w:t>
            </w:r>
          </w:p>
        </w:tc>
      </w:tr>
      <w:tr w:rsidR="002D66CF" w:rsidRPr="00212888" w:rsidTr="007D6946">
        <w:tc>
          <w:tcPr>
            <w:tcW w:w="2186" w:type="dxa"/>
            <w:shd w:val="clear" w:color="auto" w:fill="auto"/>
          </w:tcPr>
          <w:p w:rsidR="002D66CF" w:rsidRPr="00212888" w:rsidRDefault="002D66CF" w:rsidP="00134829">
            <w:pPr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造市</w:t>
            </w:r>
            <w:r w:rsidRPr="00212888">
              <w:rPr>
                <w:rFonts w:ascii="標楷體" w:eastAsia="標楷體" w:hAnsi="標楷體"/>
              </w:rPr>
              <w:t>商</w:t>
            </w:r>
          </w:p>
        </w:tc>
        <w:tc>
          <w:tcPr>
            <w:tcW w:w="6569" w:type="dxa"/>
            <w:shd w:val="clear" w:color="auto" w:fill="auto"/>
          </w:tcPr>
          <w:p w:rsidR="002D66CF" w:rsidRPr="00141B42" w:rsidRDefault="002D66CF" w:rsidP="00134829">
            <w:pPr>
              <w:jc w:val="both"/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名稱</w:t>
            </w:r>
            <w:r w:rsidRPr="00212888">
              <w:rPr>
                <w:rFonts w:ascii="標楷體" w:eastAsia="標楷體" w:hAnsi="標楷體"/>
              </w:rPr>
              <w:t>：</w:t>
            </w:r>
            <w:r w:rsidR="00141B42">
              <w:rPr>
                <w:rFonts w:ascii="標楷體" w:eastAsia="標楷體" w:hAnsi="標楷體" w:hint="eastAsia"/>
              </w:rPr>
              <w:t>第一金證券股份有限公司</w:t>
            </w:r>
          </w:p>
          <w:p w:rsidR="002D66CF" w:rsidRPr="00212888" w:rsidRDefault="002D66CF" w:rsidP="00134829">
            <w:pPr>
              <w:jc w:val="both"/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/>
              </w:rPr>
              <w:t>聯絡人：</w:t>
            </w:r>
            <w:r w:rsidR="006273FE">
              <w:rPr>
                <w:rFonts w:ascii="標楷體" w:eastAsia="標楷體" w:hAnsi="標楷體" w:hint="eastAsia"/>
              </w:rPr>
              <w:t>王先生</w:t>
            </w:r>
          </w:p>
          <w:p w:rsidR="002D66CF" w:rsidRPr="00212888" w:rsidRDefault="002D66CF" w:rsidP="006273FE">
            <w:pPr>
              <w:jc w:val="both"/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聯絡電話：</w:t>
            </w:r>
            <w:r w:rsidR="006273FE">
              <w:t>2563</w:t>
            </w:r>
            <w:r w:rsidR="006273FE">
              <w:rPr>
                <w:rFonts w:hint="eastAsia"/>
              </w:rPr>
              <w:t>-</w:t>
            </w:r>
            <w:r w:rsidR="006273FE">
              <w:t>6262</w:t>
            </w:r>
            <w:r w:rsidRPr="00212888">
              <w:rPr>
                <w:rFonts w:ascii="標楷體" w:eastAsia="標楷體" w:hAnsi="標楷體" w:hint="eastAsia"/>
              </w:rPr>
              <w:t xml:space="preserve">   </w:t>
            </w:r>
            <w:r w:rsidRPr="00212888">
              <w:rPr>
                <w:rFonts w:ascii="標楷體" w:eastAsia="標楷體" w:hAnsi="標楷體"/>
              </w:rPr>
              <w:t xml:space="preserve"> 分機：</w:t>
            </w:r>
            <w:r w:rsidR="006273FE">
              <w:rPr>
                <w:rFonts w:ascii="標楷體" w:eastAsia="標楷體" w:hAnsi="標楷體" w:hint="eastAsia"/>
              </w:rPr>
              <w:t>989</w:t>
            </w:r>
          </w:p>
        </w:tc>
      </w:tr>
      <w:tr w:rsidR="002D66CF" w:rsidRPr="00212888" w:rsidTr="007D6946">
        <w:tc>
          <w:tcPr>
            <w:tcW w:w="2186" w:type="dxa"/>
            <w:shd w:val="clear" w:color="auto" w:fill="auto"/>
          </w:tcPr>
          <w:p w:rsidR="002D66CF" w:rsidRPr="00212888" w:rsidRDefault="002D66CF" w:rsidP="00134829">
            <w:pPr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簡式公開說明書</w:t>
            </w:r>
          </w:p>
        </w:tc>
        <w:tc>
          <w:tcPr>
            <w:tcW w:w="6569" w:type="dxa"/>
            <w:shd w:val="clear" w:color="auto" w:fill="auto"/>
          </w:tcPr>
          <w:p w:rsidR="002D66CF" w:rsidRPr="00212888" w:rsidRDefault="00625504" w:rsidP="00134829">
            <w:pPr>
              <w:rPr>
                <w:rFonts w:ascii="標楷體" w:eastAsia="標楷體" w:hAnsi="標楷體"/>
              </w:rPr>
            </w:pPr>
            <w:r w:rsidRPr="00625504">
              <w:rPr>
                <w:rFonts w:ascii="標楷體" w:eastAsia="標楷體" w:hAnsi="標楷體"/>
              </w:rPr>
              <w:t>https://www.fsitc.com.tw/fund/manual_simple/D36.pdf</w:t>
            </w:r>
          </w:p>
        </w:tc>
      </w:tr>
      <w:tr w:rsidR="002D66CF" w:rsidRPr="00212888" w:rsidTr="007D6946">
        <w:tc>
          <w:tcPr>
            <w:tcW w:w="2186" w:type="dxa"/>
            <w:shd w:val="clear" w:color="auto" w:fill="auto"/>
          </w:tcPr>
          <w:p w:rsidR="002D66CF" w:rsidRDefault="002D66CF" w:rsidP="00134829">
            <w:pPr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每受益權單位預估淨資產價值之揭露頻率及網址</w:t>
            </w:r>
          </w:p>
          <w:p w:rsidR="002D66CF" w:rsidRPr="00212888" w:rsidRDefault="002D66CF" w:rsidP="001348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(開始櫃檯買賣日起提供)</w:t>
            </w:r>
          </w:p>
        </w:tc>
        <w:tc>
          <w:tcPr>
            <w:tcW w:w="6569" w:type="dxa"/>
            <w:shd w:val="clear" w:color="auto" w:fill="auto"/>
          </w:tcPr>
          <w:p w:rsidR="002D66CF" w:rsidRPr="00212888" w:rsidRDefault="002D66CF" w:rsidP="00134829">
            <w:pPr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揭露頻率</w:t>
            </w:r>
            <w:r w:rsidRPr="00212888">
              <w:rPr>
                <w:rFonts w:ascii="標楷體" w:eastAsia="標楷體" w:hAnsi="標楷體"/>
              </w:rPr>
              <w:t>：</w:t>
            </w:r>
            <w:r w:rsidRPr="00212888">
              <w:rPr>
                <w:rFonts w:ascii="標楷體" w:eastAsia="標楷體" w:hAnsi="標楷體" w:hint="eastAsia"/>
              </w:rPr>
              <w:t>每</w:t>
            </w:r>
            <w:r w:rsidR="007D6946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秒</w:t>
            </w:r>
            <w:r w:rsidRPr="00212888">
              <w:rPr>
                <w:rFonts w:ascii="標楷體" w:eastAsia="標楷體" w:hAnsi="標楷體" w:hint="eastAsia"/>
              </w:rPr>
              <w:t>更新乙次。</w:t>
            </w:r>
          </w:p>
          <w:p w:rsidR="002D66CF" w:rsidRPr="00212888" w:rsidRDefault="002D66CF" w:rsidP="00134829">
            <w:pPr>
              <w:rPr>
                <w:rFonts w:ascii="標楷體" w:eastAsia="標楷體" w:hAnsi="標楷體"/>
              </w:rPr>
            </w:pPr>
            <w:r w:rsidRPr="00212888">
              <w:rPr>
                <w:rFonts w:ascii="標楷體" w:eastAsia="標楷體" w:hAnsi="標楷體" w:hint="eastAsia"/>
              </w:rPr>
              <w:t>揭露網址</w:t>
            </w:r>
            <w:r w:rsidRPr="00212888">
              <w:rPr>
                <w:rFonts w:ascii="標楷體" w:eastAsia="標楷體" w:hAnsi="標楷體"/>
              </w:rPr>
              <w:t>：</w:t>
            </w:r>
            <w:r w:rsidR="007D6946" w:rsidRPr="007D6946">
              <w:rPr>
                <w:rFonts w:ascii="標楷體" w:eastAsia="標楷體" w:hAnsi="標楷體"/>
              </w:rPr>
              <w:t>https://www.fsitc.com.tw/default.aspx?menu=67</w:t>
            </w:r>
          </w:p>
        </w:tc>
      </w:tr>
    </w:tbl>
    <w:p w:rsidR="002D66CF" w:rsidRPr="00212888" w:rsidRDefault="002D66CF" w:rsidP="002E79AE">
      <w:pPr>
        <w:spacing w:line="0" w:lineRule="atLeast"/>
        <w:rPr>
          <w:rFonts w:eastAsia="標楷體"/>
          <w:b/>
          <w:bCs/>
          <w:sz w:val="32"/>
          <w:szCs w:val="32"/>
        </w:rPr>
      </w:pPr>
      <w:r w:rsidRPr="00212888">
        <w:rPr>
          <w:rFonts w:ascii="標楷體" w:eastAsia="標楷體" w:hAnsi="標楷體" w:hint="eastAsia"/>
          <w:sz w:val="32"/>
          <w:szCs w:val="32"/>
        </w:rPr>
        <w:t>投資人若欲查詢該基金更詳細之資料請連結至</w:t>
      </w:r>
      <w:r w:rsidR="0031277B">
        <w:rPr>
          <w:rFonts w:ascii="標楷體" w:eastAsia="標楷體" w:hAnsi="標楷體" w:hint="eastAsia"/>
          <w:sz w:val="32"/>
          <w:szCs w:val="32"/>
        </w:rPr>
        <w:t>第一金</w:t>
      </w:r>
      <w:r w:rsidRPr="00212888">
        <w:rPr>
          <w:rFonts w:ascii="標楷體" w:eastAsia="標楷體" w:hAnsi="標楷體" w:hint="eastAsia"/>
          <w:sz w:val="32"/>
          <w:szCs w:val="32"/>
        </w:rPr>
        <w:t>證券投資信託股份有限公司網站(連結網址</w:t>
      </w:r>
      <w:r>
        <w:rPr>
          <w:rFonts w:ascii="標楷體" w:eastAsia="標楷體" w:hAnsi="標楷體" w:hint="eastAsia"/>
          <w:sz w:val="32"/>
          <w:szCs w:val="32"/>
        </w:rPr>
        <w:t>：</w:t>
      </w:r>
      <w:bookmarkStart w:id="0" w:name="_GoBack"/>
      <w:bookmarkEnd w:id="0"/>
      <w:r w:rsidR="006A292A" w:rsidRPr="006A292A">
        <w:rPr>
          <w:rFonts w:ascii="標楷體" w:eastAsia="標楷體" w:hAnsi="標楷體"/>
          <w:b/>
          <w:color w:val="FF0000"/>
          <w:sz w:val="28"/>
          <w:szCs w:val="28"/>
          <w:u w:val="single"/>
        </w:rPr>
        <w:t>https://www.fsitc.com.tw/fund/default.aspx?Menu=21&amp;FundID=D36</w:t>
      </w:r>
      <w:r w:rsidRPr="00212888">
        <w:rPr>
          <w:rFonts w:ascii="標楷體" w:eastAsia="標楷體" w:hAnsi="標楷體" w:hint="eastAsia"/>
          <w:sz w:val="32"/>
          <w:szCs w:val="32"/>
        </w:rPr>
        <w:t>)或中華民國證券投資信託暨顧問商業同業公會網站(</w:t>
      </w:r>
      <w:hyperlink r:id="rId7" w:history="1">
        <w:r>
          <w:rPr>
            <w:rStyle w:val="a7"/>
          </w:rPr>
          <w:t>http://www.sitca.org.tw/ROC/Industry/IN2002.aspx?PGMID=IN0202&amp;PORDER=5</w:t>
        </w:r>
      </w:hyperlink>
      <w:r w:rsidRPr="00212888">
        <w:rPr>
          <w:rFonts w:ascii="標楷體" w:eastAsia="標楷體" w:hAnsi="標楷體" w:hint="eastAsia"/>
          <w:sz w:val="32"/>
          <w:szCs w:val="32"/>
        </w:rPr>
        <w:t>)。</w:t>
      </w:r>
    </w:p>
    <w:p w:rsidR="002D66CF" w:rsidRPr="00212888" w:rsidRDefault="002D66CF" w:rsidP="002D66CF">
      <w:pPr>
        <w:jc w:val="distribute"/>
        <w:rPr>
          <w:rFonts w:ascii="標楷體" w:eastAsia="標楷體" w:hAnsi="標楷體"/>
        </w:rPr>
      </w:pPr>
    </w:p>
    <w:p w:rsidR="00CB7F1B" w:rsidRDefault="00CB7F1B" w:rsidP="002D66CF"/>
    <w:sectPr w:rsidR="00CB7F1B" w:rsidSect="00AC6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29" w:rsidRDefault="00134829" w:rsidP="002E79AE">
      <w:r>
        <w:separator/>
      </w:r>
    </w:p>
  </w:endnote>
  <w:endnote w:type="continuationSeparator" w:id="0">
    <w:p w:rsidR="00134829" w:rsidRDefault="00134829" w:rsidP="002E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29" w:rsidRDefault="00134829" w:rsidP="002E79AE">
      <w:r>
        <w:separator/>
      </w:r>
    </w:p>
  </w:footnote>
  <w:footnote w:type="continuationSeparator" w:id="0">
    <w:p w:rsidR="00134829" w:rsidRDefault="00134829" w:rsidP="002E7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6CF"/>
    <w:rsid w:val="000837C4"/>
    <w:rsid w:val="00134829"/>
    <w:rsid w:val="00141B42"/>
    <w:rsid w:val="00293C28"/>
    <w:rsid w:val="002D66CF"/>
    <w:rsid w:val="002E79AE"/>
    <w:rsid w:val="0031277B"/>
    <w:rsid w:val="00346DCC"/>
    <w:rsid w:val="003555F1"/>
    <w:rsid w:val="00542719"/>
    <w:rsid w:val="00625504"/>
    <w:rsid w:val="006273FE"/>
    <w:rsid w:val="006A292A"/>
    <w:rsid w:val="007D6946"/>
    <w:rsid w:val="007F76AE"/>
    <w:rsid w:val="009579F3"/>
    <w:rsid w:val="009E3007"/>
    <w:rsid w:val="00AC6E29"/>
    <w:rsid w:val="00AF019B"/>
    <w:rsid w:val="00CB7F1B"/>
    <w:rsid w:val="00CF4289"/>
    <w:rsid w:val="00E56AF6"/>
    <w:rsid w:val="00E81398"/>
    <w:rsid w:val="00EB5817"/>
    <w:rsid w:val="00ED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6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D66CF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6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66C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D66CF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2E7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E79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6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D66CF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6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D66C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D6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itca.org.tw/ROC/Industry/IN2002.aspx?PGMID=IN0202&amp;PORDER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櫃檯買賣中心</dc:creator>
  <cp:lastModifiedBy>erica</cp:lastModifiedBy>
  <cp:revision>10</cp:revision>
  <cp:lastPrinted>2015-12-16T03:33:00Z</cp:lastPrinted>
  <dcterms:created xsi:type="dcterms:W3CDTF">2015-12-16T03:15:00Z</dcterms:created>
  <dcterms:modified xsi:type="dcterms:W3CDTF">2016-03-14T08:36:00Z</dcterms:modified>
</cp:coreProperties>
</file>