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11" w:rsidRPr="00C92B79" w:rsidRDefault="00E55611" w:rsidP="00261C60">
      <w:pPr>
        <w:pStyle w:val="Web"/>
        <w:spacing w:before="0" w:beforeAutospacing="0" w:afterLines="50" w:after="180" w:afterAutospacing="0" w:line="420" w:lineRule="exact"/>
        <w:jc w:val="center"/>
        <w:rPr>
          <w:rFonts w:ascii="標楷體" w:eastAsia="標楷體" w:hAnsi="標楷體" w:cstheme="majorHAnsi"/>
          <w:b/>
          <w:color w:val="000000" w:themeColor="text1"/>
          <w:u w:val="single"/>
        </w:rPr>
      </w:pPr>
      <w:bookmarkStart w:id="0" w:name="_GoBack"/>
      <w:r w:rsidRPr="00C92B79">
        <w:rPr>
          <w:rFonts w:ascii="標楷體" w:eastAsia="標楷體" w:hAnsi="標楷體" w:cstheme="majorHAnsi"/>
          <w:b/>
          <w:color w:val="000000" w:themeColor="text1"/>
          <w:u w:val="single"/>
        </w:rPr>
        <w:t>103年10月6日</w:t>
      </w:r>
      <w:r w:rsidRPr="00C92B79">
        <w:rPr>
          <w:rFonts w:ascii="標楷體" w:eastAsia="標楷體" w:hAnsi="標楷體" w:cstheme="majorHAnsi" w:hint="eastAsia"/>
          <w:b/>
          <w:color w:val="000000" w:themeColor="text1"/>
          <w:u w:val="single"/>
        </w:rPr>
        <w:t>修正</w:t>
      </w:r>
      <w:proofErr w:type="gramStart"/>
      <w:r w:rsidRPr="00C92B79">
        <w:rPr>
          <w:rFonts w:ascii="標楷體" w:eastAsia="標楷體" w:hAnsi="標楷體" w:cstheme="majorHAnsi"/>
          <w:b/>
          <w:color w:val="000000" w:themeColor="text1"/>
          <w:u w:val="single"/>
        </w:rPr>
        <w:t>之興櫃</w:t>
      </w:r>
      <w:proofErr w:type="gramEnd"/>
      <w:r w:rsidRPr="00C92B79">
        <w:rPr>
          <w:rFonts w:ascii="標楷體" w:eastAsia="標楷體" w:hAnsi="標楷體" w:cstheme="majorHAnsi"/>
          <w:b/>
          <w:color w:val="000000" w:themeColor="text1"/>
          <w:u w:val="single"/>
        </w:rPr>
        <w:t>股票交易制度</w:t>
      </w:r>
    </w:p>
    <w:p w:rsidR="00E55611" w:rsidRPr="00C92B79" w:rsidRDefault="00E55611" w:rsidP="00E55611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theme="majorHAnsi"/>
          <w:color w:val="000000" w:themeColor="text1"/>
          <w:kern w:val="0"/>
          <w:szCs w:val="24"/>
        </w:rPr>
      </w:pPr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開放綜合交易帳戶得</w:t>
      </w:r>
      <w:proofErr w:type="gramStart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買賣興櫃股票</w:t>
      </w:r>
      <w:proofErr w:type="gramEnd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：</w:t>
      </w:r>
    </w:p>
    <w:p w:rsidR="00E55611" w:rsidRPr="00C92B79" w:rsidRDefault="00E55611" w:rsidP="00E55611">
      <w:pPr>
        <w:widowControl/>
        <w:numPr>
          <w:ilvl w:val="0"/>
          <w:numId w:val="7"/>
        </w:numPr>
        <w:tabs>
          <w:tab w:val="left" w:pos="993"/>
          <w:tab w:val="left" w:pos="1276"/>
        </w:tabs>
        <w:spacing w:line="420" w:lineRule="exact"/>
        <w:rPr>
          <w:rFonts w:ascii="標楷體" w:eastAsia="標楷體" w:hAnsi="標楷體" w:cstheme="majorHAnsi"/>
          <w:color w:val="000000" w:themeColor="text1"/>
          <w:kern w:val="0"/>
          <w:szCs w:val="24"/>
        </w:rPr>
      </w:pPr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開放對象：除大陸地區投資人外之全體投資人(同上櫃有價證券)</w:t>
      </w:r>
    </w:p>
    <w:p w:rsidR="00E55611" w:rsidRPr="00C92B79" w:rsidRDefault="00E55611" w:rsidP="00E55611">
      <w:pPr>
        <w:widowControl/>
        <w:numPr>
          <w:ilvl w:val="0"/>
          <w:numId w:val="7"/>
        </w:numPr>
        <w:tabs>
          <w:tab w:val="left" w:pos="993"/>
          <w:tab w:val="left" w:pos="1276"/>
        </w:tabs>
        <w:spacing w:line="420" w:lineRule="exact"/>
        <w:rPr>
          <w:rFonts w:ascii="標楷體" w:eastAsia="標楷體" w:hAnsi="標楷體" w:cstheme="majorHAnsi"/>
          <w:color w:val="000000" w:themeColor="text1"/>
          <w:kern w:val="0"/>
          <w:szCs w:val="24"/>
        </w:rPr>
      </w:pPr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適用範圍：</w:t>
      </w:r>
    </w:p>
    <w:p w:rsidR="00E55611" w:rsidRPr="00C92B79" w:rsidRDefault="00E55611" w:rsidP="00E55611">
      <w:pPr>
        <w:widowControl/>
        <w:numPr>
          <w:ilvl w:val="0"/>
          <w:numId w:val="9"/>
        </w:numPr>
        <w:tabs>
          <w:tab w:val="left" w:pos="1276"/>
        </w:tabs>
        <w:spacing w:line="420" w:lineRule="exact"/>
        <w:ind w:left="1276" w:hanging="283"/>
        <w:rPr>
          <w:rFonts w:ascii="標楷體" w:eastAsia="標楷體" w:hAnsi="標楷體" w:cstheme="majorHAnsi"/>
          <w:color w:val="000000" w:themeColor="text1"/>
          <w:kern w:val="0"/>
          <w:szCs w:val="24"/>
        </w:rPr>
      </w:pPr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以透過「</w:t>
      </w:r>
      <w:proofErr w:type="gramStart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興櫃股票</w:t>
      </w:r>
      <w:proofErr w:type="gramEnd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電腦議價點選系統」交易，且</w:t>
      </w:r>
      <w:proofErr w:type="gramStart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採</w:t>
      </w:r>
      <w:proofErr w:type="gramEnd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T+2日交割者為限。</w:t>
      </w:r>
    </w:p>
    <w:p w:rsidR="00E55611" w:rsidRPr="00C92B79" w:rsidRDefault="00E55611" w:rsidP="00E55611">
      <w:pPr>
        <w:widowControl/>
        <w:numPr>
          <w:ilvl w:val="0"/>
          <w:numId w:val="9"/>
        </w:numPr>
        <w:tabs>
          <w:tab w:val="left" w:pos="1276"/>
        </w:tabs>
        <w:spacing w:line="420" w:lineRule="exact"/>
        <w:ind w:left="1276" w:hanging="283"/>
        <w:rPr>
          <w:rFonts w:ascii="標楷體" w:eastAsia="標楷體" w:hAnsi="標楷體" w:cstheme="majorHAnsi"/>
          <w:color w:val="000000" w:themeColor="text1"/>
          <w:kern w:val="0"/>
          <w:szCs w:val="24"/>
        </w:rPr>
      </w:pPr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綜合交易帳戶不得透過系統外議價交易</w:t>
      </w:r>
      <w:proofErr w:type="gramStart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買賣興櫃股票</w:t>
      </w:r>
      <w:proofErr w:type="gramEnd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。</w:t>
      </w:r>
    </w:p>
    <w:p w:rsidR="00E55611" w:rsidRPr="00C92B79" w:rsidRDefault="00E55611" w:rsidP="00E24545">
      <w:pPr>
        <w:widowControl/>
        <w:numPr>
          <w:ilvl w:val="0"/>
          <w:numId w:val="7"/>
        </w:numPr>
        <w:tabs>
          <w:tab w:val="clear" w:pos="687"/>
          <w:tab w:val="num" w:pos="993"/>
          <w:tab w:val="left" w:pos="1276"/>
        </w:tabs>
        <w:spacing w:line="420" w:lineRule="exact"/>
        <w:ind w:left="993" w:hanging="666"/>
        <w:rPr>
          <w:rFonts w:ascii="標楷體" w:eastAsia="標楷體" w:hAnsi="標楷體" w:cstheme="majorHAnsi"/>
          <w:color w:val="000000" w:themeColor="text1"/>
          <w:kern w:val="0"/>
          <w:szCs w:val="24"/>
        </w:rPr>
      </w:pPr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沿用目前證券商受託買賣上市、上櫃有價證券之綜合交易帳戶，每家總、分公司得在自家以自己名義各開立二個綜合交易帳戶：</w:t>
      </w:r>
    </w:p>
    <w:p w:rsidR="00E55611" w:rsidRPr="00C92B79" w:rsidRDefault="00E55611" w:rsidP="00E24545">
      <w:pPr>
        <w:widowControl/>
        <w:numPr>
          <w:ilvl w:val="0"/>
          <w:numId w:val="10"/>
        </w:numPr>
        <w:tabs>
          <w:tab w:val="left" w:pos="1276"/>
        </w:tabs>
        <w:spacing w:line="420" w:lineRule="exact"/>
        <w:ind w:left="1276" w:hanging="283"/>
        <w:rPr>
          <w:rFonts w:ascii="標楷體" w:eastAsia="標楷體" w:hAnsi="標楷體" w:cstheme="majorHAnsi"/>
          <w:color w:val="000000" w:themeColor="text1"/>
          <w:kern w:val="0"/>
          <w:szCs w:val="24"/>
        </w:rPr>
      </w:pPr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帳號為「885555-檢查碼」：供本國投資人使用</w:t>
      </w:r>
    </w:p>
    <w:p w:rsidR="00E55611" w:rsidRPr="00C92B79" w:rsidRDefault="00E55611" w:rsidP="00E24545">
      <w:pPr>
        <w:widowControl/>
        <w:numPr>
          <w:ilvl w:val="0"/>
          <w:numId w:val="10"/>
        </w:numPr>
        <w:tabs>
          <w:tab w:val="left" w:pos="1276"/>
        </w:tabs>
        <w:spacing w:line="420" w:lineRule="exact"/>
        <w:ind w:left="1276" w:hanging="283"/>
        <w:rPr>
          <w:rFonts w:ascii="標楷體" w:eastAsia="標楷體" w:hAnsi="標楷體" w:cstheme="majorHAnsi"/>
          <w:color w:val="000000" w:themeColor="text1"/>
          <w:kern w:val="0"/>
          <w:szCs w:val="24"/>
        </w:rPr>
      </w:pPr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帳號為「995555-檢查碼」：供外國投資人使用</w:t>
      </w:r>
    </w:p>
    <w:p w:rsidR="00E55611" w:rsidRPr="00C92B79" w:rsidRDefault="00E55611" w:rsidP="00E55611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theme="majorHAnsi"/>
          <w:color w:val="000000" w:themeColor="text1"/>
        </w:rPr>
      </w:pPr>
      <w:r w:rsidRPr="00C92B79">
        <w:rPr>
          <w:rFonts w:ascii="標楷體" w:eastAsia="標楷體" w:hAnsi="標楷體" w:cstheme="majorHAnsi"/>
          <w:color w:val="000000" w:themeColor="text1"/>
        </w:rPr>
        <w:t>新增證券經紀商</w:t>
      </w:r>
      <w:proofErr w:type="gramStart"/>
      <w:r w:rsidRPr="00C92B79">
        <w:rPr>
          <w:rFonts w:ascii="標楷體" w:eastAsia="標楷體" w:hAnsi="標楷體" w:cstheme="majorHAnsi"/>
          <w:color w:val="000000" w:themeColor="text1"/>
        </w:rPr>
        <w:t>錯帳專戶</w:t>
      </w:r>
      <w:proofErr w:type="gramEnd"/>
      <w:r w:rsidRPr="00C92B79">
        <w:rPr>
          <w:rFonts w:ascii="標楷體" w:eastAsia="標楷體" w:hAnsi="標楷體" w:cstheme="majorHAnsi"/>
          <w:color w:val="000000" w:themeColor="text1"/>
        </w:rPr>
        <w:t>得透過</w:t>
      </w:r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系統外議價</w:t>
      </w:r>
      <w:r w:rsidRPr="00C92B79">
        <w:rPr>
          <w:rFonts w:ascii="標楷體" w:eastAsia="標楷體" w:hAnsi="標楷體" w:cstheme="majorHAnsi"/>
          <w:color w:val="000000" w:themeColor="text1"/>
        </w:rPr>
        <w:t>交易及新增即將加入推薦之自營商得透過系統外議價方式取得</w:t>
      </w:r>
      <w:proofErr w:type="gramStart"/>
      <w:r w:rsidRPr="00C92B79">
        <w:rPr>
          <w:rFonts w:ascii="標楷體" w:eastAsia="標楷體" w:hAnsi="標楷體" w:cstheme="majorHAnsi"/>
          <w:color w:val="000000" w:themeColor="text1"/>
        </w:rPr>
        <w:t>所需造市</w:t>
      </w:r>
      <w:proofErr w:type="gramEnd"/>
      <w:r w:rsidRPr="00C92B79">
        <w:rPr>
          <w:rFonts w:ascii="標楷體" w:eastAsia="標楷體" w:hAnsi="標楷體" w:cstheme="majorHAnsi"/>
          <w:color w:val="000000" w:themeColor="text1"/>
        </w:rPr>
        <w:t>部位。</w:t>
      </w:r>
      <w:proofErr w:type="gramStart"/>
      <w:r w:rsidRPr="00C92B79">
        <w:rPr>
          <w:rFonts w:ascii="標楷體" w:eastAsia="標楷體" w:hAnsi="標楷體" w:cstheme="majorHAnsi"/>
          <w:color w:val="000000" w:themeColor="text1"/>
        </w:rPr>
        <w:t>有關興櫃股票</w:t>
      </w:r>
      <w:proofErr w:type="gramEnd"/>
      <w:r w:rsidRPr="00C92B79">
        <w:rPr>
          <w:rFonts w:ascii="標楷體" w:eastAsia="標楷體" w:hAnsi="標楷體" w:cstheme="majorHAnsi"/>
          <w:color w:val="000000" w:themeColor="text1"/>
        </w:rPr>
        <w:t>系統外議價交易方式如下：</w:t>
      </w:r>
    </w:p>
    <w:tbl>
      <w:tblPr>
        <w:tblW w:w="4565" w:type="pct"/>
        <w:tblInd w:w="7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33"/>
        <w:gridCol w:w="2537"/>
        <w:gridCol w:w="1973"/>
        <w:gridCol w:w="986"/>
        <w:gridCol w:w="1713"/>
      </w:tblGrid>
      <w:tr w:rsidR="00C92B79" w:rsidRPr="00C92B79" w:rsidTr="00E24545">
        <w:trPr>
          <w:trHeight w:val="114"/>
          <w:tblHeader/>
        </w:trPr>
        <w:tc>
          <w:tcPr>
            <w:tcW w:w="1014" w:type="pct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  <w:r w:rsidRPr="00C92B79">
              <w:rPr>
                <w:rFonts w:ascii="標楷體" w:eastAsia="標楷體" w:hAnsi="標楷體" w:cstheme="majorHAnsi"/>
                <w:b/>
                <w:bCs/>
                <w:color w:val="000000" w:themeColor="text1"/>
                <w:sz w:val="20"/>
                <w:szCs w:val="20"/>
              </w:rPr>
              <w:t>交易對象</w:t>
            </w:r>
          </w:p>
        </w:tc>
        <w:tc>
          <w:tcPr>
            <w:tcW w:w="1403" w:type="pct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  <w:r w:rsidRPr="00C92B79">
              <w:rPr>
                <w:rFonts w:ascii="標楷體" w:eastAsia="標楷體" w:hAnsi="標楷體" w:cstheme="majorHAnsi"/>
                <w:b/>
                <w:bCs/>
                <w:color w:val="000000" w:themeColor="text1"/>
                <w:sz w:val="20"/>
                <w:szCs w:val="20"/>
              </w:rPr>
              <w:t>說明</w:t>
            </w:r>
          </w:p>
        </w:tc>
        <w:tc>
          <w:tcPr>
            <w:tcW w:w="1091" w:type="pct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  <w:r w:rsidRPr="00C92B79">
              <w:rPr>
                <w:rFonts w:ascii="標楷體" w:eastAsia="標楷體" w:hAnsi="標楷體" w:cstheme="majorHAnsi"/>
                <w:b/>
                <w:bCs/>
                <w:color w:val="000000" w:themeColor="text1"/>
                <w:sz w:val="20"/>
                <w:szCs w:val="20"/>
              </w:rPr>
              <w:t>數量/金額</w:t>
            </w:r>
            <w:r w:rsidRPr="00C92B79">
              <w:rPr>
                <w:rFonts w:ascii="標楷體" w:eastAsia="標楷體" w:hAnsi="標楷體" w:cstheme="majorHAnsi"/>
                <w:b/>
                <w:bCs/>
                <w:color w:val="000000" w:themeColor="text1"/>
                <w:sz w:val="20"/>
                <w:szCs w:val="20"/>
              </w:rPr>
              <w:br/>
              <w:t>之規定</w:t>
            </w:r>
          </w:p>
        </w:tc>
        <w:tc>
          <w:tcPr>
            <w:tcW w:w="545" w:type="pct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  <w:r w:rsidRPr="00C92B79">
              <w:rPr>
                <w:rFonts w:ascii="標楷體" w:eastAsia="標楷體" w:hAnsi="標楷體" w:cstheme="majorHAnsi"/>
                <w:b/>
                <w:bCs/>
                <w:color w:val="000000" w:themeColor="text1"/>
                <w:sz w:val="20"/>
                <w:szCs w:val="20"/>
              </w:rPr>
              <w:t>申報方</w:t>
            </w:r>
          </w:p>
        </w:tc>
        <w:tc>
          <w:tcPr>
            <w:tcW w:w="947" w:type="pct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  <w:r w:rsidRPr="00C92B79">
              <w:rPr>
                <w:rFonts w:ascii="標楷體" w:eastAsia="標楷體" w:hAnsi="標楷體" w:cstheme="majorHAnsi"/>
                <w:b/>
                <w:bCs/>
                <w:color w:val="000000" w:themeColor="text1"/>
                <w:sz w:val="20"/>
                <w:szCs w:val="20"/>
              </w:rPr>
              <w:t>成交價之規定</w:t>
            </w:r>
          </w:p>
        </w:tc>
      </w:tr>
      <w:tr w:rsidR="00C92B79" w:rsidRPr="00C92B79" w:rsidTr="00E24545">
        <w:trPr>
          <w:trHeight w:val="809"/>
        </w:trPr>
        <w:tc>
          <w:tcPr>
            <w:tcW w:w="1014" w:type="pct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ind w:rightChars="-55" w:right="-132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  <w:t>推薦證券商與</w:t>
            </w:r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  <w:u w:val="single"/>
              </w:rPr>
              <w:t>證券經紀商</w:t>
            </w:r>
          </w:p>
        </w:tc>
        <w:tc>
          <w:tcPr>
            <w:tcW w:w="1403" w:type="pct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  <w:t>成交數量或金額符合規定者，投資人可委託證券經紀商與推薦證券商進行議價</w:t>
            </w:r>
          </w:p>
        </w:tc>
        <w:tc>
          <w:tcPr>
            <w:tcW w:w="1091" w:type="pct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  <w:t>交易數量10萬股以上或交易金額500萬元以上</w:t>
            </w:r>
          </w:p>
        </w:tc>
        <w:tc>
          <w:tcPr>
            <w:tcW w:w="545" w:type="pct"/>
            <w:vMerge w:val="restart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ind w:rightChars="-55" w:right="-132"/>
              <w:jc w:val="center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  <w:t>推薦證券商</w:t>
            </w:r>
          </w:p>
        </w:tc>
        <w:tc>
          <w:tcPr>
            <w:tcW w:w="947" w:type="pct"/>
            <w:vMerge w:val="restart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E55611" w:rsidRPr="00C92B79" w:rsidRDefault="00E55611" w:rsidP="00AB6F8B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60" w:lineRule="exact"/>
              <w:ind w:left="151" w:rightChars="-45" w:right="-108" w:hanging="284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  <w:t>成交價與當時推薦證券商報價差距不得逾10%</w:t>
            </w:r>
          </w:p>
          <w:p w:rsidR="00E55611" w:rsidRPr="00C92B79" w:rsidRDefault="00E55611" w:rsidP="00AB6F8B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60" w:lineRule="exact"/>
              <w:ind w:left="151" w:rightChars="-45" w:right="-108" w:hanging="284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  <w:t>如為一買一賣之中介交易，</w:t>
            </w:r>
            <w:proofErr w:type="gramStart"/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  <w:t>成交價須介於</w:t>
            </w:r>
            <w:proofErr w:type="gramEnd"/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  <w:t>推薦證券商報買價與報賣價間</w:t>
            </w:r>
          </w:p>
        </w:tc>
      </w:tr>
      <w:tr w:rsidR="00C92B79" w:rsidRPr="00C92B79" w:rsidTr="00E24545">
        <w:trPr>
          <w:trHeight w:val="274"/>
        </w:trPr>
        <w:tc>
          <w:tcPr>
            <w:tcW w:w="1014" w:type="pct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  <w:t>推薦證券商與</w:t>
            </w:r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  <w:u w:val="single"/>
              </w:rPr>
              <w:t>證券經紀商之</w:t>
            </w:r>
            <w:proofErr w:type="gramStart"/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  <w:u w:val="single"/>
              </w:rPr>
              <w:t>錯帳專戶</w:t>
            </w:r>
            <w:proofErr w:type="gramEnd"/>
          </w:p>
        </w:tc>
        <w:tc>
          <w:tcPr>
            <w:tcW w:w="1403" w:type="pct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  <w:t>為利經紀商受託買賣發生錯誤之反向處理</w:t>
            </w:r>
          </w:p>
        </w:tc>
        <w:tc>
          <w:tcPr>
            <w:tcW w:w="1091" w:type="pct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545" w:type="pct"/>
            <w:vMerge/>
            <w:shd w:val="clear" w:color="auto" w:fill="auto"/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</w:p>
        </w:tc>
      </w:tr>
      <w:tr w:rsidR="00C92B79" w:rsidRPr="00C92B79" w:rsidTr="00E24545">
        <w:trPr>
          <w:trHeight w:val="264"/>
        </w:trPr>
        <w:tc>
          <w:tcPr>
            <w:tcW w:w="1014" w:type="pct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  <w:t>推薦證券商與</w:t>
            </w:r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  <w:u w:val="single"/>
              </w:rPr>
              <w:t>欲加入推薦之自營商</w:t>
            </w:r>
          </w:p>
        </w:tc>
        <w:tc>
          <w:tcPr>
            <w:tcW w:w="1403" w:type="pct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  <w:t>為利即將中途加入推薦之自營商取得所需</w:t>
            </w:r>
            <w:proofErr w:type="gramStart"/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  <w:t>券</w:t>
            </w:r>
            <w:proofErr w:type="gramEnd"/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  <w:t>源</w:t>
            </w:r>
          </w:p>
        </w:tc>
        <w:tc>
          <w:tcPr>
            <w:tcW w:w="1091" w:type="pct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  <w:t>交易數量3萬股以上</w:t>
            </w:r>
          </w:p>
        </w:tc>
        <w:tc>
          <w:tcPr>
            <w:tcW w:w="545" w:type="pct"/>
            <w:vMerge/>
            <w:shd w:val="clear" w:color="auto" w:fill="auto"/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  <w:vMerge/>
            <w:shd w:val="clear" w:color="auto" w:fill="auto"/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</w:p>
        </w:tc>
      </w:tr>
      <w:tr w:rsidR="00C92B79" w:rsidRPr="00C92B79" w:rsidTr="00E24545">
        <w:trPr>
          <w:trHeight w:val="447"/>
        </w:trPr>
        <w:tc>
          <w:tcPr>
            <w:tcW w:w="1014" w:type="pct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  <w:t>推薦證券商與</w:t>
            </w:r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  <w:u w:val="single"/>
              </w:rPr>
              <w:t>其他推薦證券商</w:t>
            </w:r>
          </w:p>
        </w:tc>
        <w:tc>
          <w:tcPr>
            <w:tcW w:w="1403" w:type="pct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  <w:t>須遵守其內部作業辦法之規範</w:t>
            </w:r>
          </w:p>
        </w:tc>
        <w:tc>
          <w:tcPr>
            <w:tcW w:w="1091" w:type="pct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545" w:type="pct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  <w:r w:rsidRPr="00C92B79"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  <w:t>賣方</w:t>
            </w:r>
          </w:p>
        </w:tc>
        <w:tc>
          <w:tcPr>
            <w:tcW w:w="947" w:type="pct"/>
            <w:vMerge/>
            <w:shd w:val="clear" w:color="auto" w:fill="auto"/>
            <w:vAlign w:val="center"/>
            <w:hideMark/>
          </w:tcPr>
          <w:p w:rsidR="00E55611" w:rsidRPr="00C92B79" w:rsidRDefault="00E55611" w:rsidP="00AB6F8B">
            <w:pPr>
              <w:pStyle w:val="Web"/>
              <w:spacing w:before="0" w:beforeAutospacing="0" w:after="0" w:afterAutospacing="0" w:line="260" w:lineRule="exact"/>
              <w:rPr>
                <w:rFonts w:ascii="標楷體" w:eastAsia="標楷體" w:hAnsi="標楷體" w:cs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E55611" w:rsidRPr="00C92B79" w:rsidRDefault="00E55611" w:rsidP="002E2C23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theme="majorHAnsi"/>
          <w:color w:val="000000" w:themeColor="text1"/>
          <w:kern w:val="0"/>
          <w:szCs w:val="24"/>
        </w:rPr>
      </w:pPr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開放經紀商錯</w:t>
      </w:r>
      <w:proofErr w:type="gramStart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帳專戶得互</w:t>
      </w:r>
      <w:proofErr w:type="gramEnd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抵交割：</w:t>
      </w:r>
    </w:p>
    <w:p w:rsidR="00E55611" w:rsidRPr="00C92B79" w:rsidRDefault="00E55611" w:rsidP="002E2C23">
      <w:pPr>
        <w:widowControl/>
        <w:numPr>
          <w:ilvl w:val="0"/>
          <w:numId w:val="11"/>
        </w:numPr>
        <w:tabs>
          <w:tab w:val="clear" w:pos="687"/>
          <w:tab w:val="num" w:pos="993"/>
          <w:tab w:val="left" w:pos="1276"/>
        </w:tabs>
        <w:spacing w:line="420" w:lineRule="exact"/>
        <w:ind w:left="993" w:hanging="666"/>
        <w:rPr>
          <w:rFonts w:ascii="標楷體" w:eastAsia="標楷體" w:hAnsi="標楷體" w:cstheme="majorHAnsi"/>
          <w:color w:val="000000" w:themeColor="text1"/>
          <w:kern w:val="0"/>
          <w:szCs w:val="24"/>
        </w:rPr>
      </w:pPr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為利證券經紀商受託</w:t>
      </w:r>
      <w:proofErr w:type="gramStart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買賣興櫃股票</w:t>
      </w:r>
      <w:proofErr w:type="gramEnd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發生錯誤時進行反向處理，故開放證券經紀商之</w:t>
      </w:r>
      <w:proofErr w:type="gramStart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錯帳專戶</w:t>
      </w:r>
      <w:proofErr w:type="gramEnd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以T+2日為給付結算期之交易，得以買賣互抵後之數額辦理給付結算，即當證券經紀商當(T)日申報錯帳後可當(T)日反向沖銷，並得買賣互抵交割，但於T日收市後才發現</w:t>
      </w:r>
      <w:proofErr w:type="gramStart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錯帳者</w:t>
      </w:r>
      <w:proofErr w:type="gramEnd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，則僅得於T+1日反向處理，無法進行買賣互抵交割。</w:t>
      </w:r>
    </w:p>
    <w:p w:rsidR="00E55611" w:rsidRPr="00C92B79" w:rsidRDefault="00E55611" w:rsidP="002E2C23">
      <w:pPr>
        <w:widowControl/>
        <w:numPr>
          <w:ilvl w:val="0"/>
          <w:numId w:val="11"/>
        </w:numPr>
        <w:tabs>
          <w:tab w:val="clear" w:pos="687"/>
          <w:tab w:val="num" w:pos="993"/>
          <w:tab w:val="left" w:pos="1276"/>
        </w:tabs>
        <w:spacing w:line="420" w:lineRule="exact"/>
        <w:ind w:left="993" w:hanging="666"/>
        <w:rPr>
          <w:rFonts w:ascii="標楷體" w:eastAsia="標楷體" w:hAnsi="標楷體" w:cstheme="majorHAnsi"/>
          <w:color w:val="000000" w:themeColor="text1"/>
          <w:kern w:val="0"/>
          <w:szCs w:val="24"/>
        </w:rPr>
      </w:pPr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現行</w:t>
      </w:r>
      <w:proofErr w:type="gramStart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申報興櫃股票</w:t>
      </w:r>
      <w:proofErr w:type="gramEnd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錯帳之作業流程不變，須</w:t>
      </w:r>
      <w:proofErr w:type="gramStart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傳真改帳申請書</w:t>
      </w:r>
      <w:proofErr w:type="gramEnd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(請至本中心網站首頁&gt;證券商專區&gt;</w:t>
      </w:r>
      <w:proofErr w:type="gramStart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興櫃股票</w:t>
      </w:r>
      <w:proofErr w:type="gramEnd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業務下載「點選</w:t>
      </w:r>
      <w:proofErr w:type="gramStart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系統改帳申請書</w:t>
      </w:r>
      <w:proofErr w:type="gramEnd"/>
      <w:r w:rsidRPr="00C92B79">
        <w:rPr>
          <w:rFonts w:ascii="標楷體" w:eastAsia="標楷體" w:hAnsi="標楷體" w:cstheme="majorHAnsi"/>
          <w:color w:val="000000" w:themeColor="text1"/>
          <w:kern w:val="0"/>
          <w:szCs w:val="24"/>
        </w:rPr>
        <w:t>」)。</w:t>
      </w:r>
    </w:p>
    <w:bookmarkEnd w:id="0"/>
    <w:p w:rsidR="00CB7F1B" w:rsidRPr="00C92B79" w:rsidRDefault="00CB7F1B">
      <w:pPr>
        <w:rPr>
          <w:color w:val="000000" w:themeColor="text1"/>
        </w:rPr>
      </w:pPr>
    </w:p>
    <w:sectPr w:rsidR="00CB7F1B" w:rsidRPr="00C92B79" w:rsidSect="00E5561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DD" w:rsidRDefault="00A42ADD" w:rsidP="004460D9">
      <w:r>
        <w:separator/>
      </w:r>
    </w:p>
  </w:endnote>
  <w:endnote w:type="continuationSeparator" w:id="0">
    <w:p w:rsidR="00A42ADD" w:rsidRDefault="00A42ADD" w:rsidP="0044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432487"/>
      <w:docPartObj>
        <w:docPartGallery w:val="Page Numbers (Bottom of Page)"/>
        <w:docPartUnique/>
      </w:docPartObj>
    </w:sdtPr>
    <w:sdtEndPr/>
    <w:sdtContent>
      <w:p w:rsidR="004460D9" w:rsidRDefault="004460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B79" w:rsidRPr="00C92B79">
          <w:rPr>
            <w:noProof/>
            <w:lang w:val="zh-TW"/>
          </w:rPr>
          <w:t>1</w:t>
        </w:r>
        <w:r>
          <w:fldChar w:fldCharType="end"/>
        </w:r>
      </w:p>
    </w:sdtContent>
  </w:sdt>
  <w:p w:rsidR="004460D9" w:rsidRDefault="004460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DD" w:rsidRDefault="00A42ADD" w:rsidP="004460D9">
      <w:r>
        <w:separator/>
      </w:r>
    </w:p>
  </w:footnote>
  <w:footnote w:type="continuationSeparator" w:id="0">
    <w:p w:rsidR="00A42ADD" w:rsidRDefault="00A42ADD" w:rsidP="0044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50D"/>
    <w:multiLevelType w:val="multilevel"/>
    <w:tmpl w:val="124080FA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b w:val="0"/>
      </w:rPr>
    </w:lvl>
    <w:lvl w:ilvl="1">
      <w:start w:val="1"/>
      <w:numFmt w:val="lowerRoman"/>
      <w:lvlText w:val="%2."/>
      <w:lvlJc w:val="right"/>
      <w:pPr>
        <w:tabs>
          <w:tab w:val="num" w:pos="1407"/>
        </w:tabs>
        <w:ind w:left="1407" w:hanging="360"/>
      </w:pPr>
    </w:lvl>
    <w:lvl w:ilvl="2" w:tentative="1">
      <w:start w:val="1"/>
      <w:numFmt w:val="decimal"/>
      <w:lvlText w:val="%3."/>
      <w:lvlJc w:val="left"/>
      <w:pPr>
        <w:tabs>
          <w:tab w:val="num" w:pos="2127"/>
        </w:tabs>
        <w:ind w:left="2127" w:hanging="360"/>
      </w:pPr>
    </w:lvl>
    <w:lvl w:ilvl="3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entative="1">
      <w:start w:val="1"/>
      <w:numFmt w:val="decimal"/>
      <w:lvlText w:val="%5."/>
      <w:lvlJc w:val="left"/>
      <w:pPr>
        <w:tabs>
          <w:tab w:val="num" w:pos="3567"/>
        </w:tabs>
        <w:ind w:left="3567" w:hanging="360"/>
      </w:pPr>
    </w:lvl>
    <w:lvl w:ilvl="5" w:tentative="1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entative="1">
      <w:start w:val="1"/>
      <w:numFmt w:val="decimal"/>
      <w:lvlText w:val="%8."/>
      <w:lvlJc w:val="left"/>
      <w:pPr>
        <w:tabs>
          <w:tab w:val="num" w:pos="5727"/>
        </w:tabs>
        <w:ind w:left="5727" w:hanging="360"/>
      </w:pPr>
    </w:lvl>
    <w:lvl w:ilvl="8" w:tentative="1">
      <w:start w:val="1"/>
      <w:numFmt w:val="decimal"/>
      <w:lvlText w:val="%9."/>
      <w:lvlJc w:val="left"/>
      <w:pPr>
        <w:tabs>
          <w:tab w:val="num" w:pos="6447"/>
        </w:tabs>
        <w:ind w:left="6447" w:hanging="360"/>
      </w:pPr>
    </w:lvl>
  </w:abstractNum>
  <w:abstractNum w:abstractNumId="1">
    <w:nsid w:val="0D1A5500"/>
    <w:multiLevelType w:val="hybridMultilevel"/>
    <w:tmpl w:val="566E209C"/>
    <w:lvl w:ilvl="0" w:tplc="D6F637B0">
      <w:start w:val="1"/>
      <w:numFmt w:val="decimal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2">
    <w:nsid w:val="14287A42"/>
    <w:multiLevelType w:val="hybridMultilevel"/>
    <w:tmpl w:val="94040A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5D6925E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  <w:strike w:val="0"/>
        <w:color w:val="auto"/>
        <w:sz w:val="24"/>
        <w:szCs w:val="24"/>
        <w:u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7131EB"/>
    <w:multiLevelType w:val="hybridMultilevel"/>
    <w:tmpl w:val="A44C819E"/>
    <w:lvl w:ilvl="0" w:tplc="87600DAC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956C3B"/>
    <w:multiLevelType w:val="hybridMultilevel"/>
    <w:tmpl w:val="F6FEF31A"/>
    <w:lvl w:ilvl="0" w:tplc="F8C2E7D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2ABA4EC3"/>
    <w:multiLevelType w:val="multilevel"/>
    <w:tmpl w:val="124080F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</w:rPr>
    </w:lvl>
    <w:lvl w:ilvl="1">
      <w:start w:val="1"/>
      <w:numFmt w:val="lowerRoman"/>
      <w:lvlText w:val="%2."/>
      <w:lvlJc w:val="right"/>
      <w:pPr>
        <w:tabs>
          <w:tab w:val="num" w:pos="1920"/>
        </w:tabs>
        <w:ind w:left="1920" w:hanging="360"/>
      </w:pPr>
    </w:lvl>
    <w:lvl w:ilvl="2" w:tentative="1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6">
    <w:nsid w:val="364120B0"/>
    <w:multiLevelType w:val="hybridMultilevel"/>
    <w:tmpl w:val="FE22E7D6"/>
    <w:lvl w:ilvl="0" w:tplc="05EEE382">
      <w:start w:val="1"/>
      <w:numFmt w:val="decimal"/>
      <w:lvlText w:val="%1."/>
      <w:lvlJc w:val="left"/>
      <w:pPr>
        <w:ind w:left="99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7">
    <w:nsid w:val="5A604CDA"/>
    <w:multiLevelType w:val="hybridMultilevel"/>
    <w:tmpl w:val="F6FEF31A"/>
    <w:lvl w:ilvl="0" w:tplc="F8C2E7DA">
      <w:start w:val="1"/>
      <w:numFmt w:val="decimal"/>
      <w:lvlText w:val="(%1)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8">
    <w:nsid w:val="5E0656CC"/>
    <w:multiLevelType w:val="multilevel"/>
    <w:tmpl w:val="F45E457E"/>
    <w:lvl w:ilvl="0">
      <w:start w:val="1"/>
      <w:numFmt w:val="taiwaneseCountingThousand"/>
      <w:lvlText w:val="(%1)"/>
      <w:lvlJc w:val="left"/>
      <w:pPr>
        <w:tabs>
          <w:tab w:val="num" w:pos="687"/>
        </w:tabs>
        <w:ind w:left="687" w:hanging="360"/>
      </w:pPr>
      <w:rPr>
        <w:rFonts w:ascii="標楷體" w:eastAsia="標楷體" w:hAnsi="標楷體" w:hint="eastAsia"/>
        <w:b w:val="0"/>
        <w:i w:val="0"/>
        <w:sz w:val="24"/>
        <w:szCs w:val="24"/>
        <w:u w:val="none"/>
      </w:rPr>
    </w:lvl>
    <w:lvl w:ilvl="1">
      <w:start w:val="1"/>
      <w:numFmt w:val="lowerRoman"/>
      <w:lvlText w:val="%2."/>
      <w:lvlJc w:val="right"/>
      <w:pPr>
        <w:tabs>
          <w:tab w:val="num" w:pos="1407"/>
        </w:tabs>
        <w:ind w:left="1407" w:hanging="360"/>
      </w:pPr>
    </w:lvl>
    <w:lvl w:ilvl="2" w:tentative="1">
      <w:start w:val="1"/>
      <w:numFmt w:val="decimal"/>
      <w:lvlText w:val="%3."/>
      <w:lvlJc w:val="left"/>
      <w:pPr>
        <w:tabs>
          <w:tab w:val="num" w:pos="2127"/>
        </w:tabs>
        <w:ind w:left="2127" w:hanging="360"/>
      </w:pPr>
    </w:lvl>
    <w:lvl w:ilvl="3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entative="1">
      <w:start w:val="1"/>
      <w:numFmt w:val="decimal"/>
      <w:lvlText w:val="%5."/>
      <w:lvlJc w:val="left"/>
      <w:pPr>
        <w:tabs>
          <w:tab w:val="num" w:pos="3567"/>
        </w:tabs>
        <w:ind w:left="3567" w:hanging="360"/>
      </w:pPr>
    </w:lvl>
    <w:lvl w:ilvl="5" w:tentative="1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entative="1">
      <w:start w:val="1"/>
      <w:numFmt w:val="decimal"/>
      <w:lvlText w:val="%8."/>
      <w:lvlJc w:val="left"/>
      <w:pPr>
        <w:tabs>
          <w:tab w:val="num" w:pos="5727"/>
        </w:tabs>
        <w:ind w:left="5727" w:hanging="360"/>
      </w:pPr>
    </w:lvl>
    <w:lvl w:ilvl="8" w:tentative="1">
      <w:start w:val="1"/>
      <w:numFmt w:val="decimal"/>
      <w:lvlText w:val="%9."/>
      <w:lvlJc w:val="left"/>
      <w:pPr>
        <w:tabs>
          <w:tab w:val="num" w:pos="6447"/>
        </w:tabs>
        <w:ind w:left="6447" w:hanging="360"/>
      </w:pPr>
    </w:lvl>
  </w:abstractNum>
  <w:abstractNum w:abstractNumId="9">
    <w:nsid w:val="6D8561FA"/>
    <w:multiLevelType w:val="hybridMultilevel"/>
    <w:tmpl w:val="FE22E7D6"/>
    <w:lvl w:ilvl="0" w:tplc="05EEE382">
      <w:start w:val="1"/>
      <w:numFmt w:val="decimal"/>
      <w:lvlText w:val="%1."/>
      <w:lvlJc w:val="left"/>
      <w:pPr>
        <w:ind w:left="99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10">
    <w:nsid w:val="723A6B29"/>
    <w:multiLevelType w:val="multilevel"/>
    <w:tmpl w:val="F45E457E"/>
    <w:lvl w:ilvl="0">
      <w:start w:val="1"/>
      <w:numFmt w:val="taiwaneseCountingThousand"/>
      <w:lvlText w:val="(%1)"/>
      <w:lvlJc w:val="left"/>
      <w:pPr>
        <w:tabs>
          <w:tab w:val="num" w:pos="687"/>
        </w:tabs>
        <w:ind w:left="687" w:hanging="360"/>
      </w:pPr>
      <w:rPr>
        <w:rFonts w:ascii="標楷體" w:eastAsia="標楷體" w:hAnsi="標楷體" w:hint="eastAsia"/>
        <w:b w:val="0"/>
        <w:i w:val="0"/>
        <w:sz w:val="24"/>
        <w:szCs w:val="24"/>
        <w:u w:val="none"/>
      </w:rPr>
    </w:lvl>
    <w:lvl w:ilvl="1">
      <w:start w:val="1"/>
      <w:numFmt w:val="lowerRoman"/>
      <w:lvlText w:val="%2."/>
      <w:lvlJc w:val="right"/>
      <w:pPr>
        <w:tabs>
          <w:tab w:val="num" w:pos="1407"/>
        </w:tabs>
        <w:ind w:left="1407" w:hanging="360"/>
      </w:pPr>
    </w:lvl>
    <w:lvl w:ilvl="2" w:tentative="1">
      <w:start w:val="1"/>
      <w:numFmt w:val="decimal"/>
      <w:lvlText w:val="%3."/>
      <w:lvlJc w:val="left"/>
      <w:pPr>
        <w:tabs>
          <w:tab w:val="num" w:pos="2127"/>
        </w:tabs>
        <w:ind w:left="2127" w:hanging="360"/>
      </w:pPr>
    </w:lvl>
    <w:lvl w:ilvl="3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entative="1">
      <w:start w:val="1"/>
      <w:numFmt w:val="decimal"/>
      <w:lvlText w:val="%5."/>
      <w:lvlJc w:val="left"/>
      <w:pPr>
        <w:tabs>
          <w:tab w:val="num" w:pos="3567"/>
        </w:tabs>
        <w:ind w:left="3567" w:hanging="360"/>
      </w:pPr>
    </w:lvl>
    <w:lvl w:ilvl="5" w:tentative="1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entative="1">
      <w:start w:val="1"/>
      <w:numFmt w:val="decimal"/>
      <w:lvlText w:val="%8."/>
      <w:lvlJc w:val="left"/>
      <w:pPr>
        <w:tabs>
          <w:tab w:val="num" w:pos="5727"/>
        </w:tabs>
        <w:ind w:left="5727" w:hanging="360"/>
      </w:pPr>
    </w:lvl>
    <w:lvl w:ilvl="8" w:tentative="1">
      <w:start w:val="1"/>
      <w:numFmt w:val="decimal"/>
      <w:lvlText w:val="%9."/>
      <w:lvlJc w:val="left"/>
      <w:pPr>
        <w:tabs>
          <w:tab w:val="num" w:pos="6447"/>
        </w:tabs>
        <w:ind w:left="6447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11"/>
    <w:rsid w:val="00261C60"/>
    <w:rsid w:val="002E2C23"/>
    <w:rsid w:val="00346DCC"/>
    <w:rsid w:val="00394915"/>
    <w:rsid w:val="004460D9"/>
    <w:rsid w:val="00542719"/>
    <w:rsid w:val="00A42ADD"/>
    <w:rsid w:val="00C92B79"/>
    <w:rsid w:val="00CB7F1B"/>
    <w:rsid w:val="00CF4289"/>
    <w:rsid w:val="00E24545"/>
    <w:rsid w:val="00E55611"/>
    <w:rsid w:val="00E8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556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556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6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60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6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60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556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556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6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60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6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60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123</Words>
  <Characters>705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櫃檯買賣中心</dc:creator>
  <cp:lastModifiedBy>夏安</cp:lastModifiedBy>
  <cp:revision>3</cp:revision>
  <dcterms:created xsi:type="dcterms:W3CDTF">2016-05-10T02:09:00Z</dcterms:created>
  <dcterms:modified xsi:type="dcterms:W3CDTF">2016-05-19T06:30:00Z</dcterms:modified>
</cp:coreProperties>
</file>