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50C0">
      <w:pPr>
        <w:pStyle w:val="1"/>
        <w:rPr>
          <w:rFonts w:hint="eastAsia"/>
        </w:rPr>
      </w:pPr>
    </w:p>
    <w:p w:rsidR="00000000" w:rsidRDefault="00FD50C0">
      <w:pPr>
        <w:pStyle w:val="1"/>
        <w:rPr>
          <w:rFonts w:hint="eastAsia"/>
        </w:rPr>
      </w:pPr>
    </w:p>
    <w:p w:rsidR="00000000" w:rsidRDefault="00FD50C0">
      <w:pPr>
        <w:rPr>
          <w:rFonts w:hint="eastAsia"/>
        </w:rPr>
      </w:pPr>
    </w:p>
    <w:p w:rsidR="00000000" w:rsidRDefault="00FD50C0">
      <w:pPr>
        <w:rPr>
          <w:rFonts w:hint="eastAsia"/>
        </w:rPr>
      </w:pPr>
    </w:p>
    <w:p w:rsidR="00000000" w:rsidRDefault="00FD50C0">
      <w:pPr>
        <w:rPr>
          <w:rFonts w:hint="eastAsia"/>
        </w:rPr>
      </w:pPr>
    </w:p>
    <w:p w:rsidR="00000000" w:rsidRDefault="00FD50C0">
      <w:pPr>
        <w:jc w:val="center"/>
        <w:rPr>
          <w:rFonts w:eastAsia="標楷體" w:hint="eastAsia"/>
          <w:b/>
          <w:sz w:val="96"/>
        </w:rPr>
      </w:pPr>
      <w:r>
        <w:rPr>
          <w:rFonts w:eastAsia="標楷體" w:hint="eastAsia"/>
          <w:b/>
          <w:sz w:val="96"/>
        </w:rPr>
        <w:t>公司重整實務</w:t>
      </w:r>
    </w:p>
    <w:p w:rsidR="00000000" w:rsidRDefault="00FD50C0">
      <w:pPr>
        <w:pStyle w:val="1"/>
        <w:snapToGrid w:val="0"/>
        <w:spacing w:line="660" w:lineRule="atLeast"/>
      </w:pPr>
      <w:r>
        <w:br w:type="page"/>
      </w:r>
      <w:r>
        <w:rPr>
          <w:rFonts w:hint="eastAsia"/>
        </w:rPr>
        <w:lastRenderedPageBreak/>
        <w:t>目錄</w:t>
      </w:r>
      <w:r>
        <w:fldChar w:fldCharType="begin"/>
      </w:r>
      <w:r>
        <w:instrText xml:space="preserve"> TOC \o "1-3" </w:instrText>
      </w:r>
      <w:r>
        <w:fldChar w:fldCharType="separate"/>
      </w:r>
    </w:p>
    <w:p w:rsidR="00000000" w:rsidRDefault="00FD50C0">
      <w:pPr>
        <w:pStyle w:val="1"/>
        <w:snapToGrid w:val="0"/>
        <w:spacing w:line="660" w:lineRule="atLeast"/>
        <w:rPr>
          <w:rFonts w:hint="eastAsia"/>
        </w:rPr>
      </w:pPr>
      <w:r>
        <w:rPr>
          <w:rFonts w:hint="eastAsia"/>
        </w:rPr>
        <w:t>壹、重整：公司法之介紹</w:t>
      </w:r>
      <w:r>
        <w:rPr>
          <w:rFonts w:hint="eastAsia"/>
        </w:rPr>
        <w:t>(</w:t>
      </w:r>
      <w:r>
        <w:rPr>
          <w:rFonts w:hint="eastAsia"/>
        </w:rPr>
        <w:t>公</w:t>
      </w:r>
      <w:r>
        <w:rPr>
          <w:rFonts w:hint="eastAsia"/>
        </w:rPr>
        <w:t>282~314)</w:t>
      </w:r>
    </w:p>
    <w:p w:rsidR="00000000" w:rsidRDefault="00FD50C0">
      <w:pPr>
        <w:pStyle w:val="2"/>
        <w:snapToGrid w:val="0"/>
        <w:spacing w:line="660" w:lineRule="atLeast"/>
        <w:rPr>
          <w:rFonts w:hint="eastAsia"/>
        </w:rPr>
      </w:pPr>
      <w:r>
        <w:rPr>
          <w:rFonts w:hint="eastAsia"/>
        </w:rPr>
        <w:t>一、重整之意義</w:t>
      </w:r>
      <w:r>
        <w:tab/>
      </w:r>
      <w:r>
        <w:rPr>
          <w:rFonts w:hint="eastAsia"/>
        </w:rPr>
        <w:t>2</w:t>
      </w:r>
    </w:p>
    <w:p w:rsidR="00000000" w:rsidRDefault="00FD50C0">
      <w:pPr>
        <w:pStyle w:val="2"/>
        <w:snapToGrid w:val="0"/>
        <w:spacing w:line="660" w:lineRule="atLeast"/>
        <w:rPr>
          <w:rFonts w:hint="eastAsia"/>
        </w:rPr>
      </w:pPr>
      <w:r>
        <w:rPr>
          <w:rFonts w:hint="eastAsia"/>
        </w:rPr>
        <w:t>二、公司重整之原因及要件</w:t>
      </w:r>
      <w:r>
        <w:tab/>
      </w:r>
      <w:r>
        <w:rPr>
          <w:rFonts w:hint="eastAsia"/>
        </w:rPr>
        <w:t>2</w:t>
      </w:r>
    </w:p>
    <w:p w:rsidR="00000000" w:rsidRDefault="00FD50C0">
      <w:pPr>
        <w:pStyle w:val="2"/>
        <w:snapToGrid w:val="0"/>
        <w:spacing w:line="660" w:lineRule="atLeast"/>
        <w:rPr>
          <w:rFonts w:hint="eastAsia"/>
        </w:rPr>
      </w:pPr>
      <w:r>
        <w:rPr>
          <w:rFonts w:hint="eastAsia"/>
        </w:rPr>
        <w:t>三、公司重整之聲請</w:t>
      </w:r>
      <w:r>
        <w:tab/>
      </w:r>
      <w:r>
        <w:rPr>
          <w:rFonts w:hint="eastAsia"/>
        </w:rPr>
        <w:t>3</w:t>
      </w:r>
    </w:p>
    <w:p w:rsidR="00000000" w:rsidRDefault="00FD50C0">
      <w:pPr>
        <w:pStyle w:val="2"/>
        <w:snapToGrid w:val="0"/>
        <w:spacing w:line="660" w:lineRule="atLeast"/>
        <w:rPr>
          <w:rFonts w:hint="eastAsia"/>
        </w:rPr>
      </w:pPr>
      <w:r>
        <w:rPr>
          <w:rFonts w:hint="eastAsia"/>
        </w:rPr>
        <w:t>四、法院對公司重整之裁定</w:t>
      </w:r>
      <w:r>
        <w:tab/>
      </w:r>
      <w:r>
        <w:rPr>
          <w:rFonts w:hint="eastAsia"/>
        </w:rPr>
        <w:t>4</w:t>
      </w:r>
    </w:p>
    <w:p w:rsidR="00000000" w:rsidRDefault="00FD50C0">
      <w:pPr>
        <w:pStyle w:val="2"/>
        <w:snapToGrid w:val="0"/>
        <w:spacing w:line="660" w:lineRule="atLeast"/>
        <w:rPr>
          <w:rFonts w:hint="eastAsia"/>
        </w:rPr>
      </w:pPr>
      <w:r>
        <w:rPr>
          <w:rFonts w:hint="eastAsia"/>
        </w:rPr>
        <w:t>五、重整之執行與監督</w:t>
      </w:r>
      <w:r>
        <w:tab/>
      </w:r>
      <w:r>
        <w:rPr>
          <w:rFonts w:hint="eastAsia"/>
        </w:rPr>
        <w:t>8</w:t>
      </w:r>
    </w:p>
    <w:p w:rsidR="00000000" w:rsidRDefault="00FD50C0">
      <w:pPr>
        <w:pStyle w:val="2"/>
        <w:snapToGrid w:val="0"/>
        <w:spacing w:line="660" w:lineRule="atLeast"/>
        <w:rPr>
          <w:rFonts w:hint="eastAsia"/>
        </w:rPr>
      </w:pPr>
      <w:r>
        <w:rPr>
          <w:rFonts w:hint="eastAsia"/>
        </w:rPr>
        <w:t>六、重整債權</w:t>
      </w:r>
      <w:r>
        <w:tab/>
      </w:r>
      <w:r>
        <w:rPr>
          <w:rFonts w:hint="eastAsia"/>
        </w:rPr>
        <w:t>10</w:t>
      </w:r>
    </w:p>
    <w:p w:rsidR="00000000" w:rsidRDefault="00FD50C0">
      <w:pPr>
        <w:pStyle w:val="2"/>
        <w:snapToGrid w:val="0"/>
        <w:spacing w:line="660" w:lineRule="atLeast"/>
        <w:rPr>
          <w:rFonts w:hint="eastAsia"/>
        </w:rPr>
      </w:pPr>
      <w:r>
        <w:rPr>
          <w:rFonts w:hint="eastAsia"/>
        </w:rPr>
        <w:t>七、重整債務</w:t>
      </w:r>
      <w:r>
        <w:tab/>
      </w:r>
      <w:r>
        <w:rPr>
          <w:rFonts w:hint="eastAsia"/>
        </w:rPr>
        <w:t>11</w:t>
      </w:r>
    </w:p>
    <w:p w:rsidR="00000000" w:rsidRDefault="00FD50C0">
      <w:pPr>
        <w:pStyle w:val="2"/>
        <w:snapToGrid w:val="0"/>
        <w:spacing w:line="660" w:lineRule="atLeast"/>
        <w:rPr>
          <w:rFonts w:hint="eastAsia"/>
        </w:rPr>
      </w:pPr>
      <w:r>
        <w:rPr>
          <w:rFonts w:hint="eastAsia"/>
        </w:rPr>
        <w:t>八、關係人會議</w:t>
      </w:r>
      <w:r>
        <w:tab/>
      </w:r>
      <w:r>
        <w:rPr>
          <w:rFonts w:hint="eastAsia"/>
        </w:rPr>
        <w:t>12</w:t>
      </w:r>
    </w:p>
    <w:p w:rsidR="00000000" w:rsidRDefault="00FD50C0">
      <w:pPr>
        <w:pStyle w:val="2"/>
        <w:snapToGrid w:val="0"/>
        <w:spacing w:line="660" w:lineRule="atLeast"/>
        <w:rPr>
          <w:rFonts w:hint="eastAsia"/>
        </w:rPr>
      </w:pPr>
      <w:r>
        <w:rPr>
          <w:rFonts w:hint="eastAsia"/>
        </w:rPr>
        <w:t>九、重整計劃</w:t>
      </w:r>
      <w:r>
        <w:tab/>
      </w:r>
      <w:r>
        <w:rPr>
          <w:rFonts w:hint="eastAsia"/>
        </w:rPr>
        <w:t>13</w:t>
      </w:r>
    </w:p>
    <w:p w:rsidR="00000000" w:rsidRDefault="00FD50C0">
      <w:pPr>
        <w:pStyle w:val="2"/>
        <w:snapToGrid w:val="0"/>
        <w:spacing w:line="660" w:lineRule="atLeast"/>
        <w:rPr>
          <w:rFonts w:hint="eastAsia"/>
        </w:rPr>
      </w:pPr>
      <w:r>
        <w:rPr>
          <w:rFonts w:hint="eastAsia"/>
        </w:rPr>
        <w:t>十、重整程序之終止</w:t>
      </w:r>
      <w:r>
        <w:tab/>
      </w:r>
      <w:r>
        <w:rPr>
          <w:rFonts w:hint="eastAsia"/>
        </w:rPr>
        <w:t>15</w:t>
      </w:r>
    </w:p>
    <w:p w:rsidR="00000000" w:rsidRDefault="00FD50C0">
      <w:pPr>
        <w:pStyle w:val="2"/>
        <w:snapToGrid w:val="0"/>
        <w:spacing w:line="660" w:lineRule="atLeast"/>
        <w:rPr>
          <w:rFonts w:hint="eastAsia"/>
        </w:rPr>
      </w:pPr>
      <w:r>
        <w:rPr>
          <w:rFonts w:hint="eastAsia"/>
        </w:rPr>
        <w:t>十、重整之完成</w:t>
      </w:r>
      <w:r>
        <w:tab/>
      </w:r>
      <w:r>
        <w:rPr>
          <w:rFonts w:hint="eastAsia"/>
        </w:rPr>
        <w:t>16</w:t>
      </w:r>
    </w:p>
    <w:p w:rsidR="00000000" w:rsidRDefault="00FD50C0">
      <w:pPr>
        <w:snapToGrid w:val="0"/>
        <w:spacing w:line="660" w:lineRule="atLeast"/>
        <w:rPr>
          <w:rFonts w:ascii="標楷體" w:eastAsia="標楷體" w:hAnsi="標楷體" w:hint="eastAsia"/>
          <w:b/>
          <w:bCs/>
          <w:sz w:val="28"/>
        </w:rPr>
      </w:pPr>
      <w:r>
        <w:rPr>
          <w:rFonts w:ascii="標楷體" w:eastAsia="標楷體" w:hAnsi="標楷體" w:hint="eastAsia"/>
          <w:b/>
          <w:bCs/>
          <w:sz w:val="28"/>
        </w:rPr>
        <w:t>貳、個案介紹：東隆五金</w:t>
      </w:r>
      <w:r>
        <w:rPr>
          <w:rFonts w:ascii="標楷體" w:eastAsia="標楷體" w:hAnsi="標楷體" w:hint="eastAsia"/>
          <w:b/>
          <w:bCs/>
          <w:sz w:val="28"/>
        </w:rPr>
        <w:t>~</w:t>
      </w:r>
      <w:r>
        <w:rPr>
          <w:rFonts w:ascii="標楷體" w:eastAsia="標楷體" w:hAnsi="標楷體" w:hint="eastAsia"/>
          <w:b/>
          <w:bCs/>
          <w:sz w:val="28"/>
        </w:rPr>
        <w:t>浴火重生</w:t>
      </w:r>
    </w:p>
    <w:p w:rsidR="00000000" w:rsidRDefault="00FD50C0">
      <w:pPr>
        <w:pStyle w:val="2"/>
        <w:snapToGrid w:val="0"/>
        <w:spacing w:line="660" w:lineRule="atLeast"/>
        <w:rPr>
          <w:rFonts w:hint="eastAsia"/>
        </w:rPr>
      </w:pPr>
      <w:r>
        <w:rPr>
          <w:rFonts w:hint="eastAsia"/>
        </w:rPr>
        <w:t>一、公司背景</w:t>
      </w:r>
      <w:r>
        <w:tab/>
      </w:r>
      <w:r>
        <w:rPr>
          <w:rFonts w:hint="eastAsia"/>
        </w:rPr>
        <w:t>17</w:t>
      </w:r>
    </w:p>
    <w:p w:rsidR="00000000" w:rsidRDefault="00FD50C0">
      <w:pPr>
        <w:pStyle w:val="2"/>
        <w:snapToGrid w:val="0"/>
        <w:spacing w:line="660" w:lineRule="atLeast"/>
        <w:rPr>
          <w:rFonts w:hint="eastAsia"/>
        </w:rPr>
      </w:pPr>
      <w:r>
        <w:rPr>
          <w:rFonts w:hint="eastAsia"/>
        </w:rPr>
        <w:t>二、事件概述</w:t>
      </w:r>
      <w:r>
        <w:tab/>
      </w:r>
      <w:r>
        <w:rPr>
          <w:rFonts w:hint="eastAsia"/>
        </w:rPr>
        <w:t>17</w:t>
      </w:r>
    </w:p>
    <w:p w:rsidR="00000000" w:rsidRDefault="00FD50C0">
      <w:pPr>
        <w:pStyle w:val="2"/>
        <w:snapToGrid w:val="0"/>
        <w:spacing w:line="660" w:lineRule="atLeast"/>
        <w:rPr>
          <w:rFonts w:hint="eastAsia"/>
        </w:rPr>
      </w:pPr>
      <w:r>
        <w:rPr>
          <w:rFonts w:hint="eastAsia"/>
        </w:rPr>
        <w:t>三、導致危機的關鍵問題</w:t>
      </w:r>
      <w:r>
        <w:tab/>
      </w:r>
      <w:r>
        <w:rPr>
          <w:rFonts w:hint="eastAsia"/>
        </w:rPr>
        <w:t>20</w:t>
      </w:r>
    </w:p>
    <w:p w:rsidR="00000000" w:rsidRDefault="00FD50C0">
      <w:pPr>
        <w:pStyle w:val="2"/>
        <w:snapToGrid w:val="0"/>
        <w:spacing w:line="660" w:lineRule="atLeast"/>
        <w:rPr>
          <w:rFonts w:hint="eastAsia"/>
        </w:rPr>
      </w:pPr>
      <w:r>
        <w:rPr>
          <w:rFonts w:hint="eastAsia"/>
        </w:rPr>
        <w:t>四、東隆五金重整實務</w:t>
      </w:r>
      <w:r>
        <w:tab/>
      </w:r>
      <w:r>
        <w:rPr>
          <w:rFonts w:hint="eastAsia"/>
        </w:rPr>
        <w:t>25</w:t>
      </w:r>
    </w:p>
    <w:p w:rsidR="00000000" w:rsidRDefault="00FD50C0">
      <w:pPr>
        <w:pStyle w:val="2"/>
        <w:snapToGrid w:val="0"/>
        <w:spacing w:line="660" w:lineRule="atLeast"/>
        <w:rPr>
          <w:rFonts w:hint="eastAsia"/>
        </w:rPr>
      </w:pPr>
      <w:r>
        <w:rPr>
          <w:rFonts w:hint="eastAsia"/>
        </w:rPr>
        <w:t>五、公司現況</w:t>
      </w:r>
      <w:r>
        <w:tab/>
      </w:r>
      <w:r>
        <w:rPr>
          <w:rFonts w:hint="eastAsia"/>
        </w:rPr>
        <w:t>35</w:t>
      </w:r>
    </w:p>
    <w:p w:rsidR="00000000" w:rsidRDefault="00FD50C0">
      <w:pPr>
        <w:pStyle w:val="2"/>
        <w:snapToGrid w:val="0"/>
        <w:spacing w:line="660" w:lineRule="atLeast"/>
        <w:rPr>
          <w:rFonts w:hint="eastAsia"/>
        </w:rPr>
      </w:pPr>
      <w:r>
        <w:rPr>
          <w:rFonts w:hint="eastAsia"/>
        </w:rPr>
        <w:t>六、結論與省思</w:t>
      </w:r>
      <w:r>
        <w:tab/>
      </w:r>
      <w:r>
        <w:rPr>
          <w:rFonts w:hint="eastAsia"/>
        </w:rPr>
        <w:t>35</w:t>
      </w:r>
    </w:p>
    <w:p w:rsidR="00000000" w:rsidRDefault="00FD50C0">
      <w:pPr>
        <w:snapToGrid w:val="0"/>
        <w:spacing w:after="100" w:line="660" w:lineRule="atLeast"/>
        <w:jc w:val="center"/>
        <w:rPr>
          <w:rFonts w:ascii="標楷體" w:eastAsia="標楷體" w:hAnsi="標楷體" w:hint="eastAsia"/>
          <w:b/>
          <w:bCs/>
        </w:rPr>
      </w:pPr>
      <w:r>
        <w:rPr>
          <w:rFonts w:ascii="標楷體" w:eastAsia="標楷體" w:hAnsi="標楷體"/>
          <w:b/>
          <w:bCs/>
        </w:rPr>
        <w:fldChar w:fldCharType="end"/>
      </w:r>
    </w:p>
    <w:p w:rsidR="00000000" w:rsidRDefault="00FD50C0">
      <w:pPr>
        <w:snapToGrid w:val="0"/>
        <w:spacing w:after="100" w:line="660" w:lineRule="atLeast"/>
        <w:jc w:val="center"/>
        <w:rPr>
          <w:rFonts w:ascii="標楷體" w:eastAsia="標楷體" w:hAnsi="標楷體" w:hint="eastAsia"/>
          <w:b/>
          <w:bCs/>
          <w:sz w:val="32"/>
        </w:rPr>
      </w:pPr>
      <w:r>
        <w:rPr>
          <w:rFonts w:ascii="標楷體" w:eastAsia="標楷體" w:hAnsi="標楷體" w:hint="eastAsia"/>
          <w:b/>
          <w:bCs/>
          <w:sz w:val="32"/>
        </w:rPr>
        <w:lastRenderedPageBreak/>
        <w:t>壹、重整：公司法之介紹（公</w:t>
      </w:r>
      <w:r>
        <w:rPr>
          <w:rFonts w:ascii="標楷體" w:eastAsia="標楷體" w:hAnsi="標楷體" w:hint="eastAsia"/>
          <w:b/>
          <w:bCs/>
          <w:sz w:val="32"/>
        </w:rPr>
        <w:t>282 ~ 314</w:t>
      </w:r>
      <w:r>
        <w:rPr>
          <w:rFonts w:ascii="標楷體" w:eastAsia="標楷體" w:hAnsi="標楷體" w:hint="eastAsia"/>
          <w:b/>
          <w:bCs/>
          <w:sz w:val="32"/>
        </w:rPr>
        <w:t>）</w:t>
      </w:r>
    </w:p>
    <w:p w:rsidR="00000000" w:rsidRDefault="00FD50C0">
      <w:pPr>
        <w:spacing w:after="60"/>
        <w:jc w:val="center"/>
        <w:rPr>
          <w:rFonts w:eastAsia="標楷體" w:hint="eastAsia"/>
          <w:b/>
          <w:bCs/>
          <w:sz w:val="32"/>
        </w:rPr>
      </w:pPr>
      <w:r>
        <w:rPr>
          <w:rFonts w:eastAsia="標楷體" w:hint="eastAsia"/>
          <w:b/>
          <w:bCs/>
          <w:sz w:val="32"/>
        </w:rPr>
        <w:t>一、重整之意義</w:t>
      </w:r>
    </w:p>
    <w:p w:rsidR="00000000" w:rsidRDefault="00FD50C0">
      <w:pPr>
        <w:tabs>
          <w:tab w:val="left" w:pos="540"/>
        </w:tabs>
        <w:spacing w:afterLines="50"/>
        <w:jc w:val="both"/>
        <w:rPr>
          <w:rFonts w:eastAsia="標楷體" w:hint="eastAsia"/>
        </w:rPr>
      </w:pPr>
      <w:r>
        <w:rPr>
          <w:rFonts w:eastAsia="標楷體" w:hint="eastAsia"/>
        </w:rPr>
        <w:tab/>
      </w:r>
      <w:r>
        <w:rPr>
          <w:rFonts w:eastAsia="標楷體" w:hint="eastAsia"/>
        </w:rPr>
        <w:t>公司重整者，謂依公司法公開發行股票或公司債之股份有限公司，因財務困難、暫停營業或有停業之虞，但其公司具有重建價值，得因關係人之申請，法院裁定准予重整，協調債權人、股東及其他利害關係人之利益，使陷於困境之公司，得以維持與更新其事業為目的之制度。</w:t>
      </w:r>
    </w:p>
    <w:p w:rsidR="00000000" w:rsidRDefault="00FD50C0">
      <w:pPr>
        <w:tabs>
          <w:tab w:val="left" w:pos="540"/>
        </w:tabs>
        <w:spacing w:afterLines="50"/>
        <w:jc w:val="both"/>
        <w:rPr>
          <w:rFonts w:eastAsia="標楷體" w:hint="eastAsia"/>
        </w:rPr>
      </w:pPr>
      <w:r>
        <w:rPr>
          <w:rFonts w:eastAsia="標楷體" w:hint="eastAsia"/>
        </w:rPr>
        <w:tab/>
      </w:r>
      <w:r>
        <w:rPr>
          <w:rFonts w:eastAsia="標楷體" w:hint="eastAsia"/>
        </w:rPr>
        <w:t>現代公司除了業務上相互往來外、尚相互投資持股，因此除了大環境景氣循環外，各公司間財務業務其實是彼此影響，因此一間大公司之倒閉，不單只是其股東的股票變壁紙及債權人應受償</w:t>
      </w:r>
      <w:r>
        <w:rPr>
          <w:rFonts w:eastAsia="標楷體" w:hint="eastAsia"/>
        </w:rPr>
        <w:t>的權益受損，其衍生的員工失業問題也是相當複雜難解，甚至嚴重時牽累平常往來之連鎖企業倒閉。因此現代立法特別設立公司重整規定，協助一時陷入危機、瀕臨倒閉之公司得以度過難關，達到更生之目的。</w:t>
      </w:r>
    </w:p>
    <w:p w:rsidR="00000000" w:rsidRDefault="00FD50C0">
      <w:pPr>
        <w:tabs>
          <w:tab w:val="left" w:pos="540"/>
        </w:tabs>
        <w:spacing w:afterLines="50"/>
        <w:jc w:val="both"/>
        <w:rPr>
          <w:rFonts w:eastAsia="標楷體" w:hint="eastAsia"/>
        </w:rPr>
      </w:pPr>
      <w:r>
        <w:rPr>
          <w:rFonts w:eastAsia="標楷體" w:hint="eastAsia"/>
        </w:rPr>
        <w:tab/>
      </w:r>
      <w:r>
        <w:rPr>
          <w:rFonts w:eastAsia="標楷體" w:hint="eastAsia"/>
        </w:rPr>
        <w:t>公司法就公司重整之管轄、聲請、通知、送達、公告、裁定與抗告等應履行之程序，則明文準用民事訴訟法之規定（公</w:t>
      </w:r>
      <w:r>
        <w:rPr>
          <w:rFonts w:eastAsia="標楷體" w:hint="eastAsia"/>
        </w:rPr>
        <w:t>314</w:t>
      </w:r>
      <w:r>
        <w:rPr>
          <w:rFonts w:eastAsia="標楷體" w:hint="eastAsia"/>
        </w:rPr>
        <w:t>）。</w:t>
      </w:r>
    </w:p>
    <w:p w:rsidR="00000000" w:rsidRDefault="00FD50C0">
      <w:pPr>
        <w:spacing w:after="180"/>
        <w:jc w:val="center"/>
        <w:rPr>
          <w:rFonts w:eastAsia="標楷體" w:hint="eastAsia"/>
          <w:b/>
          <w:bCs/>
          <w:sz w:val="32"/>
        </w:rPr>
      </w:pPr>
      <w:r>
        <w:rPr>
          <w:rFonts w:eastAsia="標楷體" w:hint="eastAsia"/>
          <w:b/>
          <w:bCs/>
          <w:sz w:val="32"/>
        </w:rPr>
        <w:t>二、公司重整之原因及要件</w:t>
      </w:r>
    </w:p>
    <w:p w:rsidR="00000000" w:rsidRDefault="00FD50C0">
      <w:pPr>
        <w:spacing w:afterLines="50"/>
        <w:jc w:val="both"/>
        <w:rPr>
          <w:rFonts w:eastAsia="標楷體" w:hint="eastAsia"/>
        </w:rPr>
      </w:pPr>
      <w:r>
        <w:rPr>
          <w:rFonts w:eastAsia="標楷體" w:hint="eastAsia"/>
        </w:rPr>
        <w:t>公司重整之原因有二（公</w:t>
      </w:r>
      <w:r>
        <w:rPr>
          <w:rFonts w:eastAsia="標楷體" w:hint="eastAsia"/>
        </w:rPr>
        <w:t>282</w:t>
      </w:r>
      <w:r>
        <w:rPr>
          <w:rFonts w:eastAsia="標楷體" w:hint="eastAsia"/>
        </w:rPr>
        <w:t>Ⅰ）：</w:t>
      </w:r>
    </w:p>
    <w:p w:rsidR="00000000" w:rsidRDefault="00FD50C0">
      <w:pPr>
        <w:numPr>
          <w:ilvl w:val="0"/>
          <w:numId w:val="3"/>
        </w:numPr>
        <w:tabs>
          <w:tab w:val="left" w:pos="540"/>
        </w:tabs>
        <w:spacing w:afterLines="50"/>
        <w:jc w:val="both"/>
        <w:rPr>
          <w:rFonts w:eastAsia="標楷體" w:hint="eastAsia"/>
        </w:rPr>
      </w:pPr>
      <w:r>
        <w:rPr>
          <w:rFonts w:eastAsia="標楷體" w:hint="eastAsia"/>
        </w:rPr>
        <w:t>公司財務困難，</w:t>
      </w:r>
      <w:r>
        <w:rPr>
          <w:rFonts w:eastAsia="標楷體"/>
        </w:rPr>
        <w:t>暫停營業</w:t>
      </w:r>
      <w:r>
        <w:rPr>
          <w:rFonts w:eastAsia="標楷體" w:hint="eastAsia"/>
        </w:rPr>
        <w:t>而</w:t>
      </w:r>
      <w:r>
        <w:rPr>
          <w:rFonts w:eastAsia="標楷體"/>
        </w:rPr>
        <w:t>有重建更生之可能</w:t>
      </w:r>
      <w:r>
        <w:rPr>
          <w:rFonts w:eastAsia="標楷體" w:hint="eastAsia"/>
        </w:rPr>
        <w:t>：公司不能清償債務或已停止支付而有破產原因，且已暫停營業者，得認為有重整原因。</w:t>
      </w:r>
    </w:p>
    <w:p w:rsidR="00000000" w:rsidRDefault="00FD50C0">
      <w:pPr>
        <w:numPr>
          <w:ilvl w:val="0"/>
          <w:numId w:val="3"/>
        </w:numPr>
        <w:tabs>
          <w:tab w:val="left" w:pos="540"/>
        </w:tabs>
        <w:spacing w:afterLines="50"/>
        <w:jc w:val="both"/>
        <w:rPr>
          <w:rFonts w:eastAsia="標楷體" w:hint="eastAsia"/>
        </w:rPr>
      </w:pPr>
      <w:r>
        <w:rPr>
          <w:rFonts w:eastAsia="標楷體" w:hint="eastAsia"/>
        </w:rPr>
        <w:t>公司財務困難，</w:t>
      </w:r>
      <w:r>
        <w:rPr>
          <w:rFonts w:eastAsia="標楷體"/>
        </w:rPr>
        <w:t>有停業之虞</w:t>
      </w:r>
      <w:r>
        <w:rPr>
          <w:rFonts w:eastAsia="標楷體" w:hint="eastAsia"/>
        </w:rPr>
        <w:t>而</w:t>
      </w:r>
      <w:r>
        <w:rPr>
          <w:rFonts w:eastAsia="標楷體"/>
        </w:rPr>
        <w:t>有重建更生之可能</w:t>
      </w:r>
      <w:r>
        <w:rPr>
          <w:rFonts w:eastAsia="標楷體" w:hint="eastAsia"/>
        </w:rPr>
        <w:t>：公司雖尚未停止營業，但已有停業之危險，例如，公司財務週轉不靈，利息不勝負擔或需變賣重要資產維持公司開銷，而將有停業之危險者，亦認為有重整原因。</w:t>
      </w:r>
    </w:p>
    <w:p w:rsidR="00000000" w:rsidRDefault="00FD50C0">
      <w:pPr>
        <w:tabs>
          <w:tab w:val="left" w:pos="360"/>
        </w:tabs>
        <w:spacing w:afterLines="50"/>
        <w:jc w:val="both"/>
        <w:rPr>
          <w:rFonts w:eastAsia="標楷體" w:hint="eastAsia"/>
        </w:rPr>
      </w:pPr>
      <w:r>
        <w:rPr>
          <w:rFonts w:eastAsia="標楷體" w:hint="eastAsia"/>
        </w:rPr>
        <w:t>有上述二種原因之一外，尚須有下列二要件，方得請重整。</w:t>
      </w:r>
    </w:p>
    <w:p w:rsidR="00000000" w:rsidRDefault="00FD50C0">
      <w:pPr>
        <w:numPr>
          <w:ilvl w:val="0"/>
          <w:numId w:val="4"/>
        </w:numPr>
        <w:tabs>
          <w:tab w:val="left" w:pos="360"/>
        </w:tabs>
        <w:spacing w:afterLines="50"/>
        <w:ind w:hanging="468"/>
        <w:jc w:val="both"/>
        <w:rPr>
          <w:rFonts w:eastAsia="標楷體" w:hint="eastAsia"/>
        </w:rPr>
      </w:pPr>
      <w:r>
        <w:rPr>
          <w:rFonts w:eastAsia="標楷體" w:hint="eastAsia"/>
        </w:rPr>
        <w:t>公司營業狀況，依合理財務費用負擔標準，仍有經營之價值者：若無經營價值者，法院應駁回重整之聲請。</w:t>
      </w:r>
    </w:p>
    <w:p w:rsidR="00000000" w:rsidRDefault="00FD50C0">
      <w:pPr>
        <w:numPr>
          <w:ilvl w:val="0"/>
          <w:numId w:val="4"/>
        </w:numPr>
        <w:tabs>
          <w:tab w:val="left" w:pos="360"/>
        </w:tabs>
        <w:spacing w:afterLines="50"/>
        <w:ind w:hanging="468"/>
        <w:jc w:val="both"/>
        <w:rPr>
          <w:rFonts w:eastAsia="標楷體" w:hint="eastAsia"/>
        </w:rPr>
      </w:pPr>
      <w:r>
        <w:rPr>
          <w:rFonts w:eastAsia="標楷體" w:hint="eastAsia"/>
        </w:rPr>
        <w:t>公司重整需以公開發行股票或公司債之公司為限者，始得聲請重整：非公開發行股票或公司債之公司。多為家族公司，其股東不多，涉及公眾關係與社會秩序之安寧者較少。自無重整必要。所謂「公開發行」之意義，應指公司曾</w:t>
      </w:r>
      <w:r>
        <w:rPr>
          <w:rFonts w:eastAsia="標楷體" w:hint="eastAsia"/>
        </w:rPr>
        <w:t>依本法公開招募股份（公</w:t>
      </w:r>
      <w:r>
        <w:rPr>
          <w:rFonts w:eastAsia="標楷體" w:hint="eastAsia"/>
        </w:rPr>
        <w:t>133</w:t>
      </w:r>
      <w:r>
        <w:rPr>
          <w:rFonts w:eastAsia="標楷體" w:hint="eastAsia"/>
        </w:rPr>
        <w:t>），或依本法募集合司債（公</w:t>
      </w:r>
      <w:r>
        <w:rPr>
          <w:rFonts w:eastAsia="標楷體" w:hint="eastAsia"/>
        </w:rPr>
        <w:t>248</w:t>
      </w:r>
      <w:r>
        <w:rPr>
          <w:rFonts w:eastAsia="標楷體" w:hint="eastAsia"/>
        </w:rPr>
        <w:t>），或依本法公開發行新股（公</w:t>
      </w:r>
      <w:r>
        <w:rPr>
          <w:rFonts w:eastAsia="標楷體" w:hint="eastAsia"/>
        </w:rPr>
        <w:t>268</w:t>
      </w:r>
      <w:r>
        <w:rPr>
          <w:rFonts w:eastAsia="標楷體" w:hint="eastAsia"/>
        </w:rPr>
        <w:t>）者而言，其不以股票債券上市證券市場為必要。</w:t>
      </w:r>
    </w:p>
    <w:p w:rsidR="00000000" w:rsidRDefault="00FD50C0">
      <w:pPr>
        <w:spacing w:after="120"/>
        <w:jc w:val="center"/>
        <w:rPr>
          <w:rFonts w:eastAsia="標楷體" w:hint="eastAsia"/>
          <w:b/>
          <w:bCs/>
          <w:sz w:val="32"/>
        </w:rPr>
      </w:pPr>
      <w:r>
        <w:rPr>
          <w:rFonts w:eastAsia="標楷體" w:hint="eastAsia"/>
          <w:b/>
          <w:bCs/>
          <w:sz w:val="32"/>
        </w:rPr>
        <w:t>三、公司重整之聲請</w:t>
      </w:r>
    </w:p>
    <w:p w:rsidR="00000000" w:rsidRDefault="00FD50C0">
      <w:pPr>
        <w:tabs>
          <w:tab w:val="left" w:pos="360"/>
        </w:tabs>
        <w:spacing w:afterLines="50"/>
        <w:jc w:val="both"/>
        <w:rPr>
          <w:rFonts w:eastAsia="標楷體" w:hint="eastAsia"/>
          <w:b/>
          <w:bCs/>
          <w:sz w:val="28"/>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聲請權人</w:t>
      </w:r>
    </w:p>
    <w:p w:rsidR="00000000" w:rsidRDefault="00FD50C0">
      <w:pPr>
        <w:tabs>
          <w:tab w:val="left" w:pos="360"/>
        </w:tabs>
        <w:spacing w:afterLines="50"/>
        <w:ind w:left="360" w:firstLineChars="300" w:firstLine="720"/>
        <w:jc w:val="both"/>
        <w:rPr>
          <w:rFonts w:eastAsia="標楷體" w:hint="eastAsia"/>
        </w:rPr>
      </w:pPr>
      <w:r>
        <w:rPr>
          <w:rFonts w:eastAsia="標楷體" w:hint="eastAsia"/>
        </w:rPr>
        <w:t>得為公司重整之聲請者有三（公</w:t>
      </w:r>
      <w:r>
        <w:rPr>
          <w:rFonts w:eastAsia="標楷體" w:hint="eastAsia"/>
        </w:rPr>
        <w:t>282</w:t>
      </w:r>
      <w:r>
        <w:rPr>
          <w:rFonts w:eastAsia="標楷體" w:hint="eastAsia"/>
        </w:rPr>
        <w:t>）：</w:t>
      </w:r>
    </w:p>
    <w:p w:rsidR="00000000" w:rsidRDefault="00FD50C0">
      <w:pPr>
        <w:numPr>
          <w:ilvl w:val="1"/>
          <w:numId w:val="1"/>
        </w:numPr>
        <w:tabs>
          <w:tab w:val="clear" w:pos="1248"/>
          <w:tab w:val="left" w:pos="360"/>
          <w:tab w:val="num" w:pos="1440"/>
        </w:tabs>
        <w:spacing w:afterLines="50"/>
        <w:ind w:left="1440" w:hanging="360"/>
        <w:jc w:val="both"/>
        <w:rPr>
          <w:rFonts w:eastAsia="標楷體" w:hint="eastAsia"/>
        </w:rPr>
      </w:pPr>
      <w:r>
        <w:rPr>
          <w:rFonts w:eastAsia="標楷體" w:hint="eastAsia"/>
        </w:rPr>
        <w:t>公司：</w:t>
      </w:r>
      <w:r>
        <w:rPr>
          <w:rFonts w:eastAsia="標楷體"/>
        </w:rPr>
        <w:t>應經董事會以董事三分之二以上之出席</w:t>
      </w:r>
      <w:r>
        <w:rPr>
          <w:rFonts w:eastAsia="標楷體" w:hint="eastAsia"/>
        </w:rPr>
        <w:t>，</w:t>
      </w:r>
      <w:r>
        <w:rPr>
          <w:rFonts w:eastAsia="標楷體"/>
        </w:rPr>
        <w:t>及出席董事過半數同意之決議</w:t>
      </w:r>
      <w:r>
        <w:rPr>
          <w:rFonts w:eastAsia="標楷體" w:hint="eastAsia"/>
        </w:rPr>
        <w:t>，由代表公司之董事檢同董事會議事錄為之。</w:t>
      </w:r>
    </w:p>
    <w:p w:rsidR="00000000" w:rsidRDefault="00FD50C0">
      <w:pPr>
        <w:numPr>
          <w:ilvl w:val="1"/>
          <w:numId w:val="1"/>
        </w:numPr>
        <w:tabs>
          <w:tab w:val="clear" w:pos="1248"/>
          <w:tab w:val="left" w:pos="360"/>
          <w:tab w:val="num" w:pos="1440"/>
        </w:tabs>
        <w:spacing w:afterLines="50"/>
        <w:ind w:left="1440" w:hanging="360"/>
        <w:jc w:val="both"/>
        <w:rPr>
          <w:rFonts w:eastAsia="標楷體" w:hint="eastAsia"/>
        </w:rPr>
      </w:pPr>
      <w:r>
        <w:rPr>
          <w:rFonts w:eastAsia="標楷體" w:hint="eastAsia"/>
        </w:rPr>
        <w:t>股東：</w:t>
      </w:r>
      <w:r>
        <w:rPr>
          <w:rFonts w:eastAsia="標楷體"/>
        </w:rPr>
        <w:t>繼續六個月以上持有已發行股份總數百分之十以上股份之股東</w:t>
      </w:r>
      <w:r>
        <w:rPr>
          <w:rFonts w:eastAsia="標楷體" w:hint="eastAsia"/>
        </w:rPr>
        <w:t>。</w:t>
      </w:r>
    </w:p>
    <w:p w:rsidR="00000000" w:rsidRDefault="00FD50C0">
      <w:pPr>
        <w:numPr>
          <w:ilvl w:val="1"/>
          <w:numId w:val="1"/>
        </w:numPr>
        <w:tabs>
          <w:tab w:val="clear" w:pos="1248"/>
          <w:tab w:val="left" w:pos="360"/>
          <w:tab w:val="num" w:pos="1440"/>
        </w:tabs>
        <w:spacing w:afterLines="50"/>
        <w:ind w:left="1440" w:hanging="360"/>
        <w:jc w:val="both"/>
        <w:rPr>
          <w:rFonts w:eastAsia="標楷體" w:hint="eastAsia"/>
        </w:rPr>
      </w:pPr>
      <w:r>
        <w:rPr>
          <w:rFonts w:eastAsia="標楷體" w:hint="eastAsia"/>
        </w:rPr>
        <w:t>公司債權人：</w:t>
      </w:r>
      <w:r>
        <w:rPr>
          <w:rFonts w:eastAsia="標楷體"/>
        </w:rPr>
        <w:t>相當於公司已發行股份總數金額百分之十以上之公司債權人。</w:t>
      </w:r>
    </w:p>
    <w:p w:rsidR="00000000" w:rsidRDefault="00FD50C0">
      <w:pPr>
        <w:tabs>
          <w:tab w:val="left" w:pos="540"/>
        </w:tabs>
        <w:spacing w:afterLines="50"/>
        <w:jc w:val="both"/>
        <w:rPr>
          <w:rFonts w:eastAsia="標楷體" w:hint="eastAsia"/>
          <w:b/>
          <w:bCs/>
          <w:sz w:val="28"/>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管轄法院</w:t>
      </w:r>
    </w:p>
    <w:p w:rsidR="00000000" w:rsidRDefault="00FD50C0">
      <w:pPr>
        <w:tabs>
          <w:tab w:val="left" w:pos="900"/>
        </w:tabs>
        <w:spacing w:afterLines="50"/>
        <w:ind w:left="1080"/>
        <w:jc w:val="both"/>
        <w:rPr>
          <w:rFonts w:eastAsia="標楷體" w:hint="eastAsia"/>
        </w:rPr>
      </w:pPr>
      <w:r>
        <w:rPr>
          <w:rFonts w:eastAsia="標楷體" w:hint="eastAsia"/>
        </w:rPr>
        <w:t>準用民事訴訟法之規定，應由其主事務</w:t>
      </w:r>
      <w:r>
        <w:rPr>
          <w:rFonts w:eastAsia="標楷體" w:hint="eastAsia"/>
        </w:rPr>
        <w:t>所或主營業所所在地之法院專屬管轄（公</w:t>
      </w:r>
      <w:r>
        <w:rPr>
          <w:rFonts w:eastAsia="標楷體" w:hint="eastAsia"/>
        </w:rPr>
        <w:t>314</w:t>
      </w:r>
      <w:r>
        <w:rPr>
          <w:rFonts w:eastAsia="標楷體" w:hint="eastAsia"/>
        </w:rPr>
        <w:t>）。</w:t>
      </w:r>
    </w:p>
    <w:p w:rsidR="00000000" w:rsidRDefault="00FD50C0">
      <w:pPr>
        <w:tabs>
          <w:tab w:val="left" w:pos="900"/>
        </w:tabs>
        <w:spacing w:afterLines="50"/>
        <w:jc w:val="both"/>
        <w:rPr>
          <w:rFonts w:eastAsia="標楷體" w:hint="eastAsia"/>
          <w:b/>
          <w:bCs/>
          <w:sz w:val="28"/>
        </w:rPr>
      </w:pPr>
      <w:r>
        <w:rPr>
          <w:rFonts w:eastAsia="標楷體" w:hint="eastAsia"/>
          <w:b/>
          <w:bCs/>
          <w:sz w:val="28"/>
        </w:rPr>
        <w:t>(</w:t>
      </w:r>
      <w:r>
        <w:rPr>
          <w:rFonts w:eastAsia="標楷體" w:hint="eastAsia"/>
          <w:b/>
          <w:bCs/>
          <w:sz w:val="28"/>
        </w:rPr>
        <w:t>三</w:t>
      </w:r>
      <w:r>
        <w:rPr>
          <w:rFonts w:eastAsia="標楷體" w:hint="eastAsia"/>
          <w:b/>
          <w:bCs/>
          <w:sz w:val="28"/>
        </w:rPr>
        <w:t xml:space="preserve">) </w:t>
      </w:r>
      <w:r>
        <w:rPr>
          <w:rFonts w:eastAsia="標楷體" w:hint="eastAsia"/>
          <w:b/>
          <w:bCs/>
          <w:sz w:val="28"/>
        </w:rPr>
        <w:t>聲請之書狀</w:t>
      </w:r>
    </w:p>
    <w:p w:rsidR="00000000" w:rsidRDefault="00FD50C0">
      <w:pPr>
        <w:tabs>
          <w:tab w:val="left" w:pos="900"/>
        </w:tabs>
        <w:spacing w:afterLines="50"/>
        <w:ind w:left="1080"/>
        <w:jc w:val="both"/>
        <w:rPr>
          <w:rFonts w:eastAsia="標楷體" w:hint="eastAsia"/>
        </w:rPr>
      </w:pPr>
      <w:r>
        <w:rPr>
          <w:rFonts w:eastAsia="標楷體" w:hint="eastAsia"/>
        </w:rPr>
        <w:t>公司重整之聲請，</w:t>
      </w:r>
      <w:r>
        <w:rPr>
          <w:rFonts w:eastAsia="標楷體"/>
        </w:rPr>
        <w:t>應由聲請人以書狀連同副本五份，載明</w:t>
      </w:r>
      <w:r>
        <w:rPr>
          <w:rFonts w:eastAsia="標楷體" w:hint="eastAsia"/>
        </w:rPr>
        <w:t>下</w:t>
      </w:r>
      <w:r>
        <w:rPr>
          <w:rFonts w:eastAsia="標楷體"/>
        </w:rPr>
        <w:t>列事項，向</w:t>
      </w:r>
      <w:r>
        <w:rPr>
          <w:rFonts w:eastAsia="標楷體" w:hint="eastAsia"/>
        </w:rPr>
        <w:t>管轄</w:t>
      </w:r>
      <w:r>
        <w:rPr>
          <w:rFonts w:eastAsia="標楷體"/>
        </w:rPr>
        <w:t>法院為之</w:t>
      </w:r>
      <w:r>
        <w:rPr>
          <w:rFonts w:eastAsia="標楷體" w:hint="eastAsia"/>
        </w:rPr>
        <w:t>（公</w:t>
      </w:r>
      <w:r>
        <w:rPr>
          <w:rFonts w:eastAsia="標楷體" w:hint="eastAsia"/>
        </w:rPr>
        <w:t>283</w:t>
      </w:r>
      <w:r>
        <w:rPr>
          <w:rFonts w:eastAsia="標楷體" w:hint="eastAsia"/>
        </w:rPr>
        <w:t>Ⅰ）</w:t>
      </w:r>
      <w:r>
        <w:rPr>
          <w:rFonts w:eastAsia="標楷體"/>
        </w:rPr>
        <w:t>：</w:t>
      </w:r>
    </w:p>
    <w:p w:rsidR="00000000" w:rsidRDefault="00FD50C0">
      <w:pPr>
        <w:numPr>
          <w:ilvl w:val="0"/>
          <w:numId w:val="2"/>
        </w:numPr>
        <w:tabs>
          <w:tab w:val="clear" w:pos="1308"/>
          <w:tab w:val="left" w:pos="900"/>
          <w:tab w:val="num" w:pos="1440"/>
        </w:tabs>
        <w:spacing w:afterLines="50"/>
        <w:ind w:left="1440" w:hanging="360"/>
        <w:jc w:val="both"/>
        <w:rPr>
          <w:rFonts w:eastAsia="標楷體" w:hint="eastAsia"/>
        </w:rPr>
      </w:pPr>
      <w:r>
        <w:rPr>
          <w:rFonts w:eastAsia="標楷體"/>
        </w:rPr>
        <w:t>聲請人之姓名及住所或居所；聲請人為法人、其他團體或機關者，其名稱及公務所、事務所或營業所。</w:t>
      </w:r>
    </w:p>
    <w:p w:rsidR="00000000" w:rsidRDefault="00FD50C0">
      <w:pPr>
        <w:numPr>
          <w:ilvl w:val="0"/>
          <w:numId w:val="2"/>
        </w:numPr>
        <w:tabs>
          <w:tab w:val="clear" w:pos="1308"/>
          <w:tab w:val="left" w:pos="900"/>
          <w:tab w:val="num" w:pos="1440"/>
        </w:tabs>
        <w:spacing w:afterLines="50"/>
        <w:ind w:left="1440" w:hanging="360"/>
        <w:jc w:val="both"/>
        <w:rPr>
          <w:rFonts w:eastAsia="標楷體" w:hint="eastAsia"/>
        </w:rPr>
      </w:pPr>
      <w:r>
        <w:rPr>
          <w:rFonts w:eastAsia="標楷體"/>
        </w:rPr>
        <w:t>有法定代理人、代理人者，其姓名、住所或居所，及法定代理人與聲請人之關係。</w:t>
      </w:r>
    </w:p>
    <w:p w:rsidR="00000000" w:rsidRDefault="00FD50C0">
      <w:pPr>
        <w:numPr>
          <w:ilvl w:val="0"/>
          <w:numId w:val="2"/>
        </w:numPr>
        <w:tabs>
          <w:tab w:val="clear" w:pos="1308"/>
          <w:tab w:val="left" w:pos="900"/>
          <w:tab w:val="num" w:pos="1440"/>
        </w:tabs>
        <w:spacing w:afterLines="50"/>
        <w:ind w:left="1440" w:hanging="360"/>
        <w:jc w:val="both"/>
        <w:rPr>
          <w:rFonts w:eastAsia="標楷體" w:hint="eastAsia"/>
        </w:rPr>
      </w:pPr>
      <w:r>
        <w:rPr>
          <w:rFonts w:eastAsia="標楷體"/>
        </w:rPr>
        <w:t>公司名稱、所在地、事務所或營業所及代表公司之負責人姓名、住所或居所。</w:t>
      </w:r>
    </w:p>
    <w:p w:rsidR="00000000" w:rsidRDefault="00FD50C0">
      <w:pPr>
        <w:numPr>
          <w:ilvl w:val="0"/>
          <w:numId w:val="2"/>
        </w:numPr>
        <w:tabs>
          <w:tab w:val="clear" w:pos="1308"/>
          <w:tab w:val="left" w:pos="900"/>
          <w:tab w:val="num" w:pos="1440"/>
        </w:tabs>
        <w:spacing w:afterLines="50"/>
        <w:ind w:left="1440" w:hanging="360"/>
        <w:jc w:val="both"/>
        <w:rPr>
          <w:rFonts w:eastAsia="標楷體" w:hint="eastAsia"/>
        </w:rPr>
      </w:pPr>
      <w:r>
        <w:rPr>
          <w:rFonts w:eastAsia="標楷體" w:hint="eastAsia"/>
        </w:rPr>
        <w:t>聲請</w:t>
      </w:r>
      <w:r>
        <w:rPr>
          <w:rFonts w:eastAsia="標楷體"/>
        </w:rPr>
        <w:t>之原因及事實。</w:t>
      </w:r>
    </w:p>
    <w:p w:rsidR="00000000" w:rsidRDefault="00FD50C0">
      <w:pPr>
        <w:numPr>
          <w:ilvl w:val="0"/>
          <w:numId w:val="2"/>
        </w:numPr>
        <w:tabs>
          <w:tab w:val="clear" w:pos="1308"/>
          <w:tab w:val="left" w:pos="900"/>
          <w:tab w:val="num" w:pos="1440"/>
        </w:tabs>
        <w:spacing w:afterLines="50"/>
        <w:ind w:left="1440" w:hanging="360"/>
        <w:jc w:val="both"/>
        <w:rPr>
          <w:rFonts w:eastAsia="標楷體" w:hint="eastAsia"/>
        </w:rPr>
      </w:pPr>
      <w:r>
        <w:rPr>
          <w:rFonts w:eastAsia="標楷體"/>
        </w:rPr>
        <w:t>公司所營事業及業務狀況。</w:t>
      </w:r>
    </w:p>
    <w:p w:rsidR="00000000" w:rsidRDefault="00FD50C0">
      <w:pPr>
        <w:numPr>
          <w:ilvl w:val="0"/>
          <w:numId w:val="2"/>
        </w:numPr>
        <w:tabs>
          <w:tab w:val="clear" w:pos="1308"/>
          <w:tab w:val="left" w:pos="900"/>
          <w:tab w:val="num" w:pos="1440"/>
        </w:tabs>
        <w:spacing w:afterLines="50"/>
        <w:ind w:left="1440" w:hanging="360"/>
        <w:jc w:val="both"/>
        <w:rPr>
          <w:rFonts w:eastAsia="標楷體" w:hint="eastAsia"/>
        </w:rPr>
      </w:pPr>
      <w:r>
        <w:rPr>
          <w:rFonts w:eastAsia="標楷體"/>
        </w:rPr>
        <w:t>公司最近一年度依第二百二十八條規定所編造之表冊；聲請日期已逾年度開始六</w:t>
      </w:r>
      <w:r>
        <w:rPr>
          <w:rFonts w:eastAsia="標楷體"/>
        </w:rPr>
        <w:t>個月者，應另送上半年之資產負債表</w:t>
      </w:r>
      <w:r>
        <w:rPr>
          <w:rFonts w:eastAsia="標楷體" w:hint="eastAsia"/>
        </w:rPr>
        <w:t>。</w:t>
      </w:r>
    </w:p>
    <w:p w:rsidR="00000000" w:rsidRDefault="00FD50C0">
      <w:pPr>
        <w:numPr>
          <w:ilvl w:val="0"/>
          <w:numId w:val="2"/>
        </w:numPr>
        <w:tabs>
          <w:tab w:val="clear" w:pos="1308"/>
          <w:tab w:val="left" w:pos="900"/>
          <w:tab w:val="num" w:pos="1440"/>
        </w:tabs>
        <w:spacing w:afterLines="50"/>
        <w:ind w:left="1440" w:hanging="360"/>
        <w:jc w:val="both"/>
        <w:rPr>
          <w:rFonts w:eastAsia="標楷體" w:hint="eastAsia"/>
        </w:rPr>
      </w:pPr>
      <w:r>
        <w:rPr>
          <w:rFonts w:eastAsia="標楷體"/>
        </w:rPr>
        <w:t>對於公司重整之具體意見。</w:t>
      </w:r>
    </w:p>
    <w:p w:rsidR="00000000" w:rsidRDefault="00FD50C0">
      <w:pPr>
        <w:tabs>
          <w:tab w:val="left" w:pos="900"/>
        </w:tabs>
        <w:ind w:left="900" w:firstLineChars="75" w:firstLine="180"/>
        <w:jc w:val="both"/>
        <w:rPr>
          <w:rFonts w:eastAsia="標楷體" w:hint="eastAsia"/>
        </w:rPr>
      </w:pPr>
      <w:r>
        <w:rPr>
          <w:rFonts w:eastAsia="標楷體"/>
        </w:rPr>
        <w:t>前項第五款至第七款之事項，得以附件補充之</w:t>
      </w:r>
      <w:r>
        <w:rPr>
          <w:rFonts w:eastAsia="標楷體" w:hint="eastAsia"/>
        </w:rPr>
        <w:t>（公</w:t>
      </w:r>
      <w:r>
        <w:rPr>
          <w:rFonts w:eastAsia="標楷體" w:hint="eastAsia"/>
        </w:rPr>
        <w:t>283</w:t>
      </w:r>
      <w:r>
        <w:rPr>
          <w:rFonts w:eastAsia="標楷體" w:hint="eastAsia"/>
        </w:rPr>
        <w:t>Ⅱ）</w:t>
      </w:r>
      <w:r>
        <w:rPr>
          <w:rFonts w:eastAsia="標楷體"/>
        </w:rPr>
        <w:t>。</w:t>
      </w:r>
    </w:p>
    <w:p w:rsidR="00000000" w:rsidRDefault="00FD50C0">
      <w:pPr>
        <w:tabs>
          <w:tab w:val="left" w:pos="900"/>
        </w:tabs>
        <w:ind w:left="900" w:firstLineChars="75" w:firstLine="180"/>
        <w:jc w:val="both"/>
        <w:rPr>
          <w:rFonts w:eastAsia="標楷體" w:hint="eastAsia"/>
        </w:rPr>
      </w:pPr>
      <w:r>
        <w:rPr>
          <w:rFonts w:eastAsia="標楷體"/>
        </w:rPr>
        <w:t>公司為聲請時，應提出重整之具體方案</w:t>
      </w:r>
      <w:r>
        <w:rPr>
          <w:rFonts w:eastAsia="標楷體" w:hint="eastAsia"/>
        </w:rPr>
        <w:t>（公</w:t>
      </w:r>
      <w:r>
        <w:rPr>
          <w:rFonts w:eastAsia="標楷體" w:hint="eastAsia"/>
        </w:rPr>
        <w:t>283</w:t>
      </w:r>
      <w:r>
        <w:rPr>
          <w:rFonts w:eastAsia="標楷體" w:hint="eastAsia"/>
        </w:rPr>
        <w:t>Ⅲ）</w:t>
      </w:r>
      <w:r>
        <w:rPr>
          <w:rFonts w:eastAsia="標楷體"/>
        </w:rPr>
        <w:t>。</w:t>
      </w:r>
    </w:p>
    <w:p w:rsidR="00000000" w:rsidRDefault="00FD50C0">
      <w:pPr>
        <w:tabs>
          <w:tab w:val="left" w:pos="1080"/>
        </w:tabs>
        <w:ind w:left="1080"/>
        <w:jc w:val="both"/>
        <w:rPr>
          <w:rFonts w:eastAsia="標楷體" w:hint="eastAsia"/>
        </w:rPr>
      </w:pPr>
      <w:r>
        <w:rPr>
          <w:rFonts w:eastAsia="標楷體"/>
        </w:rPr>
        <w:t>股東或債權人為聲請時，應檢同釋明其資格之文件，對第一項第五款及第六款之事項，得免予記載</w:t>
      </w:r>
      <w:r>
        <w:rPr>
          <w:rFonts w:eastAsia="標楷體" w:hint="eastAsia"/>
        </w:rPr>
        <w:t>（公</w:t>
      </w:r>
      <w:r>
        <w:rPr>
          <w:rFonts w:eastAsia="標楷體" w:hint="eastAsia"/>
        </w:rPr>
        <w:t>283</w:t>
      </w:r>
      <w:r>
        <w:rPr>
          <w:rFonts w:eastAsia="標楷體" w:hint="eastAsia"/>
        </w:rPr>
        <w:t>Ⅳ）</w:t>
      </w:r>
      <w:r>
        <w:rPr>
          <w:rFonts w:eastAsia="標楷體"/>
        </w:rPr>
        <w:t>。</w:t>
      </w:r>
    </w:p>
    <w:p w:rsidR="00000000" w:rsidRDefault="00FD50C0">
      <w:pPr>
        <w:tabs>
          <w:tab w:val="left" w:pos="1080"/>
        </w:tabs>
        <w:ind w:left="1080"/>
        <w:jc w:val="both"/>
        <w:rPr>
          <w:rFonts w:eastAsia="標楷體" w:hint="eastAsia"/>
        </w:rPr>
      </w:pPr>
    </w:p>
    <w:p w:rsidR="00000000" w:rsidRDefault="00FD50C0">
      <w:pPr>
        <w:spacing w:after="180"/>
        <w:jc w:val="center"/>
        <w:rPr>
          <w:rFonts w:eastAsia="標楷體" w:hint="eastAsia"/>
          <w:b/>
          <w:bCs/>
          <w:sz w:val="32"/>
        </w:rPr>
      </w:pPr>
      <w:r>
        <w:rPr>
          <w:rFonts w:eastAsia="標楷體" w:hint="eastAsia"/>
          <w:b/>
          <w:bCs/>
          <w:sz w:val="32"/>
        </w:rPr>
        <w:t>四、法院對公司重整之裁定</w:t>
      </w:r>
    </w:p>
    <w:p w:rsidR="00000000" w:rsidRDefault="00FD50C0">
      <w:pPr>
        <w:tabs>
          <w:tab w:val="left" w:pos="360"/>
        </w:tabs>
        <w:spacing w:afterLines="50"/>
        <w:jc w:val="both"/>
        <w:rPr>
          <w:rFonts w:eastAsia="標楷體" w:hint="eastAsia"/>
          <w:b/>
          <w:bCs/>
          <w:sz w:val="28"/>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裁定前之審查</w:t>
      </w:r>
    </w:p>
    <w:p w:rsidR="00000000" w:rsidRDefault="00FD50C0">
      <w:pPr>
        <w:tabs>
          <w:tab w:val="left" w:pos="360"/>
        </w:tabs>
        <w:spacing w:afterLines="50"/>
        <w:ind w:firstLineChars="225" w:firstLine="540"/>
        <w:jc w:val="both"/>
        <w:rPr>
          <w:rFonts w:eastAsia="標楷體" w:hint="eastAsia"/>
        </w:rPr>
      </w:pPr>
      <w:r>
        <w:rPr>
          <w:rFonts w:eastAsia="標楷體" w:hint="eastAsia"/>
        </w:rPr>
        <w:t>法院受理重整之申請後，應先審查其形式要件，是否具備，具備後在進而為事實上之審查，其有無重整之原因及必要，其調查方法，公司法設有下列之規定：</w:t>
      </w:r>
    </w:p>
    <w:p w:rsidR="00000000" w:rsidRDefault="00FD50C0">
      <w:pPr>
        <w:tabs>
          <w:tab w:val="left" w:pos="360"/>
        </w:tabs>
        <w:spacing w:afterLines="50"/>
        <w:jc w:val="both"/>
        <w:rPr>
          <w:rFonts w:eastAsia="標楷體"/>
        </w:rPr>
      </w:pPr>
      <w:r>
        <w:rPr>
          <w:rFonts w:eastAsia="標楷體" w:hint="eastAsia"/>
        </w:rPr>
        <w:t xml:space="preserve">1. </w:t>
      </w:r>
      <w:r>
        <w:rPr>
          <w:rFonts w:eastAsia="標楷體" w:hint="eastAsia"/>
        </w:rPr>
        <w:t>徵詢主管機關意見</w:t>
      </w:r>
    </w:p>
    <w:p w:rsidR="00000000" w:rsidRDefault="00FD50C0">
      <w:pPr>
        <w:tabs>
          <w:tab w:val="left" w:pos="360"/>
        </w:tabs>
        <w:spacing w:afterLines="50"/>
        <w:jc w:val="both"/>
        <w:rPr>
          <w:rFonts w:eastAsia="標楷體" w:hint="eastAsia"/>
        </w:rPr>
      </w:pPr>
      <w:r>
        <w:rPr>
          <w:rFonts w:eastAsia="標楷體" w:hint="eastAsia"/>
        </w:rPr>
        <w:t xml:space="preserve">   </w:t>
      </w:r>
      <w:r>
        <w:rPr>
          <w:rFonts w:eastAsia="標楷體"/>
        </w:rPr>
        <w:t>法院對於重整之聲</w:t>
      </w:r>
      <w:r>
        <w:rPr>
          <w:rFonts w:eastAsia="標楷體"/>
        </w:rPr>
        <w:t>請，除依前條之規定裁定駁回者外，應即將聲請書狀副本，檢送主管機關、目的事業中央主管機關、中央金融主管機關及證券管理機關，並徵詢其關於應否重整之具體意見</w:t>
      </w:r>
      <w:r>
        <w:rPr>
          <w:rFonts w:eastAsia="標楷體" w:hint="eastAsia"/>
        </w:rPr>
        <w:t>（公</w:t>
      </w:r>
      <w:r>
        <w:rPr>
          <w:rFonts w:eastAsia="標楷體" w:hint="eastAsia"/>
        </w:rPr>
        <w:t>284</w:t>
      </w:r>
      <w:r>
        <w:rPr>
          <w:rFonts w:eastAsia="標楷體" w:hint="eastAsia"/>
        </w:rPr>
        <w:t>Ⅰ）</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rPr>
        <w:t>法院對於重整之聲請，並得徵詢本公司所在地之稅捐稽徵機關及其他有關機關、團體之意見</w:t>
      </w:r>
      <w:r>
        <w:rPr>
          <w:rFonts w:eastAsia="標楷體" w:hint="eastAsia"/>
        </w:rPr>
        <w:t>（公</w:t>
      </w:r>
      <w:r>
        <w:rPr>
          <w:rFonts w:eastAsia="標楷體" w:hint="eastAsia"/>
        </w:rPr>
        <w:t>284</w:t>
      </w:r>
      <w:r>
        <w:rPr>
          <w:rFonts w:eastAsia="標楷體" w:hint="eastAsia"/>
        </w:rPr>
        <w:t>Ⅱ）</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rPr>
        <w:t>前二項被徵詢意見之機關，應於三十日內提出意見</w:t>
      </w:r>
      <w:r>
        <w:rPr>
          <w:rFonts w:eastAsia="標楷體" w:hint="eastAsia"/>
        </w:rPr>
        <w:t>（公</w:t>
      </w:r>
      <w:r>
        <w:rPr>
          <w:rFonts w:eastAsia="標楷體" w:hint="eastAsia"/>
        </w:rPr>
        <w:t>284</w:t>
      </w:r>
      <w:r>
        <w:rPr>
          <w:rFonts w:eastAsia="標楷體" w:hint="eastAsia"/>
        </w:rPr>
        <w:t>Ⅲ）</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但法院不受其意見之拘束，仍應依職權自由衡量之。</w:t>
      </w:r>
    </w:p>
    <w:p w:rsidR="00000000" w:rsidRDefault="00FD50C0">
      <w:pPr>
        <w:widowControl/>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hint="eastAsia"/>
          <w:kern w:val="0"/>
        </w:rPr>
      </w:pPr>
      <w:r>
        <w:rPr>
          <w:rFonts w:eastAsia="標楷體" w:hint="eastAsia"/>
        </w:rPr>
        <w:t xml:space="preserve">   </w:t>
      </w:r>
      <w:r>
        <w:rPr>
          <w:rFonts w:ascii="標楷體" w:eastAsia="標楷體" w:hAnsi="標楷體" w:cs="細明體"/>
          <w:kern w:val="0"/>
        </w:rPr>
        <w:t>法院依檢查人之報告，並參考目的事業中央主管機關、證券管理機關、中央金融主管機關及其他有關機關、團體之意見，應於收受重整聲請後</w:t>
      </w:r>
      <w:r>
        <w:rPr>
          <w:rFonts w:ascii="標楷體" w:eastAsia="標楷體" w:hAnsi="標楷體" w:cs="細明體"/>
          <w:kern w:val="0"/>
        </w:rPr>
        <w:t>一百二十日內，為准許或駁回重整之裁定，並通知各有關機關。前項一百二十日之期間，法院得以裁定延長之，每次延長不得超過三十日。但以二次為限。</w:t>
      </w:r>
      <w:r>
        <w:rPr>
          <w:rFonts w:ascii="標楷體" w:eastAsia="標楷體" w:hAnsi="標楷體" w:cs="細明體" w:hint="eastAsia"/>
          <w:kern w:val="0"/>
        </w:rPr>
        <w:t>(</w:t>
      </w:r>
      <w:r>
        <w:rPr>
          <w:rFonts w:ascii="標楷體" w:eastAsia="標楷體" w:hAnsi="標楷體" w:cs="細明體" w:hint="eastAsia"/>
          <w:kern w:val="0"/>
        </w:rPr>
        <w:t>公</w:t>
      </w:r>
      <w:r>
        <w:rPr>
          <w:rFonts w:ascii="標楷體" w:eastAsia="標楷體" w:hAnsi="標楷體" w:cs="細明體" w:hint="eastAsia"/>
          <w:kern w:val="0"/>
        </w:rPr>
        <w:t>285</w:t>
      </w:r>
      <w:r>
        <w:rPr>
          <w:rFonts w:eastAsia="標楷體" w:hint="eastAsia"/>
        </w:rPr>
        <w:t>Ⅰ</w:t>
      </w:r>
      <w:r>
        <w:rPr>
          <w:rFonts w:eastAsia="標楷體" w:hint="eastAsia"/>
        </w:rPr>
        <w:t>)</w:t>
      </w:r>
      <w:r>
        <w:rPr>
          <w:rFonts w:ascii="細明體" w:eastAsia="細明體" w:hAnsi="細明體" w:cs="細明體"/>
          <w:kern w:val="0"/>
        </w:rPr>
        <w:t xml:space="preserve"> </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所謂中央主管機關，係指經濟部。至於目的事業之中央主管機關，如藥業公司為衛生署、航業公司為交通部、保險公司為行政院金融監督管理委員會保險局。</w:t>
      </w:r>
    </w:p>
    <w:p w:rsidR="00000000" w:rsidRDefault="00FD50C0">
      <w:pPr>
        <w:tabs>
          <w:tab w:val="left" w:pos="360"/>
        </w:tabs>
        <w:spacing w:afterLines="50"/>
        <w:jc w:val="both"/>
        <w:rPr>
          <w:rFonts w:eastAsia="標楷體" w:hint="eastAsia"/>
        </w:rPr>
      </w:pPr>
      <w:r>
        <w:rPr>
          <w:rFonts w:eastAsia="標楷體" w:hint="eastAsia"/>
        </w:rPr>
        <w:t xml:space="preserve">2. </w:t>
      </w:r>
      <w:r>
        <w:rPr>
          <w:rFonts w:eastAsia="標楷體" w:hint="eastAsia"/>
        </w:rPr>
        <w:t>通知被聲請重整之公司</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重整之聲請如是由</w:t>
      </w:r>
      <w:r>
        <w:rPr>
          <w:rFonts w:eastAsia="標楷體"/>
        </w:rPr>
        <w:t>股東或債權人</w:t>
      </w:r>
      <w:r>
        <w:rPr>
          <w:rFonts w:eastAsia="標楷體" w:hint="eastAsia"/>
        </w:rPr>
        <w:t>為聲請人者，</w:t>
      </w:r>
      <w:r>
        <w:rPr>
          <w:rFonts w:eastAsia="標楷體"/>
        </w:rPr>
        <w:t>法院應檢同聲請書狀副本，通知該公司</w:t>
      </w:r>
      <w:r>
        <w:rPr>
          <w:rFonts w:eastAsia="標楷體" w:hint="eastAsia"/>
        </w:rPr>
        <w:t>（公</w:t>
      </w:r>
      <w:r>
        <w:rPr>
          <w:rFonts w:eastAsia="標楷體" w:hint="eastAsia"/>
        </w:rPr>
        <w:t>284</w:t>
      </w:r>
      <w:r>
        <w:rPr>
          <w:rFonts w:eastAsia="標楷體" w:hint="eastAsia"/>
        </w:rPr>
        <w:t>Ⅳ）</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 xml:space="preserve">3. </w:t>
      </w:r>
      <w:r>
        <w:rPr>
          <w:rFonts w:eastAsia="標楷體" w:hint="eastAsia"/>
        </w:rPr>
        <w:t>選任檢查人</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法院為重整之裁定前，除</w:t>
      </w:r>
      <w:r>
        <w:rPr>
          <w:rFonts w:eastAsia="標楷體"/>
        </w:rPr>
        <w:t>徵詢</w:t>
      </w:r>
      <w:r>
        <w:rPr>
          <w:rFonts w:eastAsia="標楷體" w:hint="eastAsia"/>
        </w:rPr>
        <w:t>主管機關意見外，</w:t>
      </w:r>
      <w:r>
        <w:rPr>
          <w:rFonts w:eastAsia="標楷體"/>
        </w:rPr>
        <w:t>並得</w:t>
      </w:r>
      <w:r>
        <w:rPr>
          <w:rFonts w:eastAsia="標楷體" w:hint="eastAsia"/>
        </w:rPr>
        <w:t>主管機關</w:t>
      </w:r>
      <w:r>
        <w:rPr>
          <w:rFonts w:eastAsia="標楷體"/>
        </w:rPr>
        <w:t>就對公司業務具有專門</w:t>
      </w:r>
      <w:r>
        <w:rPr>
          <w:rFonts w:eastAsia="標楷體"/>
        </w:rPr>
        <w:t>學識、經營經驗而非利害關係人者，選任為檢查人，就左列事項於選任後三十日內調查完畢報告法院</w:t>
      </w:r>
      <w:r>
        <w:rPr>
          <w:rFonts w:eastAsia="標楷體" w:hint="eastAsia"/>
        </w:rPr>
        <w:t>（公</w:t>
      </w:r>
      <w:r>
        <w:rPr>
          <w:rFonts w:eastAsia="標楷體" w:hint="eastAsia"/>
        </w:rPr>
        <w:t>285</w:t>
      </w:r>
      <w:r>
        <w:rPr>
          <w:rFonts w:eastAsia="標楷體" w:hint="eastAsia"/>
        </w:rPr>
        <w:t>）</w:t>
      </w:r>
      <w:r>
        <w:rPr>
          <w:rFonts w:eastAsia="標楷體"/>
        </w:rPr>
        <w:t>：</w:t>
      </w:r>
    </w:p>
    <w:p w:rsidR="00000000" w:rsidRDefault="00FD50C0">
      <w:pPr>
        <w:numPr>
          <w:ilvl w:val="1"/>
          <w:numId w:val="3"/>
        </w:numPr>
        <w:tabs>
          <w:tab w:val="clear" w:pos="1428"/>
          <w:tab w:val="left" w:pos="360"/>
          <w:tab w:val="num" w:pos="720"/>
        </w:tabs>
        <w:spacing w:afterLines="50"/>
        <w:ind w:hanging="1068"/>
        <w:jc w:val="both"/>
        <w:rPr>
          <w:rFonts w:eastAsia="標楷體" w:hint="eastAsia"/>
        </w:rPr>
      </w:pPr>
      <w:r>
        <w:rPr>
          <w:rFonts w:eastAsia="標楷體" w:hint="eastAsia"/>
        </w:rPr>
        <w:t>公司業務、財務狀況與資產估價。</w:t>
      </w:r>
    </w:p>
    <w:p w:rsidR="00000000" w:rsidRDefault="00FD50C0">
      <w:pPr>
        <w:numPr>
          <w:ilvl w:val="1"/>
          <w:numId w:val="3"/>
        </w:numPr>
        <w:tabs>
          <w:tab w:val="clear" w:pos="1428"/>
          <w:tab w:val="left" w:pos="360"/>
          <w:tab w:val="num" w:pos="720"/>
        </w:tabs>
        <w:spacing w:afterLines="50"/>
        <w:ind w:left="720" w:hanging="360"/>
        <w:jc w:val="both"/>
        <w:rPr>
          <w:rFonts w:eastAsia="標楷體" w:hint="eastAsia"/>
        </w:rPr>
      </w:pPr>
      <w:r>
        <w:rPr>
          <w:rFonts w:eastAsia="標楷體" w:hint="eastAsia"/>
        </w:rPr>
        <w:t>依公司業務、財務、資產及生產設備之分析，是否尚有重建更生之可能。</w:t>
      </w:r>
    </w:p>
    <w:p w:rsidR="00000000" w:rsidRDefault="00FD50C0">
      <w:pPr>
        <w:numPr>
          <w:ilvl w:val="1"/>
          <w:numId w:val="3"/>
        </w:numPr>
        <w:tabs>
          <w:tab w:val="clear" w:pos="1428"/>
          <w:tab w:val="left" w:pos="360"/>
          <w:tab w:val="num" w:pos="720"/>
        </w:tabs>
        <w:spacing w:afterLines="50"/>
        <w:ind w:left="720" w:hanging="360"/>
        <w:jc w:val="both"/>
        <w:rPr>
          <w:rFonts w:eastAsia="標楷體" w:hint="eastAsia"/>
        </w:rPr>
      </w:pPr>
      <w:r>
        <w:rPr>
          <w:rFonts w:eastAsia="標楷體" w:hint="eastAsia"/>
        </w:rPr>
        <w:t>公司以往業務經營之得失及公司負責人執行業務有無怠忽或不當情形。</w:t>
      </w:r>
    </w:p>
    <w:p w:rsidR="00000000" w:rsidRDefault="00FD50C0">
      <w:pPr>
        <w:numPr>
          <w:ilvl w:val="1"/>
          <w:numId w:val="3"/>
        </w:numPr>
        <w:tabs>
          <w:tab w:val="clear" w:pos="1428"/>
          <w:tab w:val="left" w:pos="360"/>
          <w:tab w:val="num" w:pos="720"/>
        </w:tabs>
        <w:spacing w:afterLines="50"/>
        <w:ind w:left="720" w:hanging="360"/>
        <w:jc w:val="both"/>
        <w:rPr>
          <w:rFonts w:eastAsia="標楷體" w:hint="eastAsia"/>
        </w:rPr>
      </w:pPr>
      <w:r>
        <w:rPr>
          <w:rFonts w:eastAsia="標楷體" w:hint="eastAsia"/>
        </w:rPr>
        <w:t>聲請書狀所記載事項有無虛偽不實情形。</w:t>
      </w:r>
    </w:p>
    <w:p w:rsidR="00000000" w:rsidRDefault="00FD50C0">
      <w:pPr>
        <w:numPr>
          <w:ilvl w:val="1"/>
          <w:numId w:val="3"/>
        </w:numPr>
        <w:tabs>
          <w:tab w:val="clear" w:pos="1428"/>
          <w:tab w:val="left" w:pos="360"/>
          <w:tab w:val="num" w:pos="720"/>
        </w:tabs>
        <w:spacing w:afterLines="50"/>
        <w:ind w:left="720" w:hanging="360"/>
        <w:jc w:val="both"/>
        <w:rPr>
          <w:rFonts w:eastAsia="標楷體" w:hint="eastAsia"/>
        </w:rPr>
      </w:pPr>
      <w:r>
        <w:rPr>
          <w:rFonts w:eastAsia="標楷體" w:hint="eastAsia"/>
        </w:rPr>
        <w:t>聲請人為公司者，其所提重整方案之可行性。</w:t>
      </w:r>
    </w:p>
    <w:p w:rsidR="00000000" w:rsidRDefault="00FD50C0">
      <w:pPr>
        <w:numPr>
          <w:ilvl w:val="1"/>
          <w:numId w:val="3"/>
        </w:numPr>
        <w:tabs>
          <w:tab w:val="clear" w:pos="1428"/>
          <w:tab w:val="num" w:pos="360"/>
        </w:tabs>
        <w:spacing w:afterLines="50"/>
        <w:ind w:left="720" w:hanging="360"/>
        <w:jc w:val="both"/>
        <w:rPr>
          <w:rFonts w:eastAsia="標楷體" w:hint="eastAsia"/>
        </w:rPr>
      </w:pPr>
      <w:r>
        <w:rPr>
          <w:rFonts w:eastAsia="標楷體" w:hint="eastAsia"/>
        </w:rPr>
        <w:t>其他有關重整之方案。</w:t>
      </w:r>
      <w:r>
        <w:rPr>
          <w:rFonts w:eastAsia="標楷體" w:hint="eastAsia"/>
        </w:rPr>
        <w:cr/>
      </w:r>
      <w:r>
        <w:rPr>
          <w:rFonts w:eastAsia="標楷體" w:hint="eastAsia"/>
        </w:rPr>
        <w:t>檢查人為調查前述事項，對於公司業務或財務有關之一切簿冊、文件及財產，得加以檢查。公司之董事。監察人。經理人或其他職員，對於檢查人關於業務財務之詢</w:t>
      </w:r>
      <w:r>
        <w:rPr>
          <w:rFonts w:eastAsia="標楷體" w:hint="eastAsia"/>
        </w:rPr>
        <w:t>問，有答覆之義務（公</w:t>
      </w:r>
      <w:r>
        <w:rPr>
          <w:rFonts w:eastAsia="標楷體" w:hint="eastAsia"/>
        </w:rPr>
        <w:t>285</w:t>
      </w:r>
      <w:r>
        <w:rPr>
          <w:rFonts w:eastAsia="標楷體" w:hint="eastAsia"/>
        </w:rPr>
        <w:t>Ⅱ）。</w:t>
      </w:r>
    </w:p>
    <w:p w:rsidR="00000000" w:rsidRDefault="00FD50C0">
      <w:pPr>
        <w:tabs>
          <w:tab w:val="left" w:pos="360"/>
        </w:tabs>
        <w:spacing w:afterLines="50"/>
        <w:jc w:val="both"/>
        <w:rPr>
          <w:rFonts w:eastAsia="標楷體" w:hint="eastAsia"/>
        </w:rPr>
      </w:pPr>
      <w:r>
        <w:rPr>
          <w:rFonts w:eastAsia="標楷體" w:hint="eastAsia"/>
        </w:rPr>
        <w:t xml:space="preserve">4. </w:t>
      </w:r>
      <w:r>
        <w:rPr>
          <w:rFonts w:eastAsia="標楷體" w:hint="eastAsia"/>
        </w:rPr>
        <w:t>命造報債權人或股東名冊</w:t>
      </w:r>
    </w:p>
    <w:p w:rsidR="00000000" w:rsidRDefault="00FD50C0">
      <w:pPr>
        <w:tabs>
          <w:tab w:val="left" w:pos="360"/>
        </w:tabs>
        <w:spacing w:afterLines="50"/>
        <w:jc w:val="both"/>
        <w:rPr>
          <w:rFonts w:eastAsia="標楷體"/>
        </w:rPr>
      </w:pPr>
      <w:r>
        <w:rPr>
          <w:rFonts w:eastAsia="標楷體" w:hint="eastAsia"/>
        </w:rPr>
        <w:tab/>
      </w:r>
      <w:r>
        <w:rPr>
          <w:rFonts w:eastAsia="標楷體"/>
        </w:rPr>
        <w:t>法院於裁定重整前，得命公司負責人，於七日內就公司債權人及股東，依其權利之性質，分別造報名冊，並註明住所或居所及債權或股份總金額</w:t>
      </w:r>
      <w:r>
        <w:rPr>
          <w:rFonts w:eastAsia="標楷體" w:hint="eastAsia"/>
        </w:rPr>
        <w:t>（公</w:t>
      </w:r>
      <w:r>
        <w:rPr>
          <w:rFonts w:eastAsia="標楷體" w:hint="eastAsia"/>
        </w:rPr>
        <w:t>286</w:t>
      </w:r>
      <w:r>
        <w:rPr>
          <w:rFonts w:eastAsia="標楷體" w:hint="eastAsia"/>
        </w:rPr>
        <w:t>）</w:t>
      </w:r>
      <w:r>
        <w:rPr>
          <w:rFonts w:eastAsia="標楷體"/>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裁定前之處分</w:t>
      </w:r>
    </w:p>
    <w:p w:rsidR="00000000" w:rsidRDefault="00FD50C0">
      <w:pPr>
        <w:spacing w:afterLines="50"/>
        <w:ind w:firstLine="360"/>
        <w:jc w:val="both"/>
        <w:rPr>
          <w:rFonts w:eastAsia="標楷體" w:hint="eastAsia"/>
        </w:rPr>
      </w:pPr>
      <w:r>
        <w:rPr>
          <w:rFonts w:eastAsia="標楷體"/>
        </w:rPr>
        <w:t>法院為公司重整之裁定前，得因公司或利害關係人之聲請或依職權，以裁定為</w:t>
      </w:r>
      <w:r>
        <w:rPr>
          <w:rFonts w:eastAsia="標楷體" w:hint="eastAsia"/>
        </w:rPr>
        <w:t>下</w:t>
      </w:r>
      <w:r>
        <w:rPr>
          <w:rFonts w:eastAsia="標楷體"/>
        </w:rPr>
        <w:t>列各款處分</w:t>
      </w:r>
      <w:r>
        <w:rPr>
          <w:rFonts w:eastAsia="標楷體" w:hint="eastAsia"/>
        </w:rPr>
        <w:t>（公</w:t>
      </w:r>
      <w:r>
        <w:rPr>
          <w:rFonts w:eastAsia="標楷體" w:hint="eastAsia"/>
        </w:rPr>
        <w:t>287</w:t>
      </w:r>
      <w:r>
        <w:rPr>
          <w:rFonts w:eastAsia="標楷體" w:hint="eastAsia"/>
        </w:rPr>
        <w:t>Ⅰ）</w:t>
      </w:r>
      <w:r>
        <w:rPr>
          <w:rFonts w:eastAsia="標楷體"/>
        </w:rPr>
        <w:t>：</w:t>
      </w:r>
    </w:p>
    <w:p w:rsidR="00000000" w:rsidRDefault="00FD50C0">
      <w:pPr>
        <w:numPr>
          <w:ilvl w:val="0"/>
          <w:numId w:val="5"/>
        </w:numPr>
        <w:spacing w:afterLines="50"/>
        <w:jc w:val="both"/>
        <w:rPr>
          <w:rFonts w:eastAsia="標楷體" w:hint="eastAsia"/>
        </w:rPr>
      </w:pPr>
      <w:r>
        <w:rPr>
          <w:rFonts w:eastAsia="標楷體"/>
        </w:rPr>
        <w:t>公司財產之保全處分</w:t>
      </w:r>
      <w:r>
        <w:rPr>
          <w:rFonts w:eastAsia="標楷體" w:hint="eastAsia"/>
        </w:rPr>
        <w:t>：依民事訴訟法之規定保全處分有假扣押、假處分，於本法均適用之。惟管轄法院，則限於受理重整之法院。</w:t>
      </w:r>
    </w:p>
    <w:p w:rsidR="00000000" w:rsidRDefault="00FD50C0">
      <w:pPr>
        <w:numPr>
          <w:ilvl w:val="0"/>
          <w:numId w:val="5"/>
        </w:numPr>
        <w:spacing w:afterLines="50"/>
        <w:jc w:val="both"/>
        <w:rPr>
          <w:rFonts w:eastAsia="標楷體" w:hint="eastAsia"/>
        </w:rPr>
      </w:pPr>
      <w:r>
        <w:rPr>
          <w:rFonts w:eastAsia="標楷體"/>
        </w:rPr>
        <w:t>公司業務之限制</w:t>
      </w:r>
      <w:r>
        <w:rPr>
          <w:rFonts w:eastAsia="標楷體" w:hint="eastAsia"/>
        </w:rPr>
        <w:t>：所謂公司業務，不僅限於公司之營業範圍。凡依特殊情事，</w:t>
      </w:r>
      <w:r>
        <w:rPr>
          <w:rFonts w:eastAsia="標楷體" w:hint="eastAsia"/>
        </w:rPr>
        <w:t>不可認為營業上之行為者，亦在限制之例。例如對外舉債，並非公司之營業行為，自應限制。</w:t>
      </w:r>
    </w:p>
    <w:p w:rsidR="00000000" w:rsidRDefault="00FD50C0">
      <w:pPr>
        <w:numPr>
          <w:ilvl w:val="0"/>
          <w:numId w:val="5"/>
        </w:numPr>
        <w:spacing w:afterLines="50"/>
        <w:jc w:val="both"/>
        <w:rPr>
          <w:rFonts w:eastAsia="標楷體" w:hint="eastAsia"/>
        </w:rPr>
      </w:pPr>
      <w:r>
        <w:rPr>
          <w:rFonts w:eastAsia="標楷體"/>
        </w:rPr>
        <w:t>公司履行債務及對公司行使債權之限制</w:t>
      </w:r>
      <w:r>
        <w:rPr>
          <w:rFonts w:eastAsia="標楷體" w:hint="eastAsia"/>
        </w:rPr>
        <w:t>：所謂對公司行使債權之限制，應指在訴訟外由公司為現實給付行為以履行債務，不包括債權人起訴請求公司履行債務在內。</w:t>
      </w:r>
    </w:p>
    <w:p w:rsidR="00000000" w:rsidRDefault="00FD50C0">
      <w:pPr>
        <w:numPr>
          <w:ilvl w:val="0"/>
          <w:numId w:val="5"/>
        </w:numPr>
        <w:spacing w:afterLines="50"/>
        <w:jc w:val="both"/>
        <w:rPr>
          <w:rFonts w:eastAsia="標楷體" w:hint="eastAsia"/>
        </w:rPr>
      </w:pPr>
      <w:r>
        <w:rPr>
          <w:rFonts w:eastAsia="標楷體"/>
        </w:rPr>
        <w:t>公司破產、和解或強制執行等程序之停止</w:t>
      </w:r>
      <w:r>
        <w:rPr>
          <w:rFonts w:eastAsia="標楷體" w:hint="eastAsia"/>
        </w:rPr>
        <w:t>：所謂中止強制執行程序，須其程序尚未終結前，始有中止可言。惟在裁定前，如為破產宣告裁定或和解之決議已經確定，則重整程序即屬無從開始，當然不適用本項之中止。</w:t>
      </w:r>
    </w:p>
    <w:p w:rsidR="00000000" w:rsidRDefault="00FD50C0">
      <w:pPr>
        <w:numPr>
          <w:ilvl w:val="0"/>
          <w:numId w:val="5"/>
        </w:numPr>
        <w:spacing w:afterLines="50"/>
        <w:jc w:val="both"/>
        <w:rPr>
          <w:rFonts w:eastAsia="標楷體" w:hint="eastAsia"/>
        </w:rPr>
      </w:pPr>
      <w:r>
        <w:rPr>
          <w:rFonts w:eastAsia="標楷體"/>
        </w:rPr>
        <w:t>公司記名式股票轉讓之禁止</w:t>
      </w:r>
      <w:r>
        <w:rPr>
          <w:rFonts w:eastAsia="標楷體" w:hint="eastAsia"/>
        </w:rPr>
        <w:t>：公司重整裁定前，為便利重整程序之進行，公司股東不宜變動，故法院得</w:t>
      </w:r>
      <w:r>
        <w:rPr>
          <w:rFonts w:eastAsia="標楷體" w:hint="eastAsia"/>
        </w:rPr>
        <w:t>為此項禁止處分。</w:t>
      </w:r>
    </w:p>
    <w:p w:rsidR="00000000" w:rsidRDefault="00FD50C0">
      <w:pPr>
        <w:numPr>
          <w:ilvl w:val="0"/>
          <w:numId w:val="5"/>
        </w:numPr>
        <w:spacing w:afterLines="50"/>
        <w:jc w:val="both"/>
        <w:rPr>
          <w:rFonts w:eastAsia="標楷體" w:hint="eastAsia"/>
        </w:rPr>
      </w:pPr>
      <w:r>
        <w:rPr>
          <w:rFonts w:eastAsia="標楷體"/>
        </w:rPr>
        <w:t>公司負責人，對於公司損害賠償責任之查定及其財產之保全處分</w:t>
      </w:r>
      <w:r>
        <w:rPr>
          <w:rFonts w:eastAsia="標楷體" w:hint="eastAsia"/>
        </w:rPr>
        <w:t>：法院為公司重整裁定前，得因利害關係人聲請或依職權，對公司負責人為對於公司損害賠償責任查定之裁定，以免負責人隱匿或毀壞不利於己之證據。且為防止該負責人之脫產行為，亦得就其財產，予以假扣押、假處分等保全處分。</w:t>
      </w:r>
    </w:p>
    <w:p w:rsidR="00000000" w:rsidRDefault="00FD50C0">
      <w:pPr>
        <w:tabs>
          <w:tab w:val="left" w:pos="360"/>
        </w:tabs>
        <w:spacing w:afterLines="50"/>
        <w:ind w:leftChars="150" w:left="360" w:firstLineChars="225" w:firstLine="540"/>
        <w:jc w:val="both"/>
        <w:rPr>
          <w:rFonts w:eastAsia="標楷體" w:hint="eastAsia"/>
        </w:rPr>
      </w:pPr>
      <w:r>
        <w:rPr>
          <w:rFonts w:eastAsia="標楷體"/>
        </w:rPr>
        <w:t>前項處分，除法院准予重整外，其期間不得超過九十日；必要時，法院得</w:t>
      </w:r>
      <w:r>
        <w:rPr>
          <w:rFonts w:eastAsia="標楷體" w:hint="eastAsia"/>
        </w:rPr>
        <w:t>由</w:t>
      </w:r>
      <w:r>
        <w:rPr>
          <w:rFonts w:eastAsia="標楷體"/>
        </w:rPr>
        <w:t>公司或利害關係人之聲請或依職權以裁定延長之；其延長期間不得超過九十日</w:t>
      </w:r>
      <w:r>
        <w:rPr>
          <w:rFonts w:eastAsia="標楷體" w:hint="eastAsia"/>
        </w:rPr>
        <w:t>（公</w:t>
      </w:r>
      <w:r>
        <w:rPr>
          <w:rFonts w:eastAsia="標楷體" w:hint="eastAsia"/>
        </w:rPr>
        <w:t>287</w:t>
      </w:r>
      <w:r>
        <w:rPr>
          <w:rFonts w:eastAsia="標楷體" w:hint="eastAsia"/>
        </w:rPr>
        <w:t>Ⅱ）</w:t>
      </w:r>
      <w:r>
        <w:rPr>
          <w:rFonts w:eastAsia="標楷體"/>
        </w:rPr>
        <w:t>。</w:t>
      </w:r>
    </w:p>
    <w:p w:rsidR="00000000" w:rsidRDefault="00FD50C0">
      <w:pPr>
        <w:tabs>
          <w:tab w:val="left" w:pos="360"/>
        </w:tabs>
        <w:spacing w:afterLines="50"/>
        <w:jc w:val="both"/>
        <w:rPr>
          <w:rFonts w:eastAsia="標楷體" w:hint="eastAsia"/>
        </w:rPr>
      </w:pP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三</w:t>
      </w:r>
      <w:r>
        <w:rPr>
          <w:rFonts w:eastAsia="標楷體" w:hint="eastAsia"/>
          <w:b/>
          <w:bCs/>
          <w:sz w:val="28"/>
        </w:rPr>
        <w:t xml:space="preserve">) </w:t>
      </w:r>
      <w:r>
        <w:rPr>
          <w:rFonts w:eastAsia="標楷體" w:hint="eastAsia"/>
          <w:b/>
          <w:bCs/>
          <w:sz w:val="28"/>
        </w:rPr>
        <w:t>駁回重整申請之裁定</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法院就重整之聲請在裁定前應為形式上與實質上之</w:t>
      </w:r>
      <w:r>
        <w:rPr>
          <w:rFonts w:eastAsia="標楷體" w:hint="eastAsia"/>
        </w:rPr>
        <w:t>審查，其有下列情形之一者，應以裁定駁回之聲請（公</w:t>
      </w:r>
      <w:r>
        <w:rPr>
          <w:rFonts w:eastAsia="標楷體" w:hint="eastAsia"/>
        </w:rPr>
        <w:t>283</w:t>
      </w:r>
      <w:r>
        <w:rPr>
          <w:rFonts w:eastAsia="標楷體" w:hint="eastAsia"/>
        </w:rPr>
        <w:t>之一）：</w:t>
      </w:r>
    </w:p>
    <w:p w:rsidR="00000000" w:rsidRDefault="00FD50C0">
      <w:pPr>
        <w:numPr>
          <w:ilvl w:val="0"/>
          <w:numId w:val="6"/>
        </w:numPr>
        <w:spacing w:afterLines="50"/>
        <w:jc w:val="both"/>
        <w:rPr>
          <w:rFonts w:eastAsia="標楷體" w:hint="eastAsia"/>
        </w:rPr>
      </w:pPr>
      <w:r>
        <w:rPr>
          <w:rFonts w:eastAsia="標楷體"/>
        </w:rPr>
        <w:t>聲請程序不合者</w:t>
      </w:r>
      <w:r>
        <w:rPr>
          <w:rFonts w:eastAsia="標楷體" w:hint="eastAsia"/>
        </w:rPr>
        <w:t>，</w:t>
      </w:r>
      <w:r>
        <w:rPr>
          <w:rFonts w:eastAsia="標楷體"/>
        </w:rPr>
        <w:t>但可以補正者，應限期命其補正。</w:t>
      </w:r>
    </w:p>
    <w:p w:rsidR="00000000" w:rsidRDefault="00FD50C0">
      <w:pPr>
        <w:numPr>
          <w:ilvl w:val="0"/>
          <w:numId w:val="6"/>
        </w:numPr>
        <w:spacing w:afterLines="50"/>
        <w:jc w:val="both"/>
        <w:rPr>
          <w:rFonts w:eastAsia="標楷體" w:hint="eastAsia"/>
        </w:rPr>
      </w:pPr>
      <w:r>
        <w:rPr>
          <w:rFonts w:eastAsia="標楷體"/>
        </w:rPr>
        <w:t>公司未依本法公開發行股票或公司債者。</w:t>
      </w:r>
    </w:p>
    <w:p w:rsidR="00000000" w:rsidRDefault="00FD50C0">
      <w:pPr>
        <w:numPr>
          <w:ilvl w:val="0"/>
          <w:numId w:val="6"/>
        </w:numPr>
        <w:spacing w:afterLines="50"/>
        <w:jc w:val="both"/>
        <w:rPr>
          <w:rFonts w:eastAsia="標楷體" w:hint="eastAsia"/>
        </w:rPr>
      </w:pPr>
      <w:r>
        <w:rPr>
          <w:rFonts w:eastAsia="標楷體"/>
        </w:rPr>
        <w:t>公司經宣告破產已確定者。</w:t>
      </w:r>
    </w:p>
    <w:p w:rsidR="00000000" w:rsidRDefault="00FD50C0">
      <w:pPr>
        <w:numPr>
          <w:ilvl w:val="0"/>
          <w:numId w:val="6"/>
        </w:numPr>
        <w:spacing w:afterLines="50"/>
        <w:jc w:val="both"/>
        <w:rPr>
          <w:rFonts w:eastAsia="標楷體" w:hint="eastAsia"/>
        </w:rPr>
      </w:pPr>
      <w:r>
        <w:rPr>
          <w:rFonts w:eastAsia="標楷體"/>
        </w:rPr>
        <w:t>公司依破產法所為之和解決議已確定者。</w:t>
      </w:r>
    </w:p>
    <w:p w:rsidR="00000000" w:rsidRDefault="00FD50C0">
      <w:pPr>
        <w:numPr>
          <w:ilvl w:val="0"/>
          <w:numId w:val="6"/>
        </w:numPr>
        <w:spacing w:afterLines="50"/>
        <w:jc w:val="both"/>
        <w:rPr>
          <w:rFonts w:eastAsia="標楷體" w:hint="eastAsia"/>
        </w:rPr>
      </w:pPr>
      <w:r>
        <w:rPr>
          <w:rFonts w:eastAsia="標楷體"/>
        </w:rPr>
        <w:t>公司已解散者。</w:t>
      </w:r>
    </w:p>
    <w:p w:rsidR="00000000" w:rsidRDefault="00FD50C0">
      <w:pPr>
        <w:numPr>
          <w:ilvl w:val="0"/>
          <w:numId w:val="6"/>
        </w:numPr>
        <w:spacing w:afterLines="50"/>
        <w:jc w:val="both"/>
        <w:rPr>
          <w:rFonts w:eastAsia="標楷體" w:hint="eastAsia"/>
        </w:rPr>
      </w:pPr>
      <w:r>
        <w:rPr>
          <w:rFonts w:eastAsia="標楷體"/>
        </w:rPr>
        <w:t>公司被勒令停業限期清理者。</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四</w:t>
      </w:r>
      <w:r>
        <w:rPr>
          <w:rFonts w:eastAsia="標楷體" w:hint="eastAsia"/>
          <w:b/>
          <w:bCs/>
          <w:sz w:val="28"/>
        </w:rPr>
        <w:t xml:space="preserve">) </w:t>
      </w:r>
      <w:r>
        <w:rPr>
          <w:rFonts w:eastAsia="標楷體" w:hint="eastAsia"/>
          <w:b/>
          <w:bCs/>
          <w:sz w:val="28"/>
        </w:rPr>
        <w:t>准許重整之裁定</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法院認為重整之聲請合法，並有重整原因，應為重整之裁定時，並應</w:t>
      </w:r>
      <w:r>
        <w:rPr>
          <w:rFonts w:eastAsia="標楷體"/>
        </w:rPr>
        <w:t>就對公司業務，具有專門學識及經營經驗者或金融機構，選任為重整監督人，並決定</w:t>
      </w:r>
      <w:r>
        <w:rPr>
          <w:rFonts w:eastAsia="標楷體" w:hint="eastAsia"/>
        </w:rPr>
        <w:t>下</w:t>
      </w:r>
      <w:r>
        <w:rPr>
          <w:rFonts w:eastAsia="標楷體"/>
        </w:rPr>
        <w:t>列事項</w:t>
      </w:r>
      <w:r>
        <w:rPr>
          <w:rFonts w:eastAsia="標楷體" w:hint="eastAsia"/>
        </w:rPr>
        <w:t>（公</w:t>
      </w:r>
      <w:r>
        <w:rPr>
          <w:rFonts w:eastAsia="標楷體" w:hint="eastAsia"/>
        </w:rPr>
        <w:t>289</w:t>
      </w:r>
      <w:r>
        <w:rPr>
          <w:rFonts w:eastAsia="標楷體" w:hint="eastAsia"/>
        </w:rPr>
        <w:t>Ⅰ）</w:t>
      </w:r>
      <w:r>
        <w:rPr>
          <w:rFonts w:eastAsia="標楷體"/>
        </w:rPr>
        <w:t>：</w:t>
      </w:r>
    </w:p>
    <w:p w:rsidR="00000000" w:rsidRDefault="00FD50C0">
      <w:pPr>
        <w:numPr>
          <w:ilvl w:val="0"/>
          <w:numId w:val="7"/>
        </w:numPr>
        <w:spacing w:afterLines="50"/>
        <w:jc w:val="both"/>
        <w:rPr>
          <w:rFonts w:eastAsia="標楷體" w:hint="eastAsia"/>
        </w:rPr>
      </w:pPr>
      <w:r>
        <w:rPr>
          <w:rFonts w:eastAsia="標楷體"/>
        </w:rPr>
        <w:t>債權及股東權之申報期間及場所，其期間應在裁定之日起十日以上，</w:t>
      </w:r>
      <w:r>
        <w:rPr>
          <w:rFonts w:eastAsia="標楷體" w:hint="eastAsia"/>
        </w:rPr>
        <w:t>三</w:t>
      </w:r>
      <w:r>
        <w:rPr>
          <w:rFonts w:eastAsia="標楷體"/>
        </w:rPr>
        <w:t>十日</w:t>
      </w:r>
      <w:r>
        <w:rPr>
          <w:rFonts w:eastAsia="標楷體"/>
        </w:rPr>
        <w:t>以下。</w:t>
      </w:r>
    </w:p>
    <w:p w:rsidR="00000000" w:rsidRDefault="00FD50C0">
      <w:pPr>
        <w:numPr>
          <w:ilvl w:val="0"/>
          <w:numId w:val="7"/>
        </w:numPr>
        <w:spacing w:afterLines="50"/>
        <w:jc w:val="both"/>
        <w:rPr>
          <w:rFonts w:eastAsia="標楷體" w:hint="eastAsia"/>
        </w:rPr>
      </w:pPr>
      <w:r>
        <w:rPr>
          <w:rFonts w:eastAsia="標楷體"/>
        </w:rPr>
        <w:t>所申報之債權及股東權之審查期日及場所，其期日應在前款申報期間屆滿後十日以內。</w:t>
      </w:r>
    </w:p>
    <w:p w:rsidR="00000000" w:rsidRDefault="00FD50C0">
      <w:pPr>
        <w:numPr>
          <w:ilvl w:val="0"/>
          <w:numId w:val="7"/>
        </w:numPr>
        <w:spacing w:afterLines="50"/>
        <w:jc w:val="both"/>
        <w:rPr>
          <w:rFonts w:eastAsia="標楷體" w:hint="eastAsia"/>
        </w:rPr>
      </w:pPr>
      <w:r>
        <w:rPr>
          <w:rFonts w:eastAsia="標楷體"/>
        </w:rPr>
        <w:t>第一次關係人會議期日及場所，其期日應在第一款申報期間屆滿後三十日以內。前項重整監督人，應受法院監督，並得由法院隨時改選</w:t>
      </w:r>
      <w:r>
        <w:rPr>
          <w:rFonts w:eastAsia="標楷體" w:hint="eastAsia"/>
        </w:rPr>
        <w:t>（公</w:t>
      </w:r>
      <w:r>
        <w:rPr>
          <w:rFonts w:eastAsia="標楷體" w:hint="eastAsia"/>
        </w:rPr>
        <w:t>289</w:t>
      </w:r>
      <w:r>
        <w:rPr>
          <w:rFonts w:eastAsia="標楷體" w:hint="eastAsia"/>
        </w:rPr>
        <w:t>Ⅱ）</w:t>
      </w:r>
      <w:r>
        <w:rPr>
          <w:rFonts w:eastAsia="標楷體"/>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五</w:t>
      </w:r>
      <w:r>
        <w:rPr>
          <w:rFonts w:eastAsia="標楷體" w:hint="eastAsia"/>
          <w:b/>
          <w:bCs/>
          <w:sz w:val="28"/>
        </w:rPr>
        <w:t xml:space="preserve">) </w:t>
      </w:r>
      <w:r>
        <w:rPr>
          <w:rFonts w:eastAsia="標楷體" w:hint="eastAsia"/>
          <w:b/>
          <w:bCs/>
          <w:sz w:val="28"/>
        </w:rPr>
        <w:t>重整裁定之公告</w:t>
      </w:r>
    </w:p>
    <w:p w:rsidR="00000000" w:rsidRDefault="00FD50C0">
      <w:pPr>
        <w:spacing w:afterLines="50"/>
        <w:ind w:firstLine="360"/>
        <w:jc w:val="both"/>
        <w:rPr>
          <w:rFonts w:eastAsia="標楷體" w:hint="eastAsia"/>
        </w:rPr>
      </w:pPr>
      <w:r>
        <w:rPr>
          <w:rFonts w:eastAsia="標楷體"/>
        </w:rPr>
        <w:t>法院為重整裁定後，應即公告</w:t>
      </w:r>
      <w:r>
        <w:rPr>
          <w:rFonts w:eastAsia="標楷體" w:hint="eastAsia"/>
        </w:rPr>
        <w:t>下</w:t>
      </w:r>
      <w:r>
        <w:rPr>
          <w:rFonts w:eastAsia="標楷體"/>
        </w:rPr>
        <w:t>列事項</w:t>
      </w:r>
      <w:r>
        <w:rPr>
          <w:rFonts w:eastAsia="標楷體" w:hint="eastAsia"/>
        </w:rPr>
        <w:t>（公</w:t>
      </w:r>
      <w:r>
        <w:rPr>
          <w:rFonts w:eastAsia="標楷體" w:hint="eastAsia"/>
        </w:rPr>
        <w:t>291</w:t>
      </w:r>
      <w:r>
        <w:rPr>
          <w:rFonts w:eastAsia="標楷體" w:hint="eastAsia"/>
        </w:rPr>
        <w:t>Ⅰ）</w:t>
      </w:r>
      <w:r>
        <w:rPr>
          <w:rFonts w:eastAsia="標楷體"/>
        </w:rPr>
        <w:t>：</w:t>
      </w:r>
    </w:p>
    <w:p w:rsidR="00000000" w:rsidRDefault="00FD50C0">
      <w:pPr>
        <w:numPr>
          <w:ilvl w:val="0"/>
          <w:numId w:val="8"/>
        </w:numPr>
        <w:tabs>
          <w:tab w:val="left" w:pos="360"/>
        </w:tabs>
        <w:spacing w:afterLines="50"/>
        <w:jc w:val="both"/>
        <w:rPr>
          <w:rFonts w:eastAsia="標楷體" w:hint="eastAsia"/>
        </w:rPr>
      </w:pPr>
      <w:r>
        <w:rPr>
          <w:rFonts w:eastAsia="標楷體"/>
        </w:rPr>
        <w:t>重整裁定之主文及其年、月、日。</w:t>
      </w:r>
    </w:p>
    <w:p w:rsidR="00000000" w:rsidRDefault="00FD50C0">
      <w:pPr>
        <w:numPr>
          <w:ilvl w:val="0"/>
          <w:numId w:val="8"/>
        </w:numPr>
        <w:tabs>
          <w:tab w:val="left" w:pos="360"/>
        </w:tabs>
        <w:spacing w:afterLines="50"/>
        <w:jc w:val="both"/>
        <w:rPr>
          <w:rFonts w:eastAsia="標楷體" w:hint="eastAsia"/>
        </w:rPr>
      </w:pPr>
      <w:r>
        <w:rPr>
          <w:rFonts w:eastAsia="標楷體"/>
        </w:rPr>
        <w:t>重整監督人、重整人之姓名或名稱、住址或處所。</w:t>
      </w:r>
    </w:p>
    <w:p w:rsidR="00000000" w:rsidRDefault="00FD50C0">
      <w:pPr>
        <w:numPr>
          <w:ilvl w:val="0"/>
          <w:numId w:val="8"/>
        </w:numPr>
        <w:tabs>
          <w:tab w:val="left" w:pos="360"/>
        </w:tabs>
        <w:spacing w:afterLines="50"/>
        <w:jc w:val="both"/>
        <w:rPr>
          <w:rFonts w:eastAsia="標楷體" w:hint="eastAsia"/>
        </w:rPr>
      </w:pPr>
      <w:r>
        <w:rPr>
          <w:rFonts w:eastAsia="標楷體"/>
        </w:rPr>
        <w:t>第二百八十九條第一項所定期間、期日及場所。</w:t>
      </w:r>
    </w:p>
    <w:p w:rsidR="00000000" w:rsidRDefault="00FD50C0">
      <w:pPr>
        <w:numPr>
          <w:ilvl w:val="0"/>
          <w:numId w:val="8"/>
        </w:numPr>
        <w:tabs>
          <w:tab w:val="left" w:pos="360"/>
        </w:tabs>
        <w:spacing w:afterLines="50"/>
        <w:jc w:val="both"/>
        <w:rPr>
          <w:rFonts w:eastAsia="標楷體" w:hint="eastAsia"/>
        </w:rPr>
      </w:pPr>
      <w:r>
        <w:rPr>
          <w:rFonts w:eastAsia="標楷體"/>
        </w:rPr>
        <w:t>公司債權人及持有無記名股票之股東怠於申報權利時，其法律效果。</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六</w:t>
      </w:r>
      <w:r>
        <w:rPr>
          <w:rFonts w:eastAsia="標楷體" w:hint="eastAsia"/>
          <w:b/>
          <w:bCs/>
          <w:sz w:val="28"/>
        </w:rPr>
        <w:t xml:space="preserve">) </w:t>
      </w:r>
      <w:r>
        <w:rPr>
          <w:rFonts w:eastAsia="標楷體" w:hint="eastAsia"/>
          <w:b/>
          <w:bCs/>
          <w:sz w:val="28"/>
        </w:rPr>
        <w:t>重整裁定之效力</w:t>
      </w:r>
    </w:p>
    <w:p w:rsidR="00000000" w:rsidRDefault="00FD50C0">
      <w:pPr>
        <w:numPr>
          <w:ilvl w:val="0"/>
          <w:numId w:val="9"/>
        </w:numPr>
        <w:spacing w:afterLines="50"/>
        <w:jc w:val="both"/>
        <w:rPr>
          <w:rFonts w:eastAsia="標楷體" w:hint="eastAsia"/>
        </w:rPr>
      </w:pPr>
      <w:r>
        <w:rPr>
          <w:rFonts w:eastAsia="標楷體"/>
        </w:rPr>
        <w:t>重整開</w:t>
      </w:r>
      <w:r>
        <w:rPr>
          <w:rFonts w:eastAsia="標楷體"/>
        </w:rPr>
        <w:t>始之登記</w:t>
      </w:r>
      <w:r>
        <w:rPr>
          <w:rFonts w:eastAsia="標楷體" w:hint="eastAsia"/>
        </w:rPr>
        <w:t>：法院為重整裁定後，應檢同裁定書通知主管機關為重整開始之登記，</w:t>
      </w:r>
      <w:r>
        <w:rPr>
          <w:rFonts w:eastAsia="標楷體"/>
        </w:rPr>
        <w:t>並由公司將裁定書影本黏貼於該公司所在地公告處</w:t>
      </w:r>
      <w:r>
        <w:rPr>
          <w:rFonts w:eastAsia="標楷體" w:hint="eastAsia"/>
        </w:rPr>
        <w:t>（公</w:t>
      </w:r>
      <w:r>
        <w:rPr>
          <w:rFonts w:eastAsia="標楷體" w:hint="eastAsia"/>
        </w:rPr>
        <w:t>292</w:t>
      </w:r>
      <w:r>
        <w:rPr>
          <w:rFonts w:eastAsia="標楷體" w:hint="eastAsia"/>
        </w:rPr>
        <w:t>）。</w:t>
      </w:r>
    </w:p>
    <w:p w:rsidR="00000000" w:rsidRDefault="00FD50C0">
      <w:pPr>
        <w:numPr>
          <w:ilvl w:val="0"/>
          <w:numId w:val="9"/>
        </w:numPr>
        <w:spacing w:afterLines="50"/>
        <w:jc w:val="both"/>
        <w:rPr>
          <w:rFonts w:eastAsia="標楷體" w:hint="eastAsia"/>
        </w:rPr>
      </w:pPr>
      <w:r>
        <w:rPr>
          <w:rFonts w:eastAsia="標楷體" w:hint="eastAsia"/>
        </w:rPr>
        <w:t>公司帳簿之處置：法院於重整裁定送達公司時，應派書記官於公司帳簿記明截止意旨，簽名或蓋章，載明帳簿狀況（公</w:t>
      </w:r>
      <w:r>
        <w:rPr>
          <w:rFonts w:eastAsia="標楷體" w:hint="eastAsia"/>
        </w:rPr>
        <w:t>291</w:t>
      </w:r>
      <w:r>
        <w:rPr>
          <w:rFonts w:eastAsia="標楷體" w:hint="eastAsia"/>
        </w:rPr>
        <w:t>Ⅲ），以劃分重整前後之情形。</w:t>
      </w:r>
    </w:p>
    <w:p w:rsidR="00000000" w:rsidRDefault="00FD50C0">
      <w:pPr>
        <w:numPr>
          <w:ilvl w:val="0"/>
          <w:numId w:val="9"/>
        </w:numPr>
        <w:spacing w:afterLines="50"/>
        <w:jc w:val="both"/>
        <w:rPr>
          <w:rFonts w:eastAsia="標楷體" w:hint="eastAsia"/>
        </w:rPr>
      </w:pPr>
      <w:r>
        <w:rPr>
          <w:rFonts w:eastAsia="標楷體" w:hint="eastAsia"/>
        </w:rPr>
        <w:t>業務及財產之移交：</w:t>
      </w:r>
    </w:p>
    <w:p w:rsidR="00000000" w:rsidRDefault="00FD50C0">
      <w:pPr>
        <w:numPr>
          <w:ilvl w:val="1"/>
          <w:numId w:val="9"/>
        </w:numPr>
        <w:spacing w:afterLines="50"/>
        <w:jc w:val="both"/>
        <w:rPr>
          <w:rFonts w:eastAsia="標楷體" w:hint="eastAsia"/>
        </w:rPr>
      </w:pPr>
      <w:r>
        <w:rPr>
          <w:rFonts w:eastAsia="標楷體" w:hint="eastAsia"/>
        </w:rPr>
        <w:t>重整裁定送達公司後，公司業務之經營及財產之管理處分權移屬於重整人，由重整監督人監督交接，並聲報法院，公司股東會、董事及監察人之職權，應予停止（公</w:t>
      </w:r>
      <w:r>
        <w:rPr>
          <w:rFonts w:eastAsia="標楷體" w:hint="eastAsia"/>
        </w:rPr>
        <w:t>293</w:t>
      </w:r>
      <w:r>
        <w:rPr>
          <w:rFonts w:eastAsia="標楷體" w:hint="eastAsia"/>
        </w:rPr>
        <w:t>Ⅰ）。</w:t>
      </w:r>
    </w:p>
    <w:p w:rsidR="00000000" w:rsidRDefault="00FD50C0">
      <w:pPr>
        <w:numPr>
          <w:ilvl w:val="1"/>
          <w:numId w:val="9"/>
        </w:numPr>
        <w:spacing w:afterLines="50"/>
        <w:jc w:val="both"/>
        <w:rPr>
          <w:rFonts w:eastAsia="標楷體" w:hint="eastAsia"/>
        </w:rPr>
      </w:pPr>
      <w:r>
        <w:rPr>
          <w:rFonts w:eastAsia="標楷體" w:hint="eastAsia"/>
        </w:rPr>
        <w:t>為此項交接時，公司董事及經理人應將有關公司業務及財務之一切帳冊文</w:t>
      </w:r>
      <w:r>
        <w:rPr>
          <w:rFonts w:eastAsia="標楷體" w:hint="eastAsia"/>
        </w:rPr>
        <w:t>件與公司之一切財產，移交重整人（公</w:t>
      </w:r>
      <w:r>
        <w:rPr>
          <w:rFonts w:eastAsia="標楷體" w:hint="eastAsia"/>
        </w:rPr>
        <w:t>293</w:t>
      </w:r>
      <w:r>
        <w:rPr>
          <w:rFonts w:eastAsia="標楷體" w:hint="eastAsia"/>
        </w:rPr>
        <w:t>Ⅱ）。</w:t>
      </w:r>
    </w:p>
    <w:p w:rsidR="00000000" w:rsidRDefault="00FD50C0">
      <w:pPr>
        <w:numPr>
          <w:ilvl w:val="1"/>
          <w:numId w:val="9"/>
        </w:numPr>
        <w:spacing w:afterLines="50"/>
        <w:jc w:val="both"/>
        <w:rPr>
          <w:rFonts w:eastAsia="標楷體" w:hint="eastAsia"/>
        </w:rPr>
      </w:pPr>
      <w:r>
        <w:rPr>
          <w:rFonts w:eastAsia="標楷體" w:hint="eastAsia"/>
        </w:rPr>
        <w:t>公司之董事、監察人、經理人或其他職員，對於重整監督人或重整人所為關於業務或財務狀況之詢問，有答覆之義務（公</w:t>
      </w:r>
      <w:r>
        <w:rPr>
          <w:rFonts w:eastAsia="標楷體" w:hint="eastAsia"/>
        </w:rPr>
        <w:t>293</w:t>
      </w:r>
      <w:r>
        <w:rPr>
          <w:rFonts w:eastAsia="標楷體" w:hint="eastAsia"/>
        </w:rPr>
        <w:t>Ⅲ）。</w:t>
      </w:r>
    </w:p>
    <w:p w:rsidR="00000000" w:rsidRDefault="00FD50C0">
      <w:pPr>
        <w:numPr>
          <w:ilvl w:val="1"/>
          <w:numId w:val="9"/>
        </w:numPr>
        <w:spacing w:afterLines="50"/>
        <w:jc w:val="both"/>
        <w:rPr>
          <w:rFonts w:eastAsia="標楷體" w:hint="eastAsia"/>
        </w:rPr>
      </w:pPr>
      <w:r>
        <w:rPr>
          <w:rFonts w:eastAsia="標楷體" w:hint="eastAsia"/>
        </w:rPr>
        <w:t>公司之董事、監察人、經理人或其他職員，有拒絕移交，隱匿或毀損，有關公司業務或財務狀況之帳冊文件，或隱匿毀棄公司財產或為其他不利於債權人之處分或無故對上述之詢問不予答復，或捏造債務或承認不真實債務者，各處一年以下有期徒刑，拘役或科或併科</w:t>
      </w:r>
      <w:r>
        <w:rPr>
          <w:rFonts w:ascii="標楷體" w:eastAsia="標楷體" w:hAnsi="標楷體"/>
        </w:rPr>
        <w:t>新臺幣六</w:t>
      </w:r>
      <w:r>
        <w:rPr>
          <w:rFonts w:ascii="標楷體" w:eastAsia="標楷體" w:hAnsi="標楷體" w:hint="eastAsia"/>
        </w:rPr>
        <w:t>萬</w:t>
      </w:r>
      <w:r>
        <w:rPr>
          <w:rFonts w:eastAsia="標楷體" w:hint="eastAsia"/>
        </w:rPr>
        <w:t>元以下罰金（公</w:t>
      </w:r>
      <w:r>
        <w:rPr>
          <w:rFonts w:eastAsia="標楷體" w:hint="eastAsia"/>
        </w:rPr>
        <w:t>293</w:t>
      </w:r>
      <w:r>
        <w:rPr>
          <w:rFonts w:eastAsia="標楷體" w:hint="eastAsia"/>
        </w:rPr>
        <w:t>Ⅵ）。</w:t>
      </w:r>
    </w:p>
    <w:p w:rsidR="00000000" w:rsidRDefault="00FD50C0">
      <w:pPr>
        <w:numPr>
          <w:ilvl w:val="0"/>
          <w:numId w:val="9"/>
        </w:numPr>
        <w:spacing w:afterLines="50"/>
        <w:jc w:val="both"/>
        <w:rPr>
          <w:rFonts w:eastAsia="標楷體" w:hint="eastAsia"/>
        </w:rPr>
      </w:pPr>
      <w:r>
        <w:rPr>
          <w:rFonts w:eastAsia="標楷體" w:hint="eastAsia"/>
        </w:rPr>
        <w:t>各項程序中止：公司經法院裁定重整後，公司之破產、和解、強制執行及因財產關</w:t>
      </w:r>
      <w:r>
        <w:rPr>
          <w:rFonts w:eastAsia="標楷體" w:hint="eastAsia"/>
        </w:rPr>
        <w:t>係所生之訴訟等程序，當然停止（公</w:t>
      </w:r>
      <w:r>
        <w:rPr>
          <w:rFonts w:eastAsia="標楷體" w:hint="eastAsia"/>
        </w:rPr>
        <w:t>294</w:t>
      </w:r>
      <w:r>
        <w:rPr>
          <w:rFonts w:eastAsia="標楷體" w:hint="eastAsia"/>
        </w:rPr>
        <w:t>）。</w:t>
      </w:r>
    </w:p>
    <w:p w:rsidR="00000000" w:rsidRDefault="00FD50C0">
      <w:pPr>
        <w:numPr>
          <w:ilvl w:val="0"/>
          <w:numId w:val="9"/>
        </w:numPr>
        <w:spacing w:afterLines="50"/>
        <w:jc w:val="both"/>
        <w:rPr>
          <w:rFonts w:eastAsia="標楷體" w:hint="eastAsia"/>
        </w:rPr>
      </w:pPr>
      <w:r>
        <w:rPr>
          <w:rFonts w:eastAsia="標楷體" w:hint="eastAsia"/>
        </w:rPr>
        <w:t>法院得為各項保全處分：法院在公司重整裁定前，依法所為之各項保全處分，不因裁定重整而失其效力，其未為各項處分者，於裁定重整後，仍得依利害關係人或重整監督人之聲請，或依職權裁定之（公</w:t>
      </w:r>
      <w:r>
        <w:rPr>
          <w:rFonts w:eastAsia="標楷體" w:hint="eastAsia"/>
        </w:rPr>
        <w:t>295</w:t>
      </w:r>
      <w:r>
        <w:rPr>
          <w:rFonts w:eastAsia="標楷體" w:hint="eastAsia"/>
        </w:rPr>
        <w:t>）。</w:t>
      </w:r>
    </w:p>
    <w:p w:rsidR="00000000" w:rsidRDefault="00FD50C0">
      <w:pPr>
        <w:numPr>
          <w:ilvl w:val="0"/>
          <w:numId w:val="9"/>
        </w:numPr>
        <w:spacing w:afterLines="50"/>
        <w:jc w:val="both"/>
        <w:rPr>
          <w:rFonts w:eastAsia="標楷體"/>
        </w:rPr>
      </w:pPr>
      <w:r>
        <w:rPr>
          <w:rFonts w:eastAsia="標楷體" w:hint="eastAsia"/>
        </w:rPr>
        <w:t>各種債權行使之限制：</w:t>
      </w:r>
      <w:r>
        <w:rPr>
          <w:rFonts w:eastAsia="標楷體"/>
        </w:rPr>
        <w:t>對公司之債權，在重整裁定前成立者，為重整債權；其依法享有優先受償權者，為優先重整債權；其有抵押權、質權或留置權為擔保者，為有擔保重整債權；無此項擔保者，為無擔保重整債權；各該債權，非依重整程序，均不得行使權利。</w:t>
      </w:r>
      <w:r>
        <w:rPr>
          <w:rFonts w:eastAsia="標楷體" w:hint="eastAsia"/>
        </w:rPr>
        <w:t>（公</w:t>
      </w:r>
      <w:r>
        <w:rPr>
          <w:rFonts w:eastAsia="標楷體" w:hint="eastAsia"/>
        </w:rPr>
        <w:t>296</w:t>
      </w:r>
      <w:r>
        <w:rPr>
          <w:rFonts w:eastAsia="標楷體" w:hint="eastAsia"/>
        </w:rPr>
        <w:t>Ⅰ）</w:t>
      </w:r>
    </w:p>
    <w:p w:rsidR="00000000" w:rsidRDefault="00FD50C0">
      <w:pPr>
        <w:spacing w:after="180"/>
        <w:jc w:val="center"/>
        <w:rPr>
          <w:rFonts w:eastAsia="標楷體" w:hint="eastAsia"/>
          <w:b/>
          <w:bCs/>
          <w:sz w:val="32"/>
        </w:rPr>
      </w:pPr>
      <w:r>
        <w:rPr>
          <w:rFonts w:eastAsia="標楷體" w:hint="eastAsia"/>
          <w:b/>
          <w:bCs/>
          <w:sz w:val="32"/>
        </w:rPr>
        <w:t>五、重整之執行與監督</w:t>
      </w:r>
    </w:p>
    <w:p w:rsidR="00000000" w:rsidRDefault="00FD50C0">
      <w:pPr>
        <w:tabs>
          <w:tab w:val="left" w:pos="360"/>
        </w:tabs>
        <w:spacing w:afterLines="50"/>
        <w:jc w:val="both"/>
        <w:rPr>
          <w:rFonts w:eastAsia="標楷體" w:hint="eastAsia"/>
          <w:b/>
          <w:bCs/>
          <w:sz w:val="28"/>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重</w:t>
      </w:r>
      <w:r>
        <w:rPr>
          <w:rFonts w:eastAsia="標楷體" w:hint="eastAsia"/>
          <w:b/>
          <w:bCs/>
          <w:sz w:val="28"/>
        </w:rPr>
        <w:t>整人之設置</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重整人者，公司開始重整後，因原有機關之職權均當然停止，而另選適當之人執行公司業務，進行重整工作之人。</w:t>
      </w:r>
      <w:r>
        <w:rPr>
          <w:rFonts w:eastAsia="標楷體"/>
        </w:rPr>
        <w:t>公司重整人由法院就債權人、股東、董事、目的事業中央主管機關或證券管理機關推薦之專家中選派之</w:t>
      </w:r>
      <w:r>
        <w:rPr>
          <w:rFonts w:eastAsia="標楷體" w:hint="eastAsia"/>
        </w:rPr>
        <w:t>（公</w:t>
      </w:r>
      <w:r>
        <w:rPr>
          <w:rFonts w:eastAsia="標楷體" w:hint="eastAsia"/>
        </w:rPr>
        <w:t>290</w:t>
      </w:r>
      <w:r>
        <w:rPr>
          <w:rFonts w:eastAsia="標楷體" w:hint="eastAsia"/>
        </w:rPr>
        <w:t>Ⅰ），另公司法第</w:t>
      </w:r>
      <w:r>
        <w:rPr>
          <w:rFonts w:eastAsia="標楷體" w:hint="eastAsia"/>
        </w:rPr>
        <w:t>30</w:t>
      </w:r>
      <w:r>
        <w:rPr>
          <w:rFonts w:eastAsia="標楷體" w:hint="eastAsia"/>
        </w:rPr>
        <w:t>條有關經理人消極資格之規定，公司重整人亦準用之（公</w:t>
      </w:r>
      <w:r>
        <w:rPr>
          <w:rFonts w:eastAsia="標楷體" w:hint="eastAsia"/>
        </w:rPr>
        <w:t>290</w:t>
      </w:r>
      <w:r>
        <w:rPr>
          <w:rFonts w:eastAsia="標楷體" w:hint="eastAsia"/>
        </w:rPr>
        <w:t>Ⅱ）</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關係人會議，依第三百零二條分組行使表決權之結果，有二組以上主張另行選定重整人時，得提出候選人名單，聲請法院選派之</w:t>
      </w:r>
      <w:r>
        <w:rPr>
          <w:rFonts w:eastAsia="標楷體" w:hint="eastAsia"/>
        </w:rPr>
        <w:t>（公</w:t>
      </w:r>
      <w:r>
        <w:rPr>
          <w:rFonts w:eastAsia="標楷體" w:hint="eastAsia"/>
        </w:rPr>
        <w:t>290</w:t>
      </w:r>
      <w:r>
        <w:rPr>
          <w:rFonts w:eastAsia="標楷體" w:hint="eastAsia"/>
        </w:rPr>
        <w:t>Ⅲ）</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重整人有數人時，關於重整事務之執行，以其過半數之同意行之</w:t>
      </w:r>
      <w:r>
        <w:rPr>
          <w:rFonts w:eastAsia="標楷體" w:hint="eastAsia"/>
        </w:rPr>
        <w:t>（公</w:t>
      </w:r>
      <w:r>
        <w:rPr>
          <w:rFonts w:eastAsia="標楷體" w:hint="eastAsia"/>
        </w:rPr>
        <w:t>290</w:t>
      </w:r>
      <w:r>
        <w:rPr>
          <w:rFonts w:eastAsia="標楷體" w:hint="eastAsia"/>
        </w:rPr>
        <w:t>Ⅳ）</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重整人執行職務應受重整監督人之監督，其有違法或不當情事者，重整監督人得聲請法院解除其職務，另行選派之</w:t>
      </w:r>
      <w:r>
        <w:rPr>
          <w:rFonts w:eastAsia="標楷體" w:hint="eastAsia"/>
        </w:rPr>
        <w:t>（公</w:t>
      </w:r>
      <w:r>
        <w:rPr>
          <w:rFonts w:eastAsia="標楷體" w:hint="eastAsia"/>
        </w:rPr>
        <w:t>290V</w:t>
      </w:r>
      <w:r>
        <w:rPr>
          <w:rFonts w:eastAsia="標楷體" w:hint="eastAsia"/>
        </w:rPr>
        <w:t>）</w:t>
      </w:r>
      <w:r>
        <w:rPr>
          <w:rFonts w:eastAsia="標楷體"/>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重整監督人之設置</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在重整人之上，另由法院對於公司業務</w:t>
      </w:r>
      <w:r>
        <w:rPr>
          <w:rFonts w:eastAsia="標楷體"/>
        </w:rPr>
        <w:t>具有專門學識及經營經驗者或金融機構，選任為重整監督人</w:t>
      </w:r>
      <w:r>
        <w:rPr>
          <w:rFonts w:eastAsia="標楷體" w:hint="eastAsia"/>
        </w:rPr>
        <w:t>，以監督重整人執行職務。</w:t>
      </w:r>
      <w:r>
        <w:rPr>
          <w:rFonts w:eastAsia="標楷體"/>
        </w:rPr>
        <w:t>重整監督人</w:t>
      </w:r>
      <w:r>
        <w:rPr>
          <w:rFonts w:eastAsia="標楷體" w:hint="eastAsia"/>
        </w:rPr>
        <w:t>則</w:t>
      </w:r>
      <w:r>
        <w:rPr>
          <w:rFonts w:eastAsia="標楷體"/>
        </w:rPr>
        <w:t>應受法院監督，並得由法院隨時改選</w:t>
      </w:r>
      <w:r>
        <w:rPr>
          <w:rFonts w:eastAsia="標楷體" w:hint="eastAsia"/>
        </w:rPr>
        <w:t>（公</w:t>
      </w:r>
      <w:r>
        <w:rPr>
          <w:rFonts w:eastAsia="標楷體" w:hint="eastAsia"/>
        </w:rPr>
        <w:t>289</w:t>
      </w:r>
      <w:r>
        <w:rPr>
          <w:rFonts w:eastAsia="標楷體" w:hint="eastAsia"/>
        </w:rPr>
        <w:t>ⅠⅡ）</w:t>
      </w:r>
      <w:r>
        <w:rPr>
          <w:rFonts w:eastAsia="標楷體"/>
        </w:rPr>
        <w:t>。</w:t>
      </w:r>
      <w:r>
        <w:rPr>
          <w:rFonts w:eastAsia="標楷體" w:hint="eastAsia"/>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三</w:t>
      </w:r>
      <w:r>
        <w:rPr>
          <w:rFonts w:eastAsia="標楷體" w:hint="eastAsia"/>
          <w:b/>
          <w:bCs/>
          <w:sz w:val="28"/>
        </w:rPr>
        <w:t xml:space="preserve">) </w:t>
      </w:r>
      <w:r>
        <w:rPr>
          <w:rFonts w:eastAsia="標楷體" w:hint="eastAsia"/>
          <w:b/>
          <w:bCs/>
          <w:sz w:val="28"/>
        </w:rPr>
        <w:t>重整人之職權</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重整程序中之重整人相當於重整前之董事，有公司業務之經營權及財產管理處分權（公</w:t>
      </w:r>
      <w:r>
        <w:rPr>
          <w:rFonts w:eastAsia="標楷體" w:hint="eastAsia"/>
        </w:rPr>
        <w:t>293</w:t>
      </w:r>
      <w:r>
        <w:rPr>
          <w:rFonts w:eastAsia="標楷體" w:hint="eastAsia"/>
        </w:rPr>
        <w:t>Ⅰ）。</w:t>
      </w:r>
      <w:r>
        <w:rPr>
          <w:rFonts w:eastAsia="標楷體"/>
        </w:rPr>
        <w:t>重整人有數人時，關於重整事務之執行，以其過半數之同意行之</w:t>
      </w:r>
      <w:r>
        <w:rPr>
          <w:rFonts w:eastAsia="標楷體" w:hint="eastAsia"/>
        </w:rPr>
        <w:t>（公</w:t>
      </w:r>
      <w:r>
        <w:rPr>
          <w:rFonts w:eastAsia="標楷體" w:hint="eastAsia"/>
        </w:rPr>
        <w:t>290</w:t>
      </w:r>
      <w:r>
        <w:rPr>
          <w:rFonts w:eastAsia="標楷體" w:hint="eastAsia"/>
        </w:rPr>
        <w:t>Ⅳ）</w:t>
      </w:r>
      <w:r>
        <w:rPr>
          <w:rFonts w:eastAsia="標楷體"/>
        </w:rPr>
        <w:t>。</w:t>
      </w:r>
    </w:p>
    <w:p w:rsidR="00000000" w:rsidRDefault="00FD50C0">
      <w:pPr>
        <w:tabs>
          <w:tab w:val="left" w:pos="360"/>
        </w:tabs>
        <w:spacing w:afterLines="50"/>
        <w:ind w:left="360"/>
        <w:jc w:val="both"/>
        <w:rPr>
          <w:rFonts w:eastAsia="標楷體" w:hint="eastAsia"/>
        </w:rPr>
      </w:pPr>
      <w:r>
        <w:rPr>
          <w:rFonts w:eastAsia="標楷體" w:hint="eastAsia"/>
        </w:rPr>
        <w:t>重整人之職權如下：</w:t>
      </w:r>
    </w:p>
    <w:p w:rsidR="00000000" w:rsidRDefault="00FD50C0">
      <w:pPr>
        <w:numPr>
          <w:ilvl w:val="0"/>
          <w:numId w:val="10"/>
        </w:numPr>
        <w:tabs>
          <w:tab w:val="left" w:pos="360"/>
        </w:tabs>
        <w:spacing w:afterLines="50"/>
        <w:jc w:val="both"/>
        <w:rPr>
          <w:rFonts w:eastAsia="標楷體" w:hint="eastAsia"/>
        </w:rPr>
      </w:pPr>
      <w:r>
        <w:rPr>
          <w:rFonts w:eastAsia="標楷體" w:hint="eastAsia"/>
        </w:rPr>
        <w:t>對</w:t>
      </w:r>
      <w:r>
        <w:rPr>
          <w:rFonts w:eastAsia="標楷體"/>
        </w:rPr>
        <w:t>公司業務之經營及財產之管理處分</w:t>
      </w:r>
      <w:r>
        <w:rPr>
          <w:rFonts w:eastAsia="標楷體" w:hint="eastAsia"/>
        </w:rPr>
        <w:t>權（公</w:t>
      </w:r>
      <w:r>
        <w:rPr>
          <w:rFonts w:eastAsia="標楷體" w:hint="eastAsia"/>
        </w:rPr>
        <w:t>293</w:t>
      </w:r>
      <w:r>
        <w:rPr>
          <w:rFonts w:eastAsia="標楷體" w:hint="eastAsia"/>
        </w:rPr>
        <w:t>Ⅰ）。</w:t>
      </w:r>
    </w:p>
    <w:p w:rsidR="00000000" w:rsidRDefault="00FD50C0">
      <w:pPr>
        <w:numPr>
          <w:ilvl w:val="0"/>
          <w:numId w:val="10"/>
        </w:numPr>
        <w:tabs>
          <w:tab w:val="left" w:pos="360"/>
        </w:tabs>
        <w:spacing w:afterLines="50"/>
        <w:jc w:val="both"/>
        <w:rPr>
          <w:rFonts w:eastAsia="標楷體" w:hint="eastAsia"/>
        </w:rPr>
      </w:pPr>
      <w:r>
        <w:rPr>
          <w:rFonts w:eastAsia="標楷體" w:hint="eastAsia"/>
        </w:rPr>
        <w:t>在</w:t>
      </w:r>
      <w:r>
        <w:rPr>
          <w:rFonts w:eastAsia="標楷體"/>
        </w:rPr>
        <w:t>法院審查重整債權及股東權之期日，重整監督人、重整人及公司負責人，應到場備詢</w:t>
      </w:r>
      <w:r>
        <w:rPr>
          <w:rFonts w:eastAsia="標楷體" w:hint="eastAsia"/>
        </w:rPr>
        <w:t>（公</w:t>
      </w:r>
      <w:r>
        <w:rPr>
          <w:rFonts w:eastAsia="標楷體" w:hint="eastAsia"/>
        </w:rPr>
        <w:t>299</w:t>
      </w:r>
      <w:r>
        <w:rPr>
          <w:rFonts w:eastAsia="標楷體" w:hint="eastAsia"/>
        </w:rPr>
        <w:t>Ⅰ）。</w:t>
      </w:r>
    </w:p>
    <w:p w:rsidR="00000000" w:rsidRDefault="00FD50C0">
      <w:pPr>
        <w:numPr>
          <w:ilvl w:val="0"/>
          <w:numId w:val="10"/>
        </w:numPr>
        <w:tabs>
          <w:tab w:val="left" w:pos="360"/>
        </w:tabs>
        <w:spacing w:afterLines="50"/>
        <w:jc w:val="both"/>
        <w:rPr>
          <w:rFonts w:eastAsia="標楷體" w:hint="eastAsia"/>
        </w:rPr>
      </w:pPr>
      <w:r>
        <w:rPr>
          <w:rFonts w:eastAsia="標楷體"/>
        </w:rPr>
        <w:t>關係人會議開會時，重整人及公司負責人應列席備詢</w:t>
      </w:r>
      <w:r>
        <w:rPr>
          <w:rFonts w:eastAsia="標楷體" w:hint="eastAsia"/>
        </w:rPr>
        <w:t>（公</w:t>
      </w:r>
      <w:r>
        <w:rPr>
          <w:rFonts w:eastAsia="標楷體" w:hint="eastAsia"/>
        </w:rPr>
        <w:t>300</w:t>
      </w:r>
      <w:r>
        <w:rPr>
          <w:rFonts w:eastAsia="標楷體" w:hint="eastAsia"/>
        </w:rPr>
        <w:t>Ⅳ）</w:t>
      </w:r>
      <w:r>
        <w:rPr>
          <w:rFonts w:eastAsia="標楷體"/>
        </w:rPr>
        <w:t>。</w:t>
      </w:r>
    </w:p>
    <w:p w:rsidR="00000000" w:rsidRDefault="00FD50C0">
      <w:pPr>
        <w:numPr>
          <w:ilvl w:val="0"/>
          <w:numId w:val="10"/>
        </w:numPr>
        <w:tabs>
          <w:tab w:val="left" w:pos="360"/>
        </w:tabs>
        <w:spacing w:afterLines="50"/>
        <w:jc w:val="both"/>
        <w:rPr>
          <w:rFonts w:eastAsia="標楷體" w:hint="eastAsia"/>
        </w:rPr>
      </w:pPr>
      <w:r>
        <w:rPr>
          <w:rFonts w:eastAsia="標楷體" w:hint="eastAsia"/>
        </w:rPr>
        <w:t>擬定重整計畫。</w:t>
      </w:r>
    </w:p>
    <w:p w:rsidR="00000000" w:rsidRDefault="00FD50C0">
      <w:pPr>
        <w:numPr>
          <w:ilvl w:val="0"/>
          <w:numId w:val="10"/>
        </w:numPr>
        <w:tabs>
          <w:tab w:val="left" w:pos="360"/>
        </w:tabs>
        <w:spacing w:afterLines="50"/>
        <w:jc w:val="both"/>
        <w:rPr>
          <w:rFonts w:eastAsia="標楷體" w:hint="eastAsia"/>
        </w:rPr>
      </w:pPr>
      <w:r>
        <w:rPr>
          <w:rFonts w:eastAsia="標楷體" w:hint="eastAsia"/>
        </w:rPr>
        <w:t>聲請法院認可重整計畫。</w:t>
      </w:r>
    </w:p>
    <w:p w:rsidR="00000000" w:rsidRDefault="00FD50C0">
      <w:pPr>
        <w:numPr>
          <w:ilvl w:val="0"/>
          <w:numId w:val="10"/>
        </w:numPr>
        <w:tabs>
          <w:tab w:val="left" w:pos="360"/>
        </w:tabs>
        <w:spacing w:afterLines="50"/>
        <w:jc w:val="both"/>
        <w:rPr>
          <w:rFonts w:eastAsia="標楷體" w:hint="eastAsia"/>
        </w:rPr>
      </w:pPr>
      <w:r>
        <w:rPr>
          <w:rFonts w:eastAsia="標楷體" w:hint="eastAsia"/>
        </w:rPr>
        <w:t>執行重整計畫。</w:t>
      </w:r>
    </w:p>
    <w:p w:rsidR="00000000" w:rsidRDefault="00FD50C0">
      <w:pPr>
        <w:numPr>
          <w:ilvl w:val="0"/>
          <w:numId w:val="10"/>
        </w:numPr>
        <w:tabs>
          <w:tab w:val="left" w:pos="360"/>
        </w:tabs>
        <w:spacing w:afterLines="50"/>
        <w:jc w:val="both"/>
        <w:rPr>
          <w:rFonts w:eastAsia="標楷體" w:hint="eastAsia"/>
        </w:rPr>
      </w:pPr>
      <w:r>
        <w:rPr>
          <w:rFonts w:eastAsia="標楷體"/>
        </w:rPr>
        <w:t>公司重整人，應於重整計畫所定期限內完成重整工作</w:t>
      </w:r>
      <w:r>
        <w:rPr>
          <w:rFonts w:eastAsia="標楷體" w:hint="eastAsia"/>
        </w:rPr>
        <w:t>（公</w:t>
      </w:r>
      <w:r>
        <w:rPr>
          <w:rFonts w:eastAsia="標楷體" w:hint="eastAsia"/>
        </w:rPr>
        <w:t>310</w:t>
      </w:r>
      <w:r>
        <w:rPr>
          <w:rFonts w:eastAsia="標楷體" w:hint="eastAsia"/>
        </w:rPr>
        <w:t>Ⅰ前）。</w:t>
      </w:r>
    </w:p>
    <w:p w:rsidR="00000000" w:rsidRDefault="00FD50C0">
      <w:pPr>
        <w:numPr>
          <w:ilvl w:val="0"/>
          <w:numId w:val="10"/>
        </w:numPr>
        <w:tabs>
          <w:tab w:val="left" w:pos="360"/>
        </w:tabs>
        <w:spacing w:afterLines="50"/>
        <w:jc w:val="both"/>
        <w:rPr>
          <w:rFonts w:eastAsia="標楷體" w:hint="eastAsia"/>
        </w:rPr>
      </w:pPr>
      <w:r>
        <w:rPr>
          <w:rFonts w:eastAsia="標楷體" w:hint="eastAsia"/>
        </w:rPr>
        <w:t>召集重整後之股東會。</w:t>
      </w:r>
    </w:p>
    <w:p w:rsidR="00000000" w:rsidRDefault="00FD50C0">
      <w:pPr>
        <w:numPr>
          <w:ilvl w:val="0"/>
          <w:numId w:val="10"/>
        </w:numPr>
        <w:tabs>
          <w:tab w:val="left" w:pos="360"/>
        </w:tabs>
        <w:spacing w:afterLines="50"/>
        <w:jc w:val="both"/>
        <w:rPr>
          <w:rFonts w:eastAsia="標楷體" w:hint="eastAsia"/>
        </w:rPr>
      </w:pPr>
      <w:r>
        <w:rPr>
          <w:rFonts w:eastAsia="標楷體" w:hint="eastAsia"/>
        </w:rPr>
        <w:t>報請法院為重整完成之裁定。</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四</w:t>
      </w:r>
      <w:r>
        <w:rPr>
          <w:rFonts w:eastAsia="標楷體" w:hint="eastAsia"/>
          <w:b/>
          <w:bCs/>
          <w:sz w:val="28"/>
        </w:rPr>
        <w:t xml:space="preserve">) </w:t>
      </w:r>
      <w:r>
        <w:rPr>
          <w:rFonts w:eastAsia="標楷體" w:hint="eastAsia"/>
          <w:b/>
          <w:bCs/>
          <w:sz w:val="28"/>
        </w:rPr>
        <w:t>重整人職權之限制</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公司</w:t>
      </w:r>
      <w:r>
        <w:rPr>
          <w:rFonts w:eastAsia="標楷體"/>
        </w:rPr>
        <w:t>重整人為</w:t>
      </w:r>
      <w:r>
        <w:rPr>
          <w:rFonts w:eastAsia="標楷體" w:hint="eastAsia"/>
        </w:rPr>
        <w:t>下</w:t>
      </w:r>
      <w:r>
        <w:rPr>
          <w:rFonts w:eastAsia="標楷體"/>
        </w:rPr>
        <w:t>列行為，應於事前徵得重整監督人之許可</w:t>
      </w:r>
      <w:r>
        <w:rPr>
          <w:rFonts w:eastAsia="標楷體" w:hint="eastAsia"/>
        </w:rPr>
        <w:t>（公</w:t>
      </w:r>
      <w:r>
        <w:rPr>
          <w:rFonts w:eastAsia="標楷體" w:hint="eastAsia"/>
        </w:rPr>
        <w:t>290</w:t>
      </w:r>
      <w:r>
        <w:rPr>
          <w:rFonts w:eastAsia="標楷體" w:hint="eastAsia"/>
        </w:rPr>
        <w:t>Ⅴ</w:t>
      </w:r>
      <w:r>
        <w:rPr>
          <w:rFonts w:eastAsia="標楷體" w:hint="eastAsia"/>
        </w:rPr>
        <w:t>I</w:t>
      </w:r>
      <w:r>
        <w:rPr>
          <w:rFonts w:eastAsia="標楷體" w:hint="eastAsia"/>
        </w:rPr>
        <w:t>）</w:t>
      </w:r>
      <w:r>
        <w:rPr>
          <w:rFonts w:eastAsia="標楷體"/>
        </w:rPr>
        <w:t>：</w:t>
      </w:r>
    </w:p>
    <w:p w:rsidR="00000000" w:rsidRDefault="00FD50C0">
      <w:pPr>
        <w:numPr>
          <w:ilvl w:val="0"/>
          <w:numId w:val="11"/>
        </w:numPr>
        <w:tabs>
          <w:tab w:val="left" w:pos="360"/>
        </w:tabs>
        <w:spacing w:afterLines="50"/>
        <w:jc w:val="both"/>
        <w:rPr>
          <w:rFonts w:eastAsia="標楷體" w:hint="eastAsia"/>
        </w:rPr>
      </w:pPr>
      <w:r>
        <w:rPr>
          <w:rFonts w:eastAsia="標楷體"/>
        </w:rPr>
        <w:t>營業行</w:t>
      </w:r>
      <w:r>
        <w:rPr>
          <w:rFonts w:eastAsia="標楷體"/>
        </w:rPr>
        <w:t>為以外之公司財產之處分</w:t>
      </w:r>
      <w:r>
        <w:rPr>
          <w:rFonts w:eastAsia="標楷體" w:hint="eastAsia"/>
        </w:rPr>
        <w:t>：例如將公司生產設備出售</w:t>
      </w:r>
      <w:r>
        <w:rPr>
          <w:rFonts w:eastAsia="標楷體"/>
        </w:rPr>
        <w:t>。</w:t>
      </w:r>
    </w:p>
    <w:p w:rsidR="00000000" w:rsidRDefault="00FD50C0">
      <w:pPr>
        <w:numPr>
          <w:ilvl w:val="0"/>
          <w:numId w:val="11"/>
        </w:numPr>
        <w:tabs>
          <w:tab w:val="left" w:pos="360"/>
        </w:tabs>
        <w:spacing w:afterLines="50"/>
        <w:jc w:val="both"/>
        <w:rPr>
          <w:rFonts w:eastAsia="標楷體" w:hint="eastAsia"/>
        </w:rPr>
      </w:pPr>
      <w:r>
        <w:rPr>
          <w:rFonts w:eastAsia="標楷體"/>
        </w:rPr>
        <w:t>公司業務或經營方法之變更</w:t>
      </w:r>
      <w:r>
        <w:rPr>
          <w:rFonts w:eastAsia="標楷體" w:hint="eastAsia"/>
        </w:rPr>
        <w:t>：例如內銷改為外銷；批發改為零售</w:t>
      </w:r>
      <w:r>
        <w:rPr>
          <w:rFonts w:eastAsia="標楷體"/>
        </w:rPr>
        <w:t>。</w:t>
      </w:r>
    </w:p>
    <w:p w:rsidR="00000000" w:rsidRDefault="00FD50C0">
      <w:pPr>
        <w:numPr>
          <w:ilvl w:val="0"/>
          <w:numId w:val="11"/>
        </w:numPr>
        <w:tabs>
          <w:tab w:val="left" w:pos="360"/>
        </w:tabs>
        <w:spacing w:afterLines="50"/>
        <w:jc w:val="both"/>
        <w:rPr>
          <w:rFonts w:eastAsia="標楷體" w:hint="eastAsia"/>
        </w:rPr>
      </w:pPr>
      <w:r>
        <w:rPr>
          <w:rFonts w:eastAsia="標楷體"/>
        </w:rPr>
        <w:t>借款。</w:t>
      </w:r>
    </w:p>
    <w:p w:rsidR="00000000" w:rsidRDefault="00FD50C0">
      <w:pPr>
        <w:numPr>
          <w:ilvl w:val="0"/>
          <w:numId w:val="11"/>
        </w:numPr>
        <w:tabs>
          <w:tab w:val="left" w:pos="360"/>
        </w:tabs>
        <w:spacing w:afterLines="50"/>
        <w:jc w:val="both"/>
        <w:rPr>
          <w:rFonts w:eastAsia="標楷體" w:hint="eastAsia"/>
        </w:rPr>
      </w:pPr>
      <w:r>
        <w:rPr>
          <w:rFonts w:eastAsia="標楷體"/>
        </w:rPr>
        <w:t>重要或長期性契約之訂立或解除，其範圍由重整監督人定之。</w:t>
      </w:r>
    </w:p>
    <w:p w:rsidR="00000000" w:rsidRDefault="00FD50C0">
      <w:pPr>
        <w:numPr>
          <w:ilvl w:val="0"/>
          <w:numId w:val="11"/>
        </w:numPr>
        <w:tabs>
          <w:tab w:val="left" w:pos="360"/>
        </w:tabs>
        <w:spacing w:afterLines="50"/>
        <w:jc w:val="both"/>
        <w:rPr>
          <w:rFonts w:eastAsia="標楷體" w:hint="eastAsia"/>
        </w:rPr>
      </w:pPr>
      <w:r>
        <w:rPr>
          <w:rFonts w:eastAsia="標楷體"/>
        </w:rPr>
        <w:t>訴訟或仲裁之進行。</w:t>
      </w:r>
    </w:p>
    <w:p w:rsidR="00000000" w:rsidRDefault="00FD50C0">
      <w:pPr>
        <w:numPr>
          <w:ilvl w:val="0"/>
          <w:numId w:val="11"/>
        </w:numPr>
        <w:tabs>
          <w:tab w:val="left" w:pos="360"/>
        </w:tabs>
        <w:spacing w:afterLines="50"/>
        <w:jc w:val="both"/>
        <w:rPr>
          <w:rFonts w:eastAsia="標楷體" w:hint="eastAsia"/>
        </w:rPr>
      </w:pPr>
      <w:r>
        <w:rPr>
          <w:rFonts w:eastAsia="標楷體"/>
        </w:rPr>
        <w:t>公司權利之拋棄或讓與。</w:t>
      </w:r>
    </w:p>
    <w:p w:rsidR="00000000" w:rsidRDefault="00FD50C0">
      <w:pPr>
        <w:numPr>
          <w:ilvl w:val="0"/>
          <w:numId w:val="11"/>
        </w:numPr>
        <w:tabs>
          <w:tab w:val="left" w:pos="360"/>
        </w:tabs>
        <w:spacing w:afterLines="50"/>
        <w:jc w:val="both"/>
        <w:rPr>
          <w:rFonts w:eastAsia="標楷體" w:hint="eastAsia"/>
        </w:rPr>
      </w:pPr>
      <w:r>
        <w:rPr>
          <w:rFonts w:eastAsia="標楷體"/>
        </w:rPr>
        <w:t>他人行使取回權、解除權或抵銷權事件之處理。</w:t>
      </w:r>
    </w:p>
    <w:p w:rsidR="00000000" w:rsidRDefault="00FD50C0">
      <w:pPr>
        <w:numPr>
          <w:ilvl w:val="0"/>
          <w:numId w:val="11"/>
        </w:numPr>
        <w:tabs>
          <w:tab w:val="left" w:pos="360"/>
        </w:tabs>
        <w:spacing w:afterLines="50"/>
        <w:jc w:val="both"/>
        <w:rPr>
          <w:rFonts w:eastAsia="標楷體" w:hint="eastAsia"/>
        </w:rPr>
      </w:pPr>
      <w:r>
        <w:rPr>
          <w:rFonts w:eastAsia="標楷體"/>
        </w:rPr>
        <w:t>公司重要人事之任免</w:t>
      </w:r>
      <w:r>
        <w:rPr>
          <w:rFonts w:eastAsia="標楷體" w:hint="eastAsia"/>
        </w:rPr>
        <w:t>：例如經理人之任免</w:t>
      </w:r>
      <w:r>
        <w:rPr>
          <w:rFonts w:eastAsia="標楷體"/>
        </w:rPr>
        <w:t>。</w:t>
      </w:r>
    </w:p>
    <w:p w:rsidR="00000000" w:rsidRDefault="00FD50C0">
      <w:pPr>
        <w:numPr>
          <w:ilvl w:val="0"/>
          <w:numId w:val="11"/>
        </w:numPr>
        <w:tabs>
          <w:tab w:val="left" w:pos="360"/>
        </w:tabs>
        <w:spacing w:afterLines="50"/>
        <w:jc w:val="both"/>
        <w:rPr>
          <w:rFonts w:eastAsia="標楷體" w:hint="eastAsia"/>
        </w:rPr>
      </w:pPr>
      <w:r>
        <w:rPr>
          <w:rFonts w:eastAsia="標楷體"/>
        </w:rPr>
        <w:t>其他經法院限制之行為。</w:t>
      </w:r>
    </w:p>
    <w:p w:rsidR="00000000" w:rsidRDefault="00FD50C0">
      <w:pPr>
        <w:tabs>
          <w:tab w:val="left" w:pos="360"/>
        </w:tabs>
        <w:spacing w:afterLines="50"/>
        <w:ind w:leftChars="200" w:left="540" w:hangingChars="25" w:hanging="60"/>
        <w:jc w:val="both"/>
        <w:rPr>
          <w:rFonts w:eastAsia="標楷體" w:hint="eastAsia"/>
        </w:rPr>
      </w:pPr>
      <w:r>
        <w:rPr>
          <w:rFonts w:eastAsia="標楷體" w:hint="eastAsia"/>
        </w:rPr>
        <w:tab/>
      </w:r>
      <w:r>
        <w:rPr>
          <w:rFonts w:eastAsia="標楷體" w:hint="eastAsia"/>
        </w:rPr>
        <w:tab/>
      </w:r>
      <w:r>
        <w:rPr>
          <w:rFonts w:eastAsia="標楷體" w:hint="eastAsia"/>
        </w:rPr>
        <w:t>公司重整中之重整人為公司之負責人（公</w:t>
      </w:r>
      <w:r>
        <w:rPr>
          <w:rFonts w:eastAsia="標楷體" w:hint="eastAsia"/>
        </w:rPr>
        <w:t>8</w:t>
      </w:r>
      <w:r>
        <w:rPr>
          <w:rFonts w:eastAsia="標楷體" w:hint="eastAsia"/>
        </w:rPr>
        <w:t>Ⅱ），而重整人為前述各款之行為時，應得重整監督人事前之許可（公</w:t>
      </w:r>
      <w:r>
        <w:rPr>
          <w:rFonts w:eastAsia="標楷體" w:hint="eastAsia"/>
        </w:rPr>
        <w:t>290</w:t>
      </w:r>
      <w:r>
        <w:rPr>
          <w:rFonts w:eastAsia="標楷體" w:hint="eastAsia"/>
        </w:rPr>
        <w:t>Ⅴ</w:t>
      </w:r>
      <w:r>
        <w:rPr>
          <w:rFonts w:eastAsia="標楷體" w:hint="eastAsia"/>
        </w:rPr>
        <w:t>I</w:t>
      </w:r>
      <w:r>
        <w:rPr>
          <w:rFonts w:eastAsia="標楷體" w:hint="eastAsia"/>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五</w:t>
      </w:r>
      <w:r>
        <w:rPr>
          <w:rFonts w:eastAsia="標楷體" w:hint="eastAsia"/>
          <w:b/>
          <w:bCs/>
          <w:sz w:val="28"/>
        </w:rPr>
        <w:t xml:space="preserve">) </w:t>
      </w:r>
      <w:r>
        <w:rPr>
          <w:rFonts w:eastAsia="標楷體" w:hint="eastAsia"/>
          <w:b/>
          <w:bCs/>
          <w:sz w:val="28"/>
        </w:rPr>
        <w:t>重整監督人之職權</w:t>
      </w:r>
    </w:p>
    <w:p w:rsidR="00000000" w:rsidRDefault="00FD50C0">
      <w:pPr>
        <w:pStyle w:val="HTML"/>
        <w:tabs>
          <w:tab w:val="clear" w:pos="916"/>
          <w:tab w:val="clear" w:pos="1832"/>
          <w:tab w:val="left" w:pos="360"/>
          <w:tab w:val="left" w:pos="435"/>
        </w:tabs>
        <w:rPr>
          <w:rFonts w:ascii="Times New Roman" w:eastAsia="標楷體" w:hAnsi="Times New Roman" w:cs="Times New Roman" w:hint="eastAsia"/>
          <w:color w:val="auto"/>
          <w:kern w:val="2"/>
          <w:sz w:val="24"/>
          <w:szCs w:val="24"/>
        </w:rPr>
      </w:pPr>
      <w:r>
        <w:rPr>
          <w:rFonts w:hint="eastAsia"/>
        </w:rPr>
        <w:tab/>
      </w:r>
      <w:r>
        <w:rPr>
          <w:rFonts w:hint="eastAsia"/>
        </w:rPr>
        <w:tab/>
      </w:r>
      <w:r>
        <w:rPr>
          <w:rFonts w:ascii="Times New Roman" w:eastAsia="標楷體" w:hAnsi="Times New Roman" w:cs="Times New Roman"/>
          <w:color w:val="auto"/>
          <w:kern w:val="2"/>
          <w:sz w:val="24"/>
          <w:szCs w:val="24"/>
        </w:rPr>
        <w:t>重整人執行職務應受重整監督人之監督，</w:t>
      </w:r>
      <w:r>
        <w:rPr>
          <w:rFonts w:ascii="Times New Roman" w:eastAsia="標楷體" w:hAnsi="Times New Roman" w:cs="Times New Roman"/>
          <w:color w:val="auto"/>
          <w:kern w:val="2"/>
          <w:sz w:val="24"/>
          <w:szCs w:val="24"/>
        </w:rPr>
        <w:t>其有違法或不當情事者，重整監督人得聲請法院解除其職務，另行選派之</w:t>
      </w:r>
      <w:r>
        <w:rPr>
          <w:rFonts w:ascii="Times New Roman" w:eastAsia="標楷體" w:hAnsi="Times New Roman" w:cs="Times New Roman" w:hint="eastAsia"/>
          <w:color w:val="auto"/>
          <w:kern w:val="2"/>
          <w:sz w:val="24"/>
          <w:szCs w:val="24"/>
        </w:rPr>
        <w:t>（公</w:t>
      </w:r>
      <w:r>
        <w:rPr>
          <w:rFonts w:ascii="Times New Roman" w:eastAsia="標楷體" w:hAnsi="Times New Roman" w:cs="Times New Roman" w:hint="eastAsia"/>
          <w:color w:val="auto"/>
          <w:kern w:val="2"/>
          <w:sz w:val="24"/>
          <w:szCs w:val="24"/>
        </w:rPr>
        <w:t>290V</w:t>
      </w:r>
      <w:r>
        <w:rPr>
          <w:rFonts w:ascii="Times New Roman" w:eastAsia="標楷體" w:hAnsi="Times New Roman" w:cs="Times New Roman" w:hint="eastAsia"/>
          <w:color w:val="auto"/>
          <w:kern w:val="2"/>
          <w:sz w:val="24"/>
          <w:szCs w:val="24"/>
        </w:rPr>
        <w:t>）</w:t>
      </w:r>
      <w:r>
        <w:rPr>
          <w:rFonts w:ascii="Times New Roman" w:eastAsia="標楷體" w:hAnsi="Times New Roman" w:cs="Times New Roman"/>
          <w:color w:val="auto"/>
          <w:kern w:val="2"/>
          <w:sz w:val="24"/>
          <w:szCs w:val="24"/>
        </w:rPr>
        <w:t>。</w:t>
      </w:r>
      <w:r>
        <w:rPr>
          <w:rFonts w:ascii="Times New Roman" w:eastAsia="標楷體" w:hAnsi="Times New Roman" w:cs="Times New Roman" w:hint="eastAsia"/>
          <w:color w:val="auto"/>
          <w:kern w:val="2"/>
          <w:sz w:val="24"/>
          <w:szCs w:val="24"/>
        </w:rPr>
        <w:t>對重整人為重要行為時之許可（公</w:t>
      </w:r>
      <w:r>
        <w:rPr>
          <w:rFonts w:ascii="Times New Roman" w:eastAsia="標楷體" w:hAnsi="Times New Roman" w:cs="Times New Roman" w:hint="eastAsia"/>
          <w:color w:val="auto"/>
          <w:kern w:val="2"/>
          <w:sz w:val="24"/>
          <w:szCs w:val="24"/>
        </w:rPr>
        <w:t>290</w:t>
      </w:r>
      <w:r>
        <w:rPr>
          <w:rFonts w:ascii="Times New Roman" w:eastAsia="標楷體" w:hAnsi="Times New Roman" w:cs="Times New Roman" w:hint="eastAsia"/>
          <w:color w:val="auto"/>
          <w:kern w:val="2"/>
          <w:sz w:val="24"/>
          <w:szCs w:val="24"/>
        </w:rPr>
        <w:t>Ⅴ</w:t>
      </w:r>
      <w:r>
        <w:rPr>
          <w:rFonts w:ascii="Times New Roman" w:eastAsia="標楷體" w:hAnsi="Times New Roman" w:cs="Times New Roman" w:hint="eastAsia"/>
          <w:color w:val="auto"/>
          <w:kern w:val="2"/>
          <w:sz w:val="24"/>
          <w:szCs w:val="24"/>
        </w:rPr>
        <w:t>I</w:t>
      </w:r>
      <w:r>
        <w:rPr>
          <w:rFonts w:ascii="Times New Roman" w:eastAsia="標楷體" w:hAnsi="Times New Roman" w:cs="Times New Roman" w:hint="eastAsia"/>
          <w:color w:val="auto"/>
          <w:kern w:val="2"/>
          <w:sz w:val="24"/>
          <w:szCs w:val="24"/>
        </w:rPr>
        <w:t>）；受理債權及股東權之申報（公</w:t>
      </w:r>
      <w:r>
        <w:rPr>
          <w:rFonts w:ascii="Times New Roman" w:eastAsia="標楷體" w:hAnsi="Times New Roman" w:cs="Times New Roman" w:hint="eastAsia"/>
          <w:color w:val="auto"/>
          <w:kern w:val="2"/>
          <w:sz w:val="24"/>
          <w:szCs w:val="24"/>
        </w:rPr>
        <w:t>297</w:t>
      </w:r>
      <w:r>
        <w:rPr>
          <w:rFonts w:ascii="Times New Roman" w:eastAsia="標楷體" w:hAnsi="Times New Roman" w:cs="Times New Roman" w:hint="eastAsia"/>
          <w:color w:val="auto"/>
          <w:kern w:val="2"/>
          <w:sz w:val="24"/>
          <w:szCs w:val="24"/>
        </w:rPr>
        <w:t>）；通知並公告召集關係人會議（公</w:t>
      </w:r>
      <w:r>
        <w:rPr>
          <w:rFonts w:ascii="Times New Roman" w:eastAsia="標楷體" w:hAnsi="Times New Roman" w:cs="Times New Roman" w:hint="eastAsia"/>
          <w:color w:val="auto"/>
          <w:kern w:val="2"/>
          <w:sz w:val="24"/>
          <w:szCs w:val="24"/>
        </w:rPr>
        <w:t>300</w:t>
      </w:r>
      <w:r>
        <w:rPr>
          <w:rFonts w:ascii="Times New Roman" w:eastAsia="標楷體" w:hAnsi="Times New Roman" w:cs="Times New Roman" w:hint="eastAsia"/>
          <w:color w:val="auto"/>
          <w:kern w:val="2"/>
          <w:sz w:val="24"/>
          <w:szCs w:val="24"/>
        </w:rPr>
        <w:t>）；聲請裁定終止重整（公</w:t>
      </w:r>
      <w:r>
        <w:rPr>
          <w:rFonts w:ascii="Times New Roman" w:eastAsia="標楷體" w:hAnsi="Times New Roman" w:cs="Times New Roman" w:hint="eastAsia"/>
          <w:color w:val="auto"/>
          <w:kern w:val="2"/>
          <w:sz w:val="24"/>
          <w:szCs w:val="24"/>
        </w:rPr>
        <w:t>306</w:t>
      </w:r>
      <w:r>
        <w:rPr>
          <w:rFonts w:ascii="Times New Roman" w:eastAsia="標楷體" w:hAnsi="Times New Roman" w:cs="Times New Roman" w:hint="eastAsia"/>
          <w:color w:val="auto"/>
          <w:kern w:val="2"/>
          <w:sz w:val="24"/>
          <w:szCs w:val="24"/>
        </w:rPr>
        <w:t>Ⅲ後）。</w:t>
      </w:r>
      <w:r>
        <w:rPr>
          <w:rFonts w:ascii="Times New Roman" w:eastAsia="標楷體" w:hAnsi="Times New Roman" w:cs="Times New Roman"/>
          <w:color w:val="auto"/>
          <w:kern w:val="2"/>
          <w:sz w:val="24"/>
          <w:szCs w:val="24"/>
        </w:rPr>
        <w:t>重整監督人有數人時，關於重整事務之監督執行，以其過半數之同意行之</w:t>
      </w:r>
      <w:r>
        <w:rPr>
          <w:rFonts w:ascii="Times New Roman" w:eastAsia="標楷體" w:hAnsi="Times New Roman" w:cs="Times New Roman" w:hint="eastAsia"/>
          <w:color w:val="auto"/>
          <w:kern w:val="2"/>
          <w:sz w:val="24"/>
          <w:szCs w:val="24"/>
        </w:rPr>
        <w:t>（公</w:t>
      </w:r>
      <w:r>
        <w:rPr>
          <w:rFonts w:ascii="Times New Roman" w:eastAsia="標楷體" w:hAnsi="Times New Roman" w:cs="Times New Roman" w:hint="eastAsia"/>
          <w:color w:val="auto"/>
          <w:kern w:val="2"/>
          <w:sz w:val="24"/>
          <w:szCs w:val="24"/>
        </w:rPr>
        <w:t>289</w:t>
      </w:r>
      <w:r>
        <w:rPr>
          <w:rFonts w:eastAsia="標楷體" w:hint="eastAsia"/>
          <w:color w:val="auto"/>
        </w:rPr>
        <w:t>Ⅲ</w:t>
      </w:r>
      <w:r>
        <w:rPr>
          <w:rFonts w:ascii="Times New Roman" w:eastAsia="標楷體" w:hAnsi="Times New Roman" w:cs="Times New Roman" w:hint="eastAsia"/>
          <w:color w:val="auto"/>
          <w:kern w:val="2"/>
          <w:sz w:val="24"/>
          <w:szCs w:val="24"/>
        </w:rPr>
        <w:t>）</w:t>
      </w:r>
      <w:r>
        <w:rPr>
          <w:rFonts w:ascii="Times New Roman" w:eastAsia="標楷體" w:hAnsi="Times New Roman" w:cs="Times New Roman"/>
          <w:color w:val="auto"/>
          <w:kern w:val="2"/>
          <w:sz w:val="24"/>
          <w:szCs w:val="24"/>
        </w:rPr>
        <w:t>。</w:t>
      </w:r>
    </w:p>
    <w:p w:rsidR="00000000" w:rsidRDefault="00FD50C0">
      <w:pPr>
        <w:pStyle w:val="HTML"/>
        <w:tabs>
          <w:tab w:val="clear" w:pos="1832"/>
          <w:tab w:val="left" w:pos="360"/>
        </w:tabs>
        <w:rPr>
          <w:rFonts w:ascii="Times New Roman" w:eastAsia="標楷體" w:hAnsi="Times New Roman" w:cs="Times New Roman" w:hint="eastAsia"/>
          <w:color w:val="auto"/>
          <w:kern w:val="2"/>
          <w:sz w:val="24"/>
          <w:szCs w:val="24"/>
        </w:rPr>
      </w:pP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六</w:t>
      </w:r>
      <w:r>
        <w:rPr>
          <w:rFonts w:eastAsia="標楷體" w:hint="eastAsia"/>
          <w:b/>
          <w:bCs/>
          <w:sz w:val="28"/>
        </w:rPr>
        <w:t xml:space="preserve">) </w:t>
      </w:r>
      <w:r>
        <w:rPr>
          <w:rFonts w:eastAsia="標楷體" w:hint="eastAsia"/>
          <w:b/>
          <w:bCs/>
          <w:sz w:val="28"/>
        </w:rPr>
        <w:t>重整人及重整監督人之責任</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在重整程序中，重整人及重整監督人之職權極為重大，故應以善良管理人之注意執行職務（公</w:t>
      </w:r>
      <w:r>
        <w:rPr>
          <w:rFonts w:eastAsia="標楷體" w:hint="eastAsia"/>
        </w:rPr>
        <w:t>313</w:t>
      </w:r>
      <w:r>
        <w:rPr>
          <w:rFonts w:eastAsia="標楷體" w:hint="eastAsia"/>
        </w:rPr>
        <w:t>Ⅰ）。</w:t>
      </w:r>
      <w:r>
        <w:rPr>
          <w:rFonts w:eastAsia="標楷體"/>
        </w:rPr>
        <w:t>對於職務上之行為，有虛偽陳述時，各處一年以下有期徒刑、拘役或科或</w:t>
      </w:r>
      <w:r>
        <w:rPr>
          <w:rFonts w:eastAsia="標楷體"/>
        </w:rPr>
        <w:t>併科新臺幣六萬元以下罰金</w:t>
      </w:r>
      <w:r>
        <w:rPr>
          <w:rFonts w:eastAsia="標楷體" w:hint="eastAsia"/>
        </w:rPr>
        <w:t>（公</w:t>
      </w:r>
      <w:r>
        <w:rPr>
          <w:rFonts w:eastAsia="標楷體" w:hint="eastAsia"/>
        </w:rPr>
        <w:t>313</w:t>
      </w:r>
      <w:r>
        <w:rPr>
          <w:rFonts w:eastAsia="標楷體" w:hint="eastAsia"/>
        </w:rPr>
        <w:t>ⅡⅢ）</w:t>
      </w:r>
      <w:r>
        <w:rPr>
          <w:rFonts w:eastAsia="標楷體"/>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七</w:t>
      </w:r>
      <w:r>
        <w:rPr>
          <w:rFonts w:eastAsia="標楷體" w:hint="eastAsia"/>
          <w:b/>
          <w:bCs/>
          <w:sz w:val="28"/>
        </w:rPr>
        <w:t xml:space="preserve">) </w:t>
      </w:r>
      <w:r>
        <w:rPr>
          <w:rFonts w:eastAsia="標楷體" w:hint="eastAsia"/>
          <w:b/>
          <w:bCs/>
          <w:sz w:val="28"/>
        </w:rPr>
        <w:t>重整人及重整監督人之報酬</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檢查人、重整監督人或重整人，執行其職務，其報酬由法院依其職務之繁簡定之</w:t>
      </w:r>
      <w:r>
        <w:rPr>
          <w:rFonts w:eastAsia="標楷體" w:hint="eastAsia"/>
        </w:rPr>
        <w:t>（公</w:t>
      </w:r>
      <w:r>
        <w:rPr>
          <w:rFonts w:eastAsia="標楷體" w:hint="eastAsia"/>
        </w:rPr>
        <w:t>313</w:t>
      </w:r>
      <w:r>
        <w:rPr>
          <w:rFonts w:eastAsia="標楷體" w:hint="eastAsia"/>
        </w:rPr>
        <w:t>），作為重整程序之費用，有優先受償之權，且不因裁定終止而受影響（公</w:t>
      </w:r>
      <w:r>
        <w:rPr>
          <w:rFonts w:eastAsia="標楷體" w:hint="eastAsia"/>
        </w:rPr>
        <w:t>312</w:t>
      </w:r>
      <w:r>
        <w:rPr>
          <w:rFonts w:eastAsia="標楷體" w:hint="eastAsia"/>
        </w:rPr>
        <w:t>）。</w:t>
      </w:r>
      <w:r>
        <w:rPr>
          <w:rFonts w:eastAsia="標楷體" w:hint="eastAsia"/>
        </w:rPr>
        <w:tab/>
      </w:r>
      <w:r>
        <w:rPr>
          <w:rFonts w:eastAsia="標楷體" w:hint="eastAsia"/>
        </w:rPr>
        <w:tab/>
      </w:r>
    </w:p>
    <w:p w:rsidR="00000000" w:rsidRDefault="00FD50C0">
      <w:pPr>
        <w:spacing w:after="180"/>
        <w:jc w:val="center"/>
        <w:rPr>
          <w:rFonts w:eastAsia="標楷體" w:hint="eastAsia"/>
          <w:b/>
          <w:bCs/>
          <w:sz w:val="32"/>
        </w:rPr>
      </w:pPr>
      <w:r>
        <w:rPr>
          <w:rFonts w:eastAsia="標楷體" w:hint="eastAsia"/>
          <w:b/>
          <w:bCs/>
          <w:sz w:val="32"/>
        </w:rPr>
        <w:t>六、</w:t>
      </w:r>
      <w:r>
        <w:rPr>
          <w:rFonts w:eastAsia="標楷體" w:hint="eastAsia"/>
          <w:b/>
          <w:bCs/>
          <w:sz w:val="32"/>
        </w:rPr>
        <w:t xml:space="preserve"> </w:t>
      </w:r>
      <w:r>
        <w:rPr>
          <w:rFonts w:eastAsia="標楷體" w:hint="eastAsia"/>
          <w:b/>
          <w:bCs/>
          <w:sz w:val="32"/>
        </w:rPr>
        <w:t>重整債權</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重整債權之意義</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對公司之債權，在重整裁定前成立者，為重整債權</w:t>
      </w:r>
      <w:r>
        <w:rPr>
          <w:rFonts w:eastAsia="標楷體" w:hint="eastAsia"/>
        </w:rPr>
        <w:t>（公</w:t>
      </w:r>
      <w:r>
        <w:rPr>
          <w:rFonts w:eastAsia="標楷體" w:hint="eastAsia"/>
        </w:rPr>
        <w:t>296</w:t>
      </w:r>
      <w:r>
        <w:rPr>
          <w:rFonts w:eastAsia="標楷體" w:hint="eastAsia"/>
        </w:rPr>
        <w:t>Ⅰ）。</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重整債權之種類</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可分為三（公</w:t>
      </w:r>
      <w:r>
        <w:rPr>
          <w:rFonts w:eastAsia="標楷體" w:hint="eastAsia"/>
        </w:rPr>
        <w:t>296</w:t>
      </w:r>
      <w:r>
        <w:rPr>
          <w:rFonts w:eastAsia="標楷體" w:hint="eastAsia"/>
        </w:rPr>
        <w:t>Ⅰ）：</w:t>
      </w:r>
    </w:p>
    <w:p w:rsidR="00000000" w:rsidRDefault="00FD50C0">
      <w:pPr>
        <w:numPr>
          <w:ilvl w:val="0"/>
          <w:numId w:val="12"/>
        </w:numPr>
        <w:tabs>
          <w:tab w:val="left" w:pos="360"/>
        </w:tabs>
        <w:spacing w:afterLines="50"/>
        <w:jc w:val="both"/>
        <w:rPr>
          <w:rFonts w:eastAsia="標楷體" w:hint="eastAsia"/>
        </w:rPr>
      </w:pPr>
      <w:r>
        <w:rPr>
          <w:rFonts w:eastAsia="標楷體"/>
        </w:rPr>
        <w:t>優先重整債權</w:t>
      </w:r>
      <w:r>
        <w:rPr>
          <w:rFonts w:eastAsia="標楷體" w:hint="eastAsia"/>
        </w:rPr>
        <w:t>：依法享有優先受償債權者為優先重整債權（公</w:t>
      </w:r>
      <w:r>
        <w:rPr>
          <w:rFonts w:eastAsia="標楷體" w:hint="eastAsia"/>
        </w:rPr>
        <w:t>296</w:t>
      </w:r>
      <w:r>
        <w:rPr>
          <w:rFonts w:eastAsia="標楷體" w:hint="eastAsia"/>
        </w:rPr>
        <w:t>Ⅰ），例如，海商法第二十四條第一項所列各款之債權</w:t>
      </w:r>
      <w:r>
        <w:rPr>
          <w:rFonts w:eastAsia="標楷體" w:hint="eastAsia"/>
        </w:rPr>
        <w:t>。</w:t>
      </w:r>
    </w:p>
    <w:p w:rsidR="00000000" w:rsidRDefault="00FD50C0">
      <w:pPr>
        <w:numPr>
          <w:ilvl w:val="0"/>
          <w:numId w:val="12"/>
        </w:numPr>
        <w:tabs>
          <w:tab w:val="left" w:pos="360"/>
        </w:tabs>
        <w:spacing w:afterLines="50"/>
        <w:jc w:val="both"/>
        <w:rPr>
          <w:rFonts w:eastAsia="標楷體" w:hint="eastAsia"/>
        </w:rPr>
      </w:pPr>
      <w:r>
        <w:rPr>
          <w:rFonts w:eastAsia="標楷體"/>
        </w:rPr>
        <w:t>擔保重整債權</w:t>
      </w:r>
      <w:r>
        <w:rPr>
          <w:rFonts w:eastAsia="標楷體" w:hint="eastAsia"/>
        </w:rPr>
        <w:t>：有抵押權、質權或留置權為擔保者，為擔保重整債權，例如，破產法第一</w:t>
      </w:r>
      <w:r>
        <w:rPr>
          <w:rFonts w:eastAsia="標楷體" w:hint="eastAsia"/>
        </w:rPr>
        <w:t>O</w:t>
      </w:r>
      <w:r>
        <w:rPr>
          <w:rFonts w:eastAsia="標楷體" w:hint="eastAsia"/>
        </w:rPr>
        <w:t>八條之別除權。</w:t>
      </w:r>
    </w:p>
    <w:p w:rsidR="00000000" w:rsidRDefault="00FD50C0">
      <w:pPr>
        <w:numPr>
          <w:ilvl w:val="0"/>
          <w:numId w:val="12"/>
        </w:numPr>
        <w:tabs>
          <w:tab w:val="left" w:pos="360"/>
        </w:tabs>
        <w:spacing w:afterLines="50"/>
        <w:jc w:val="both"/>
        <w:rPr>
          <w:rFonts w:eastAsia="標楷體" w:hint="eastAsia"/>
        </w:rPr>
      </w:pPr>
      <w:r>
        <w:rPr>
          <w:rFonts w:eastAsia="標楷體" w:hint="eastAsia"/>
        </w:rPr>
        <w:t>無</w:t>
      </w:r>
      <w:r>
        <w:rPr>
          <w:rFonts w:eastAsia="標楷體"/>
        </w:rPr>
        <w:t>擔保重整債權</w:t>
      </w:r>
      <w:r>
        <w:rPr>
          <w:rFonts w:eastAsia="標楷體" w:hint="eastAsia"/>
        </w:rPr>
        <w:t>：無擔保之債權為無擔保重整債權（公</w:t>
      </w:r>
      <w:r>
        <w:rPr>
          <w:rFonts w:eastAsia="標楷體" w:hint="eastAsia"/>
        </w:rPr>
        <w:t>296</w:t>
      </w:r>
      <w:r>
        <w:rPr>
          <w:rFonts w:eastAsia="標楷體" w:hint="eastAsia"/>
        </w:rPr>
        <w:t>Ⅰ），此指一般無擔保之債權而言。</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三</w:t>
      </w:r>
      <w:r>
        <w:rPr>
          <w:rFonts w:eastAsia="標楷體" w:hint="eastAsia"/>
          <w:b/>
          <w:bCs/>
          <w:sz w:val="28"/>
        </w:rPr>
        <w:t xml:space="preserve">) </w:t>
      </w:r>
      <w:r>
        <w:rPr>
          <w:rFonts w:eastAsia="標楷體" w:hint="eastAsia"/>
          <w:b/>
          <w:bCs/>
          <w:sz w:val="28"/>
        </w:rPr>
        <w:t>重整債權之行使與申報</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重整債權</w:t>
      </w:r>
      <w:r>
        <w:rPr>
          <w:rFonts w:eastAsia="標楷體"/>
        </w:rPr>
        <w:t>非依重整程序，均不得行使權利</w:t>
      </w:r>
      <w:r>
        <w:rPr>
          <w:rFonts w:eastAsia="標楷體" w:hint="eastAsia"/>
        </w:rPr>
        <w:t>（公</w:t>
      </w:r>
      <w:r>
        <w:rPr>
          <w:rFonts w:eastAsia="標楷體" w:hint="eastAsia"/>
        </w:rPr>
        <w:t>296</w:t>
      </w:r>
      <w:r>
        <w:rPr>
          <w:rFonts w:eastAsia="標楷體" w:hint="eastAsia"/>
        </w:rPr>
        <w:t>Ⅰ）</w:t>
      </w:r>
      <w:r>
        <w:rPr>
          <w:rFonts w:eastAsia="標楷體"/>
        </w:rPr>
        <w:t>。裁定重整後，公司之破產、和解、強制執行及因財產關係所生之訴訟等程序，當然停止</w:t>
      </w:r>
      <w:r>
        <w:rPr>
          <w:rFonts w:eastAsia="標楷體" w:hint="eastAsia"/>
        </w:rPr>
        <w:t>（公</w:t>
      </w:r>
      <w:r>
        <w:rPr>
          <w:rFonts w:eastAsia="標楷體" w:hint="eastAsia"/>
        </w:rPr>
        <w:t>294</w:t>
      </w:r>
      <w:r>
        <w:rPr>
          <w:rFonts w:eastAsia="標楷體" w:hint="eastAsia"/>
        </w:rPr>
        <w:t>）</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重整債權之申報：</w:t>
      </w:r>
      <w:r>
        <w:rPr>
          <w:rFonts w:eastAsia="標楷體"/>
        </w:rPr>
        <w:t>重整債權人</w:t>
      </w:r>
      <w:r>
        <w:rPr>
          <w:rFonts w:eastAsia="標楷體" w:hint="eastAsia"/>
        </w:rPr>
        <w:t>行使重整債權</w:t>
      </w:r>
      <w:r>
        <w:rPr>
          <w:rFonts w:eastAsia="標楷體"/>
        </w:rPr>
        <w:t>，</w:t>
      </w:r>
      <w:r>
        <w:rPr>
          <w:rFonts w:eastAsia="標楷體" w:hint="eastAsia"/>
        </w:rPr>
        <w:t>首應在公告期間內</w:t>
      </w:r>
      <w:r>
        <w:rPr>
          <w:rFonts w:eastAsia="標楷體"/>
        </w:rPr>
        <w:t>向重整監督人申報</w:t>
      </w:r>
      <w:r>
        <w:rPr>
          <w:rFonts w:eastAsia="標楷體" w:hint="eastAsia"/>
        </w:rPr>
        <w:t>，在申報時應提出</w:t>
      </w:r>
      <w:r>
        <w:rPr>
          <w:rFonts w:eastAsia="標楷體"/>
        </w:rPr>
        <w:t>足資證明其權利存在之文件</w:t>
      </w:r>
      <w:r>
        <w:rPr>
          <w:rFonts w:eastAsia="標楷體" w:hint="eastAsia"/>
        </w:rPr>
        <w:t>（公</w:t>
      </w:r>
      <w:r>
        <w:rPr>
          <w:rFonts w:eastAsia="標楷體" w:hint="eastAsia"/>
        </w:rPr>
        <w:t>297</w:t>
      </w:r>
      <w:r>
        <w:rPr>
          <w:rFonts w:eastAsia="標楷體" w:hint="eastAsia"/>
        </w:rPr>
        <w:t>Ⅰ）。</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公司記名</w:t>
      </w:r>
      <w:r>
        <w:rPr>
          <w:rFonts w:eastAsia="標楷體"/>
        </w:rPr>
        <w:t>股東之權利，依股東名簿之記載；無記名股東之權利，應準用前項規定申報，未經申報者，不得依重整程序，行使其權利</w:t>
      </w:r>
      <w:r>
        <w:rPr>
          <w:rFonts w:eastAsia="標楷體" w:hint="eastAsia"/>
        </w:rPr>
        <w:t>（公</w:t>
      </w:r>
      <w:r>
        <w:rPr>
          <w:rFonts w:eastAsia="標楷體" w:hint="eastAsia"/>
        </w:rPr>
        <w:t>297</w:t>
      </w:r>
      <w:r>
        <w:rPr>
          <w:rFonts w:eastAsia="標楷體" w:hint="eastAsia"/>
        </w:rPr>
        <w:t>Ⅱ）</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 xml:space="preserve">1. </w:t>
      </w:r>
      <w:r>
        <w:rPr>
          <w:rFonts w:eastAsia="標楷體" w:hint="eastAsia"/>
        </w:rPr>
        <w:t>申報之效力</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重整債權申報者，有中斷時效之效力，其未經申報者，則不得依重整程序受償（公</w:t>
      </w:r>
      <w:r>
        <w:rPr>
          <w:rFonts w:eastAsia="標楷體" w:hint="eastAsia"/>
        </w:rPr>
        <w:t>297</w:t>
      </w:r>
      <w:r>
        <w:rPr>
          <w:rFonts w:eastAsia="標楷體" w:hint="eastAsia"/>
        </w:rPr>
        <w:t>Ⅰ）。</w:t>
      </w:r>
      <w:r>
        <w:rPr>
          <w:rFonts w:eastAsia="標楷體"/>
        </w:rPr>
        <w:t>已申報之債權未受清償部分，除依重整計畫處理，移轉重整後之公司承受者外，其請求權消滅</w:t>
      </w:r>
      <w:r>
        <w:rPr>
          <w:rFonts w:eastAsia="標楷體" w:hint="eastAsia"/>
        </w:rPr>
        <w:t>（公</w:t>
      </w:r>
      <w:r>
        <w:rPr>
          <w:rFonts w:eastAsia="標楷體" w:hint="eastAsia"/>
        </w:rPr>
        <w:t>311</w:t>
      </w:r>
      <w:r>
        <w:rPr>
          <w:rFonts w:eastAsia="標楷體" w:hint="eastAsia"/>
        </w:rPr>
        <w:t>Ⅰ）。</w:t>
      </w:r>
    </w:p>
    <w:p w:rsidR="00000000" w:rsidRDefault="00FD50C0">
      <w:pPr>
        <w:tabs>
          <w:tab w:val="left" w:pos="360"/>
        </w:tabs>
        <w:spacing w:afterLines="50"/>
        <w:jc w:val="both"/>
        <w:rPr>
          <w:rFonts w:eastAsia="標楷體" w:hint="eastAsia"/>
        </w:rPr>
      </w:pPr>
      <w:r>
        <w:rPr>
          <w:rFonts w:eastAsia="標楷體" w:hint="eastAsia"/>
        </w:rPr>
        <w:t xml:space="preserve">2. </w:t>
      </w:r>
      <w:r>
        <w:rPr>
          <w:rFonts w:eastAsia="標楷體" w:hint="eastAsia"/>
        </w:rPr>
        <w:t>非歸責於已逾期申報之補救</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應為申報之人，</w:t>
      </w:r>
      <w:r>
        <w:rPr>
          <w:rFonts w:eastAsia="標楷體"/>
        </w:rPr>
        <w:t>因不可歸責於自己之事由，</w:t>
      </w:r>
      <w:r>
        <w:rPr>
          <w:rFonts w:eastAsia="標楷體" w:hint="eastAsia"/>
        </w:rPr>
        <w:t>例如，天災、事變、交通斷絕等項，</w:t>
      </w:r>
      <w:r>
        <w:rPr>
          <w:rFonts w:eastAsia="標楷體"/>
        </w:rPr>
        <w:t>致未依限申報者，得於事由終止後十五日內補報之</w:t>
      </w:r>
      <w:r>
        <w:rPr>
          <w:rFonts w:eastAsia="標楷體" w:hint="eastAsia"/>
        </w:rPr>
        <w:t>，</w:t>
      </w:r>
      <w:r>
        <w:rPr>
          <w:rFonts w:eastAsia="標楷體"/>
        </w:rPr>
        <w:t>但重整計劃已經關係人會議可決時，不</w:t>
      </w:r>
      <w:r>
        <w:rPr>
          <w:rFonts w:eastAsia="標楷體"/>
        </w:rPr>
        <w:t>得補報</w:t>
      </w:r>
      <w:r>
        <w:rPr>
          <w:rFonts w:eastAsia="標楷體" w:hint="eastAsia"/>
        </w:rPr>
        <w:t>（公</w:t>
      </w:r>
      <w:r>
        <w:rPr>
          <w:rFonts w:eastAsia="標楷體" w:hint="eastAsia"/>
        </w:rPr>
        <w:t>297</w:t>
      </w:r>
      <w:r>
        <w:rPr>
          <w:rFonts w:eastAsia="標楷體" w:hint="eastAsia"/>
        </w:rPr>
        <w:t>Ⅲ）</w:t>
      </w:r>
      <w:r>
        <w:rPr>
          <w:rFonts w:eastAsia="標楷體"/>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四</w:t>
      </w:r>
      <w:r>
        <w:rPr>
          <w:rFonts w:eastAsia="標楷體" w:hint="eastAsia"/>
          <w:b/>
          <w:bCs/>
          <w:sz w:val="28"/>
        </w:rPr>
        <w:t xml:space="preserve">) </w:t>
      </w:r>
      <w:r>
        <w:rPr>
          <w:rFonts w:eastAsia="標楷體" w:hint="eastAsia"/>
          <w:b/>
          <w:bCs/>
          <w:sz w:val="28"/>
        </w:rPr>
        <w:t>重整債權之審查</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重整監督人，於權利申報期間屆滿後，應依其初步審查之結果，分別製作優先重整債權人、有擔保重整債權人、無擔保重整債權人及股東清冊，載明權利之性質、金額及表決權數額，於</w:t>
      </w:r>
      <w:r>
        <w:rPr>
          <w:rFonts w:eastAsia="標楷體" w:hint="eastAsia"/>
        </w:rPr>
        <w:t>審查債權</w:t>
      </w:r>
      <w:r>
        <w:rPr>
          <w:rFonts w:eastAsia="標楷體"/>
        </w:rPr>
        <w:t>期日之三日前，聲報法院及備置於適當處所，並公告其開始備置日期及處所，以供重整債權人、股東及其他利害關係人查閱</w:t>
      </w:r>
      <w:r>
        <w:rPr>
          <w:rFonts w:eastAsia="標楷體" w:hint="eastAsia"/>
        </w:rPr>
        <w:t>（公</w:t>
      </w:r>
      <w:r>
        <w:rPr>
          <w:rFonts w:eastAsia="標楷體" w:hint="eastAsia"/>
        </w:rPr>
        <w:t>298</w:t>
      </w:r>
      <w:r>
        <w:rPr>
          <w:rFonts w:eastAsia="標楷體" w:hint="eastAsia"/>
        </w:rPr>
        <w:t>Ⅰ）</w:t>
      </w:r>
      <w:r>
        <w:rPr>
          <w:rFonts w:eastAsia="標楷體"/>
        </w:rPr>
        <w:t>。</w:t>
      </w:r>
      <w:r>
        <w:rPr>
          <w:rFonts w:eastAsia="標楷體" w:hint="eastAsia"/>
        </w:rPr>
        <w:t>關於</w:t>
      </w:r>
      <w:r>
        <w:rPr>
          <w:rFonts w:eastAsia="標楷體"/>
        </w:rPr>
        <w:t>重整債權人之表決權，</w:t>
      </w:r>
      <w:r>
        <w:rPr>
          <w:rFonts w:eastAsia="標楷體" w:hint="eastAsia"/>
        </w:rPr>
        <w:t>則</w:t>
      </w:r>
      <w:r>
        <w:rPr>
          <w:rFonts w:eastAsia="標楷體"/>
        </w:rPr>
        <w:t>以其債權之金額比例定之</w:t>
      </w:r>
      <w:r>
        <w:rPr>
          <w:rFonts w:eastAsia="標楷體" w:hint="eastAsia"/>
        </w:rPr>
        <w:t>（公</w:t>
      </w:r>
      <w:r>
        <w:rPr>
          <w:rFonts w:eastAsia="標楷體" w:hint="eastAsia"/>
        </w:rPr>
        <w:t>298</w:t>
      </w:r>
      <w:r>
        <w:rPr>
          <w:rFonts w:eastAsia="標楷體" w:hint="eastAsia"/>
        </w:rPr>
        <w:t>Ⅱ前）。</w:t>
      </w:r>
    </w:p>
    <w:p w:rsidR="00000000" w:rsidRDefault="00FD50C0">
      <w:pPr>
        <w:spacing w:after="180"/>
        <w:jc w:val="center"/>
        <w:rPr>
          <w:rFonts w:eastAsia="標楷體" w:hint="eastAsia"/>
          <w:b/>
          <w:bCs/>
          <w:sz w:val="32"/>
        </w:rPr>
      </w:pPr>
      <w:r>
        <w:rPr>
          <w:rFonts w:eastAsia="標楷體" w:hint="eastAsia"/>
          <w:b/>
          <w:bCs/>
          <w:sz w:val="32"/>
        </w:rPr>
        <w:t>七、重整債務</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重整債務之意義及種類</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公司在重整程序中所發生之債務費用，得不依重整程序而</w:t>
      </w:r>
      <w:r>
        <w:rPr>
          <w:rFonts w:eastAsia="標楷體" w:hint="eastAsia"/>
        </w:rPr>
        <w:t>優先於一切重整債權而受清償者，謂重整債務。</w:t>
      </w:r>
    </w:p>
    <w:p w:rsidR="00000000" w:rsidRDefault="00FD50C0">
      <w:pPr>
        <w:tabs>
          <w:tab w:val="left" w:pos="360"/>
        </w:tabs>
        <w:spacing w:afterLines="50"/>
        <w:jc w:val="both"/>
        <w:rPr>
          <w:rFonts w:eastAsia="標楷體" w:hint="eastAsia"/>
        </w:rPr>
      </w:pPr>
      <w:r>
        <w:rPr>
          <w:rFonts w:eastAsia="標楷體" w:hint="eastAsia"/>
        </w:rPr>
        <w:t>重整債務之種類如下（公</w:t>
      </w:r>
      <w:r>
        <w:rPr>
          <w:rFonts w:eastAsia="標楷體" w:hint="eastAsia"/>
        </w:rPr>
        <w:t>312</w:t>
      </w:r>
      <w:r>
        <w:rPr>
          <w:rFonts w:eastAsia="標楷體" w:hint="eastAsia"/>
        </w:rPr>
        <w:t>）：</w:t>
      </w:r>
    </w:p>
    <w:p w:rsidR="00000000" w:rsidRDefault="00FD50C0">
      <w:pPr>
        <w:numPr>
          <w:ilvl w:val="0"/>
          <w:numId w:val="13"/>
        </w:numPr>
        <w:spacing w:afterLines="50"/>
        <w:jc w:val="both"/>
        <w:rPr>
          <w:rFonts w:eastAsia="標楷體" w:hint="eastAsia"/>
        </w:rPr>
      </w:pPr>
      <w:r>
        <w:rPr>
          <w:rFonts w:eastAsia="標楷體"/>
        </w:rPr>
        <w:t>維持公司業務繼續營運所發生之債務</w:t>
      </w:r>
      <w:r>
        <w:rPr>
          <w:rFonts w:eastAsia="標楷體" w:hint="eastAsia"/>
        </w:rPr>
        <w:t>：例如重整人關於公司業務及財產向外借款，及其他行為所生之請求權。重整以後應繳納之稅捐，應屬於重整債務。惟發生在重整裁定前之稅捐，屬於重整債權。</w:t>
      </w:r>
    </w:p>
    <w:p w:rsidR="00000000" w:rsidRDefault="00FD50C0">
      <w:pPr>
        <w:numPr>
          <w:ilvl w:val="0"/>
          <w:numId w:val="13"/>
        </w:numPr>
        <w:spacing w:afterLines="50"/>
        <w:jc w:val="both"/>
        <w:rPr>
          <w:rFonts w:eastAsia="標楷體" w:hint="eastAsia"/>
        </w:rPr>
      </w:pPr>
      <w:r>
        <w:rPr>
          <w:rFonts w:eastAsia="標楷體"/>
        </w:rPr>
        <w:t>進行重整程序所發生之費用</w:t>
      </w:r>
      <w:r>
        <w:rPr>
          <w:rFonts w:eastAsia="標楷體" w:hint="eastAsia"/>
        </w:rPr>
        <w:t>：例如執行重整計劃之費用，重整人、重整監督人、檢查人之報酬及墊付金。</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重整債務之效力</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重整債務</w:t>
      </w:r>
      <w:r>
        <w:rPr>
          <w:rFonts w:eastAsia="標楷體"/>
        </w:rPr>
        <w:t>優先</w:t>
      </w:r>
      <w:r>
        <w:rPr>
          <w:rFonts w:eastAsia="標楷體" w:hint="eastAsia"/>
        </w:rPr>
        <w:t>於重整債權而為清償，且此等債權人優先</w:t>
      </w:r>
      <w:r>
        <w:rPr>
          <w:rFonts w:eastAsia="標楷體"/>
        </w:rPr>
        <w:t>受償權之效力，不因裁定終止重整而受影響</w:t>
      </w:r>
      <w:r>
        <w:rPr>
          <w:rFonts w:eastAsia="標楷體" w:hint="eastAsia"/>
        </w:rPr>
        <w:t>（公</w:t>
      </w:r>
      <w:r>
        <w:rPr>
          <w:rFonts w:eastAsia="標楷體" w:hint="eastAsia"/>
        </w:rPr>
        <w:t>312</w:t>
      </w:r>
      <w:r>
        <w:rPr>
          <w:rFonts w:eastAsia="標楷體" w:hint="eastAsia"/>
        </w:rPr>
        <w:t>Ⅱ）</w:t>
      </w:r>
      <w:r>
        <w:rPr>
          <w:rFonts w:eastAsia="標楷體"/>
        </w:rPr>
        <w:t>。</w:t>
      </w:r>
    </w:p>
    <w:p w:rsidR="00000000" w:rsidRDefault="00FD50C0">
      <w:pPr>
        <w:tabs>
          <w:tab w:val="left" w:pos="360"/>
        </w:tabs>
        <w:spacing w:afterLines="50"/>
        <w:jc w:val="both"/>
        <w:rPr>
          <w:rFonts w:eastAsia="標楷體" w:hint="eastAsia"/>
        </w:rPr>
      </w:pPr>
    </w:p>
    <w:p w:rsidR="00000000" w:rsidRDefault="00FD50C0">
      <w:pPr>
        <w:tabs>
          <w:tab w:val="left" w:pos="360"/>
        </w:tabs>
        <w:spacing w:afterLines="50"/>
        <w:jc w:val="both"/>
        <w:rPr>
          <w:rFonts w:eastAsia="標楷體" w:hint="eastAsia"/>
        </w:rPr>
      </w:pPr>
    </w:p>
    <w:p w:rsidR="00000000" w:rsidRDefault="00FD50C0">
      <w:pPr>
        <w:tabs>
          <w:tab w:val="left" w:pos="360"/>
        </w:tabs>
        <w:spacing w:afterLines="50"/>
        <w:jc w:val="both"/>
        <w:rPr>
          <w:rFonts w:eastAsia="標楷體" w:hint="eastAsia"/>
          <w:b/>
          <w:bCs/>
        </w:rPr>
      </w:pPr>
    </w:p>
    <w:p w:rsidR="00000000" w:rsidRDefault="00FD50C0">
      <w:pPr>
        <w:spacing w:after="180"/>
        <w:jc w:val="center"/>
        <w:rPr>
          <w:rFonts w:eastAsia="標楷體" w:hint="eastAsia"/>
          <w:b/>
          <w:bCs/>
          <w:sz w:val="32"/>
        </w:rPr>
      </w:pPr>
      <w:r>
        <w:rPr>
          <w:rFonts w:eastAsia="標楷體" w:hint="eastAsia"/>
          <w:b/>
          <w:bCs/>
          <w:sz w:val="32"/>
        </w:rPr>
        <w:t>八、關係人會議</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關</w:t>
      </w:r>
      <w:r>
        <w:rPr>
          <w:rFonts w:eastAsia="標楷體" w:hint="eastAsia"/>
          <w:b/>
          <w:bCs/>
          <w:sz w:val="28"/>
        </w:rPr>
        <w:t>係人會議之意義</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在公司重整程序中，由多數利害關係人，以決議方式作為全體意思，而參與重整工作之進行及重整計畫可否決議之會議。</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公司重整程序中，</w:t>
      </w:r>
      <w:r>
        <w:rPr>
          <w:rFonts w:eastAsia="標楷體"/>
        </w:rPr>
        <w:t>重整債權人及</w:t>
      </w:r>
      <w:r>
        <w:rPr>
          <w:rFonts w:eastAsia="標楷體" w:hint="eastAsia"/>
        </w:rPr>
        <w:t>公司</w:t>
      </w:r>
      <w:r>
        <w:rPr>
          <w:rFonts w:eastAsia="標楷體"/>
        </w:rPr>
        <w:t>股東</w:t>
      </w:r>
      <w:r>
        <w:rPr>
          <w:rFonts w:eastAsia="標楷體" w:hint="eastAsia"/>
        </w:rPr>
        <w:t>均</w:t>
      </w:r>
      <w:r>
        <w:rPr>
          <w:rFonts w:eastAsia="標楷體"/>
        </w:rPr>
        <w:t>為公司重整之關係人，出席關係人會議，因故不能出</w:t>
      </w:r>
      <w:r>
        <w:rPr>
          <w:rFonts w:eastAsia="標楷體" w:hint="eastAsia"/>
        </w:rPr>
        <w:t>席</w:t>
      </w:r>
      <w:r>
        <w:rPr>
          <w:rFonts w:eastAsia="標楷體"/>
        </w:rPr>
        <w:t>時，得委託他人代理出席</w:t>
      </w:r>
      <w:r>
        <w:rPr>
          <w:rFonts w:eastAsia="標楷體" w:hint="eastAsia"/>
        </w:rPr>
        <w:t>（公</w:t>
      </w:r>
      <w:r>
        <w:rPr>
          <w:rFonts w:eastAsia="標楷體" w:hint="eastAsia"/>
        </w:rPr>
        <w:t>300</w:t>
      </w:r>
      <w:r>
        <w:rPr>
          <w:rFonts w:eastAsia="標楷體" w:hint="eastAsia"/>
        </w:rPr>
        <w:t>Ⅰ）</w:t>
      </w:r>
      <w:r>
        <w:rPr>
          <w:rFonts w:eastAsia="標楷體"/>
        </w:rPr>
        <w:t>。</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關係人會議之任務</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關係人會議之任務如</w:t>
      </w:r>
      <w:r>
        <w:rPr>
          <w:rFonts w:eastAsia="標楷體" w:hint="eastAsia"/>
        </w:rPr>
        <w:t>下（公</w:t>
      </w:r>
      <w:r>
        <w:rPr>
          <w:rFonts w:eastAsia="標楷體" w:hint="eastAsia"/>
        </w:rPr>
        <w:t>301</w:t>
      </w:r>
      <w:r>
        <w:rPr>
          <w:rFonts w:eastAsia="標楷體" w:hint="eastAsia"/>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t xml:space="preserve">1. </w:t>
      </w:r>
      <w:r>
        <w:rPr>
          <w:rFonts w:eastAsia="標楷體" w:hint="eastAsia"/>
        </w:rPr>
        <w:t>聽</w:t>
      </w:r>
      <w:r>
        <w:rPr>
          <w:rFonts w:eastAsia="標楷體"/>
        </w:rPr>
        <w:t>取關於公司業務與財務狀況之報告及對於公司重整之意見。</w:t>
      </w:r>
    </w:p>
    <w:p w:rsidR="00000000" w:rsidRDefault="00FD50C0">
      <w:pPr>
        <w:tabs>
          <w:tab w:val="left" w:pos="360"/>
        </w:tabs>
        <w:spacing w:afterLines="50"/>
        <w:ind w:left="360"/>
        <w:jc w:val="both"/>
        <w:rPr>
          <w:rFonts w:eastAsia="標楷體" w:hint="eastAsia"/>
        </w:rPr>
      </w:pPr>
      <w:r>
        <w:rPr>
          <w:rFonts w:eastAsia="標楷體" w:hint="eastAsia"/>
        </w:rPr>
        <w:tab/>
        <w:t xml:space="preserve">2. </w:t>
      </w:r>
      <w:r>
        <w:rPr>
          <w:rFonts w:eastAsia="標楷體"/>
        </w:rPr>
        <w:t>審議及表決重整計劃。</w:t>
      </w:r>
    </w:p>
    <w:p w:rsidR="00000000" w:rsidRDefault="00FD50C0">
      <w:pPr>
        <w:tabs>
          <w:tab w:val="left" w:pos="360"/>
        </w:tabs>
        <w:spacing w:afterLines="50"/>
        <w:ind w:left="360"/>
        <w:jc w:val="both"/>
        <w:rPr>
          <w:rFonts w:eastAsia="標楷體" w:hint="eastAsia"/>
        </w:rPr>
      </w:pPr>
      <w:r>
        <w:rPr>
          <w:rFonts w:eastAsia="標楷體" w:hint="eastAsia"/>
        </w:rPr>
        <w:tab/>
        <w:t xml:space="preserve">3. </w:t>
      </w:r>
      <w:r>
        <w:rPr>
          <w:rFonts w:eastAsia="標楷體"/>
        </w:rPr>
        <w:t>決議其他有關重整之事項。</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三</w:t>
      </w:r>
      <w:r>
        <w:rPr>
          <w:rFonts w:eastAsia="標楷體" w:hint="eastAsia"/>
          <w:b/>
          <w:bCs/>
          <w:sz w:val="28"/>
        </w:rPr>
        <w:t xml:space="preserve">) </w:t>
      </w:r>
      <w:r>
        <w:rPr>
          <w:rFonts w:eastAsia="標楷體" w:hint="eastAsia"/>
          <w:b/>
          <w:bCs/>
          <w:sz w:val="28"/>
        </w:rPr>
        <w:t>關係人會議之召集</w:t>
      </w:r>
    </w:p>
    <w:p w:rsidR="00000000" w:rsidRDefault="00FD50C0">
      <w:pPr>
        <w:numPr>
          <w:ilvl w:val="0"/>
          <w:numId w:val="14"/>
        </w:numPr>
        <w:tabs>
          <w:tab w:val="left" w:pos="360"/>
        </w:tabs>
        <w:spacing w:afterLines="50"/>
        <w:jc w:val="both"/>
        <w:rPr>
          <w:rFonts w:eastAsia="標楷體" w:hint="eastAsia"/>
        </w:rPr>
      </w:pPr>
      <w:r>
        <w:rPr>
          <w:rFonts w:eastAsia="標楷體" w:hint="eastAsia"/>
        </w:rPr>
        <w:t>第一次之召集：第一次關係人會議期</w:t>
      </w:r>
      <w:r>
        <w:rPr>
          <w:rFonts w:eastAsia="標楷體" w:hint="eastAsia"/>
        </w:rPr>
        <w:t>日及場所，由法院為重整裁定時決定之。其期日應在債權及股東權申報期滿後三十日內，並應公告之（公</w:t>
      </w:r>
      <w:r>
        <w:rPr>
          <w:rFonts w:eastAsia="標楷體" w:hint="eastAsia"/>
        </w:rPr>
        <w:t>291</w:t>
      </w:r>
      <w:r>
        <w:rPr>
          <w:rFonts w:eastAsia="標楷體" w:hint="eastAsia"/>
        </w:rPr>
        <w:t>Ⅰ）。對於已知之債權人及股東，則仍應以書面送達之（</w:t>
      </w:r>
      <w:r>
        <w:rPr>
          <w:rFonts w:eastAsia="標楷體" w:hint="eastAsia"/>
        </w:rPr>
        <w:t>291</w:t>
      </w:r>
      <w:r>
        <w:rPr>
          <w:rFonts w:eastAsia="標楷體" w:hint="eastAsia"/>
        </w:rPr>
        <w:t>Ⅱ）。</w:t>
      </w:r>
    </w:p>
    <w:p w:rsidR="00000000" w:rsidRDefault="00FD50C0">
      <w:pPr>
        <w:numPr>
          <w:ilvl w:val="0"/>
          <w:numId w:val="14"/>
        </w:numPr>
        <w:tabs>
          <w:tab w:val="left" w:pos="360"/>
        </w:tabs>
        <w:spacing w:afterLines="50"/>
        <w:jc w:val="both"/>
        <w:rPr>
          <w:rFonts w:eastAsia="標楷體" w:hint="eastAsia"/>
        </w:rPr>
      </w:pPr>
      <w:r>
        <w:rPr>
          <w:rFonts w:eastAsia="標楷體" w:hint="eastAsia"/>
        </w:rPr>
        <w:t>第一次以外之召集：第一次以外之關係人會議，由重整監督人召集，召集會議時，應於五日前訂明會議事由，以通知及公告為之。一次集會未能結束，經重整監督人當場宣告連續或展期舉行者，得免通知及公告（公</w:t>
      </w:r>
      <w:r>
        <w:rPr>
          <w:rFonts w:eastAsia="標楷體" w:hint="eastAsia"/>
        </w:rPr>
        <w:t>300</w:t>
      </w:r>
      <w:r>
        <w:rPr>
          <w:rFonts w:eastAsia="標楷體" w:hint="eastAsia"/>
        </w:rPr>
        <w:t>Ⅲ）。</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四</w:t>
      </w:r>
      <w:r>
        <w:rPr>
          <w:rFonts w:eastAsia="標楷體" w:hint="eastAsia"/>
          <w:b/>
          <w:bCs/>
          <w:sz w:val="28"/>
        </w:rPr>
        <w:t xml:space="preserve">) </w:t>
      </w:r>
      <w:r>
        <w:rPr>
          <w:rFonts w:eastAsia="標楷體" w:hint="eastAsia"/>
          <w:b/>
          <w:bCs/>
          <w:sz w:val="28"/>
        </w:rPr>
        <w:t>關係人會議之表決權</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關</w:t>
      </w:r>
      <w:r>
        <w:rPr>
          <w:rFonts w:eastAsia="標楷體"/>
        </w:rPr>
        <w:t>係人會議</w:t>
      </w:r>
      <w:r>
        <w:rPr>
          <w:rFonts w:eastAsia="標楷體" w:hint="eastAsia"/>
        </w:rPr>
        <w:t>之表決權，係依其權利性質</w:t>
      </w:r>
      <w:r>
        <w:rPr>
          <w:rFonts w:eastAsia="標楷體"/>
        </w:rPr>
        <w:t>分組行使其表決權</w:t>
      </w:r>
      <w:r>
        <w:rPr>
          <w:rFonts w:eastAsia="標楷體" w:hint="eastAsia"/>
        </w:rPr>
        <w:t>（公</w:t>
      </w:r>
      <w:r>
        <w:rPr>
          <w:rFonts w:eastAsia="標楷體" w:hint="eastAsia"/>
        </w:rPr>
        <w:t>302</w:t>
      </w:r>
      <w:r>
        <w:rPr>
          <w:rFonts w:eastAsia="標楷體" w:hint="eastAsia"/>
        </w:rPr>
        <w:t>Ⅰ前），即可為優先債權人組、</w:t>
      </w:r>
      <w:r>
        <w:rPr>
          <w:rFonts w:eastAsia="標楷體"/>
        </w:rPr>
        <w:t>有擔保債權人、無擔保債權人</w:t>
      </w:r>
      <w:r>
        <w:rPr>
          <w:rFonts w:eastAsia="標楷體" w:hint="eastAsia"/>
        </w:rPr>
        <w:t>組</w:t>
      </w:r>
      <w:r>
        <w:rPr>
          <w:rFonts w:eastAsia="標楷體" w:hint="eastAsia"/>
        </w:rPr>
        <w:t>，以上係自重整債權而分者</w:t>
      </w:r>
      <w:r>
        <w:rPr>
          <w:rFonts w:eastAsia="標楷體"/>
        </w:rPr>
        <w:t>。</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重整債權人之表決權，以其債權之金額比例定之</w:t>
      </w:r>
      <w:r>
        <w:rPr>
          <w:rFonts w:eastAsia="標楷體" w:hint="eastAsia"/>
        </w:rPr>
        <w:t>，</w:t>
      </w:r>
      <w:r>
        <w:rPr>
          <w:rFonts w:eastAsia="標楷體"/>
        </w:rPr>
        <w:t>股東表決權依公司章程之規定</w:t>
      </w:r>
      <w:r>
        <w:rPr>
          <w:rFonts w:eastAsia="標楷體" w:hint="eastAsia"/>
        </w:rPr>
        <w:t>（公</w:t>
      </w:r>
      <w:r>
        <w:rPr>
          <w:rFonts w:eastAsia="標楷體" w:hint="eastAsia"/>
        </w:rPr>
        <w:t>298</w:t>
      </w:r>
      <w:r>
        <w:rPr>
          <w:rFonts w:eastAsia="標楷體" w:hint="eastAsia"/>
        </w:rPr>
        <w:t>Ⅱ）。</w:t>
      </w:r>
    </w:p>
    <w:p w:rsidR="00000000" w:rsidRDefault="00FD50C0">
      <w:pPr>
        <w:tabs>
          <w:tab w:val="left" w:pos="360"/>
        </w:tabs>
        <w:spacing w:afterLines="50"/>
        <w:ind w:left="360"/>
        <w:jc w:val="both"/>
        <w:rPr>
          <w:rFonts w:eastAsia="標楷體" w:hint="eastAsia"/>
        </w:rPr>
      </w:pPr>
      <w:r>
        <w:rPr>
          <w:rFonts w:eastAsia="標楷體" w:hint="eastAsia"/>
        </w:rPr>
        <w:tab/>
      </w:r>
      <w:r>
        <w:rPr>
          <w:rFonts w:eastAsia="標楷體" w:hint="eastAsia"/>
        </w:rPr>
        <w:t>惟</w:t>
      </w:r>
      <w:r>
        <w:rPr>
          <w:rFonts w:eastAsia="標楷體"/>
        </w:rPr>
        <w:t>公司無資本淨值時，股東組不得行使表決權</w:t>
      </w:r>
      <w:r>
        <w:rPr>
          <w:rFonts w:eastAsia="標楷體" w:hint="eastAsia"/>
        </w:rPr>
        <w:t>（公</w:t>
      </w:r>
      <w:r>
        <w:rPr>
          <w:rFonts w:eastAsia="標楷體" w:hint="eastAsia"/>
        </w:rPr>
        <w:t>302</w:t>
      </w:r>
      <w:r>
        <w:rPr>
          <w:rFonts w:eastAsia="標楷體" w:hint="eastAsia"/>
        </w:rPr>
        <w:t>Ⅱ）。</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五</w:t>
      </w:r>
      <w:r>
        <w:rPr>
          <w:rFonts w:eastAsia="標楷體" w:hint="eastAsia"/>
          <w:b/>
          <w:bCs/>
          <w:sz w:val="28"/>
        </w:rPr>
        <w:t xml:space="preserve">) </w:t>
      </w:r>
      <w:r>
        <w:rPr>
          <w:rFonts w:eastAsia="標楷體" w:hint="eastAsia"/>
          <w:b/>
          <w:bCs/>
          <w:sz w:val="28"/>
        </w:rPr>
        <w:t>關係人會議之決議方式</w:t>
      </w:r>
    </w:p>
    <w:p w:rsidR="00000000" w:rsidRDefault="00FD50C0">
      <w:pPr>
        <w:numPr>
          <w:ilvl w:val="0"/>
          <w:numId w:val="15"/>
        </w:numPr>
        <w:tabs>
          <w:tab w:val="left" w:pos="360"/>
        </w:tabs>
        <w:spacing w:afterLines="50"/>
        <w:jc w:val="both"/>
        <w:rPr>
          <w:rFonts w:eastAsia="標楷體" w:hint="eastAsia"/>
        </w:rPr>
      </w:pPr>
      <w:r>
        <w:rPr>
          <w:rFonts w:eastAsia="標楷體" w:hint="eastAsia"/>
        </w:rPr>
        <w:tab/>
      </w:r>
      <w:r>
        <w:rPr>
          <w:rFonts w:eastAsia="標楷體"/>
        </w:rPr>
        <w:t>以經各組表決權總額二分之一以上之同意行之</w:t>
      </w:r>
      <w:r>
        <w:rPr>
          <w:rFonts w:eastAsia="標楷體" w:hint="eastAsia"/>
        </w:rPr>
        <w:t>（公</w:t>
      </w:r>
      <w:r>
        <w:rPr>
          <w:rFonts w:eastAsia="標楷體" w:hint="eastAsia"/>
        </w:rPr>
        <w:t>302</w:t>
      </w:r>
      <w:r>
        <w:rPr>
          <w:rFonts w:eastAsia="標楷體" w:hint="eastAsia"/>
        </w:rPr>
        <w:t>Ⅰ）。至於另選重整人之決議，須有二組以上主張另行選定重整人時，得提出候選人名單聲請法院選派之（公</w:t>
      </w:r>
      <w:r>
        <w:rPr>
          <w:rFonts w:eastAsia="標楷體" w:hint="eastAsia"/>
        </w:rPr>
        <w:t>290</w:t>
      </w:r>
      <w:r>
        <w:rPr>
          <w:rFonts w:eastAsia="標楷體" w:hint="eastAsia"/>
        </w:rPr>
        <w:t>Ⅱ）。</w:t>
      </w:r>
    </w:p>
    <w:p w:rsidR="00000000" w:rsidRDefault="00FD50C0">
      <w:pPr>
        <w:spacing w:after="180"/>
        <w:jc w:val="center"/>
        <w:rPr>
          <w:rFonts w:eastAsia="標楷體" w:hint="eastAsia"/>
          <w:b/>
          <w:bCs/>
          <w:sz w:val="32"/>
        </w:rPr>
      </w:pPr>
      <w:r>
        <w:rPr>
          <w:rFonts w:eastAsia="標楷體" w:hint="eastAsia"/>
          <w:b/>
          <w:bCs/>
          <w:sz w:val="32"/>
        </w:rPr>
        <w:t>九、重整計畫</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重整計畫之擬訂與提出</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重整計劃之擬訂，專屬於重整人（公</w:t>
      </w:r>
      <w:r>
        <w:rPr>
          <w:rFonts w:eastAsia="標楷體" w:hint="eastAsia"/>
        </w:rPr>
        <w:t>303</w:t>
      </w:r>
      <w:r>
        <w:rPr>
          <w:rFonts w:eastAsia="標楷體" w:hint="eastAsia"/>
        </w:rPr>
        <w:t>Ⅰ前）。其他利害關係人，自無妨向重整人陳述關於重整計劃</w:t>
      </w:r>
      <w:r>
        <w:rPr>
          <w:rFonts w:eastAsia="標楷體" w:hint="eastAsia"/>
        </w:rPr>
        <w:t>之意見，但不得逕行擬訂重整計劃。重整人擬訂重整計劃，除須合法外，應以公平而切實可行為原則。重整人擬訂重整計劃，應連同公司業務及財務報表，提請第一次關係人會議審查（公</w:t>
      </w:r>
      <w:r>
        <w:rPr>
          <w:rFonts w:eastAsia="標楷體" w:hint="eastAsia"/>
        </w:rPr>
        <w:t>303</w:t>
      </w:r>
      <w:r>
        <w:rPr>
          <w:rFonts w:eastAsia="標楷體" w:hint="eastAsia"/>
        </w:rPr>
        <w:t>Ⅰ）。重整人如經法院另行選定者，重整計劃應由新任重整人於一個月內提出之（公</w:t>
      </w:r>
      <w:r>
        <w:rPr>
          <w:rFonts w:eastAsia="標楷體" w:hint="eastAsia"/>
        </w:rPr>
        <w:t>303</w:t>
      </w:r>
      <w:r>
        <w:rPr>
          <w:rFonts w:eastAsia="標楷體" w:hint="eastAsia"/>
        </w:rPr>
        <w:t>Ⅱ）。</w:t>
      </w:r>
    </w:p>
    <w:p w:rsidR="00000000" w:rsidRDefault="00FD50C0">
      <w:pPr>
        <w:tabs>
          <w:tab w:val="left" w:pos="360"/>
        </w:tabs>
        <w:spacing w:afterLines="50"/>
        <w:jc w:val="both"/>
        <w:rPr>
          <w:rFonts w:eastAsia="標楷體" w:hint="eastAsia"/>
          <w:b/>
          <w:bCs/>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重整計畫之內容</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rPr>
        <w:t>公司重整如有</w:t>
      </w:r>
      <w:r>
        <w:rPr>
          <w:rFonts w:eastAsia="標楷體" w:hint="eastAsia"/>
        </w:rPr>
        <w:t>下</w:t>
      </w:r>
      <w:r>
        <w:rPr>
          <w:rFonts w:eastAsia="標楷體"/>
        </w:rPr>
        <w:t>列事項，應訂明於重整計畫</w:t>
      </w:r>
      <w:r>
        <w:rPr>
          <w:rFonts w:eastAsia="標楷體" w:hint="eastAsia"/>
        </w:rPr>
        <w:t>，而重整計畫訂明執行期限，但不得超過一年（公</w:t>
      </w:r>
      <w:r>
        <w:rPr>
          <w:rFonts w:eastAsia="標楷體" w:hint="eastAsia"/>
        </w:rPr>
        <w:t>304</w:t>
      </w:r>
      <w:r>
        <w:rPr>
          <w:rFonts w:eastAsia="標楷體" w:hint="eastAsia"/>
        </w:rPr>
        <w:t>）</w:t>
      </w:r>
      <w:r>
        <w:rPr>
          <w:rFonts w:eastAsia="標楷體"/>
        </w:rPr>
        <w:t>：</w:t>
      </w:r>
    </w:p>
    <w:p w:rsidR="00000000" w:rsidRDefault="00FD50C0">
      <w:pPr>
        <w:numPr>
          <w:ilvl w:val="0"/>
          <w:numId w:val="16"/>
        </w:numPr>
        <w:spacing w:afterLines="50"/>
        <w:jc w:val="both"/>
        <w:rPr>
          <w:rFonts w:eastAsia="標楷體" w:hint="eastAsia"/>
        </w:rPr>
      </w:pPr>
      <w:r>
        <w:rPr>
          <w:rFonts w:eastAsia="標楷體"/>
        </w:rPr>
        <w:t>全部或一部重整債權人或股東權利之變更。</w:t>
      </w:r>
    </w:p>
    <w:p w:rsidR="00000000" w:rsidRDefault="00FD50C0">
      <w:pPr>
        <w:numPr>
          <w:ilvl w:val="0"/>
          <w:numId w:val="16"/>
        </w:numPr>
        <w:spacing w:afterLines="50"/>
        <w:jc w:val="both"/>
        <w:rPr>
          <w:rFonts w:eastAsia="標楷體" w:hint="eastAsia"/>
        </w:rPr>
      </w:pPr>
      <w:r>
        <w:rPr>
          <w:rFonts w:eastAsia="標楷體"/>
        </w:rPr>
        <w:t>全部或一部營業之變更。</w:t>
      </w:r>
    </w:p>
    <w:p w:rsidR="00000000" w:rsidRDefault="00FD50C0">
      <w:pPr>
        <w:numPr>
          <w:ilvl w:val="0"/>
          <w:numId w:val="16"/>
        </w:numPr>
        <w:spacing w:afterLines="50"/>
        <w:jc w:val="both"/>
        <w:rPr>
          <w:rFonts w:eastAsia="標楷體" w:hint="eastAsia"/>
        </w:rPr>
      </w:pPr>
      <w:r>
        <w:rPr>
          <w:rFonts w:eastAsia="標楷體"/>
        </w:rPr>
        <w:t>財產之處分。</w:t>
      </w:r>
    </w:p>
    <w:p w:rsidR="00000000" w:rsidRDefault="00FD50C0">
      <w:pPr>
        <w:numPr>
          <w:ilvl w:val="0"/>
          <w:numId w:val="16"/>
        </w:numPr>
        <w:spacing w:afterLines="50"/>
        <w:jc w:val="both"/>
        <w:rPr>
          <w:rFonts w:eastAsia="標楷體" w:hint="eastAsia"/>
        </w:rPr>
      </w:pPr>
      <w:r>
        <w:rPr>
          <w:rFonts w:eastAsia="標楷體"/>
        </w:rPr>
        <w:t>債務清償方法及其資金來源。</w:t>
      </w:r>
    </w:p>
    <w:p w:rsidR="00000000" w:rsidRDefault="00FD50C0">
      <w:pPr>
        <w:numPr>
          <w:ilvl w:val="0"/>
          <w:numId w:val="16"/>
        </w:numPr>
        <w:spacing w:afterLines="50"/>
        <w:jc w:val="both"/>
        <w:rPr>
          <w:rFonts w:eastAsia="標楷體" w:hint="eastAsia"/>
        </w:rPr>
      </w:pPr>
      <w:r>
        <w:rPr>
          <w:rFonts w:eastAsia="標楷體"/>
        </w:rPr>
        <w:t>公司資產之估價標準及方法。</w:t>
      </w:r>
    </w:p>
    <w:p w:rsidR="00000000" w:rsidRDefault="00FD50C0">
      <w:pPr>
        <w:numPr>
          <w:ilvl w:val="0"/>
          <w:numId w:val="16"/>
        </w:numPr>
        <w:spacing w:afterLines="50"/>
        <w:jc w:val="both"/>
        <w:rPr>
          <w:rFonts w:eastAsia="標楷體" w:hint="eastAsia"/>
        </w:rPr>
      </w:pPr>
      <w:r>
        <w:rPr>
          <w:rFonts w:eastAsia="標楷體"/>
        </w:rPr>
        <w:t>章程之變更。</w:t>
      </w:r>
    </w:p>
    <w:p w:rsidR="00000000" w:rsidRDefault="00FD50C0">
      <w:pPr>
        <w:numPr>
          <w:ilvl w:val="0"/>
          <w:numId w:val="16"/>
        </w:numPr>
        <w:spacing w:afterLines="50"/>
        <w:jc w:val="both"/>
        <w:rPr>
          <w:rFonts w:eastAsia="標楷體" w:hint="eastAsia"/>
        </w:rPr>
      </w:pPr>
      <w:r>
        <w:rPr>
          <w:rFonts w:eastAsia="標楷體"/>
        </w:rPr>
        <w:t>員工之調整或裁減。</w:t>
      </w:r>
    </w:p>
    <w:p w:rsidR="00000000" w:rsidRDefault="00FD50C0">
      <w:pPr>
        <w:numPr>
          <w:ilvl w:val="0"/>
          <w:numId w:val="16"/>
        </w:numPr>
        <w:spacing w:afterLines="50"/>
        <w:jc w:val="both"/>
        <w:rPr>
          <w:rFonts w:eastAsia="標楷體" w:hint="eastAsia"/>
        </w:rPr>
      </w:pPr>
      <w:r>
        <w:rPr>
          <w:rFonts w:eastAsia="標楷體"/>
        </w:rPr>
        <w:t>新股或公司債之發行。</w:t>
      </w:r>
    </w:p>
    <w:p w:rsidR="00000000" w:rsidRDefault="00FD50C0">
      <w:pPr>
        <w:numPr>
          <w:ilvl w:val="0"/>
          <w:numId w:val="16"/>
        </w:numPr>
        <w:spacing w:afterLines="50"/>
        <w:jc w:val="both"/>
        <w:rPr>
          <w:rFonts w:eastAsia="標楷體" w:hint="eastAsia"/>
        </w:rPr>
      </w:pPr>
      <w:r>
        <w:rPr>
          <w:rFonts w:eastAsia="標楷體"/>
        </w:rPr>
        <w:t>其他必要事項。</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三</w:t>
      </w:r>
      <w:r>
        <w:rPr>
          <w:rFonts w:eastAsia="標楷體" w:hint="eastAsia"/>
          <w:b/>
          <w:bCs/>
          <w:sz w:val="28"/>
        </w:rPr>
        <w:t xml:space="preserve">) </w:t>
      </w:r>
      <w:r>
        <w:rPr>
          <w:rFonts w:eastAsia="標楷體" w:hint="eastAsia"/>
          <w:b/>
          <w:bCs/>
          <w:sz w:val="28"/>
        </w:rPr>
        <w:t>重整計畫之可決與再審查</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重整計劃之可決應於關係人會議，以各組表決權總額二分之一以上之同意行之（公</w:t>
      </w:r>
      <w:r>
        <w:rPr>
          <w:rFonts w:eastAsia="標楷體" w:hint="eastAsia"/>
        </w:rPr>
        <w:t>302</w:t>
      </w:r>
      <w:r>
        <w:rPr>
          <w:rFonts w:eastAsia="標楷體" w:hint="eastAsia"/>
        </w:rPr>
        <w:t>Ⅰ）。公司無資本淨值時，股東組不得行使表決權（公</w:t>
      </w:r>
      <w:r>
        <w:rPr>
          <w:rFonts w:eastAsia="標楷體" w:hint="eastAsia"/>
        </w:rPr>
        <w:t>302</w:t>
      </w:r>
      <w:r>
        <w:rPr>
          <w:rFonts w:eastAsia="標楷體" w:hint="eastAsia"/>
        </w:rPr>
        <w:t>Ⅱ）。重整計劃如未得關係人會議有表決權各組之可決時，重整監督人應即報告法院。法院徵詢主管機關、目的事業中央主管機關及證券管理機關之意見後，得依公正合理之原則指示變更方針，命關係人會議在一個月內再予審查（公</w:t>
      </w:r>
      <w:r>
        <w:rPr>
          <w:rFonts w:eastAsia="標楷體" w:hint="eastAsia"/>
        </w:rPr>
        <w:t>306</w:t>
      </w:r>
      <w:r>
        <w:rPr>
          <w:rFonts w:eastAsia="標楷體" w:hint="eastAsia"/>
        </w:rPr>
        <w:t>Ⅰ、</w:t>
      </w:r>
      <w:r>
        <w:rPr>
          <w:rFonts w:eastAsia="標楷體" w:hint="eastAsia"/>
        </w:rPr>
        <w:t>307</w:t>
      </w:r>
      <w:r>
        <w:rPr>
          <w:rFonts w:eastAsia="標楷體" w:hint="eastAsia"/>
        </w:rPr>
        <w:t>Ⅰ）。重整計劃經法院指示變更再予審查，仍未獲關係人</w:t>
      </w:r>
      <w:r>
        <w:rPr>
          <w:rFonts w:eastAsia="標楷體" w:hint="eastAsia"/>
        </w:rPr>
        <w:t>會議可決時，應裁定終止重整（公</w:t>
      </w:r>
      <w:r>
        <w:rPr>
          <w:rFonts w:eastAsia="標楷體" w:hint="eastAsia"/>
        </w:rPr>
        <w:t>306</w:t>
      </w:r>
      <w:r>
        <w:rPr>
          <w:rFonts w:eastAsia="標楷體" w:hint="eastAsia"/>
        </w:rPr>
        <w:t>Ⅱ前）。</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四</w:t>
      </w:r>
      <w:r>
        <w:rPr>
          <w:rFonts w:eastAsia="標楷體" w:hint="eastAsia"/>
          <w:b/>
          <w:bCs/>
          <w:sz w:val="28"/>
        </w:rPr>
        <w:t xml:space="preserve">) </w:t>
      </w:r>
      <w:r>
        <w:rPr>
          <w:rFonts w:eastAsia="標楷體" w:hint="eastAsia"/>
          <w:b/>
          <w:bCs/>
          <w:sz w:val="28"/>
        </w:rPr>
        <w:t>重整計畫認可</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重整計劃經關係人可決者，重整人應聲請法院裁定認可後執行之。其經認可者，並報請中央主管機關備查（公</w:t>
      </w:r>
      <w:r>
        <w:rPr>
          <w:rFonts w:eastAsia="標楷體" w:hint="eastAsia"/>
        </w:rPr>
        <w:t>305</w:t>
      </w:r>
      <w:r>
        <w:rPr>
          <w:rFonts w:eastAsia="標楷體" w:hint="eastAsia"/>
        </w:rPr>
        <w:t>Ⅰ）。法院據重整人聲請後，應就重整計劃之內容是否適法、公平、有無執行之可能，及關係人會議之召開與重整計劃之決議方法是否合法，加以審查，並徵詢主管機關、目的事業中央主管機關及證券管理機關之意見後，而為認可與否之裁定（公</w:t>
      </w:r>
      <w:r>
        <w:rPr>
          <w:rFonts w:eastAsia="標楷體" w:hint="eastAsia"/>
        </w:rPr>
        <w:t>307</w:t>
      </w:r>
      <w:r>
        <w:rPr>
          <w:rFonts w:eastAsia="標楷體" w:hint="eastAsia"/>
        </w:rPr>
        <w:t>Ⅰ）。重整計劃未得關係人會議有表決權各組之可決時，重整監督人應即報告法院，法院得依公正合理之原則，指示計劃變更方針，</w:t>
      </w:r>
      <w:r>
        <w:rPr>
          <w:rFonts w:eastAsia="標楷體" w:hint="eastAsia"/>
        </w:rPr>
        <w:t>命關係人會議在一個月內再審查（公</w:t>
      </w:r>
      <w:r>
        <w:rPr>
          <w:rFonts w:eastAsia="標楷體" w:hint="eastAsia"/>
        </w:rPr>
        <w:t>306</w:t>
      </w:r>
      <w:r>
        <w:rPr>
          <w:rFonts w:eastAsia="標楷體" w:hint="eastAsia"/>
        </w:rPr>
        <w:t>Ⅰ），仍未獲可決時，如公司確有重整之價值者，法院經徵詢中央主管機關、目的事業中央主管機關及證券管理機關之意見後（公</w:t>
      </w:r>
      <w:r>
        <w:rPr>
          <w:rFonts w:eastAsia="標楷體" w:hint="eastAsia"/>
        </w:rPr>
        <w:t>306</w:t>
      </w:r>
      <w:r>
        <w:rPr>
          <w:rFonts w:eastAsia="標楷體" w:hint="eastAsia"/>
        </w:rPr>
        <w:t>Ⅰ），就其不同之組，得以下列方法之</w:t>
      </w:r>
    </w:p>
    <w:p w:rsidR="00000000" w:rsidRDefault="00FD50C0">
      <w:pPr>
        <w:tabs>
          <w:tab w:val="left" w:pos="360"/>
        </w:tabs>
        <w:spacing w:afterLines="50"/>
        <w:jc w:val="both"/>
        <w:rPr>
          <w:rFonts w:eastAsia="標楷體" w:hint="eastAsia"/>
        </w:rPr>
      </w:pPr>
      <w:r>
        <w:rPr>
          <w:rFonts w:eastAsia="標楷體" w:hint="eastAsia"/>
        </w:rPr>
        <w:t xml:space="preserve">  </w:t>
      </w:r>
    </w:p>
    <w:p w:rsidR="00000000" w:rsidRDefault="00FD50C0">
      <w:pPr>
        <w:tabs>
          <w:tab w:val="left" w:pos="360"/>
        </w:tabs>
        <w:spacing w:afterLines="50"/>
        <w:jc w:val="both"/>
        <w:rPr>
          <w:rFonts w:eastAsia="標楷體" w:hint="eastAsia"/>
        </w:rPr>
      </w:pPr>
      <w:r>
        <w:rPr>
          <w:rFonts w:eastAsia="標楷體" w:hint="eastAsia"/>
        </w:rPr>
        <w:t xml:space="preserve">    1. </w:t>
      </w:r>
      <w:r>
        <w:rPr>
          <w:rFonts w:eastAsia="標楷體" w:hint="eastAsia"/>
        </w:rPr>
        <w:t>修正重整計劃裁定認可之（公</w:t>
      </w:r>
      <w:r>
        <w:rPr>
          <w:rFonts w:eastAsia="標楷體" w:hint="eastAsia"/>
        </w:rPr>
        <w:t>306</w:t>
      </w:r>
      <w:r>
        <w:rPr>
          <w:rFonts w:eastAsia="標楷體" w:hint="eastAsia"/>
        </w:rPr>
        <w:t>Ⅱ）：</w:t>
      </w:r>
    </w:p>
    <w:p w:rsidR="00000000" w:rsidRDefault="00FD50C0">
      <w:pPr>
        <w:spacing w:afterLines="50"/>
        <w:ind w:leftChars="325" w:left="1020" w:hangingChars="100" w:hanging="240"/>
        <w:jc w:val="both"/>
        <w:rPr>
          <w:rFonts w:eastAsia="標楷體" w:hint="eastAsia"/>
        </w:rPr>
      </w:pPr>
      <w:r>
        <w:rPr>
          <w:rFonts w:eastAsia="標楷體" w:hint="eastAsia"/>
        </w:rPr>
        <w:t>(1)</w:t>
      </w:r>
      <w:r>
        <w:rPr>
          <w:rFonts w:eastAsia="標楷體" w:hint="eastAsia"/>
        </w:rPr>
        <w:t>有擔保重整債權人之擔保財產，隨同債權移轉於重整後之公司，其權利仍存續不變。</w:t>
      </w:r>
    </w:p>
    <w:p w:rsidR="00000000" w:rsidRDefault="00FD50C0">
      <w:pPr>
        <w:spacing w:afterLines="50"/>
        <w:ind w:leftChars="325" w:left="1020" w:hangingChars="100" w:hanging="240"/>
        <w:jc w:val="both"/>
        <w:rPr>
          <w:rFonts w:eastAsia="標楷體" w:hint="eastAsia"/>
        </w:rPr>
      </w:pPr>
      <w:r>
        <w:rPr>
          <w:rFonts w:eastAsia="標楷體" w:hint="eastAsia"/>
        </w:rPr>
        <w:t>(2)</w:t>
      </w:r>
      <w:r>
        <w:rPr>
          <w:rFonts w:eastAsia="標楷體" w:hint="eastAsia"/>
        </w:rPr>
        <w:t>有擔保重整債權人，對於擔保之財產，無擔保重整債權人，對於可充清償其債權之財產，股東對於可充分派之剩餘財產，均得分別依公正交易價額，各按應得之份，處分清償或分派承受或提存之</w:t>
      </w:r>
      <w:r>
        <w:rPr>
          <w:rFonts w:eastAsia="標楷體" w:hint="eastAsia"/>
        </w:rPr>
        <w:t>。</w:t>
      </w:r>
    </w:p>
    <w:p w:rsidR="00000000" w:rsidRDefault="00FD50C0">
      <w:pPr>
        <w:spacing w:afterLines="50"/>
        <w:ind w:leftChars="225" w:left="540" w:firstLineChars="100" w:firstLine="240"/>
        <w:jc w:val="both"/>
        <w:rPr>
          <w:rFonts w:eastAsia="標楷體" w:hint="eastAsia"/>
        </w:rPr>
      </w:pPr>
      <w:r>
        <w:rPr>
          <w:rFonts w:eastAsia="標楷體" w:hint="eastAsia"/>
        </w:rPr>
        <w:t>(3)</w:t>
      </w:r>
      <w:r>
        <w:rPr>
          <w:rFonts w:eastAsia="標楷體" w:hint="eastAsia"/>
        </w:rPr>
        <w:t>其他有利於公司業務維持及債權人權利保障之公正合理方法。</w:t>
      </w:r>
    </w:p>
    <w:p w:rsidR="00000000" w:rsidRDefault="00FD50C0">
      <w:pPr>
        <w:numPr>
          <w:ilvl w:val="0"/>
          <w:numId w:val="15"/>
        </w:numPr>
        <w:spacing w:afterLines="50"/>
        <w:jc w:val="both"/>
        <w:rPr>
          <w:rFonts w:eastAsia="標楷體" w:hint="eastAsia"/>
        </w:rPr>
      </w:pPr>
      <w:r>
        <w:rPr>
          <w:rFonts w:eastAsia="標楷體" w:hint="eastAsia"/>
        </w:rPr>
        <w:t>法院認可之效力</w:t>
      </w:r>
    </w:p>
    <w:p w:rsidR="00000000" w:rsidRDefault="00FD50C0">
      <w:pPr>
        <w:tabs>
          <w:tab w:val="left" w:pos="360"/>
        </w:tabs>
        <w:spacing w:afterLines="50"/>
        <w:ind w:leftChars="300" w:left="960" w:hangingChars="100" w:hanging="240"/>
        <w:jc w:val="both"/>
        <w:rPr>
          <w:rFonts w:eastAsia="標楷體" w:hint="eastAsia"/>
        </w:rPr>
      </w:pPr>
      <w:r>
        <w:rPr>
          <w:rFonts w:eastAsia="標楷體" w:hint="eastAsia"/>
        </w:rPr>
        <w:t>(1)</w:t>
      </w:r>
      <w:r>
        <w:rPr>
          <w:rFonts w:eastAsia="標楷體" w:hint="eastAsia"/>
        </w:rPr>
        <w:t>重整計劃經法院裁定認可後，對於公司及關係人均有拘束力（公</w:t>
      </w:r>
      <w:r>
        <w:rPr>
          <w:rFonts w:eastAsia="標楷體" w:hint="eastAsia"/>
        </w:rPr>
        <w:t>305</w:t>
      </w:r>
      <w:r>
        <w:rPr>
          <w:rFonts w:eastAsia="標楷體" w:hint="eastAsia"/>
        </w:rPr>
        <w:t>Ⅰ前）。所謂拘束力，即公司及關係人就重整債權或股東之權利義務，均以重整計劃之內容為準，就重整前之權義關係，不得履行主張而言。但對於公司之保證人及其他共同債務人之權利，則不因重整計劃之認可而受影響（公</w:t>
      </w:r>
      <w:r>
        <w:rPr>
          <w:rFonts w:eastAsia="標楷體" w:hint="eastAsia"/>
        </w:rPr>
        <w:t>311</w:t>
      </w:r>
      <w:r>
        <w:rPr>
          <w:rFonts w:eastAsia="標楷體" w:hint="eastAsia"/>
        </w:rPr>
        <w:t>Ⅱ）。</w:t>
      </w:r>
    </w:p>
    <w:p w:rsidR="00000000" w:rsidRDefault="00FD50C0">
      <w:pPr>
        <w:tabs>
          <w:tab w:val="left" w:pos="360"/>
        </w:tabs>
        <w:spacing w:afterLines="50"/>
        <w:ind w:leftChars="300" w:left="960" w:hangingChars="100" w:hanging="240"/>
        <w:jc w:val="both"/>
        <w:rPr>
          <w:rFonts w:eastAsia="標楷體" w:hint="eastAsia"/>
        </w:rPr>
      </w:pPr>
      <w:r>
        <w:rPr>
          <w:rFonts w:eastAsia="標楷體" w:hint="eastAsia"/>
        </w:rPr>
        <w:t>(2)</w:t>
      </w:r>
      <w:r>
        <w:rPr>
          <w:rFonts w:eastAsia="標楷體" w:hint="eastAsia"/>
        </w:rPr>
        <w:t>經認可之重整計劃，其所載之給付義務，適於為強制執行之標的者，得逕予為強制執行（公</w:t>
      </w:r>
      <w:r>
        <w:rPr>
          <w:rFonts w:eastAsia="標楷體" w:hint="eastAsia"/>
        </w:rPr>
        <w:t>305</w:t>
      </w:r>
      <w:r>
        <w:rPr>
          <w:rFonts w:eastAsia="標楷體" w:hint="eastAsia"/>
        </w:rPr>
        <w:t>Ⅱ後）。</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五</w:t>
      </w:r>
      <w:r>
        <w:rPr>
          <w:rFonts w:eastAsia="標楷體" w:hint="eastAsia"/>
          <w:b/>
          <w:bCs/>
          <w:sz w:val="28"/>
        </w:rPr>
        <w:t xml:space="preserve">) </w:t>
      </w:r>
      <w:r>
        <w:rPr>
          <w:rFonts w:eastAsia="標楷體" w:hint="eastAsia"/>
          <w:b/>
          <w:bCs/>
          <w:sz w:val="28"/>
        </w:rPr>
        <w:t>重整計畫之執行</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重整計劃，由重整人以</w:t>
      </w:r>
      <w:r>
        <w:rPr>
          <w:rFonts w:eastAsia="標楷體" w:hint="eastAsia"/>
        </w:rPr>
        <w:t>善良管理人之注意執行之。公司重整中，本法下列各條規定，如與事實確有扞格時，經重整人聲請法院，得裁定另作適當之處理（公</w:t>
      </w:r>
      <w:r>
        <w:rPr>
          <w:rFonts w:eastAsia="標楷體" w:hint="eastAsia"/>
        </w:rPr>
        <w:t>309</w:t>
      </w:r>
      <w:r>
        <w:rPr>
          <w:rFonts w:eastAsia="標楷體" w:hint="eastAsia"/>
        </w:rPr>
        <w:t>）。</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六</w:t>
      </w:r>
      <w:r>
        <w:rPr>
          <w:rFonts w:eastAsia="標楷體" w:hint="eastAsia"/>
          <w:b/>
          <w:bCs/>
          <w:sz w:val="28"/>
        </w:rPr>
        <w:t xml:space="preserve">) </w:t>
      </w:r>
      <w:r>
        <w:rPr>
          <w:rFonts w:eastAsia="標楷體" w:hint="eastAsia"/>
          <w:b/>
          <w:bCs/>
          <w:sz w:val="28"/>
        </w:rPr>
        <w:t>重整計畫之重行審查</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重整計劃之再審查者，係指未經關係人會議可決之重整計劃，加以審查（公</w:t>
      </w:r>
      <w:r>
        <w:rPr>
          <w:rFonts w:eastAsia="標楷體" w:hint="eastAsia"/>
        </w:rPr>
        <w:t>306</w:t>
      </w:r>
      <w:r>
        <w:rPr>
          <w:rFonts w:eastAsia="標楷體" w:hint="eastAsia"/>
        </w:rPr>
        <w:t>ⅠⅡ）。至於重整計劃之重行審查，係指已經法院認可或係法院變更修正後以裁定認可之重整計劃，因情事變遷或有正當理由，致不能或無須執行時，法院得因重整監督人、重整人或關係人之聲請，以裁定命關係人會議重行審查（公</w:t>
      </w:r>
      <w:r>
        <w:rPr>
          <w:rFonts w:eastAsia="標楷體" w:hint="eastAsia"/>
        </w:rPr>
        <w:t>306</w:t>
      </w:r>
      <w:r>
        <w:rPr>
          <w:rFonts w:eastAsia="標楷體" w:hint="eastAsia"/>
        </w:rPr>
        <w:t>Ⅲ前）。</w:t>
      </w:r>
    </w:p>
    <w:p w:rsidR="00000000" w:rsidRDefault="00FD50C0">
      <w:pPr>
        <w:spacing w:after="180"/>
        <w:jc w:val="center"/>
        <w:rPr>
          <w:rFonts w:eastAsia="標楷體" w:hint="eastAsia"/>
          <w:b/>
          <w:bCs/>
          <w:sz w:val="32"/>
        </w:rPr>
      </w:pPr>
      <w:r>
        <w:rPr>
          <w:rFonts w:eastAsia="標楷體" w:hint="eastAsia"/>
          <w:b/>
          <w:bCs/>
          <w:sz w:val="32"/>
        </w:rPr>
        <w:t>十、重整程序之終止</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終止重整之原因</w:t>
      </w:r>
    </w:p>
    <w:p w:rsidR="00000000" w:rsidRDefault="00FD50C0">
      <w:pPr>
        <w:tabs>
          <w:tab w:val="left" w:pos="360"/>
        </w:tabs>
        <w:spacing w:afterLines="50"/>
        <w:jc w:val="both"/>
        <w:rPr>
          <w:rFonts w:eastAsia="標楷體" w:hint="eastAsia"/>
        </w:rPr>
      </w:pPr>
      <w:r>
        <w:rPr>
          <w:rFonts w:eastAsia="標楷體" w:hint="eastAsia"/>
        </w:rPr>
        <w:tab/>
      </w:r>
      <w:r>
        <w:rPr>
          <w:rFonts w:eastAsia="標楷體" w:hint="eastAsia"/>
        </w:rPr>
        <w:tab/>
      </w:r>
      <w:r>
        <w:rPr>
          <w:rFonts w:eastAsia="標楷體" w:hint="eastAsia"/>
        </w:rPr>
        <w:t>有下列席因之</w:t>
      </w:r>
      <w:r>
        <w:rPr>
          <w:rFonts w:eastAsia="標楷體" w:hint="eastAsia"/>
        </w:rPr>
        <w:t>一者，法院得徵詢中央主管機關、目的事業中央主管機關及證券管理機關之意見後，裁定終止重整程序：</w:t>
      </w:r>
    </w:p>
    <w:p w:rsidR="00000000" w:rsidRDefault="00FD50C0">
      <w:pPr>
        <w:numPr>
          <w:ilvl w:val="0"/>
          <w:numId w:val="19"/>
        </w:numPr>
        <w:tabs>
          <w:tab w:val="left" w:pos="360"/>
        </w:tabs>
        <w:spacing w:afterLines="50"/>
        <w:jc w:val="both"/>
        <w:rPr>
          <w:rFonts w:eastAsia="標楷體" w:hint="eastAsia"/>
        </w:rPr>
      </w:pPr>
      <w:r>
        <w:rPr>
          <w:rFonts w:eastAsia="標楷體" w:hint="eastAsia"/>
        </w:rPr>
        <w:t>重整計劃未得關係人會議可決，經指示變更再予審查，仍未獲關係人會議可決，而公司又非顯有重整之價值應修正計劃認可者（公</w:t>
      </w:r>
      <w:r>
        <w:rPr>
          <w:rFonts w:eastAsia="標楷體" w:hint="eastAsia"/>
        </w:rPr>
        <w:t>306</w:t>
      </w:r>
      <w:r>
        <w:rPr>
          <w:rFonts w:eastAsia="標楷體" w:hint="eastAsia"/>
        </w:rPr>
        <w:t>Ⅱ）。</w:t>
      </w:r>
    </w:p>
    <w:p w:rsidR="00000000" w:rsidRDefault="00FD50C0">
      <w:pPr>
        <w:numPr>
          <w:ilvl w:val="0"/>
          <w:numId w:val="19"/>
        </w:numPr>
        <w:tabs>
          <w:tab w:val="left" w:pos="360"/>
        </w:tabs>
        <w:spacing w:afterLines="50"/>
        <w:jc w:val="both"/>
        <w:rPr>
          <w:rFonts w:eastAsia="標楷體" w:hint="eastAsia"/>
        </w:rPr>
      </w:pPr>
      <w:r>
        <w:rPr>
          <w:rFonts w:eastAsia="標楷體" w:hint="eastAsia"/>
        </w:rPr>
        <w:t>重整計劃經法院為不予認可之裁定確定者。</w:t>
      </w:r>
    </w:p>
    <w:p w:rsidR="00000000" w:rsidRDefault="00FD50C0">
      <w:pPr>
        <w:numPr>
          <w:ilvl w:val="0"/>
          <w:numId w:val="19"/>
        </w:numPr>
        <w:tabs>
          <w:tab w:val="left" w:pos="360"/>
        </w:tabs>
        <w:spacing w:afterLines="50"/>
        <w:jc w:val="both"/>
        <w:rPr>
          <w:rFonts w:eastAsia="標楷體" w:hint="eastAsia"/>
        </w:rPr>
      </w:pPr>
      <w:r>
        <w:rPr>
          <w:rFonts w:eastAsia="標楷體" w:hint="eastAsia"/>
        </w:rPr>
        <w:t>重整計劃因情事變遷，或有正當理由致不能或無須執行時，其公司又顯無重整可能或必要者（公</w:t>
      </w:r>
      <w:r>
        <w:rPr>
          <w:rFonts w:eastAsia="標楷體" w:hint="eastAsia"/>
        </w:rPr>
        <w:t>306</w:t>
      </w:r>
      <w:r>
        <w:rPr>
          <w:rFonts w:eastAsia="標楷體" w:hint="eastAsia"/>
        </w:rPr>
        <w:t>Ⅲ）。</w:t>
      </w:r>
    </w:p>
    <w:p w:rsidR="00000000" w:rsidRDefault="00FD50C0">
      <w:pPr>
        <w:numPr>
          <w:ilvl w:val="0"/>
          <w:numId w:val="19"/>
        </w:numPr>
        <w:tabs>
          <w:tab w:val="left" w:pos="360"/>
        </w:tabs>
        <w:spacing w:afterLines="50"/>
        <w:jc w:val="both"/>
        <w:rPr>
          <w:rFonts w:eastAsia="標楷體" w:hint="eastAsia"/>
        </w:rPr>
      </w:pPr>
      <w:r>
        <w:rPr>
          <w:rFonts w:eastAsia="標楷體"/>
        </w:rPr>
        <w:t>關係人會議，未能於重整裁定送達公司後一年內可決重整計畫者；</w:t>
      </w:r>
      <w:r>
        <w:rPr>
          <w:rFonts w:eastAsia="標楷體" w:hint="eastAsia"/>
        </w:rPr>
        <w:t>或</w:t>
      </w:r>
      <w:r>
        <w:rPr>
          <w:rFonts w:eastAsia="標楷體"/>
        </w:rPr>
        <w:t>經法院依</w:t>
      </w:r>
      <w:r>
        <w:rPr>
          <w:rFonts w:eastAsia="標楷體" w:hint="eastAsia"/>
        </w:rPr>
        <w:t>公司法</w:t>
      </w:r>
      <w:r>
        <w:rPr>
          <w:rFonts w:eastAsia="標楷體" w:hint="eastAsia"/>
        </w:rPr>
        <w:t>306</w:t>
      </w:r>
      <w:r>
        <w:rPr>
          <w:rFonts w:eastAsia="標楷體" w:hint="eastAsia"/>
        </w:rPr>
        <w:t>條</w:t>
      </w:r>
      <w:r>
        <w:rPr>
          <w:rFonts w:eastAsia="標楷體"/>
        </w:rPr>
        <w:t>第三項裁定命重行審查，而未能於裁定送達後一年內可決重整計畫者</w:t>
      </w:r>
      <w:r>
        <w:rPr>
          <w:rFonts w:eastAsia="標楷體" w:hint="eastAsia"/>
        </w:rPr>
        <w:t>（公</w:t>
      </w:r>
      <w:r>
        <w:rPr>
          <w:rFonts w:eastAsia="標楷體" w:hint="eastAsia"/>
        </w:rPr>
        <w:t>306</w:t>
      </w:r>
      <w:r>
        <w:rPr>
          <w:rFonts w:eastAsia="標楷體" w:hint="eastAsia"/>
        </w:rPr>
        <w:t>V</w:t>
      </w:r>
      <w:r>
        <w:rPr>
          <w:rFonts w:eastAsia="標楷體" w:hint="eastAsia"/>
        </w:rPr>
        <w:t>）。</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裁定終止重整之效力</w:t>
      </w:r>
    </w:p>
    <w:p w:rsidR="00000000" w:rsidRDefault="00FD50C0">
      <w:pPr>
        <w:numPr>
          <w:ilvl w:val="0"/>
          <w:numId w:val="20"/>
        </w:numPr>
        <w:spacing w:afterLines="50"/>
        <w:jc w:val="both"/>
        <w:rPr>
          <w:rFonts w:eastAsia="標楷體" w:hint="eastAsia"/>
        </w:rPr>
      </w:pPr>
      <w:r>
        <w:rPr>
          <w:rFonts w:eastAsia="標楷體" w:hint="eastAsia"/>
        </w:rPr>
        <w:t>重整之完成：法院裁定終止重整，除依職權宣告公司破產者，依破產法之規定外，其效力如下：</w:t>
      </w:r>
    </w:p>
    <w:p w:rsidR="00000000" w:rsidRDefault="00FD50C0">
      <w:pPr>
        <w:numPr>
          <w:ilvl w:val="1"/>
          <w:numId w:val="20"/>
        </w:numPr>
        <w:tabs>
          <w:tab w:val="left" w:pos="360"/>
        </w:tabs>
        <w:spacing w:afterLines="50"/>
        <w:jc w:val="both"/>
        <w:rPr>
          <w:rFonts w:eastAsia="標楷體" w:hint="eastAsia"/>
        </w:rPr>
      </w:pPr>
      <w:r>
        <w:rPr>
          <w:rFonts w:eastAsia="標楷體" w:hint="eastAsia"/>
        </w:rPr>
        <w:t>所為之各項保全或緊急處分，均當然失其效力。</w:t>
      </w:r>
    </w:p>
    <w:p w:rsidR="00000000" w:rsidRDefault="00FD50C0">
      <w:pPr>
        <w:numPr>
          <w:ilvl w:val="1"/>
          <w:numId w:val="20"/>
        </w:numPr>
        <w:tabs>
          <w:tab w:val="left" w:pos="360"/>
        </w:tabs>
        <w:spacing w:afterLines="50"/>
        <w:jc w:val="both"/>
        <w:rPr>
          <w:rFonts w:eastAsia="標楷體" w:hint="eastAsia"/>
        </w:rPr>
      </w:pPr>
      <w:r>
        <w:rPr>
          <w:rFonts w:eastAsia="標楷體" w:hint="eastAsia"/>
        </w:rPr>
        <w:t>因怠於申報權利而不能行使權利者，恢復其權利。</w:t>
      </w:r>
    </w:p>
    <w:p w:rsidR="00000000" w:rsidRDefault="00FD50C0">
      <w:pPr>
        <w:numPr>
          <w:ilvl w:val="1"/>
          <w:numId w:val="20"/>
        </w:numPr>
        <w:tabs>
          <w:tab w:val="left" w:pos="360"/>
        </w:tabs>
        <w:spacing w:afterLines="50"/>
        <w:jc w:val="both"/>
        <w:rPr>
          <w:rFonts w:eastAsia="標楷體" w:hint="eastAsia"/>
        </w:rPr>
      </w:pPr>
      <w:r>
        <w:rPr>
          <w:rFonts w:eastAsia="標楷體" w:hint="eastAsia"/>
        </w:rPr>
        <w:t>因裁定重整而停止之股東會、董事及監察人之職權，應即恢復。重整人應將其接收之業務或財產移還與董事會（公</w:t>
      </w:r>
      <w:r>
        <w:rPr>
          <w:rFonts w:eastAsia="標楷體" w:hint="eastAsia"/>
        </w:rPr>
        <w:t>308</w:t>
      </w:r>
      <w:r>
        <w:rPr>
          <w:rFonts w:eastAsia="標楷體" w:hint="eastAsia"/>
        </w:rPr>
        <w:t>）。</w:t>
      </w:r>
    </w:p>
    <w:p w:rsidR="00000000" w:rsidRDefault="00FD50C0">
      <w:pPr>
        <w:numPr>
          <w:ilvl w:val="0"/>
          <w:numId w:val="20"/>
        </w:numPr>
        <w:spacing w:afterLines="50"/>
        <w:jc w:val="both"/>
        <w:rPr>
          <w:rFonts w:eastAsia="標楷體" w:hint="eastAsia"/>
        </w:rPr>
      </w:pPr>
      <w:r>
        <w:rPr>
          <w:rFonts w:eastAsia="標楷體" w:hint="eastAsia"/>
        </w:rPr>
        <w:t>消極之效力：重整人在終止重整前，其因維持公司業務繼續營運所發生之債務與進行重整程序所發生之費用，仍應由公司負責，且此項重整債務優先受償之效力，亦不因裁定終止重整而受影響（公</w:t>
      </w:r>
      <w:r>
        <w:rPr>
          <w:rFonts w:eastAsia="標楷體" w:hint="eastAsia"/>
        </w:rPr>
        <w:t>312</w:t>
      </w:r>
      <w:r>
        <w:rPr>
          <w:rFonts w:eastAsia="標楷體" w:hint="eastAsia"/>
        </w:rPr>
        <w:t>）。</w:t>
      </w:r>
    </w:p>
    <w:p w:rsidR="00000000" w:rsidRDefault="00FD50C0">
      <w:pPr>
        <w:spacing w:after="180"/>
        <w:jc w:val="center"/>
        <w:rPr>
          <w:rFonts w:eastAsia="標楷體" w:hint="eastAsia"/>
          <w:b/>
          <w:bCs/>
          <w:sz w:val="32"/>
        </w:rPr>
      </w:pPr>
      <w:r>
        <w:rPr>
          <w:rFonts w:eastAsia="標楷體" w:hint="eastAsia"/>
          <w:b/>
          <w:bCs/>
          <w:sz w:val="32"/>
        </w:rPr>
        <w:t>十一</w:t>
      </w:r>
      <w:r>
        <w:rPr>
          <w:rFonts w:eastAsia="標楷體" w:hint="eastAsia"/>
          <w:b/>
          <w:bCs/>
          <w:sz w:val="32"/>
        </w:rPr>
        <w:t>、重整之完成</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一</w:t>
      </w:r>
      <w:r>
        <w:rPr>
          <w:rFonts w:eastAsia="標楷體" w:hint="eastAsia"/>
          <w:b/>
          <w:bCs/>
          <w:sz w:val="28"/>
        </w:rPr>
        <w:t xml:space="preserve">) </w:t>
      </w:r>
      <w:r>
        <w:rPr>
          <w:rFonts w:eastAsia="標楷體" w:hint="eastAsia"/>
          <w:b/>
          <w:bCs/>
          <w:sz w:val="28"/>
        </w:rPr>
        <w:t>重整工作之完成</w:t>
      </w:r>
    </w:p>
    <w:p w:rsidR="00000000" w:rsidRDefault="00FD50C0">
      <w:pPr>
        <w:tabs>
          <w:tab w:val="left" w:pos="360"/>
        </w:tabs>
        <w:spacing w:afterLines="50"/>
        <w:jc w:val="both"/>
        <w:rPr>
          <w:rFonts w:eastAsia="標楷體" w:hint="eastAsia"/>
        </w:rPr>
      </w:pPr>
      <w:r>
        <w:rPr>
          <w:rFonts w:eastAsia="標楷體" w:hint="eastAsia"/>
        </w:rPr>
        <w:t xml:space="preserve">1. </w:t>
      </w:r>
      <w:r>
        <w:rPr>
          <w:rFonts w:eastAsia="標楷體" w:hint="eastAsia"/>
        </w:rPr>
        <w:t>重整人，應於重整計劃所定期限內完成重整工作；重整完成時，應聲請法院為重整完成之裁定，並於裁定確定後，召集重整後之股東會選任董事、監察人</w:t>
      </w:r>
      <w:r>
        <w:rPr>
          <w:rFonts w:eastAsia="標楷體" w:hint="eastAsia"/>
        </w:rPr>
        <w:t>(</w:t>
      </w:r>
      <w:r>
        <w:rPr>
          <w:rFonts w:eastAsia="標楷體" w:hint="eastAsia"/>
        </w:rPr>
        <w:t>公</w:t>
      </w:r>
      <w:r>
        <w:rPr>
          <w:rFonts w:eastAsia="標楷體" w:hint="eastAsia"/>
        </w:rPr>
        <w:t>310</w:t>
      </w:r>
      <w:r>
        <w:rPr>
          <w:rFonts w:eastAsia="標楷體" w:hint="eastAsia"/>
        </w:rPr>
        <w:t>Ⅰ</w:t>
      </w:r>
      <w:r>
        <w:rPr>
          <w:rFonts w:eastAsia="標楷體" w:hint="eastAsia"/>
        </w:rPr>
        <w:t>)</w:t>
      </w:r>
      <w:r>
        <w:rPr>
          <w:rFonts w:eastAsia="標楷體" w:hint="eastAsia"/>
        </w:rPr>
        <w:t>。前項董事、監察人於就任後，應會同重整人向主管機關申請登記或變更登記</w:t>
      </w:r>
      <w:r>
        <w:rPr>
          <w:rFonts w:eastAsia="標楷體" w:hint="eastAsia"/>
        </w:rPr>
        <w:t>(</w:t>
      </w:r>
      <w:r>
        <w:rPr>
          <w:rFonts w:eastAsia="標楷體" w:hint="eastAsia"/>
        </w:rPr>
        <w:t>公</w:t>
      </w:r>
      <w:r>
        <w:rPr>
          <w:rFonts w:eastAsia="標楷體" w:hint="eastAsia"/>
        </w:rPr>
        <w:t>310</w:t>
      </w:r>
      <w:r>
        <w:rPr>
          <w:rFonts w:eastAsia="標楷體" w:hint="eastAsia"/>
        </w:rPr>
        <w:t>Ⅱ</w:t>
      </w:r>
      <w:r>
        <w:rPr>
          <w:rFonts w:eastAsia="標楷體" w:hint="eastAsia"/>
        </w:rPr>
        <w:t>)</w:t>
      </w:r>
      <w:r>
        <w:rPr>
          <w:rFonts w:eastAsia="標楷體" w:hint="eastAsia"/>
        </w:rPr>
        <w:t>。</w:t>
      </w:r>
      <w:r>
        <w:rPr>
          <w:rFonts w:eastAsia="標楷體" w:hint="eastAsia"/>
        </w:rPr>
        <w:cr/>
        <w:t xml:space="preserve">2. </w:t>
      </w:r>
      <w:r>
        <w:rPr>
          <w:rFonts w:eastAsia="標楷體" w:hint="eastAsia"/>
        </w:rPr>
        <w:t>經法院為公司重整完成之裁定後，公司重整之程序即告終結。</w:t>
      </w:r>
    </w:p>
    <w:p w:rsidR="00000000" w:rsidRDefault="00FD50C0">
      <w:pPr>
        <w:tabs>
          <w:tab w:val="left" w:pos="360"/>
        </w:tabs>
        <w:spacing w:afterLines="50"/>
        <w:jc w:val="both"/>
        <w:rPr>
          <w:rFonts w:eastAsia="標楷體" w:hint="eastAsia"/>
        </w:rPr>
      </w:pPr>
      <w:r>
        <w:rPr>
          <w:rFonts w:eastAsia="標楷體" w:hint="eastAsia"/>
          <w:b/>
          <w:bCs/>
          <w:sz w:val="28"/>
        </w:rPr>
        <w:t>(</w:t>
      </w:r>
      <w:r>
        <w:rPr>
          <w:rFonts w:eastAsia="標楷體" w:hint="eastAsia"/>
          <w:b/>
          <w:bCs/>
          <w:sz w:val="28"/>
        </w:rPr>
        <w:t>二</w:t>
      </w:r>
      <w:r>
        <w:rPr>
          <w:rFonts w:eastAsia="標楷體" w:hint="eastAsia"/>
          <w:b/>
          <w:bCs/>
          <w:sz w:val="28"/>
        </w:rPr>
        <w:t xml:space="preserve">) </w:t>
      </w:r>
      <w:r>
        <w:rPr>
          <w:rFonts w:eastAsia="標楷體" w:hint="eastAsia"/>
          <w:b/>
          <w:bCs/>
          <w:sz w:val="28"/>
        </w:rPr>
        <w:t>重整完成之效力（公</w:t>
      </w:r>
      <w:r>
        <w:rPr>
          <w:rFonts w:eastAsia="標楷體" w:hint="eastAsia"/>
          <w:b/>
          <w:bCs/>
          <w:sz w:val="28"/>
        </w:rPr>
        <w:t>311</w:t>
      </w:r>
      <w:r>
        <w:rPr>
          <w:rFonts w:eastAsia="標楷體" w:hint="eastAsia"/>
          <w:b/>
          <w:bCs/>
          <w:sz w:val="28"/>
        </w:rPr>
        <w:t>）</w:t>
      </w:r>
    </w:p>
    <w:p w:rsidR="00000000" w:rsidRDefault="00FD50C0">
      <w:pPr>
        <w:numPr>
          <w:ilvl w:val="0"/>
          <w:numId w:val="21"/>
        </w:numPr>
        <w:spacing w:afterLines="50"/>
        <w:jc w:val="both"/>
        <w:rPr>
          <w:rFonts w:eastAsia="標楷體" w:hint="eastAsia"/>
        </w:rPr>
      </w:pPr>
      <w:r>
        <w:rPr>
          <w:rFonts w:eastAsia="標楷體" w:hint="eastAsia"/>
        </w:rPr>
        <w:t>對債權人之效力：已申報之債權未受清償部分，除依重整計劃處理移轉重整後之公司承受者外，其請求權消滅，未申報之債權亦同（公</w:t>
      </w:r>
      <w:r>
        <w:rPr>
          <w:rFonts w:eastAsia="標楷體" w:hint="eastAsia"/>
        </w:rPr>
        <w:t>311</w:t>
      </w:r>
      <w:r>
        <w:rPr>
          <w:rFonts w:eastAsia="標楷體" w:hint="eastAsia"/>
        </w:rPr>
        <w:t>Ⅰ）。</w:t>
      </w:r>
    </w:p>
    <w:p w:rsidR="00000000" w:rsidRDefault="00FD50C0">
      <w:pPr>
        <w:numPr>
          <w:ilvl w:val="0"/>
          <w:numId w:val="21"/>
        </w:numPr>
        <w:spacing w:afterLines="50"/>
        <w:jc w:val="both"/>
        <w:rPr>
          <w:rFonts w:eastAsia="標楷體" w:hint="eastAsia"/>
        </w:rPr>
      </w:pPr>
      <w:r>
        <w:rPr>
          <w:rFonts w:eastAsia="標楷體" w:hint="eastAsia"/>
        </w:rPr>
        <w:t>對股</w:t>
      </w:r>
      <w:r>
        <w:rPr>
          <w:rFonts w:eastAsia="標楷體" w:hint="eastAsia"/>
        </w:rPr>
        <w:t>東之效力：股東股權經重整而變更或消除之部分，其權利消滅，未申報之無記名股東之權利亦同（公</w:t>
      </w:r>
      <w:r>
        <w:rPr>
          <w:rFonts w:eastAsia="標楷體" w:hint="eastAsia"/>
        </w:rPr>
        <w:t>311</w:t>
      </w:r>
      <w:r>
        <w:rPr>
          <w:rFonts w:eastAsia="標楷體" w:hint="eastAsia"/>
        </w:rPr>
        <w:t>Ⅱ）。</w:t>
      </w:r>
    </w:p>
    <w:p w:rsidR="00000000" w:rsidRDefault="00FD50C0">
      <w:pPr>
        <w:numPr>
          <w:ilvl w:val="0"/>
          <w:numId w:val="21"/>
        </w:numPr>
        <w:spacing w:afterLines="50"/>
        <w:jc w:val="both"/>
        <w:rPr>
          <w:rFonts w:eastAsia="標楷體" w:hint="eastAsia"/>
        </w:rPr>
      </w:pPr>
      <w:r>
        <w:rPr>
          <w:rFonts w:eastAsia="標楷體" w:hint="eastAsia"/>
        </w:rPr>
        <w:t>對訴訟程序中止效力：重整裁定前公司之破產、和解、強制執行及因財產關係所生之訴訟等程序，即行失其效力。</w:t>
      </w:r>
    </w:p>
    <w:p w:rsidR="00000000" w:rsidRDefault="00FD50C0">
      <w:pPr>
        <w:spacing w:before="180" w:after="180"/>
        <w:jc w:val="both"/>
        <w:rPr>
          <w:rFonts w:eastAsia="標楷體" w:hint="eastAsia"/>
        </w:rPr>
      </w:pPr>
      <w:r>
        <w:rPr>
          <w:rFonts w:eastAsia="標楷體" w:hint="eastAsia"/>
        </w:rPr>
        <w:t>對於重整機關之效力：重整完成後，重整人、監督人及關係人會議之任務，均告終了，自應解除其職務。</w:t>
      </w:r>
    </w:p>
    <w:p w:rsidR="00000000" w:rsidRDefault="00FD50C0">
      <w:pPr>
        <w:spacing w:after="180"/>
        <w:jc w:val="center"/>
        <w:rPr>
          <w:rFonts w:ascii="標楷體" w:eastAsia="標楷體" w:hAnsi="標楷體" w:hint="eastAsia"/>
          <w:b/>
          <w:bCs/>
          <w:sz w:val="32"/>
        </w:rPr>
      </w:pPr>
    </w:p>
    <w:p w:rsidR="00000000" w:rsidRDefault="00FD50C0">
      <w:pPr>
        <w:spacing w:after="180"/>
        <w:jc w:val="center"/>
        <w:rPr>
          <w:rFonts w:ascii="標楷體" w:eastAsia="標楷體" w:hAnsi="標楷體" w:hint="eastAsia"/>
          <w:b/>
          <w:bCs/>
          <w:sz w:val="32"/>
        </w:rPr>
      </w:pPr>
    </w:p>
    <w:p w:rsidR="00000000" w:rsidRDefault="00FD50C0">
      <w:pPr>
        <w:spacing w:after="180"/>
        <w:jc w:val="center"/>
        <w:rPr>
          <w:rFonts w:ascii="標楷體" w:eastAsia="標楷體" w:hAnsi="標楷體" w:hint="eastAsia"/>
          <w:b/>
          <w:bCs/>
          <w:sz w:val="32"/>
        </w:rPr>
      </w:pPr>
    </w:p>
    <w:p w:rsidR="00000000" w:rsidRDefault="00FD50C0">
      <w:pPr>
        <w:spacing w:after="180"/>
        <w:jc w:val="center"/>
        <w:rPr>
          <w:rFonts w:ascii="標楷體" w:eastAsia="標楷體" w:hAnsi="標楷體" w:hint="eastAsia"/>
          <w:b/>
          <w:bCs/>
          <w:sz w:val="32"/>
        </w:rPr>
      </w:pPr>
    </w:p>
    <w:p w:rsidR="00000000" w:rsidRDefault="00FD50C0">
      <w:pPr>
        <w:spacing w:after="180"/>
        <w:jc w:val="center"/>
        <w:rPr>
          <w:rFonts w:ascii="標楷體" w:eastAsia="標楷體" w:hAnsi="標楷體" w:hint="eastAsia"/>
          <w:b/>
          <w:bCs/>
          <w:sz w:val="32"/>
        </w:rPr>
      </w:pPr>
      <w:r>
        <w:rPr>
          <w:rFonts w:ascii="標楷體" w:eastAsia="標楷體" w:hAnsi="標楷體" w:hint="eastAsia"/>
          <w:b/>
          <w:bCs/>
          <w:sz w:val="32"/>
        </w:rPr>
        <w:t>貳、個案介紹：東隆五金</w:t>
      </w:r>
      <w:r>
        <w:rPr>
          <w:rFonts w:ascii="標楷體" w:eastAsia="標楷體" w:hAnsi="標楷體" w:hint="eastAsia"/>
          <w:b/>
          <w:bCs/>
          <w:sz w:val="32"/>
        </w:rPr>
        <w:t>~</w:t>
      </w:r>
      <w:r>
        <w:rPr>
          <w:rFonts w:ascii="標楷體" w:eastAsia="標楷體" w:hAnsi="標楷體" w:hint="eastAsia"/>
          <w:b/>
          <w:bCs/>
          <w:sz w:val="32"/>
        </w:rPr>
        <w:t>浴火重生</w:t>
      </w:r>
    </w:p>
    <w:p w:rsidR="00000000" w:rsidRDefault="00FD50C0">
      <w:pPr>
        <w:tabs>
          <w:tab w:val="left" w:pos="360"/>
        </w:tabs>
        <w:spacing w:afterLines="50"/>
        <w:jc w:val="both"/>
        <w:rPr>
          <w:rFonts w:eastAsia="標楷體"/>
          <w:b/>
          <w:bCs/>
          <w:sz w:val="32"/>
          <w:szCs w:val="28"/>
        </w:rPr>
      </w:pPr>
      <w:bookmarkStart w:id="0" w:name="_Toc42181738"/>
      <w:bookmarkStart w:id="1" w:name="_Toc42188610"/>
      <w:r>
        <w:rPr>
          <w:rFonts w:eastAsia="標楷體" w:hint="eastAsia"/>
          <w:b/>
          <w:bCs/>
          <w:sz w:val="32"/>
        </w:rPr>
        <w:t>一、</w:t>
      </w:r>
      <w:r>
        <w:rPr>
          <w:rFonts w:eastAsia="標楷體"/>
          <w:b/>
          <w:bCs/>
          <w:sz w:val="32"/>
        </w:rPr>
        <w:t>公司背景</w:t>
      </w:r>
      <w:bookmarkEnd w:id="0"/>
      <w:bookmarkEnd w:id="1"/>
    </w:p>
    <w:p w:rsidR="00000000" w:rsidRDefault="00FD50C0">
      <w:pPr>
        <w:spacing w:beforeLines="50" w:afterLines="50"/>
        <w:ind w:firstLine="480"/>
        <w:jc w:val="both"/>
        <w:rPr>
          <w:rFonts w:eastAsia="標楷體"/>
        </w:rPr>
      </w:pPr>
      <w:r>
        <w:rPr>
          <w:rFonts w:eastAsia="標楷體" w:hAnsi="標楷體"/>
        </w:rPr>
        <w:t>東隆五金工業股份有限公司之前身為「東興加工廠」，在民國</w:t>
      </w:r>
      <w:r>
        <w:rPr>
          <w:rFonts w:eastAsia="標楷體"/>
        </w:rPr>
        <w:t>43</w:t>
      </w:r>
      <w:r>
        <w:rPr>
          <w:rFonts w:eastAsia="標楷體" w:hAnsi="標楷體"/>
        </w:rPr>
        <w:t>年由創辦人范耀鑫在嘉義後湖地區創立，後其兄范耀琦及其弟范耀彬也加入東興加工廠，三兄弟同心為家族企業共</w:t>
      </w:r>
      <w:r>
        <w:rPr>
          <w:rFonts w:eastAsia="標楷體" w:hAnsi="標楷體"/>
        </w:rPr>
        <w:t>同打拼。公司早年以製造鐵路便當盒起家，並於民國</w:t>
      </w:r>
      <w:r>
        <w:rPr>
          <w:rFonts w:eastAsia="標楷體"/>
        </w:rPr>
        <w:t>51</w:t>
      </w:r>
      <w:r>
        <w:rPr>
          <w:rFonts w:eastAsia="標楷體" w:hAnsi="標楷體"/>
        </w:rPr>
        <w:t>年設立抽屜鎖製造部門，有鑑於當時國內使用之喇叭鎖多以進口為主，產品單位價格過高，三兄弟與當地員工在經過</w:t>
      </w:r>
      <w:r>
        <w:rPr>
          <w:rFonts w:eastAsia="標楷體"/>
        </w:rPr>
        <w:t>12</w:t>
      </w:r>
      <w:r>
        <w:rPr>
          <w:rFonts w:eastAsia="標楷體" w:hAnsi="標楷體"/>
        </w:rPr>
        <w:t>年的摸索與奮鬥後，</w:t>
      </w:r>
      <w:r>
        <w:rPr>
          <w:rFonts w:eastAsia="標楷體"/>
        </w:rPr>
        <w:t xml:space="preserve"> </w:t>
      </w:r>
      <w:r>
        <w:rPr>
          <w:rFonts w:eastAsia="標楷體" w:hAnsi="標楷體"/>
        </w:rPr>
        <w:t>憑藉著自身之沖壓技術自行研發製造圓柱型喇叭鎖做為當時進口喇叭鎖之進口替代，終於在民國</w:t>
      </w:r>
      <w:r>
        <w:rPr>
          <w:rFonts w:eastAsia="標楷體"/>
        </w:rPr>
        <w:t>53</w:t>
      </w:r>
      <w:r>
        <w:rPr>
          <w:rFonts w:eastAsia="標楷體" w:hAnsi="標楷體"/>
        </w:rPr>
        <w:t>年時，自創內銷品牌</w:t>
      </w:r>
      <w:r>
        <w:rPr>
          <w:rFonts w:eastAsia="標楷體"/>
        </w:rPr>
        <w:t>LUCKY</w:t>
      </w:r>
      <w:r>
        <w:rPr>
          <w:rFonts w:eastAsia="標楷體" w:hAnsi="標楷體"/>
        </w:rPr>
        <w:t>，又在民國</w:t>
      </w:r>
      <w:r>
        <w:rPr>
          <w:rFonts w:eastAsia="標楷體"/>
        </w:rPr>
        <w:t>55</w:t>
      </w:r>
      <w:r>
        <w:rPr>
          <w:rFonts w:eastAsia="標楷體" w:hAnsi="標楷體"/>
        </w:rPr>
        <w:t>年時，自行開發成功製鎖技術，開始研發「圓柱型喇叭門鎖」、而「自行研發的堅持」也未後來東隆五金在製鎖業務的研發能力打下基礎。</w:t>
      </w:r>
    </w:p>
    <w:p w:rsidR="00000000" w:rsidRDefault="00FD50C0">
      <w:pPr>
        <w:spacing w:beforeLines="50" w:afterLines="50"/>
        <w:ind w:firstLine="482"/>
        <w:jc w:val="both"/>
        <w:rPr>
          <w:rFonts w:eastAsia="標楷體"/>
        </w:rPr>
      </w:pPr>
      <w:r>
        <w:rPr>
          <w:rFonts w:eastAsia="標楷體" w:hAnsi="標楷體"/>
        </w:rPr>
        <w:t>當時台灣生產門鎖的公司由最盛期的</w:t>
      </w:r>
      <w:r>
        <w:rPr>
          <w:rFonts w:eastAsia="標楷體"/>
        </w:rPr>
        <w:t>14</w:t>
      </w:r>
      <w:r>
        <w:rPr>
          <w:rFonts w:eastAsia="標楷體" w:hAnsi="標楷體"/>
        </w:rPr>
        <w:t>家，經過激烈競爭後，到現在只有</w:t>
      </w:r>
      <w:r>
        <w:rPr>
          <w:rFonts w:eastAsia="標楷體"/>
        </w:rPr>
        <w:t>5</w:t>
      </w:r>
      <w:r>
        <w:rPr>
          <w:rFonts w:eastAsia="標楷體" w:hAnsi="標楷體"/>
        </w:rPr>
        <w:t>家左右公司通過</w:t>
      </w:r>
      <w:r>
        <w:rPr>
          <w:rFonts w:eastAsia="標楷體" w:hAnsi="標楷體"/>
        </w:rPr>
        <w:t>考驗繼續在市場活躍，而東隆五金即是其中一家。東隆五金憑藉其卓越研發能力，不斷研發並製造大量品質優良的門鎖，因而多次獲得國家級的獎章鼓勵，至今東隆五金擁有自己研發出來的</w:t>
      </w:r>
      <w:r>
        <w:rPr>
          <w:rFonts w:eastAsia="標楷體"/>
        </w:rPr>
        <w:t>162</w:t>
      </w:r>
      <w:r>
        <w:rPr>
          <w:rFonts w:eastAsia="標楷體" w:hAnsi="標楷體"/>
        </w:rPr>
        <w:t>項專利技術，還在民國</w:t>
      </w:r>
      <w:r>
        <w:rPr>
          <w:rFonts w:eastAsia="標楷體"/>
        </w:rPr>
        <w:t>72</w:t>
      </w:r>
      <w:r>
        <w:rPr>
          <w:rFonts w:eastAsia="標楷體" w:hAnsi="標楷體"/>
        </w:rPr>
        <w:t>年自創</w:t>
      </w:r>
      <w:r>
        <w:rPr>
          <w:rFonts w:eastAsia="標楷體"/>
        </w:rPr>
        <w:t>EZ-SET</w:t>
      </w:r>
      <w:r>
        <w:rPr>
          <w:rFonts w:eastAsia="標楷體" w:hAnsi="標楷體"/>
        </w:rPr>
        <w:t>喇叭鎖品牌，行銷海內外市場，另亦有接受美國</w:t>
      </w:r>
      <w:r>
        <w:rPr>
          <w:rFonts w:eastAsia="標楷體"/>
        </w:rPr>
        <w:t>Yale</w:t>
      </w:r>
      <w:r>
        <w:rPr>
          <w:rFonts w:eastAsia="標楷體" w:hAnsi="標楷體"/>
        </w:rPr>
        <w:t>、澳洲</w:t>
      </w:r>
      <w:r>
        <w:rPr>
          <w:rFonts w:eastAsia="標楷體"/>
        </w:rPr>
        <w:t>Lane</w:t>
      </w:r>
      <w:r>
        <w:rPr>
          <w:rFonts w:eastAsia="標楷體" w:hAnsi="標楷體"/>
        </w:rPr>
        <w:t>及日本</w:t>
      </w:r>
      <w:r>
        <w:rPr>
          <w:rFonts w:eastAsia="標楷體"/>
        </w:rPr>
        <w:t>Topre</w:t>
      </w:r>
      <w:r>
        <w:rPr>
          <w:rFonts w:eastAsia="標楷體" w:hAnsi="標楷體"/>
        </w:rPr>
        <w:t>等</w:t>
      </w:r>
      <w:r>
        <w:rPr>
          <w:rFonts w:eastAsia="標楷體"/>
        </w:rPr>
        <w:t>OEM</w:t>
      </w:r>
      <w:r>
        <w:rPr>
          <w:rFonts w:eastAsia="標楷體" w:hAnsi="標楷體"/>
        </w:rPr>
        <w:t>訂單銷售網遍及世界各地，成為世界第一之門鎖公司。</w:t>
      </w:r>
    </w:p>
    <w:p w:rsidR="00000000" w:rsidRDefault="00FD50C0">
      <w:pPr>
        <w:widowControl/>
        <w:spacing w:before="50" w:after="50"/>
        <w:ind w:firstLine="480"/>
        <w:jc w:val="both"/>
        <w:rPr>
          <w:rFonts w:eastAsia="標楷體"/>
        </w:rPr>
      </w:pPr>
      <w:r>
        <w:rPr>
          <w:rFonts w:eastAsia="標楷體" w:hAnsi="標楷體"/>
        </w:rPr>
        <w:t>在民國</w:t>
      </w:r>
      <w:r>
        <w:rPr>
          <w:rFonts w:eastAsia="標楷體"/>
        </w:rPr>
        <w:t>58</w:t>
      </w:r>
      <w:r>
        <w:rPr>
          <w:rFonts w:eastAsia="標楷體" w:hAnsi="標楷體"/>
        </w:rPr>
        <w:t>年，公司名稱改為「東隆五金股份有限公司」，並增加資本額為新台幣六百萬元。在民國</w:t>
      </w:r>
      <w:r>
        <w:rPr>
          <w:rFonts w:eastAsia="標楷體"/>
        </w:rPr>
        <w:t>83</w:t>
      </w:r>
      <w:r>
        <w:rPr>
          <w:rFonts w:eastAsia="標楷體" w:hAnsi="標楷體"/>
        </w:rPr>
        <w:t>年時上市，在上市之初，由於其公司創新能力極高再加上市佔率大，在本業的</w:t>
      </w:r>
      <w:r>
        <w:rPr>
          <w:rFonts w:eastAsia="標楷體" w:hAnsi="標楷體"/>
        </w:rPr>
        <w:t>獲利一直表現不錯，公司在第一任董事長兼創辦人范耀鑫的領導下，而成為世界知名的喇叭鎖製造商，並且受到政府輔導下跨入小飛機起落架市場，是嘉義地方一大驕傲。</w:t>
      </w:r>
    </w:p>
    <w:p w:rsidR="00000000" w:rsidRDefault="00FD50C0">
      <w:pPr>
        <w:tabs>
          <w:tab w:val="left" w:pos="360"/>
        </w:tabs>
        <w:spacing w:afterLines="50"/>
        <w:jc w:val="both"/>
        <w:rPr>
          <w:rFonts w:eastAsia="標楷體" w:hAnsi="標楷體" w:hint="eastAsia"/>
          <w:b/>
          <w:bCs/>
          <w:sz w:val="32"/>
          <w:szCs w:val="28"/>
        </w:rPr>
      </w:pPr>
      <w:bookmarkStart w:id="2" w:name="_Toc42181739"/>
      <w:bookmarkStart w:id="3" w:name="_Toc42188611"/>
      <w:r>
        <w:rPr>
          <w:rFonts w:eastAsia="標楷體" w:hint="eastAsia"/>
          <w:b/>
          <w:bCs/>
          <w:sz w:val="32"/>
        </w:rPr>
        <w:t>二、事件概述</w:t>
      </w:r>
      <w:bookmarkEnd w:id="2"/>
      <w:bookmarkEnd w:id="3"/>
    </w:p>
    <w:p w:rsidR="00000000" w:rsidRDefault="00FD50C0">
      <w:pPr>
        <w:widowControl/>
        <w:spacing w:beforeLines="50" w:afterLines="50"/>
        <w:jc w:val="both"/>
        <w:outlineLvl w:val="1"/>
        <w:rPr>
          <w:rFonts w:eastAsia="標楷體"/>
          <w:b/>
          <w:bCs/>
          <w:sz w:val="28"/>
        </w:rPr>
      </w:pPr>
      <w:bookmarkStart w:id="4" w:name="_Toc42181740"/>
      <w:bookmarkStart w:id="5" w:name="_Toc42188612"/>
      <w:r>
        <w:rPr>
          <w:rFonts w:eastAsia="標楷體" w:hAnsi="標楷體" w:hint="eastAsia"/>
          <w:b/>
          <w:bCs/>
          <w:sz w:val="28"/>
        </w:rPr>
        <w:t>(</w:t>
      </w:r>
      <w:r>
        <w:rPr>
          <w:rFonts w:eastAsia="標楷體" w:hAnsi="標楷體" w:hint="eastAsia"/>
          <w:b/>
          <w:bCs/>
          <w:sz w:val="28"/>
        </w:rPr>
        <w:t>一</w:t>
      </w:r>
      <w:r>
        <w:rPr>
          <w:rFonts w:eastAsia="標楷體" w:hAnsi="標楷體" w:hint="eastAsia"/>
          <w:b/>
          <w:bCs/>
          <w:sz w:val="28"/>
        </w:rPr>
        <w:t>)</w:t>
      </w:r>
      <w:r>
        <w:rPr>
          <w:rFonts w:eastAsia="標楷體" w:hAnsi="標楷體" w:hint="eastAsia"/>
          <w:b/>
          <w:bCs/>
          <w:sz w:val="28"/>
        </w:rPr>
        <w:t>經營權爭奪戰</w:t>
      </w:r>
      <w:bookmarkEnd w:id="4"/>
      <w:bookmarkEnd w:id="5"/>
    </w:p>
    <w:p w:rsidR="00000000" w:rsidRDefault="00FD50C0">
      <w:pPr>
        <w:widowControl/>
        <w:spacing w:beforeLines="50" w:afterLines="50"/>
        <w:ind w:firstLine="480"/>
        <w:jc w:val="both"/>
        <w:rPr>
          <w:rFonts w:eastAsia="標楷體"/>
          <w:kern w:val="0"/>
        </w:rPr>
      </w:pPr>
      <w:r>
        <w:rPr>
          <w:rFonts w:eastAsia="標楷體" w:hAnsi="標楷體"/>
          <w:sz w:val="26"/>
          <w:szCs w:val="26"/>
        </w:rPr>
        <w:t>民國</w:t>
      </w:r>
      <w:r>
        <w:rPr>
          <w:rFonts w:eastAsia="標楷體"/>
          <w:sz w:val="26"/>
          <w:szCs w:val="26"/>
        </w:rPr>
        <w:t>80</w:t>
      </w:r>
      <w:r>
        <w:rPr>
          <w:rFonts w:eastAsia="標楷體" w:hAnsi="標楷體"/>
          <w:sz w:val="26"/>
          <w:szCs w:val="26"/>
        </w:rPr>
        <w:t>年初期是東隆五金最輝煌的時期，而民國</w:t>
      </w:r>
      <w:r>
        <w:rPr>
          <w:rFonts w:eastAsia="標楷體"/>
          <w:sz w:val="26"/>
          <w:szCs w:val="26"/>
        </w:rPr>
        <w:t>80</w:t>
      </w:r>
      <w:r>
        <w:rPr>
          <w:rFonts w:eastAsia="標楷體" w:hAnsi="標楷體"/>
          <w:sz w:val="26"/>
          <w:szCs w:val="26"/>
        </w:rPr>
        <w:t>年中期則是最動盪不安的時期。當時，創辦人</w:t>
      </w:r>
      <w:r>
        <w:rPr>
          <w:rFonts w:eastAsia="標楷體" w:hAnsi="標楷體"/>
          <w:kern w:val="0"/>
        </w:rPr>
        <w:t>范耀鑫去世，公司由其弟主事，但范耀鑫的第二代范芳源早在高中畢業後就進入公司工作。雖然是叔姪關係，但因雙方在相處中有些問題，加上范芳源在台北工作之胞弟范芳魁也返回嘉義幫忙家族事業，所以就產生了經營權爭奪戰，即：第一代（伯父范耀琦和叔父范耀彬</w:t>
      </w:r>
      <w:r>
        <w:rPr>
          <w:rFonts w:eastAsia="標楷體" w:hAnsi="標楷體"/>
          <w:kern w:val="0"/>
        </w:rPr>
        <w:t>）與第二代（范耀鑫之子：范芳源和范芳魁）爭奪東隆五金經營權。</w:t>
      </w:r>
    </w:p>
    <w:p w:rsidR="00000000" w:rsidRDefault="00FD50C0">
      <w:pPr>
        <w:widowControl/>
        <w:spacing w:beforeLines="50" w:afterLines="50"/>
        <w:ind w:firstLine="480"/>
        <w:jc w:val="both"/>
        <w:rPr>
          <w:rFonts w:eastAsia="標楷體"/>
          <w:kern w:val="0"/>
        </w:rPr>
      </w:pPr>
      <w:r>
        <w:rPr>
          <w:rFonts w:eastAsia="標楷體" w:hAnsi="標楷體"/>
          <w:kern w:val="0"/>
        </w:rPr>
        <w:t>范芳魁從台北回到嘉義幫忙，帶入許多金融市場想法，促使他們的觀點較貼近市場派的人士，而與董事派范耀琦和范耀彬發生理念上的衝突。市場派的范芳源和范芳魁利用以下方法獲得經營權：</w:t>
      </w:r>
    </w:p>
    <w:p w:rsidR="00000000" w:rsidRDefault="00FD50C0">
      <w:pPr>
        <w:widowControl/>
        <w:numPr>
          <w:ilvl w:val="1"/>
          <w:numId w:val="24"/>
        </w:numPr>
        <w:spacing w:beforeLines="50" w:afterLines="50"/>
        <w:jc w:val="both"/>
        <w:rPr>
          <w:rFonts w:eastAsia="標楷體"/>
          <w:kern w:val="0"/>
        </w:rPr>
      </w:pPr>
      <w:r>
        <w:rPr>
          <w:rFonts w:eastAsia="標楷體" w:hAnsi="標楷體"/>
          <w:kern w:val="0"/>
        </w:rPr>
        <w:t>與國民黨黨營事業的股東結盟，請其支持改組董事會，</w:t>
      </w:r>
    </w:p>
    <w:p w:rsidR="00000000" w:rsidRDefault="00FD50C0">
      <w:pPr>
        <w:widowControl/>
        <w:numPr>
          <w:ilvl w:val="1"/>
          <w:numId w:val="24"/>
        </w:numPr>
        <w:spacing w:beforeLines="50" w:afterLines="50"/>
        <w:jc w:val="both"/>
        <w:rPr>
          <w:rFonts w:eastAsia="標楷體"/>
          <w:kern w:val="0"/>
        </w:rPr>
      </w:pPr>
      <w:r>
        <w:rPr>
          <w:rFonts w:eastAsia="標楷體" w:hAnsi="標楷體"/>
          <w:kern w:val="0"/>
        </w:rPr>
        <w:t>購買股票；及</w:t>
      </w:r>
    </w:p>
    <w:p w:rsidR="00000000" w:rsidRDefault="00FD50C0">
      <w:pPr>
        <w:widowControl/>
        <w:numPr>
          <w:ilvl w:val="1"/>
          <w:numId w:val="24"/>
        </w:numPr>
        <w:spacing w:beforeLines="50" w:afterLines="50"/>
        <w:jc w:val="both"/>
        <w:rPr>
          <w:rFonts w:eastAsia="標楷體"/>
          <w:kern w:val="0"/>
        </w:rPr>
      </w:pPr>
      <w:r>
        <w:rPr>
          <w:rFonts w:eastAsia="標楷體" w:hAnsi="標楷體"/>
          <w:kern w:val="0"/>
        </w:rPr>
        <w:t>收購委託書聘請當時「委託書收購大王」，利用一股</w:t>
      </w:r>
      <w:r>
        <w:rPr>
          <w:rFonts w:eastAsia="標楷體"/>
          <w:kern w:val="0"/>
        </w:rPr>
        <w:t>500</w:t>
      </w:r>
      <w:r>
        <w:rPr>
          <w:rFonts w:eastAsia="標楷體" w:hAnsi="標楷體"/>
          <w:kern w:val="0"/>
        </w:rPr>
        <w:t>元代價請其幫忙收購委託書。</w:t>
      </w:r>
    </w:p>
    <w:p w:rsidR="00000000" w:rsidRDefault="00FD50C0">
      <w:pPr>
        <w:widowControl/>
        <w:spacing w:beforeLines="50" w:afterLines="50"/>
        <w:ind w:firstLine="480"/>
        <w:jc w:val="both"/>
        <w:rPr>
          <w:rFonts w:eastAsia="標楷體"/>
          <w:kern w:val="0"/>
        </w:rPr>
      </w:pPr>
      <w:r>
        <w:rPr>
          <w:rFonts w:eastAsia="標楷體" w:hAnsi="標楷體"/>
          <w:kern w:val="0"/>
        </w:rPr>
        <w:t>這些手法的目的在於增加東隆五金之持股數量，使范氏兄弟可以成為公司的最大股東，藉此該組董事會成員，得到公司的經營權。而透過上述方法，范芳</w:t>
      </w:r>
      <w:r>
        <w:rPr>
          <w:rFonts w:eastAsia="標楷體" w:hAnsi="標楷體"/>
          <w:kern w:val="0"/>
        </w:rPr>
        <w:t>源和范芳魁兩兄弟達成其目的，順利趕走伯父范耀琦和叔父范耀彬。也因此媒體報導時，多戲稱兩兄弟如同現代版王子復仇記。</w:t>
      </w:r>
    </w:p>
    <w:p w:rsidR="00000000" w:rsidRDefault="00FD50C0">
      <w:pPr>
        <w:widowControl/>
        <w:spacing w:beforeLines="50" w:afterLines="50"/>
        <w:ind w:firstLine="480"/>
        <w:jc w:val="both"/>
        <w:rPr>
          <w:rFonts w:eastAsia="標楷體"/>
          <w:kern w:val="0"/>
        </w:rPr>
      </w:pPr>
      <w:r>
        <w:rPr>
          <w:rFonts w:eastAsia="標楷體" w:hAnsi="標楷體"/>
          <w:kern w:val="0"/>
        </w:rPr>
        <w:t>爭奪經營權時，范芳源和范芳魁兩兄弟本身財力並不充裕，而大量購買自家股票靠的都是背後金主支撐，表面上風風光光地贏得經營權，但實際上去背負近二十億的私人負債，因為其借貸之擔保品皆為東隆五金之股票，只要公司股票跌破</w:t>
      </w:r>
      <w:r>
        <w:rPr>
          <w:rFonts w:eastAsia="標楷體"/>
          <w:kern w:val="0"/>
        </w:rPr>
        <w:t>45</w:t>
      </w:r>
      <w:r>
        <w:rPr>
          <w:rFonts w:eastAsia="標楷體" w:hAnsi="標楷體"/>
          <w:kern w:val="0"/>
        </w:rPr>
        <w:t>元時，范氏兩兄弟即會面臨擔保品不足，慘遭股票斷頭及抽銀根之困境。為了爭奪經營權，導致范氏兩兄弟背負了二十億的私人負債及維持股價之壓力。</w:t>
      </w:r>
    </w:p>
    <w:p w:rsidR="00000000" w:rsidRDefault="00FD50C0">
      <w:pPr>
        <w:widowControl/>
        <w:spacing w:beforeLines="50" w:afterLines="50"/>
        <w:jc w:val="both"/>
        <w:outlineLvl w:val="1"/>
        <w:rPr>
          <w:rFonts w:eastAsia="標楷體"/>
          <w:b/>
          <w:bCs/>
          <w:kern w:val="0"/>
          <w:sz w:val="28"/>
        </w:rPr>
      </w:pPr>
      <w:bookmarkStart w:id="6" w:name="_Toc42181741"/>
      <w:bookmarkStart w:id="7" w:name="_Toc42188613"/>
      <w:r>
        <w:rPr>
          <w:rFonts w:eastAsia="標楷體" w:hAnsi="標楷體" w:hint="eastAsia"/>
          <w:b/>
          <w:bCs/>
          <w:kern w:val="0"/>
          <w:sz w:val="28"/>
        </w:rPr>
        <w:t>(</w:t>
      </w:r>
      <w:r>
        <w:rPr>
          <w:rFonts w:eastAsia="標楷體" w:hAnsi="標楷體" w:hint="eastAsia"/>
          <w:b/>
          <w:bCs/>
          <w:kern w:val="0"/>
          <w:sz w:val="28"/>
        </w:rPr>
        <w:t>二</w:t>
      </w:r>
      <w:r>
        <w:rPr>
          <w:rFonts w:eastAsia="標楷體" w:hAnsi="標楷體" w:hint="eastAsia"/>
          <w:b/>
          <w:bCs/>
          <w:kern w:val="0"/>
          <w:sz w:val="28"/>
        </w:rPr>
        <w:t>)</w:t>
      </w:r>
      <w:r>
        <w:rPr>
          <w:rFonts w:eastAsia="標楷體" w:hAnsi="標楷體"/>
          <w:b/>
          <w:bCs/>
          <w:kern w:val="0"/>
          <w:sz w:val="28"/>
        </w:rPr>
        <w:t>掏空</w:t>
      </w:r>
      <w:r>
        <w:rPr>
          <w:rFonts w:eastAsia="標楷體" w:hAnsi="標楷體"/>
          <w:b/>
          <w:bCs/>
          <w:sz w:val="28"/>
        </w:rPr>
        <w:t>至重整</w:t>
      </w:r>
      <w:bookmarkEnd w:id="6"/>
      <w:bookmarkEnd w:id="7"/>
    </w:p>
    <w:p w:rsidR="00000000" w:rsidRDefault="00FD50C0">
      <w:pPr>
        <w:widowControl/>
        <w:spacing w:beforeLines="50" w:afterLines="50"/>
        <w:ind w:firstLine="480"/>
        <w:jc w:val="both"/>
        <w:rPr>
          <w:rFonts w:eastAsia="標楷體"/>
          <w:kern w:val="0"/>
        </w:rPr>
      </w:pPr>
      <w:r>
        <w:rPr>
          <w:rFonts w:eastAsia="標楷體" w:hAnsi="標楷體"/>
          <w:kern w:val="0"/>
        </w:rPr>
        <w:t>范氏兩兄弟企圖解決此一問題，也為</w:t>
      </w:r>
      <w:r>
        <w:rPr>
          <w:rFonts w:eastAsia="標楷體" w:hAnsi="標楷體"/>
          <w:kern w:val="0"/>
        </w:rPr>
        <w:t>追求企業成長，逐進行公司多角化，人面廣泛，經營風格大膽的范芳魁為多角化的主導者，大膽地擴充負債引入資金，進行大規模投資計畫，投資地點從大陸，菲律賓到新加坡，投資領域從製鎖本業到</w:t>
      </w:r>
      <w:r>
        <w:rPr>
          <w:rFonts w:eastAsia="標楷體"/>
          <w:kern w:val="0"/>
        </w:rPr>
        <w:t>LCD</w:t>
      </w:r>
      <w:r>
        <w:rPr>
          <w:rFonts w:eastAsia="標楷體" w:hAnsi="標楷體"/>
          <w:kern w:val="0"/>
        </w:rPr>
        <w:t>，房地產及股票等，負債比率也因此節節提高。</w:t>
      </w:r>
    </w:p>
    <w:p w:rsidR="00000000" w:rsidRDefault="00FD50C0">
      <w:pPr>
        <w:widowControl/>
        <w:spacing w:beforeLines="50" w:afterLines="50"/>
        <w:ind w:firstLine="480"/>
        <w:jc w:val="both"/>
        <w:rPr>
          <w:rFonts w:eastAsia="標楷體"/>
          <w:kern w:val="0"/>
        </w:rPr>
      </w:pPr>
      <w:r>
        <w:rPr>
          <w:rFonts w:eastAsia="標楷體" w:hAnsi="標楷體"/>
          <w:kern w:val="0"/>
        </w:rPr>
        <w:t>但多角化投資的效益卻無法彰顯。在房地產方面，當時台灣的房地產價格正在下跌，范氏兩兄弟與其他八家公司共同投資開發台北小坪頂（稱為陽明山莊），又適逢林肯大郡事件，導致完工後的陽明山莊因位於山邊而銷售遲緩，也讓大力促成此投資之范芳魁後悔跨入營建業，並表示陽明山莊結案後東隆五金不再跨入營建業，</w:t>
      </w:r>
      <w:r>
        <w:rPr>
          <w:rFonts w:eastAsia="標楷體" w:hAnsi="標楷體"/>
          <w:kern w:val="0"/>
        </w:rPr>
        <w:t>但為時已晚，東隆五金又積壓了</w:t>
      </w:r>
      <w:r>
        <w:rPr>
          <w:rFonts w:eastAsia="標楷體"/>
          <w:kern w:val="0"/>
        </w:rPr>
        <w:t>24</w:t>
      </w:r>
      <w:r>
        <w:rPr>
          <w:rFonts w:eastAsia="標楷體" w:hAnsi="標楷體"/>
          <w:kern w:val="0"/>
        </w:rPr>
        <w:t>億資金，這對於資本額只有</w:t>
      </w:r>
      <w:r>
        <w:rPr>
          <w:rFonts w:eastAsia="標楷體"/>
          <w:kern w:val="0"/>
        </w:rPr>
        <w:t>30</w:t>
      </w:r>
      <w:r>
        <w:rPr>
          <w:rFonts w:eastAsia="標楷體" w:hAnsi="標楷體"/>
          <w:kern w:val="0"/>
        </w:rPr>
        <w:t>億的東隆五金而言，的確是一個沉重的負荷。</w:t>
      </w:r>
    </w:p>
    <w:p w:rsidR="00000000" w:rsidRDefault="00FD50C0">
      <w:pPr>
        <w:widowControl/>
        <w:spacing w:beforeLines="50" w:afterLines="50"/>
        <w:ind w:firstLine="480"/>
        <w:jc w:val="both"/>
        <w:rPr>
          <w:rFonts w:eastAsia="標楷體"/>
          <w:kern w:val="0"/>
        </w:rPr>
      </w:pPr>
      <w:r>
        <w:rPr>
          <w:rFonts w:eastAsia="標楷體" w:hAnsi="標楷體"/>
          <w:kern w:val="0"/>
        </w:rPr>
        <w:t>在金融市場上，則因范芳魁人脈廣闊，認為擁有許多股市內部資訊，逐利用個人及公司資本進行投資，其包括：中織、和泰、景泰、新織、國產車、華隆和信元等股票，後又增加順大裕、台鳳、聚亨、宏福、駿達等頗受爭議的股票，至</w:t>
      </w:r>
      <w:r>
        <w:rPr>
          <w:rFonts w:eastAsia="標楷體"/>
          <w:kern w:val="0"/>
        </w:rPr>
        <w:t>87</w:t>
      </w:r>
      <w:r>
        <w:rPr>
          <w:rFonts w:eastAsia="標楷體" w:hAnsi="標楷體"/>
          <w:kern w:val="0"/>
        </w:rPr>
        <w:t>年</w:t>
      </w:r>
      <w:r>
        <w:rPr>
          <w:rFonts w:eastAsia="標楷體"/>
          <w:kern w:val="0"/>
        </w:rPr>
        <w:t>9</w:t>
      </w:r>
      <w:r>
        <w:rPr>
          <w:rFonts w:eastAsia="標楷體" w:hAnsi="標楷體"/>
          <w:kern w:val="0"/>
        </w:rPr>
        <w:t>月底，東隆列表長期投資的對象就有</w:t>
      </w:r>
      <w:r>
        <w:rPr>
          <w:rFonts w:eastAsia="標楷體"/>
          <w:kern w:val="0"/>
        </w:rPr>
        <w:t>26</w:t>
      </w:r>
      <w:r>
        <w:rPr>
          <w:rFonts w:eastAsia="標楷體" w:hAnsi="標楷體"/>
          <w:kern w:val="0"/>
        </w:rPr>
        <w:t>家，帳列金額約</w:t>
      </w:r>
      <w:r>
        <w:rPr>
          <w:rFonts w:eastAsia="標楷體"/>
          <w:kern w:val="0"/>
        </w:rPr>
        <w:t>44.3</w:t>
      </w:r>
      <w:r>
        <w:rPr>
          <w:rFonts w:eastAsia="標楷體" w:hAnsi="標楷體"/>
          <w:kern w:val="0"/>
        </w:rPr>
        <w:t>億元，其中自</w:t>
      </w:r>
      <w:r>
        <w:rPr>
          <w:rFonts w:eastAsia="標楷體"/>
          <w:kern w:val="0"/>
        </w:rPr>
        <w:t>85</w:t>
      </w:r>
      <w:r>
        <w:rPr>
          <w:rFonts w:eastAsia="標楷體" w:hAnsi="標楷體"/>
          <w:kern w:val="0"/>
        </w:rPr>
        <w:t>年</w:t>
      </w:r>
      <w:r>
        <w:rPr>
          <w:rFonts w:eastAsia="標楷體"/>
          <w:kern w:val="0"/>
        </w:rPr>
        <w:t>5</w:t>
      </w:r>
      <w:r>
        <w:rPr>
          <w:rFonts w:eastAsia="標楷體" w:hAnsi="標楷體"/>
          <w:kern w:val="0"/>
        </w:rPr>
        <w:t>月</w:t>
      </w:r>
      <w:r>
        <w:rPr>
          <w:rFonts w:eastAsia="標楷體"/>
          <w:kern w:val="0"/>
        </w:rPr>
        <w:t>10</w:t>
      </w:r>
      <w:r>
        <w:rPr>
          <w:rFonts w:eastAsia="標楷體" w:hAnsi="標楷體"/>
          <w:kern w:val="0"/>
        </w:rPr>
        <w:t>日范芳源擔任董事長、范芳魁擔任總經理投資之公司更多達</w:t>
      </w:r>
      <w:r>
        <w:rPr>
          <w:rFonts w:eastAsia="標楷體"/>
          <w:kern w:val="0"/>
        </w:rPr>
        <w:t>16</w:t>
      </w:r>
      <w:r>
        <w:rPr>
          <w:rFonts w:eastAsia="標楷體" w:hAnsi="標楷體"/>
          <w:kern w:val="0"/>
        </w:rPr>
        <w:t>家。但在民國</w:t>
      </w:r>
      <w:r>
        <w:rPr>
          <w:rFonts w:eastAsia="標楷體"/>
          <w:kern w:val="0"/>
        </w:rPr>
        <w:t>87</w:t>
      </w:r>
      <w:r>
        <w:rPr>
          <w:rFonts w:eastAsia="標楷體" w:hAnsi="標楷體"/>
          <w:kern w:val="0"/>
        </w:rPr>
        <w:t>年，東南亞金融風暴，國內股市失去昔日榮景</w:t>
      </w:r>
      <w:r>
        <w:rPr>
          <w:rFonts w:eastAsia="標楷體" w:hAnsi="標楷體"/>
          <w:kern w:val="0"/>
        </w:rPr>
        <w:t>，導致在業外短期股票投資虧損而套牢。</w:t>
      </w:r>
    </w:p>
    <w:p w:rsidR="00000000" w:rsidRDefault="00FD50C0">
      <w:pPr>
        <w:widowControl/>
        <w:spacing w:beforeLines="50" w:afterLines="50"/>
        <w:ind w:firstLine="480"/>
        <w:jc w:val="both"/>
        <w:rPr>
          <w:rFonts w:eastAsia="標楷體"/>
          <w:kern w:val="0"/>
        </w:rPr>
      </w:pPr>
      <w:r>
        <w:rPr>
          <w:rFonts w:eastAsia="標楷體" w:hAnsi="標楷體"/>
          <w:kern w:val="0"/>
        </w:rPr>
        <w:t>范芳魁慘遭的不順，使他更加擴大其在爭奪經營權時所背負的債務和股價壓力。一方面，范氏兄弟為了避免股價下跌造成賣壓，故利用東泰、東華等投資公司替母公司股價護盤，再用買進的股價向金融機構押借錢，並由東隆背書保證。另外東隆還透過海外公司發行債劵，以幕取資金操作衍生性金融商品或再投入國內股市，取得其他上市上櫃公司大量股權或經營權（如：景泰、駿達），造成高財務槓桿。另一方面，為了清償債務的利息，范芳魁便巧立各種名目或利用職權之便，挪用東隆五金公款進行投機事業，例如：丙種墊款，投資股</w:t>
      </w:r>
      <w:r>
        <w:rPr>
          <w:rFonts w:eastAsia="標楷體" w:hAnsi="標楷體"/>
          <w:kern w:val="0"/>
        </w:rPr>
        <w:t>票，反而落入惡性循環之圈套，再挪用公款進行高風險投資計畫，而無法自拔，總使公司出現財務危機。</w:t>
      </w:r>
    </w:p>
    <w:p w:rsidR="00000000" w:rsidRDefault="00FD50C0">
      <w:pPr>
        <w:spacing w:beforeLines="50" w:afterLines="50"/>
        <w:ind w:firstLine="482"/>
        <w:jc w:val="both"/>
        <w:rPr>
          <w:rFonts w:eastAsia="標楷體"/>
        </w:rPr>
      </w:pPr>
      <w:r>
        <w:rPr>
          <w:rFonts w:eastAsia="標楷體" w:hAnsi="標楷體"/>
        </w:rPr>
        <w:t>民國</w:t>
      </w:r>
      <w:r>
        <w:rPr>
          <w:rFonts w:eastAsia="標楷體"/>
        </w:rPr>
        <w:t>87</w:t>
      </w:r>
      <w:r>
        <w:rPr>
          <w:rFonts w:eastAsia="標楷體" w:hAnsi="標楷體"/>
        </w:rPr>
        <w:t>年，該公司因故無法如期提供第三季財務報表，證期會依法公告該公司於</w:t>
      </w:r>
      <w:r>
        <w:rPr>
          <w:rFonts w:eastAsia="標楷體"/>
        </w:rPr>
        <w:t>11</w:t>
      </w:r>
      <w:r>
        <w:rPr>
          <w:rFonts w:eastAsia="標楷體" w:hAnsi="標楷體"/>
        </w:rPr>
        <w:t>月</w:t>
      </w:r>
      <w:r>
        <w:rPr>
          <w:rFonts w:eastAsia="標楷體"/>
        </w:rPr>
        <w:t>6</w:t>
      </w:r>
      <w:r>
        <w:rPr>
          <w:rFonts w:eastAsia="標楷體" w:hAnsi="標楷體"/>
        </w:rPr>
        <w:t>日起暫停交易。而董事會為維持公司繼續營運及保障員工、社會投資大眾股東及債權人之權益，向嘉義地方法院提起公司重整聲請，但其於</w:t>
      </w:r>
      <w:r>
        <w:rPr>
          <w:rFonts w:eastAsia="標楷體"/>
        </w:rPr>
        <w:t>87</w:t>
      </w:r>
      <w:r>
        <w:rPr>
          <w:rFonts w:eastAsia="標楷體" w:hAnsi="標楷體"/>
        </w:rPr>
        <w:t>年</w:t>
      </w:r>
      <w:r>
        <w:rPr>
          <w:rFonts w:eastAsia="標楷體"/>
        </w:rPr>
        <w:t>12</w:t>
      </w:r>
      <w:r>
        <w:rPr>
          <w:rFonts w:eastAsia="標楷體" w:hAnsi="標楷體"/>
        </w:rPr>
        <w:t>月遭法院駁回。然而，為考量公司繼續經營及避免財務問題擴大，遂由債權銀行代表，於</w:t>
      </w:r>
      <w:r>
        <w:rPr>
          <w:rFonts w:eastAsia="標楷體"/>
        </w:rPr>
        <w:t>88</w:t>
      </w:r>
      <w:r>
        <w:rPr>
          <w:rFonts w:eastAsia="標楷體" w:hAnsi="標楷體"/>
        </w:rPr>
        <w:t>年</w:t>
      </w:r>
      <w:r>
        <w:rPr>
          <w:rFonts w:eastAsia="標楷體"/>
        </w:rPr>
        <w:t>1</w:t>
      </w:r>
      <w:r>
        <w:rPr>
          <w:rFonts w:eastAsia="標楷體" w:hAnsi="標楷體"/>
        </w:rPr>
        <w:t>月</w:t>
      </w:r>
      <w:r>
        <w:rPr>
          <w:rFonts w:eastAsia="標楷體"/>
        </w:rPr>
        <w:t>15</w:t>
      </w:r>
      <w:r>
        <w:rPr>
          <w:rFonts w:eastAsia="標楷體" w:hAnsi="標楷體"/>
        </w:rPr>
        <w:t>日提起公司重整之聲請，並於</w:t>
      </w:r>
      <w:r>
        <w:rPr>
          <w:rFonts w:eastAsia="標楷體"/>
        </w:rPr>
        <w:t>4</w:t>
      </w:r>
      <w:r>
        <w:rPr>
          <w:rFonts w:eastAsia="標楷體" w:hAnsi="標楷體"/>
        </w:rPr>
        <w:t>月</w:t>
      </w:r>
      <w:r>
        <w:rPr>
          <w:rFonts w:eastAsia="標楷體"/>
        </w:rPr>
        <w:t>28</w:t>
      </w:r>
      <w:r>
        <w:rPr>
          <w:rFonts w:eastAsia="標楷體" w:hAnsi="標楷體"/>
        </w:rPr>
        <w:t>日獲得嘉義地方法院准予重整之裁定。於</w:t>
      </w:r>
      <w:r>
        <w:rPr>
          <w:rFonts w:eastAsia="標楷體"/>
        </w:rPr>
        <w:t>8</w:t>
      </w:r>
      <w:r>
        <w:rPr>
          <w:rFonts w:eastAsia="標楷體" w:hAnsi="標楷體"/>
        </w:rPr>
        <w:t>月</w:t>
      </w:r>
      <w:r>
        <w:rPr>
          <w:rFonts w:eastAsia="標楷體"/>
        </w:rPr>
        <w:t>11</w:t>
      </w:r>
      <w:r>
        <w:rPr>
          <w:rFonts w:eastAsia="標楷體" w:hAnsi="標楷體"/>
        </w:rPr>
        <w:t>日召開之第二次關係人會議中，通過重整</w:t>
      </w:r>
      <w:r>
        <w:rPr>
          <w:rFonts w:eastAsia="標楷體" w:hAnsi="標楷體"/>
        </w:rPr>
        <w:t>計畫可決；</w:t>
      </w:r>
      <w:r>
        <w:rPr>
          <w:rFonts w:eastAsia="標楷體"/>
        </w:rPr>
        <w:t>12</w:t>
      </w:r>
      <w:r>
        <w:rPr>
          <w:rFonts w:eastAsia="標楷體" w:hAnsi="標楷體"/>
        </w:rPr>
        <w:t>月</w:t>
      </w:r>
      <w:r>
        <w:rPr>
          <w:rFonts w:eastAsia="標楷體"/>
        </w:rPr>
        <w:t>23</w:t>
      </w:r>
      <w:r>
        <w:rPr>
          <w:rFonts w:eastAsia="標楷體" w:hAnsi="標楷體"/>
        </w:rPr>
        <w:t>日重整計劃獲法院認可裁定。民國</w:t>
      </w:r>
      <w:r>
        <w:rPr>
          <w:rFonts w:eastAsia="標楷體"/>
        </w:rPr>
        <w:t>89</w:t>
      </w:r>
      <w:r>
        <w:rPr>
          <w:rFonts w:eastAsia="標楷體" w:hAnsi="標楷體"/>
        </w:rPr>
        <w:t>年</w:t>
      </w:r>
      <w:r>
        <w:rPr>
          <w:rFonts w:eastAsia="標楷體"/>
        </w:rPr>
        <w:t>1</w:t>
      </w:r>
      <w:r>
        <w:rPr>
          <w:rFonts w:eastAsia="標楷體" w:hAnsi="標楷體"/>
        </w:rPr>
        <w:t>月</w:t>
      </w:r>
      <w:r>
        <w:rPr>
          <w:rFonts w:eastAsia="標楷體"/>
        </w:rPr>
        <w:t>6</w:t>
      </w:r>
      <w:r>
        <w:rPr>
          <w:rFonts w:eastAsia="標楷體" w:hAnsi="標楷體"/>
        </w:rPr>
        <w:t>日，重整計畫獲法院裁定認可確定，並於</w:t>
      </w:r>
      <w:r>
        <w:rPr>
          <w:rFonts w:eastAsia="標楷體"/>
        </w:rPr>
        <w:t>90</w:t>
      </w:r>
      <w:r>
        <w:rPr>
          <w:rFonts w:eastAsia="標楷體" w:hAnsi="標楷體"/>
        </w:rPr>
        <w:t>年</w:t>
      </w:r>
      <w:r>
        <w:rPr>
          <w:rFonts w:eastAsia="標楷體"/>
        </w:rPr>
        <w:t>5</w:t>
      </w:r>
      <w:r>
        <w:rPr>
          <w:rFonts w:eastAsia="標楷體" w:hAnsi="標楷體"/>
        </w:rPr>
        <w:t>月</w:t>
      </w:r>
      <w:r>
        <w:rPr>
          <w:rFonts w:eastAsia="標楷體"/>
        </w:rPr>
        <w:t>30</w:t>
      </w:r>
      <w:r>
        <w:rPr>
          <w:rFonts w:eastAsia="標楷體" w:hAnsi="標楷體"/>
        </w:rPr>
        <w:t>日獲法院裁定重整完成。</w:t>
      </w:r>
    </w:p>
    <w:p w:rsidR="00000000" w:rsidRDefault="00FD50C0">
      <w:pPr>
        <w:pStyle w:val="a6"/>
        <w:keepNext/>
        <w:rPr>
          <w:rFonts w:ascii="標楷體" w:eastAsia="標楷體" w:hAnsi="標楷體" w:hint="eastAsia"/>
        </w:rPr>
      </w:pPr>
      <w:r>
        <w:rPr>
          <w:rFonts w:ascii="標楷體" w:eastAsia="標楷體" w:hAnsi="標楷體" w:hint="eastAsia"/>
        </w:rPr>
        <w:t>表一、東隆五金公司大事紀</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6174"/>
      </w:tblGrid>
      <w:tr w:rsidR="00000000">
        <w:tc>
          <w:tcPr>
            <w:tcW w:w="2188" w:type="dxa"/>
          </w:tcPr>
          <w:p w:rsidR="00000000" w:rsidRDefault="00FD50C0">
            <w:pPr>
              <w:rPr>
                <w:rFonts w:eastAsia="標楷體"/>
              </w:rPr>
            </w:pPr>
            <w:r>
              <w:rPr>
                <w:rFonts w:eastAsia="標楷體" w:hAnsi="標楷體"/>
              </w:rPr>
              <w:t>民國</w:t>
            </w:r>
            <w:r>
              <w:rPr>
                <w:rFonts w:eastAsia="標楷體"/>
              </w:rPr>
              <w:t>43</w:t>
            </w:r>
            <w:r>
              <w:rPr>
                <w:rFonts w:eastAsia="標楷體" w:hAnsi="標楷體"/>
              </w:rPr>
              <w:t>年</w:t>
            </w:r>
          </w:p>
        </w:tc>
        <w:tc>
          <w:tcPr>
            <w:tcW w:w="6174" w:type="dxa"/>
          </w:tcPr>
          <w:p w:rsidR="00000000" w:rsidRDefault="00FD50C0">
            <w:pPr>
              <w:rPr>
                <w:rFonts w:eastAsia="標楷體"/>
              </w:rPr>
            </w:pPr>
            <w:r>
              <w:rPr>
                <w:rFonts w:eastAsia="標楷體" w:hAnsi="標楷體"/>
              </w:rPr>
              <w:t>范耀鑫創立「東興加工廠」。</w:t>
            </w:r>
          </w:p>
        </w:tc>
      </w:tr>
      <w:tr w:rsidR="00000000">
        <w:tc>
          <w:tcPr>
            <w:tcW w:w="2188" w:type="dxa"/>
          </w:tcPr>
          <w:p w:rsidR="00000000" w:rsidRDefault="00FD50C0">
            <w:pPr>
              <w:rPr>
                <w:rFonts w:eastAsia="標楷體"/>
              </w:rPr>
            </w:pPr>
            <w:r>
              <w:rPr>
                <w:rFonts w:eastAsia="標楷體" w:hAnsi="標楷體"/>
              </w:rPr>
              <w:t>民國</w:t>
            </w:r>
            <w:r>
              <w:rPr>
                <w:rFonts w:eastAsia="標楷體"/>
              </w:rPr>
              <w:t>53</w:t>
            </w:r>
            <w:r>
              <w:rPr>
                <w:rFonts w:eastAsia="標楷體" w:hAnsi="標楷體"/>
              </w:rPr>
              <w:t>年</w:t>
            </w:r>
          </w:p>
        </w:tc>
        <w:tc>
          <w:tcPr>
            <w:tcW w:w="6174" w:type="dxa"/>
          </w:tcPr>
          <w:p w:rsidR="00000000" w:rsidRDefault="00FD50C0">
            <w:pPr>
              <w:rPr>
                <w:rFonts w:eastAsia="標楷體"/>
              </w:rPr>
            </w:pPr>
            <w:r>
              <w:rPr>
                <w:rFonts w:eastAsia="標楷體" w:hAnsi="標楷體"/>
              </w:rPr>
              <w:t>一月一日創立內銷自有品牌「</w:t>
            </w:r>
            <w:r>
              <w:rPr>
                <w:rFonts w:eastAsia="標楷體"/>
              </w:rPr>
              <w:t>LUCKY</w:t>
            </w:r>
            <w:r>
              <w:rPr>
                <w:rFonts w:eastAsia="標楷體" w:hAnsi="標楷體"/>
              </w:rPr>
              <w:t>」。</w:t>
            </w:r>
          </w:p>
        </w:tc>
      </w:tr>
      <w:tr w:rsidR="00000000">
        <w:tc>
          <w:tcPr>
            <w:tcW w:w="2188" w:type="dxa"/>
          </w:tcPr>
          <w:p w:rsidR="00000000" w:rsidRDefault="00FD50C0">
            <w:pPr>
              <w:rPr>
                <w:rFonts w:eastAsia="標楷體"/>
              </w:rPr>
            </w:pPr>
            <w:r>
              <w:rPr>
                <w:rFonts w:eastAsia="標楷體" w:hAnsi="標楷體"/>
              </w:rPr>
              <w:t>民國</w:t>
            </w:r>
            <w:r>
              <w:rPr>
                <w:rFonts w:eastAsia="標楷體"/>
              </w:rPr>
              <w:t>55</w:t>
            </w:r>
            <w:r>
              <w:rPr>
                <w:rFonts w:eastAsia="標楷體" w:hAnsi="標楷體"/>
              </w:rPr>
              <w:t>年</w:t>
            </w:r>
          </w:p>
        </w:tc>
        <w:tc>
          <w:tcPr>
            <w:tcW w:w="6174" w:type="dxa"/>
          </w:tcPr>
          <w:p w:rsidR="00000000" w:rsidRDefault="00FD50C0">
            <w:pPr>
              <w:rPr>
                <w:rFonts w:eastAsia="標楷體"/>
              </w:rPr>
            </w:pPr>
            <w:r>
              <w:rPr>
                <w:rFonts w:eastAsia="標楷體" w:hAnsi="標楷體"/>
              </w:rPr>
              <w:t>自行開發成功製鎖技術，開始研發圓柱形喇叭門鎖。</w:t>
            </w:r>
          </w:p>
        </w:tc>
      </w:tr>
      <w:tr w:rsidR="00000000">
        <w:tc>
          <w:tcPr>
            <w:tcW w:w="2188" w:type="dxa"/>
          </w:tcPr>
          <w:p w:rsidR="00000000" w:rsidRDefault="00FD50C0">
            <w:pPr>
              <w:rPr>
                <w:rFonts w:eastAsia="標楷體"/>
              </w:rPr>
            </w:pPr>
            <w:r>
              <w:rPr>
                <w:rFonts w:eastAsia="標楷體" w:hAnsi="標楷體"/>
              </w:rPr>
              <w:t>民國</w:t>
            </w:r>
            <w:r>
              <w:rPr>
                <w:rFonts w:eastAsia="標楷體"/>
              </w:rPr>
              <w:t>58</w:t>
            </w:r>
            <w:r>
              <w:rPr>
                <w:rFonts w:eastAsia="標楷體" w:hAnsi="標楷體"/>
              </w:rPr>
              <w:t>年</w:t>
            </w:r>
          </w:p>
        </w:tc>
        <w:tc>
          <w:tcPr>
            <w:tcW w:w="6174" w:type="dxa"/>
          </w:tcPr>
          <w:p w:rsidR="00000000" w:rsidRDefault="00FD50C0">
            <w:pPr>
              <w:rPr>
                <w:rFonts w:eastAsia="標楷體"/>
              </w:rPr>
            </w:pPr>
            <w:r>
              <w:rPr>
                <w:rFonts w:eastAsia="標楷體" w:hAnsi="標楷體"/>
              </w:rPr>
              <w:t>公司名稱改為東隆五金工業有限公司。</w:t>
            </w:r>
          </w:p>
          <w:p w:rsidR="00000000" w:rsidRDefault="00FD50C0">
            <w:pPr>
              <w:rPr>
                <w:rFonts w:eastAsia="標楷體"/>
              </w:rPr>
            </w:pPr>
            <w:r>
              <w:rPr>
                <w:rFonts w:eastAsia="標楷體" w:hAnsi="標楷體"/>
              </w:rPr>
              <w:t>增加資本額為新台幣六百萬元。</w:t>
            </w:r>
          </w:p>
        </w:tc>
      </w:tr>
      <w:tr w:rsidR="00000000">
        <w:tc>
          <w:tcPr>
            <w:tcW w:w="2188" w:type="dxa"/>
          </w:tcPr>
          <w:p w:rsidR="00000000" w:rsidRDefault="00FD50C0">
            <w:pPr>
              <w:rPr>
                <w:rFonts w:eastAsia="標楷體"/>
              </w:rPr>
            </w:pPr>
            <w:r>
              <w:rPr>
                <w:rFonts w:eastAsia="標楷體" w:hAnsi="標楷體"/>
              </w:rPr>
              <w:t>民國</w:t>
            </w:r>
            <w:r>
              <w:rPr>
                <w:rFonts w:eastAsia="標楷體"/>
              </w:rPr>
              <w:t>64</w:t>
            </w:r>
            <w:r>
              <w:rPr>
                <w:rFonts w:eastAsia="標楷體" w:hAnsi="標楷體"/>
              </w:rPr>
              <w:t>年</w:t>
            </w:r>
          </w:p>
        </w:tc>
        <w:tc>
          <w:tcPr>
            <w:tcW w:w="6174" w:type="dxa"/>
          </w:tcPr>
          <w:p w:rsidR="00000000" w:rsidRDefault="00FD50C0">
            <w:pPr>
              <w:rPr>
                <w:rFonts w:eastAsia="標楷體"/>
              </w:rPr>
            </w:pPr>
            <w:r>
              <w:rPr>
                <w:rFonts w:eastAsia="標楷體" w:hAnsi="標楷體"/>
              </w:rPr>
              <w:t>榮獲中華民國第二屆建材金龍獎。</w:t>
            </w:r>
          </w:p>
        </w:tc>
      </w:tr>
      <w:tr w:rsidR="00000000">
        <w:tc>
          <w:tcPr>
            <w:tcW w:w="2188" w:type="dxa"/>
          </w:tcPr>
          <w:p w:rsidR="00000000" w:rsidRDefault="00FD50C0">
            <w:pPr>
              <w:rPr>
                <w:rFonts w:eastAsia="標楷體"/>
              </w:rPr>
            </w:pPr>
            <w:r>
              <w:rPr>
                <w:rFonts w:eastAsia="標楷體" w:hAnsi="標楷體"/>
              </w:rPr>
              <w:t>民國</w:t>
            </w:r>
            <w:r>
              <w:rPr>
                <w:rFonts w:eastAsia="標楷體"/>
              </w:rPr>
              <w:t>65</w:t>
            </w:r>
            <w:r>
              <w:rPr>
                <w:rFonts w:eastAsia="標楷體" w:hAnsi="標楷體"/>
              </w:rPr>
              <w:t>年</w:t>
            </w:r>
          </w:p>
        </w:tc>
        <w:tc>
          <w:tcPr>
            <w:tcW w:w="6174" w:type="dxa"/>
          </w:tcPr>
          <w:p w:rsidR="00000000" w:rsidRDefault="00FD50C0">
            <w:pPr>
              <w:rPr>
                <w:rFonts w:eastAsia="標楷體"/>
              </w:rPr>
            </w:pPr>
            <w:r>
              <w:rPr>
                <w:rFonts w:eastAsia="標楷體" w:hAnsi="標楷體"/>
              </w:rPr>
              <w:t>積極推行品質管制，購置精密檢驗儀器，推動自動化作業，</w:t>
            </w:r>
            <w:r>
              <w:rPr>
                <w:rFonts w:eastAsia="標楷體" w:hAnsi="標楷體"/>
              </w:rPr>
              <w:t>三月經商品檢驗局評核為第一家圓柱型門鎖外銷合格廠。</w:t>
            </w:r>
          </w:p>
        </w:tc>
      </w:tr>
      <w:tr w:rsidR="00000000">
        <w:tc>
          <w:tcPr>
            <w:tcW w:w="2188" w:type="dxa"/>
          </w:tcPr>
          <w:p w:rsidR="00000000" w:rsidRDefault="00FD50C0">
            <w:pPr>
              <w:rPr>
                <w:rFonts w:eastAsia="標楷體"/>
              </w:rPr>
            </w:pPr>
            <w:r>
              <w:rPr>
                <w:rFonts w:eastAsia="標楷體" w:hAnsi="標楷體"/>
              </w:rPr>
              <w:t>民國</w:t>
            </w:r>
            <w:r>
              <w:rPr>
                <w:rFonts w:eastAsia="標楷體"/>
              </w:rPr>
              <w:t>66</w:t>
            </w:r>
            <w:r>
              <w:rPr>
                <w:rFonts w:eastAsia="標楷體" w:hAnsi="標楷體"/>
              </w:rPr>
              <w:t>年</w:t>
            </w:r>
          </w:p>
        </w:tc>
        <w:tc>
          <w:tcPr>
            <w:tcW w:w="6174" w:type="dxa"/>
          </w:tcPr>
          <w:p w:rsidR="00000000" w:rsidRDefault="00FD50C0">
            <w:pPr>
              <w:rPr>
                <w:rFonts w:eastAsia="標楷體"/>
              </w:rPr>
            </w:pPr>
            <w:r>
              <w:rPr>
                <w:rFonts w:eastAsia="標楷體"/>
              </w:rPr>
              <w:t>3</w:t>
            </w:r>
            <w:r>
              <w:rPr>
                <w:rFonts w:eastAsia="標楷體" w:hAnsi="標楷體"/>
              </w:rPr>
              <w:t>月經評等為圓柱型門鎖外銷分等檢驗乙等工廠，</w:t>
            </w:r>
            <w:r>
              <w:rPr>
                <w:rFonts w:eastAsia="標楷體"/>
              </w:rPr>
              <w:t>11</w:t>
            </w:r>
            <w:r>
              <w:rPr>
                <w:rFonts w:eastAsia="標楷體" w:hAnsi="標楷體"/>
              </w:rPr>
              <w:t>月並經考核晉升為甲等工廠。</w:t>
            </w:r>
          </w:p>
          <w:p w:rsidR="00000000" w:rsidRDefault="00FD50C0">
            <w:pPr>
              <w:rPr>
                <w:rFonts w:eastAsia="標楷體"/>
              </w:rPr>
            </w:pPr>
            <w:r>
              <w:rPr>
                <w:rFonts w:eastAsia="標楷體" w:hAnsi="標楷體"/>
              </w:rPr>
              <w:t>公司體制變更為股份有限公司，並增加資本額為新台幣壹千兩百萬元。</w:t>
            </w:r>
          </w:p>
        </w:tc>
      </w:tr>
      <w:tr w:rsidR="00000000">
        <w:tc>
          <w:tcPr>
            <w:tcW w:w="2188" w:type="dxa"/>
          </w:tcPr>
          <w:p w:rsidR="00000000" w:rsidRDefault="00FD50C0">
            <w:pPr>
              <w:rPr>
                <w:rFonts w:eastAsia="標楷體"/>
              </w:rPr>
            </w:pPr>
            <w:r>
              <w:rPr>
                <w:rFonts w:eastAsia="標楷體" w:hAnsi="標楷體"/>
              </w:rPr>
              <w:t>民國</w:t>
            </w:r>
            <w:r>
              <w:rPr>
                <w:rFonts w:eastAsia="標楷體"/>
              </w:rPr>
              <w:t>67</w:t>
            </w:r>
            <w:r>
              <w:rPr>
                <w:rFonts w:eastAsia="標楷體" w:hAnsi="標楷體"/>
              </w:rPr>
              <w:t>年</w:t>
            </w:r>
          </w:p>
        </w:tc>
        <w:tc>
          <w:tcPr>
            <w:tcW w:w="6174" w:type="dxa"/>
          </w:tcPr>
          <w:p w:rsidR="00000000" w:rsidRDefault="00FD50C0">
            <w:pPr>
              <w:rPr>
                <w:rFonts w:eastAsia="標楷體"/>
              </w:rPr>
            </w:pPr>
            <w:r>
              <w:rPr>
                <w:rFonts w:eastAsia="標楷體" w:hAnsi="標楷體"/>
              </w:rPr>
              <w:t>七月間圓柱型門鎖產品第一家榮獲中央標準局頒發正字標記。</w:t>
            </w:r>
          </w:p>
        </w:tc>
      </w:tr>
      <w:tr w:rsidR="00000000">
        <w:tc>
          <w:tcPr>
            <w:tcW w:w="2188" w:type="dxa"/>
          </w:tcPr>
          <w:p w:rsidR="00000000" w:rsidRDefault="00FD50C0">
            <w:pPr>
              <w:rPr>
                <w:rFonts w:eastAsia="標楷體"/>
              </w:rPr>
            </w:pPr>
            <w:r>
              <w:rPr>
                <w:rFonts w:eastAsia="標楷體" w:hAnsi="標楷體"/>
              </w:rPr>
              <w:t>民國</w:t>
            </w:r>
            <w:r>
              <w:rPr>
                <w:rFonts w:eastAsia="標楷體"/>
              </w:rPr>
              <w:t>71</w:t>
            </w:r>
            <w:r>
              <w:rPr>
                <w:rFonts w:eastAsia="標楷體" w:hAnsi="標楷體"/>
              </w:rPr>
              <w:t>年</w:t>
            </w:r>
          </w:p>
        </w:tc>
        <w:tc>
          <w:tcPr>
            <w:tcW w:w="6174" w:type="dxa"/>
          </w:tcPr>
          <w:p w:rsidR="00000000" w:rsidRDefault="00FD50C0">
            <w:pPr>
              <w:rPr>
                <w:rFonts w:eastAsia="標楷體"/>
              </w:rPr>
            </w:pPr>
            <w:r>
              <w:rPr>
                <w:rFonts w:eastAsia="標楷體" w:hAnsi="標楷體"/>
              </w:rPr>
              <w:t>研究開發完成管型鎖，同年第一家榮獲中央標準局頒發正字標記。</w:t>
            </w:r>
          </w:p>
          <w:p w:rsidR="00000000" w:rsidRDefault="00FD50C0">
            <w:pPr>
              <w:rPr>
                <w:rFonts w:eastAsia="標楷體"/>
              </w:rPr>
            </w:pPr>
            <w:r>
              <w:rPr>
                <w:rFonts w:eastAsia="標楷體" w:hAnsi="標楷體"/>
              </w:rPr>
              <w:t>並增加資本額為新台幣八千萬元。</w:t>
            </w:r>
          </w:p>
        </w:tc>
      </w:tr>
      <w:tr w:rsidR="00000000">
        <w:tc>
          <w:tcPr>
            <w:tcW w:w="2188" w:type="dxa"/>
          </w:tcPr>
          <w:p w:rsidR="00000000" w:rsidRDefault="00FD50C0">
            <w:pPr>
              <w:rPr>
                <w:rFonts w:eastAsia="標楷體"/>
              </w:rPr>
            </w:pPr>
            <w:r>
              <w:rPr>
                <w:rFonts w:eastAsia="標楷體" w:hAnsi="標楷體"/>
              </w:rPr>
              <w:t>民國</w:t>
            </w:r>
            <w:r>
              <w:rPr>
                <w:rFonts w:eastAsia="標楷體"/>
              </w:rPr>
              <w:t>72</w:t>
            </w:r>
            <w:r>
              <w:rPr>
                <w:rFonts w:eastAsia="標楷體" w:hAnsi="標楷體"/>
              </w:rPr>
              <w:t>年</w:t>
            </w:r>
          </w:p>
        </w:tc>
        <w:tc>
          <w:tcPr>
            <w:tcW w:w="6174" w:type="dxa"/>
          </w:tcPr>
          <w:p w:rsidR="00000000" w:rsidRDefault="00FD50C0">
            <w:pPr>
              <w:rPr>
                <w:rFonts w:eastAsia="標楷體"/>
              </w:rPr>
            </w:pPr>
            <w:r>
              <w:rPr>
                <w:rFonts w:eastAsia="標楷體" w:hAnsi="標楷體"/>
              </w:rPr>
              <w:t>創立自有品牌</w:t>
            </w:r>
            <w:r>
              <w:rPr>
                <w:rFonts w:eastAsia="標楷體"/>
              </w:rPr>
              <w:t>EZSET</w:t>
            </w:r>
            <w:r>
              <w:rPr>
                <w:rFonts w:eastAsia="標楷體" w:hAnsi="標楷體"/>
              </w:rPr>
              <w:t>。</w:t>
            </w:r>
          </w:p>
        </w:tc>
      </w:tr>
      <w:tr w:rsidR="00000000">
        <w:tc>
          <w:tcPr>
            <w:tcW w:w="2188" w:type="dxa"/>
          </w:tcPr>
          <w:p w:rsidR="00000000" w:rsidRDefault="00FD50C0">
            <w:pPr>
              <w:rPr>
                <w:rFonts w:eastAsia="標楷體"/>
              </w:rPr>
            </w:pPr>
            <w:r>
              <w:rPr>
                <w:rFonts w:eastAsia="標楷體" w:hAnsi="標楷體"/>
              </w:rPr>
              <w:t>民國</w:t>
            </w:r>
            <w:r>
              <w:rPr>
                <w:rFonts w:eastAsia="標楷體"/>
              </w:rPr>
              <w:t>77</w:t>
            </w:r>
            <w:r>
              <w:rPr>
                <w:rFonts w:eastAsia="標楷體" w:hAnsi="標楷體"/>
              </w:rPr>
              <w:t>年</w:t>
            </w:r>
          </w:p>
        </w:tc>
        <w:tc>
          <w:tcPr>
            <w:tcW w:w="6174" w:type="dxa"/>
          </w:tcPr>
          <w:p w:rsidR="00000000" w:rsidRDefault="00FD50C0">
            <w:pPr>
              <w:rPr>
                <w:rFonts w:eastAsia="標楷體"/>
              </w:rPr>
            </w:pPr>
            <w:r>
              <w:rPr>
                <w:rFonts w:eastAsia="標楷體" w:hAnsi="標楷體"/>
              </w:rPr>
              <w:t>設立門弓器製造廠並開始製造水平鎖供應市場。</w:t>
            </w:r>
          </w:p>
        </w:tc>
      </w:tr>
      <w:tr w:rsidR="00000000">
        <w:tc>
          <w:tcPr>
            <w:tcW w:w="2188" w:type="dxa"/>
          </w:tcPr>
          <w:p w:rsidR="00000000" w:rsidRDefault="00FD50C0">
            <w:pPr>
              <w:rPr>
                <w:rFonts w:eastAsia="標楷體"/>
              </w:rPr>
            </w:pPr>
            <w:r>
              <w:rPr>
                <w:rFonts w:eastAsia="標楷體" w:hAnsi="標楷體"/>
              </w:rPr>
              <w:t>民國</w:t>
            </w:r>
            <w:r>
              <w:rPr>
                <w:rFonts w:eastAsia="標楷體"/>
              </w:rPr>
              <w:t>81</w:t>
            </w:r>
            <w:r>
              <w:rPr>
                <w:rFonts w:eastAsia="標楷體" w:hAnsi="標楷體"/>
              </w:rPr>
              <w:t>年</w:t>
            </w:r>
          </w:p>
        </w:tc>
        <w:tc>
          <w:tcPr>
            <w:tcW w:w="6174" w:type="dxa"/>
          </w:tcPr>
          <w:p w:rsidR="00000000" w:rsidRDefault="00FD50C0">
            <w:pPr>
              <w:rPr>
                <w:rFonts w:eastAsia="標楷體"/>
              </w:rPr>
            </w:pPr>
            <w:r>
              <w:rPr>
                <w:rFonts w:eastAsia="標楷體" w:hAnsi="標楷體"/>
              </w:rPr>
              <w:t>增加資本額為新台幣</w:t>
            </w:r>
            <w:r>
              <w:rPr>
                <w:rFonts w:eastAsia="標楷體" w:hAnsi="標楷體"/>
              </w:rPr>
              <w:t>五億元整。</w:t>
            </w:r>
          </w:p>
        </w:tc>
      </w:tr>
      <w:tr w:rsidR="00000000">
        <w:tc>
          <w:tcPr>
            <w:tcW w:w="2188" w:type="dxa"/>
          </w:tcPr>
          <w:p w:rsidR="00000000" w:rsidRDefault="00FD50C0">
            <w:pPr>
              <w:rPr>
                <w:rFonts w:eastAsia="標楷體"/>
              </w:rPr>
            </w:pPr>
            <w:r>
              <w:rPr>
                <w:rFonts w:eastAsia="標楷體" w:hAnsi="標楷體"/>
              </w:rPr>
              <w:t>民國</w:t>
            </w:r>
            <w:r>
              <w:rPr>
                <w:rFonts w:eastAsia="標楷體"/>
              </w:rPr>
              <w:t>80</w:t>
            </w:r>
            <w:r>
              <w:rPr>
                <w:rFonts w:eastAsia="標楷體" w:hAnsi="標楷體"/>
              </w:rPr>
              <w:t>年</w:t>
            </w:r>
          </w:p>
        </w:tc>
        <w:tc>
          <w:tcPr>
            <w:tcW w:w="6174" w:type="dxa"/>
          </w:tcPr>
          <w:p w:rsidR="00000000" w:rsidRDefault="00FD50C0">
            <w:pPr>
              <w:rPr>
                <w:rFonts w:eastAsia="標楷體"/>
              </w:rPr>
            </w:pPr>
            <w:r>
              <w:rPr>
                <w:rFonts w:eastAsia="標楷體" w:hAnsi="標楷體"/>
              </w:rPr>
              <w:t>公司實施</w:t>
            </w:r>
            <w:r>
              <w:rPr>
                <w:rFonts w:eastAsia="標楷體"/>
              </w:rPr>
              <w:t>CIS</w:t>
            </w:r>
            <w:r>
              <w:rPr>
                <w:rFonts w:eastAsia="標楷體" w:hAnsi="標楷體"/>
              </w:rPr>
              <w:t>，提昇公司形象。</w:t>
            </w:r>
          </w:p>
          <w:p w:rsidR="00000000" w:rsidRDefault="00FD50C0">
            <w:pPr>
              <w:rPr>
                <w:rFonts w:eastAsia="標楷體"/>
              </w:rPr>
            </w:pPr>
            <w:r>
              <w:rPr>
                <w:rFonts w:eastAsia="標楷體" w:hAnsi="標楷體"/>
              </w:rPr>
              <w:t>增加資本額為新台幣壹億九千八百萬元。</w:t>
            </w:r>
          </w:p>
        </w:tc>
      </w:tr>
      <w:tr w:rsidR="00000000">
        <w:tc>
          <w:tcPr>
            <w:tcW w:w="2188" w:type="dxa"/>
          </w:tcPr>
          <w:p w:rsidR="00000000" w:rsidRDefault="00FD50C0">
            <w:pPr>
              <w:rPr>
                <w:rFonts w:eastAsia="標楷體"/>
              </w:rPr>
            </w:pPr>
            <w:r>
              <w:rPr>
                <w:rFonts w:eastAsia="標楷體" w:hAnsi="標楷體"/>
              </w:rPr>
              <w:t>民國</w:t>
            </w:r>
            <w:r>
              <w:rPr>
                <w:rFonts w:eastAsia="標楷體"/>
              </w:rPr>
              <w:t>83</w:t>
            </w:r>
            <w:r>
              <w:rPr>
                <w:rFonts w:eastAsia="標楷體" w:hAnsi="標楷體"/>
              </w:rPr>
              <w:t>年</w:t>
            </w:r>
          </w:p>
        </w:tc>
        <w:tc>
          <w:tcPr>
            <w:tcW w:w="6174" w:type="dxa"/>
          </w:tcPr>
          <w:p w:rsidR="00000000" w:rsidRDefault="00FD50C0">
            <w:pPr>
              <w:rPr>
                <w:rFonts w:eastAsia="標楷體"/>
              </w:rPr>
            </w:pPr>
            <w:r>
              <w:rPr>
                <w:rFonts w:eastAsia="標楷體" w:hAnsi="標楷體"/>
              </w:rPr>
              <w:t>盈餘轉增資兩億六千四百萬元，資本額增為新台幣九億兩千四百萬元。</w:t>
            </w:r>
          </w:p>
          <w:p w:rsidR="00000000" w:rsidRDefault="00FD50C0">
            <w:pPr>
              <w:rPr>
                <w:rFonts w:eastAsia="標楷體"/>
              </w:rPr>
            </w:pPr>
            <w:r>
              <w:rPr>
                <w:rFonts w:eastAsia="標楷體" w:hAnsi="標楷體"/>
              </w:rPr>
              <w:t>七月十九日交易所董事會通過股票上市。十一月十日股票上市掛牌買賣。</w:t>
            </w:r>
          </w:p>
        </w:tc>
      </w:tr>
      <w:tr w:rsidR="00000000">
        <w:tc>
          <w:tcPr>
            <w:tcW w:w="2188" w:type="dxa"/>
          </w:tcPr>
          <w:p w:rsidR="00000000" w:rsidRDefault="00FD50C0">
            <w:pPr>
              <w:rPr>
                <w:rFonts w:eastAsia="標楷體"/>
              </w:rPr>
            </w:pPr>
            <w:r>
              <w:rPr>
                <w:rFonts w:eastAsia="標楷體" w:hAnsi="標楷體"/>
              </w:rPr>
              <w:t>民國</w:t>
            </w:r>
            <w:r>
              <w:rPr>
                <w:rFonts w:eastAsia="標楷體"/>
              </w:rPr>
              <w:t>86</w:t>
            </w:r>
            <w:r>
              <w:rPr>
                <w:rFonts w:eastAsia="標楷體" w:hAnsi="標楷體"/>
              </w:rPr>
              <w:t>年</w:t>
            </w:r>
          </w:p>
        </w:tc>
        <w:tc>
          <w:tcPr>
            <w:tcW w:w="6174" w:type="dxa"/>
          </w:tcPr>
          <w:p w:rsidR="00000000" w:rsidRDefault="00FD50C0">
            <w:pPr>
              <w:rPr>
                <w:rFonts w:eastAsia="標楷體"/>
              </w:rPr>
            </w:pPr>
            <w:r>
              <w:rPr>
                <w:rFonts w:eastAsia="標楷體" w:hAnsi="標楷體"/>
              </w:rPr>
              <w:t>盈餘轉增資三億五千一百七十九萬兩千元，現金增資七億元，資本額增為新台幣三十億六百一十九萬兩千元。</w:t>
            </w:r>
          </w:p>
        </w:tc>
      </w:tr>
      <w:tr w:rsidR="00000000">
        <w:trPr>
          <w:trHeight w:val="300"/>
        </w:trPr>
        <w:tc>
          <w:tcPr>
            <w:tcW w:w="2188" w:type="dxa"/>
          </w:tcPr>
          <w:p w:rsidR="00000000" w:rsidRDefault="00FD50C0">
            <w:pPr>
              <w:rPr>
                <w:rFonts w:eastAsia="標楷體"/>
              </w:rPr>
            </w:pPr>
            <w:r>
              <w:rPr>
                <w:rFonts w:eastAsia="標楷體" w:hAnsi="標楷體"/>
              </w:rPr>
              <w:t>民國</w:t>
            </w:r>
            <w:r>
              <w:rPr>
                <w:rFonts w:eastAsia="標楷體"/>
              </w:rPr>
              <w:t>87</w:t>
            </w:r>
            <w:r>
              <w:rPr>
                <w:rFonts w:eastAsia="標楷體" w:hAnsi="標楷體"/>
              </w:rPr>
              <w:t>年</w:t>
            </w:r>
          </w:p>
        </w:tc>
        <w:tc>
          <w:tcPr>
            <w:tcW w:w="6174" w:type="dxa"/>
          </w:tcPr>
          <w:p w:rsidR="00000000" w:rsidRDefault="00FD50C0">
            <w:pPr>
              <w:rPr>
                <w:rFonts w:eastAsia="標楷體"/>
              </w:rPr>
            </w:pPr>
            <w:r>
              <w:rPr>
                <w:rFonts w:eastAsia="標楷體" w:hAnsi="標楷體"/>
              </w:rPr>
              <w:t>十月爆發財務危機。</w:t>
            </w:r>
          </w:p>
        </w:tc>
      </w:tr>
      <w:tr w:rsidR="00000000">
        <w:trPr>
          <w:trHeight w:val="420"/>
        </w:trPr>
        <w:tc>
          <w:tcPr>
            <w:tcW w:w="2188" w:type="dxa"/>
          </w:tcPr>
          <w:p w:rsidR="00000000" w:rsidRDefault="00FD50C0">
            <w:pPr>
              <w:rPr>
                <w:rFonts w:eastAsia="標楷體"/>
              </w:rPr>
            </w:pPr>
            <w:r>
              <w:rPr>
                <w:rFonts w:eastAsia="標楷體" w:hAnsi="標楷體"/>
              </w:rPr>
              <w:t>民國</w:t>
            </w:r>
            <w:r>
              <w:rPr>
                <w:rFonts w:eastAsia="標楷體"/>
              </w:rPr>
              <w:t>89</w:t>
            </w:r>
            <w:r>
              <w:rPr>
                <w:rFonts w:eastAsia="標楷體" w:hAnsi="標楷體"/>
              </w:rPr>
              <w:t>年</w:t>
            </w:r>
          </w:p>
        </w:tc>
        <w:tc>
          <w:tcPr>
            <w:tcW w:w="6174" w:type="dxa"/>
          </w:tcPr>
          <w:p w:rsidR="00000000" w:rsidRDefault="00FD50C0">
            <w:pPr>
              <w:rPr>
                <w:rFonts w:eastAsia="標楷體"/>
              </w:rPr>
            </w:pPr>
            <w:r>
              <w:rPr>
                <w:rFonts w:eastAsia="標楷體" w:hAnsi="標楷體"/>
              </w:rPr>
              <w:t>進入重整階段。十二月底完成重整，董監事改選。</w:t>
            </w:r>
          </w:p>
        </w:tc>
      </w:tr>
      <w:tr w:rsidR="00000000">
        <w:trPr>
          <w:trHeight w:val="420"/>
        </w:trPr>
        <w:tc>
          <w:tcPr>
            <w:tcW w:w="2188" w:type="dxa"/>
          </w:tcPr>
          <w:p w:rsidR="00000000" w:rsidRDefault="00FD50C0">
            <w:pPr>
              <w:rPr>
                <w:rFonts w:eastAsia="標楷體" w:hAnsi="標楷體"/>
              </w:rPr>
            </w:pPr>
            <w:r>
              <w:rPr>
                <w:rFonts w:eastAsia="標楷體" w:hAnsi="標楷體"/>
              </w:rPr>
              <w:t>民國</w:t>
            </w:r>
            <w:r>
              <w:rPr>
                <w:rFonts w:eastAsia="標楷體" w:hAnsi="標楷體" w:hint="eastAsia"/>
              </w:rPr>
              <w:t>95</w:t>
            </w:r>
            <w:r>
              <w:rPr>
                <w:rFonts w:eastAsia="標楷體" w:hAnsi="標楷體"/>
              </w:rPr>
              <w:t>年</w:t>
            </w:r>
          </w:p>
        </w:tc>
        <w:tc>
          <w:tcPr>
            <w:tcW w:w="6174" w:type="dxa"/>
          </w:tcPr>
          <w:p w:rsidR="00000000" w:rsidRDefault="00FD50C0">
            <w:pPr>
              <w:rPr>
                <w:rFonts w:eastAsia="標楷體" w:hAnsi="標楷體" w:hint="eastAsia"/>
              </w:rPr>
            </w:pPr>
            <w:r>
              <w:rPr>
                <w:rFonts w:eastAsia="標楷體" w:hAnsi="標楷體" w:hint="eastAsia"/>
              </w:rPr>
              <w:t>由管理股票轉為一般類股重新掛牌。</w:t>
            </w:r>
          </w:p>
        </w:tc>
      </w:tr>
    </w:tbl>
    <w:p w:rsidR="00000000" w:rsidRDefault="00FD50C0">
      <w:pPr>
        <w:spacing w:beforeLines="50" w:afterLines="50"/>
        <w:jc w:val="both"/>
        <w:outlineLvl w:val="0"/>
        <w:rPr>
          <w:rFonts w:ascii="標楷體" w:eastAsia="標楷體" w:hAnsi="標楷體" w:hint="eastAsia"/>
          <w:b/>
          <w:bCs/>
          <w:sz w:val="32"/>
          <w:szCs w:val="28"/>
        </w:rPr>
      </w:pPr>
      <w:bookmarkStart w:id="8" w:name="_Toc42188614"/>
      <w:r>
        <w:rPr>
          <w:rFonts w:ascii="標楷體" w:eastAsia="標楷體" w:hAnsi="標楷體" w:hint="eastAsia"/>
          <w:b/>
          <w:bCs/>
          <w:sz w:val="32"/>
          <w:szCs w:val="28"/>
        </w:rPr>
        <w:t>三、導致危機的關</w:t>
      </w:r>
      <w:r>
        <w:rPr>
          <w:rFonts w:ascii="標楷體" w:eastAsia="標楷體" w:hAnsi="標楷體" w:hint="eastAsia"/>
          <w:b/>
          <w:bCs/>
          <w:sz w:val="32"/>
          <w:szCs w:val="28"/>
        </w:rPr>
        <w:t>鍵問題</w:t>
      </w:r>
      <w:bookmarkEnd w:id="8"/>
    </w:p>
    <w:p w:rsidR="00000000" w:rsidRDefault="00FD50C0">
      <w:pPr>
        <w:spacing w:before="50" w:after="120"/>
        <w:ind w:firstLine="482"/>
        <w:jc w:val="both"/>
        <w:rPr>
          <w:rFonts w:eastAsia="標楷體"/>
          <w:kern w:val="0"/>
        </w:rPr>
      </w:pPr>
      <w:r>
        <w:rPr>
          <w:rFonts w:eastAsia="標楷體" w:hAnsi="標楷體"/>
          <w:kern w:val="0"/>
        </w:rPr>
        <w:t>東隆五金會發生如此嚴重的掏空案，在爆發之前，公司勢必隱藏著許多產生掏空危機的關鍵問題。主要以公司治理問題與公司轉投資兩方面來分析這些問題。</w:t>
      </w:r>
    </w:p>
    <w:p w:rsidR="00000000" w:rsidRDefault="00FD50C0">
      <w:pPr>
        <w:widowControl/>
        <w:spacing w:beforeLines="50" w:afterLines="50"/>
        <w:jc w:val="both"/>
        <w:outlineLvl w:val="1"/>
        <w:rPr>
          <w:rFonts w:eastAsia="標楷體"/>
          <w:b/>
          <w:bCs/>
          <w:kern w:val="0"/>
          <w:sz w:val="28"/>
          <w:szCs w:val="28"/>
        </w:rPr>
      </w:pPr>
      <w:bookmarkStart w:id="9" w:name="_Toc42188615"/>
      <w:r>
        <w:rPr>
          <w:rFonts w:eastAsia="標楷體" w:hAnsi="標楷體" w:hint="eastAsia"/>
          <w:b/>
          <w:bCs/>
          <w:kern w:val="0"/>
          <w:sz w:val="28"/>
        </w:rPr>
        <w:t>(</w:t>
      </w:r>
      <w:r>
        <w:rPr>
          <w:rFonts w:eastAsia="標楷體" w:hAnsi="標楷體" w:hint="eastAsia"/>
          <w:b/>
          <w:bCs/>
          <w:kern w:val="0"/>
          <w:sz w:val="28"/>
        </w:rPr>
        <w:t>一</w:t>
      </w:r>
      <w:r>
        <w:rPr>
          <w:rFonts w:eastAsia="標楷體" w:hAnsi="標楷體" w:hint="eastAsia"/>
          <w:b/>
          <w:bCs/>
          <w:kern w:val="0"/>
          <w:sz w:val="28"/>
        </w:rPr>
        <w:t>)</w:t>
      </w:r>
      <w:r>
        <w:rPr>
          <w:rFonts w:eastAsia="標楷體" w:hAnsi="標楷體"/>
          <w:b/>
          <w:bCs/>
          <w:kern w:val="0"/>
          <w:sz w:val="28"/>
        </w:rPr>
        <w:t>公司治理問題</w:t>
      </w:r>
      <w:bookmarkEnd w:id="9"/>
    </w:p>
    <w:p w:rsidR="00000000" w:rsidRDefault="00FD50C0">
      <w:pPr>
        <w:spacing w:before="120" w:after="120"/>
        <w:ind w:leftChars="200" w:left="782" w:hangingChars="126" w:hanging="302"/>
        <w:jc w:val="both"/>
        <w:rPr>
          <w:rFonts w:eastAsia="標楷體"/>
          <w:kern w:val="0"/>
        </w:rPr>
      </w:pPr>
      <w:r>
        <w:rPr>
          <w:rFonts w:eastAsia="標楷體" w:hAnsi="標楷體" w:hint="eastAsia"/>
          <w:kern w:val="0"/>
        </w:rPr>
        <w:t xml:space="preserve">1. </w:t>
      </w:r>
      <w:r>
        <w:rPr>
          <w:rFonts w:eastAsia="標楷體" w:hAnsi="標楷體"/>
          <w:kern w:val="0"/>
        </w:rPr>
        <w:t>管理當局不當挪用資金是很大的關鍵問題之一，范氏兩兄弟為了爭奪經營權，遂利用與國民黨黨營事業的股東結盟，請其支持改組董事會，購買股票及收購委託書</w:t>
      </w:r>
      <w:r>
        <w:rPr>
          <w:rFonts w:eastAsia="標楷體"/>
          <w:kern w:val="0"/>
        </w:rPr>
        <w:t>—</w:t>
      </w:r>
      <w:r>
        <w:rPr>
          <w:rFonts w:eastAsia="標楷體" w:hAnsi="標楷體"/>
          <w:kern w:val="0"/>
        </w:rPr>
        <w:t>聘請當時「委託書收購大王」，利用一股五百元代價請其幫忙收購委託書。由於本身財力並不充裕，而大量購買自家股票靠的都是背後金主支持，表面上風風光光地贏得經營權，但在這個過程中卻使得公司背負近二十億的</w:t>
      </w:r>
      <w:r>
        <w:rPr>
          <w:rFonts w:eastAsia="標楷體" w:hAnsi="標楷體"/>
          <w:kern w:val="0"/>
        </w:rPr>
        <w:t>私人負債，因為其借貸之擔保品皆為東隆五金之股票，只要公司股價跌破</w:t>
      </w:r>
      <w:r>
        <w:rPr>
          <w:rFonts w:eastAsia="標楷體"/>
          <w:kern w:val="0"/>
        </w:rPr>
        <w:t>45</w:t>
      </w:r>
      <w:r>
        <w:rPr>
          <w:rFonts w:eastAsia="標楷體" w:hAnsi="標楷體"/>
          <w:kern w:val="0"/>
        </w:rPr>
        <w:t>元，范氏兩兄弟面臨擔保品不足、慘遭股票斷頭及抽銀根之窘境。爭奪經營權的同時也帶給了范氏兄弟背負大量負債以及維持股價龐大壓力。</w:t>
      </w:r>
    </w:p>
    <w:p w:rsidR="00000000" w:rsidRDefault="00FD50C0">
      <w:pPr>
        <w:spacing w:before="120" w:after="120"/>
        <w:ind w:leftChars="198" w:left="794" w:hangingChars="133" w:hanging="319"/>
        <w:jc w:val="both"/>
        <w:rPr>
          <w:rFonts w:eastAsia="標楷體"/>
          <w:kern w:val="0"/>
        </w:rPr>
      </w:pPr>
      <w:r>
        <w:rPr>
          <w:rFonts w:eastAsia="標楷體" w:hAnsi="標楷體" w:hint="eastAsia"/>
          <w:kern w:val="0"/>
        </w:rPr>
        <w:t xml:space="preserve">2. </w:t>
      </w:r>
      <w:r>
        <w:rPr>
          <w:rFonts w:eastAsia="標楷體" w:hAnsi="標楷體"/>
          <w:kern w:val="0"/>
        </w:rPr>
        <w:t>東隆五金長期投資有</w:t>
      </w:r>
      <w:r>
        <w:rPr>
          <w:rFonts w:eastAsia="標楷體"/>
          <w:kern w:val="0"/>
        </w:rPr>
        <w:t>30</w:t>
      </w:r>
      <w:r>
        <w:rPr>
          <w:rFonts w:eastAsia="標楷體" w:hAnsi="標楷體"/>
          <w:kern w:val="0"/>
        </w:rPr>
        <w:t>家，並以子公司交叉持股，且多項關係人交易及背書保證，財務結構與資金流向複雜。范氏兄弟為了避免股價下跌造成賣壓，利用東泰、東華等投資公司替母公司股價護盤，再用買進的股票向金融機構質押借錢，由東隆背書保證。另外東隆還透過海外子公司發行債券，已募集得來的資金操作衍生性金融商品或再投入國內股市，取</w:t>
      </w:r>
      <w:r>
        <w:rPr>
          <w:rFonts w:eastAsia="標楷體" w:hAnsi="標楷體"/>
          <w:kern w:val="0"/>
        </w:rPr>
        <w:t>得其他上市上櫃公司大量股權或經營權</w:t>
      </w:r>
      <w:r>
        <w:rPr>
          <w:rFonts w:eastAsia="標楷體"/>
          <w:kern w:val="0"/>
        </w:rPr>
        <w:t>(</w:t>
      </w:r>
      <w:r>
        <w:rPr>
          <w:rFonts w:eastAsia="標楷體" w:hAnsi="標楷體"/>
          <w:kern w:val="0"/>
        </w:rPr>
        <w:t>如景泰、駿達</w:t>
      </w:r>
      <w:r>
        <w:rPr>
          <w:rFonts w:eastAsia="標楷體"/>
          <w:kern w:val="0"/>
        </w:rPr>
        <w:t>)</w:t>
      </w:r>
      <w:r>
        <w:rPr>
          <w:rFonts w:eastAsia="標楷體" w:hAnsi="標楷體"/>
          <w:kern w:val="0"/>
        </w:rPr>
        <w:t>，造成高財務槓桿。</w:t>
      </w:r>
    </w:p>
    <w:p w:rsidR="00000000" w:rsidRDefault="00FD50C0">
      <w:pPr>
        <w:spacing w:before="50" w:after="50"/>
        <w:ind w:left="480"/>
        <w:jc w:val="both"/>
        <w:rPr>
          <w:rFonts w:eastAsia="標楷體" w:hint="eastAsia"/>
          <w:kern w:val="0"/>
        </w:rPr>
      </w:pPr>
      <w:r>
        <w:rPr>
          <w:rFonts w:eastAsia="標楷體" w:hint="eastAsia"/>
          <w:kern w:val="0"/>
        </w:rPr>
        <w:t>以下將分為三個階段來看公司治理的情況：</w:t>
      </w:r>
    </w:p>
    <w:p w:rsidR="00000000" w:rsidRDefault="00FD50C0">
      <w:pPr>
        <w:spacing w:before="50" w:after="50"/>
        <w:ind w:left="480" w:firstLine="360"/>
        <w:jc w:val="both"/>
        <w:rPr>
          <w:rFonts w:eastAsia="標楷體"/>
          <w:kern w:val="0"/>
        </w:rPr>
      </w:pPr>
      <w:r>
        <w:rPr>
          <w:rFonts w:eastAsia="標楷體" w:hAnsi="標楷體"/>
          <w:kern w:val="0"/>
        </w:rPr>
        <w:t>第一階段：</w:t>
      </w:r>
      <w:r>
        <w:rPr>
          <w:rFonts w:eastAsia="標楷體" w:hAnsi="標楷體"/>
          <w:bCs/>
          <w:kern w:val="0"/>
        </w:rPr>
        <w:t>經營權易主前</w:t>
      </w:r>
      <w:r>
        <w:rPr>
          <w:rFonts w:eastAsia="標楷體"/>
          <w:bCs/>
          <w:kern w:val="0"/>
        </w:rPr>
        <w:t>(85/05/10</w:t>
      </w:r>
      <w:r>
        <w:rPr>
          <w:rFonts w:eastAsia="標楷體" w:hAnsi="標楷體"/>
          <w:bCs/>
          <w:kern w:val="0"/>
        </w:rPr>
        <w:t>以前</w:t>
      </w:r>
      <w:r>
        <w:rPr>
          <w:rFonts w:eastAsia="標楷體"/>
          <w:bCs/>
          <w:kern w:val="0"/>
        </w:rPr>
        <w:t>)</w:t>
      </w:r>
    </w:p>
    <w:p w:rsidR="00000000" w:rsidRDefault="00FD50C0">
      <w:pPr>
        <w:spacing w:before="50" w:after="50"/>
        <w:ind w:left="720" w:firstLine="120"/>
        <w:jc w:val="both"/>
        <w:rPr>
          <w:rFonts w:eastAsia="標楷體"/>
          <w:kern w:val="0"/>
        </w:rPr>
      </w:pPr>
      <w:r>
        <w:rPr>
          <w:rFonts w:eastAsia="標楷體" w:hAnsi="標楷體"/>
          <w:kern w:val="0"/>
        </w:rPr>
        <w:t>第二階段：</w:t>
      </w:r>
      <w:r>
        <w:rPr>
          <w:rFonts w:eastAsia="標楷體" w:hAnsi="標楷體"/>
          <w:bCs/>
          <w:kern w:val="0"/>
        </w:rPr>
        <w:t>經營權易主後</w:t>
      </w:r>
      <w:r>
        <w:rPr>
          <w:rFonts w:eastAsia="標楷體"/>
          <w:bCs/>
          <w:kern w:val="0"/>
        </w:rPr>
        <w:t>(85/05/10</w:t>
      </w:r>
      <w:r>
        <w:rPr>
          <w:rFonts w:eastAsia="標楷體" w:hAnsi="標楷體"/>
          <w:bCs/>
          <w:kern w:val="0"/>
        </w:rPr>
        <w:t>以後</w:t>
      </w:r>
      <w:r>
        <w:rPr>
          <w:rFonts w:eastAsia="標楷體"/>
          <w:bCs/>
          <w:kern w:val="0"/>
        </w:rPr>
        <w:t xml:space="preserve">) </w:t>
      </w:r>
    </w:p>
    <w:p w:rsidR="00000000" w:rsidRDefault="00FD50C0">
      <w:pPr>
        <w:spacing w:before="50" w:after="50"/>
        <w:ind w:left="600" w:firstLine="240"/>
        <w:jc w:val="both"/>
        <w:rPr>
          <w:rFonts w:eastAsia="標楷體" w:hint="eastAsia"/>
          <w:kern w:val="0"/>
        </w:rPr>
      </w:pPr>
      <w:r>
        <w:rPr>
          <w:rFonts w:eastAsia="標楷體" w:hAnsi="標楷體"/>
          <w:kern w:val="0"/>
        </w:rPr>
        <w:t>第三階段：</w:t>
      </w:r>
      <w:r>
        <w:rPr>
          <w:rFonts w:eastAsia="標楷體" w:hAnsi="標楷體"/>
          <w:bCs/>
          <w:kern w:val="0"/>
        </w:rPr>
        <w:t>重整後</w:t>
      </w:r>
      <w:r>
        <w:rPr>
          <w:rFonts w:eastAsia="標楷體"/>
          <w:bCs/>
          <w:kern w:val="0"/>
        </w:rPr>
        <w:t>(89/01/06</w:t>
      </w:r>
      <w:r>
        <w:rPr>
          <w:rFonts w:eastAsia="標楷體" w:hAnsi="標楷體"/>
          <w:bCs/>
          <w:kern w:val="0"/>
        </w:rPr>
        <w:t>以後</w:t>
      </w:r>
      <w:r>
        <w:rPr>
          <w:rFonts w:eastAsia="標楷體"/>
          <w:bCs/>
          <w:kern w:val="0"/>
        </w:rPr>
        <w:t>)</w:t>
      </w:r>
    </w:p>
    <w:tbl>
      <w:tblPr>
        <w:tblpPr w:leftFromText="180" w:rightFromText="180" w:vertAnchor="text" w:horzAnchor="margin" w:tblpY="1081"/>
        <w:tblW w:w="4858" w:type="pct"/>
        <w:tblBorders>
          <w:top w:val="single" w:sz="12" w:space="0" w:color="008000"/>
          <w:bottom w:val="single" w:sz="12" w:space="0" w:color="008000"/>
        </w:tblBorders>
        <w:tblLook w:val="01A0"/>
      </w:tblPr>
      <w:tblGrid>
        <w:gridCol w:w="1188"/>
        <w:gridCol w:w="986"/>
        <w:gridCol w:w="1098"/>
        <w:gridCol w:w="1017"/>
        <w:gridCol w:w="1398"/>
        <w:gridCol w:w="1194"/>
        <w:gridCol w:w="1399"/>
      </w:tblGrid>
      <w:tr w:rsidR="00000000">
        <w:trPr>
          <w:trHeight w:val="338"/>
        </w:trPr>
        <w:tc>
          <w:tcPr>
            <w:tcW w:w="717" w:type="pct"/>
            <w:tcBorders>
              <w:bottom w:val="single" w:sz="12" w:space="0" w:color="FFFFFF"/>
            </w:tcBorders>
          </w:tcPr>
          <w:p w:rsidR="00000000" w:rsidRDefault="00FD50C0">
            <w:pPr>
              <w:rPr>
                <w:rFonts w:eastAsia="標楷體"/>
              </w:rPr>
            </w:pPr>
          </w:p>
        </w:tc>
        <w:tc>
          <w:tcPr>
            <w:tcW w:w="1258" w:type="pct"/>
            <w:gridSpan w:val="2"/>
            <w:tcBorders>
              <w:bottom w:val="single" w:sz="4" w:space="0" w:color="008000"/>
            </w:tcBorders>
            <w:vAlign w:val="center"/>
          </w:tcPr>
          <w:p w:rsidR="00000000" w:rsidRDefault="00FD50C0">
            <w:pPr>
              <w:jc w:val="center"/>
              <w:rPr>
                <w:rFonts w:eastAsia="標楷體"/>
              </w:rPr>
            </w:pPr>
            <w:r>
              <w:rPr>
                <w:rFonts w:eastAsia="標楷體" w:hAnsi="標楷體"/>
              </w:rPr>
              <w:t>第一階段</w:t>
            </w:r>
          </w:p>
        </w:tc>
        <w:tc>
          <w:tcPr>
            <w:tcW w:w="1458" w:type="pct"/>
            <w:gridSpan w:val="2"/>
            <w:tcBorders>
              <w:bottom w:val="single" w:sz="4" w:space="0" w:color="008000"/>
            </w:tcBorders>
            <w:vAlign w:val="center"/>
          </w:tcPr>
          <w:p w:rsidR="00000000" w:rsidRDefault="00FD50C0">
            <w:pPr>
              <w:jc w:val="center"/>
              <w:rPr>
                <w:rFonts w:eastAsia="標楷體"/>
              </w:rPr>
            </w:pPr>
            <w:r>
              <w:rPr>
                <w:rFonts w:eastAsia="標楷體" w:hAnsi="標楷體"/>
              </w:rPr>
              <w:t>第二階段</w:t>
            </w:r>
          </w:p>
        </w:tc>
        <w:tc>
          <w:tcPr>
            <w:tcW w:w="1566" w:type="pct"/>
            <w:gridSpan w:val="2"/>
            <w:tcBorders>
              <w:bottom w:val="single" w:sz="4" w:space="0" w:color="008000"/>
            </w:tcBorders>
            <w:vAlign w:val="center"/>
          </w:tcPr>
          <w:p w:rsidR="00000000" w:rsidRDefault="00FD50C0">
            <w:pPr>
              <w:jc w:val="center"/>
              <w:rPr>
                <w:rFonts w:eastAsia="標楷體"/>
              </w:rPr>
            </w:pPr>
            <w:r>
              <w:rPr>
                <w:rFonts w:eastAsia="標楷體" w:hAnsi="標楷體"/>
              </w:rPr>
              <w:t>第三階段</w:t>
            </w:r>
          </w:p>
        </w:tc>
      </w:tr>
      <w:tr w:rsidR="00000000">
        <w:trPr>
          <w:trHeight w:val="338"/>
        </w:trPr>
        <w:tc>
          <w:tcPr>
            <w:tcW w:w="717" w:type="pct"/>
            <w:tcBorders>
              <w:top w:val="single" w:sz="12" w:space="0" w:color="FFFFFF"/>
              <w:bottom w:val="single" w:sz="12" w:space="0" w:color="008000"/>
            </w:tcBorders>
          </w:tcPr>
          <w:p w:rsidR="00000000" w:rsidRDefault="00FD50C0">
            <w:pPr>
              <w:rPr>
                <w:rFonts w:eastAsia="標楷體"/>
              </w:rPr>
            </w:pPr>
          </w:p>
        </w:tc>
        <w:tc>
          <w:tcPr>
            <w:tcW w:w="595" w:type="pct"/>
            <w:tcBorders>
              <w:top w:val="single" w:sz="4" w:space="0" w:color="008000"/>
              <w:bottom w:val="single" w:sz="12" w:space="0" w:color="008000"/>
            </w:tcBorders>
            <w:vAlign w:val="center"/>
          </w:tcPr>
          <w:p w:rsidR="00000000" w:rsidRDefault="00FD50C0">
            <w:pPr>
              <w:jc w:val="center"/>
              <w:rPr>
                <w:rFonts w:eastAsia="標楷體"/>
              </w:rPr>
            </w:pPr>
            <w:r>
              <w:rPr>
                <w:rFonts w:eastAsia="標楷體" w:hAnsi="標楷體"/>
              </w:rPr>
              <w:t>人數</w:t>
            </w:r>
          </w:p>
        </w:tc>
        <w:tc>
          <w:tcPr>
            <w:tcW w:w="663" w:type="pct"/>
            <w:tcBorders>
              <w:top w:val="single" w:sz="4" w:space="0" w:color="008000"/>
              <w:bottom w:val="single" w:sz="12" w:space="0" w:color="008000"/>
            </w:tcBorders>
            <w:vAlign w:val="center"/>
          </w:tcPr>
          <w:p w:rsidR="00000000" w:rsidRDefault="00FD50C0">
            <w:pPr>
              <w:jc w:val="center"/>
              <w:rPr>
                <w:rFonts w:eastAsia="標楷體"/>
              </w:rPr>
            </w:pPr>
            <w:r>
              <w:rPr>
                <w:rFonts w:eastAsia="標楷體"/>
              </w:rPr>
              <w:t>%</w:t>
            </w:r>
          </w:p>
        </w:tc>
        <w:tc>
          <w:tcPr>
            <w:tcW w:w="614" w:type="pct"/>
            <w:tcBorders>
              <w:top w:val="single" w:sz="4" w:space="0" w:color="008000"/>
              <w:bottom w:val="single" w:sz="12" w:space="0" w:color="008000"/>
            </w:tcBorders>
            <w:vAlign w:val="center"/>
          </w:tcPr>
          <w:p w:rsidR="00000000" w:rsidRDefault="00FD50C0">
            <w:pPr>
              <w:jc w:val="center"/>
              <w:rPr>
                <w:rFonts w:eastAsia="標楷體"/>
              </w:rPr>
            </w:pPr>
            <w:r>
              <w:rPr>
                <w:rFonts w:eastAsia="標楷體" w:hAnsi="標楷體"/>
              </w:rPr>
              <w:t>人數</w:t>
            </w:r>
          </w:p>
        </w:tc>
        <w:tc>
          <w:tcPr>
            <w:tcW w:w="844" w:type="pct"/>
            <w:tcBorders>
              <w:top w:val="single" w:sz="4" w:space="0" w:color="008000"/>
              <w:bottom w:val="single" w:sz="12" w:space="0" w:color="008000"/>
            </w:tcBorders>
            <w:vAlign w:val="center"/>
          </w:tcPr>
          <w:p w:rsidR="00000000" w:rsidRDefault="00FD50C0">
            <w:pPr>
              <w:jc w:val="center"/>
              <w:rPr>
                <w:rFonts w:eastAsia="標楷體"/>
              </w:rPr>
            </w:pPr>
            <w:r>
              <w:rPr>
                <w:rFonts w:eastAsia="標楷體"/>
              </w:rPr>
              <w:t>%</w:t>
            </w:r>
          </w:p>
        </w:tc>
        <w:tc>
          <w:tcPr>
            <w:tcW w:w="721" w:type="pct"/>
            <w:tcBorders>
              <w:top w:val="single" w:sz="4" w:space="0" w:color="008000"/>
              <w:bottom w:val="single" w:sz="12" w:space="0" w:color="008000"/>
            </w:tcBorders>
            <w:vAlign w:val="center"/>
          </w:tcPr>
          <w:p w:rsidR="00000000" w:rsidRDefault="00FD50C0">
            <w:pPr>
              <w:jc w:val="center"/>
              <w:rPr>
                <w:rFonts w:eastAsia="標楷體"/>
              </w:rPr>
            </w:pPr>
            <w:r>
              <w:rPr>
                <w:rFonts w:eastAsia="標楷體" w:hAnsi="標楷體"/>
              </w:rPr>
              <w:t>人數</w:t>
            </w:r>
          </w:p>
        </w:tc>
        <w:tc>
          <w:tcPr>
            <w:tcW w:w="845" w:type="pct"/>
            <w:tcBorders>
              <w:top w:val="single" w:sz="4" w:space="0" w:color="008000"/>
              <w:bottom w:val="single" w:sz="12" w:space="0" w:color="008000"/>
            </w:tcBorders>
            <w:vAlign w:val="center"/>
          </w:tcPr>
          <w:p w:rsidR="00000000" w:rsidRDefault="00FD50C0">
            <w:pPr>
              <w:jc w:val="center"/>
              <w:rPr>
                <w:rFonts w:eastAsia="標楷體"/>
              </w:rPr>
            </w:pPr>
            <w:r>
              <w:rPr>
                <w:rFonts w:eastAsia="標楷體"/>
              </w:rPr>
              <w:t>%</w:t>
            </w:r>
          </w:p>
        </w:tc>
      </w:tr>
      <w:tr w:rsidR="00000000">
        <w:trPr>
          <w:trHeight w:val="338"/>
        </w:trPr>
        <w:tc>
          <w:tcPr>
            <w:tcW w:w="717" w:type="pct"/>
            <w:tcBorders>
              <w:top w:val="single" w:sz="12" w:space="0" w:color="008000"/>
            </w:tcBorders>
          </w:tcPr>
          <w:p w:rsidR="00000000" w:rsidRDefault="00FD50C0">
            <w:pPr>
              <w:rPr>
                <w:rFonts w:eastAsia="標楷體"/>
              </w:rPr>
            </w:pPr>
            <w:r>
              <w:rPr>
                <w:rFonts w:eastAsia="標楷體" w:hAnsi="標楷體"/>
              </w:rPr>
              <w:t>政府機構</w:t>
            </w:r>
          </w:p>
        </w:tc>
        <w:tc>
          <w:tcPr>
            <w:tcW w:w="595" w:type="pct"/>
            <w:tcBorders>
              <w:top w:val="single" w:sz="12" w:space="0" w:color="008000"/>
            </w:tcBorders>
          </w:tcPr>
          <w:p w:rsidR="00000000" w:rsidRDefault="00FD50C0">
            <w:pPr>
              <w:rPr>
                <w:rFonts w:eastAsia="標楷體"/>
              </w:rPr>
            </w:pPr>
          </w:p>
        </w:tc>
        <w:tc>
          <w:tcPr>
            <w:tcW w:w="663" w:type="pct"/>
            <w:tcBorders>
              <w:top w:val="single" w:sz="12" w:space="0" w:color="008000"/>
            </w:tcBorders>
          </w:tcPr>
          <w:p w:rsidR="00000000" w:rsidRDefault="00FD50C0">
            <w:pPr>
              <w:rPr>
                <w:rFonts w:eastAsia="標楷體"/>
              </w:rPr>
            </w:pPr>
          </w:p>
        </w:tc>
        <w:tc>
          <w:tcPr>
            <w:tcW w:w="614" w:type="pct"/>
            <w:tcBorders>
              <w:top w:val="single" w:sz="12" w:space="0" w:color="008000"/>
            </w:tcBorders>
          </w:tcPr>
          <w:p w:rsidR="00000000" w:rsidRDefault="00FD50C0">
            <w:pPr>
              <w:rPr>
                <w:rFonts w:eastAsia="標楷體"/>
              </w:rPr>
            </w:pPr>
          </w:p>
        </w:tc>
        <w:tc>
          <w:tcPr>
            <w:tcW w:w="844" w:type="pct"/>
            <w:tcBorders>
              <w:top w:val="single" w:sz="12" w:space="0" w:color="008000"/>
            </w:tcBorders>
          </w:tcPr>
          <w:p w:rsidR="00000000" w:rsidRDefault="00FD50C0">
            <w:pPr>
              <w:rPr>
                <w:rFonts w:eastAsia="標楷體"/>
              </w:rPr>
            </w:pPr>
          </w:p>
        </w:tc>
        <w:tc>
          <w:tcPr>
            <w:tcW w:w="721" w:type="pct"/>
            <w:tcBorders>
              <w:top w:val="single" w:sz="12" w:space="0" w:color="008000"/>
            </w:tcBorders>
          </w:tcPr>
          <w:p w:rsidR="00000000" w:rsidRDefault="00FD50C0">
            <w:pPr>
              <w:jc w:val="right"/>
              <w:rPr>
                <w:rFonts w:eastAsia="標楷體"/>
              </w:rPr>
            </w:pPr>
            <w:r>
              <w:rPr>
                <w:rFonts w:eastAsia="標楷體"/>
              </w:rPr>
              <w:t>3</w:t>
            </w:r>
          </w:p>
        </w:tc>
        <w:tc>
          <w:tcPr>
            <w:tcW w:w="845" w:type="pct"/>
            <w:tcBorders>
              <w:top w:val="single" w:sz="12" w:space="0" w:color="008000"/>
            </w:tcBorders>
          </w:tcPr>
          <w:p w:rsidR="00000000" w:rsidRDefault="00FD50C0">
            <w:pPr>
              <w:jc w:val="right"/>
              <w:rPr>
                <w:rFonts w:eastAsia="標楷體"/>
              </w:rPr>
            </w:pPr>
            <w:r>
              <w:rPr>
                <w:rFonts w:eastAsia="標楷體"/>
              </w:rPr>
              <w:t>0</w:t>
            </w:r>
          </w:p>
        </w:tc>
      </w:tr>
      <w:tr w:rsidR="00000000">
        <w:trPr>
          <w:trHeight w:val="338"/>
        </w:trPr>
        <w:tc>
          <w:tcPr>
            <w:tcW w:w="717" w:type="pct"/>
          </w:tcPr>
          <w:p w:rsidR="00000000" w:rsidRDefault="00FD50C0">
            <w:pPr>
              <w:rPr>
                <w:rFonts w:eastAsia="標楷體"/>
              </w:rPr>
            </w:pPr>
            <w:r>
              <w:rPr>
                <w:rFonts w:eastAsia="標楷體" w:hAnsi="標楷體"/>
              </w:rPr>
              <w:t>金融機構</w:t>
            </w:r>
          </w:p>
        </w:tc>
        <w:tc>
          <w:tcPr>
            <w:tcW w:w="595" w:type="pct"/>
          </w:tcPr>
          <w:p w:rsidR="00000000" w:rsidRDefault="00FD50C0">
            <w:pPr>
              <w:rPr>
                <w:rFonts w:eastAsia="標楷體"/>
              </w:rPr>
            </w:pPr>
          </w:p>
        </w:tc>
        <w:tc>
          <w:tcPr>
            <w:tcW w:w="663" w:type="pct"/>
          </w:tcPr>
          <w:p w:rsidR="00000000" w:rsidRDefault="00FD50C0">
            <w:pPr>
              <w:rPr>
                <w:rFonts w:eastAsia="標楷體"/>
              </w:rPr>
            </w:pPr>
          </w:p>
        </w:tc>
        <w:tc>
          <w:tcPr>
            <w:tcW w:w="614" w:type="pct"/>
          </w:tcPr>
          <w:p w:rsidR="00000000" w:rsidRDefault="00FD50C0">
            <w:pPr>
              <w:jc w:val="right"/>
              <w:rPr>
                <w:rFonts w:eastAsia="標楷體"/>
              </w:rPr>
            </w:pPr>
            <w:r>
              <w:rPr>
                <w:rFonts w:eastAsia="標楷體"/>
              </w:rPr>
              <w:t>3</w:t>
            </w:r>
          </w:p>
        </w:tc>
        <w:tc>
          <w:tcPr>
            <w:tcW w:w="844" w:type="pct"/>
          </w:tcPr>
          <w:p w:rsidR="00000000" w:rsidRDefault="00FD50C0">
            <w:pPr>
              <w:jc w:val="right"/>
              <w:rPr>
                <w:rFonts w:eastAsia="標楷體"/>
              </w:rPr>
            </w:pPr>
            <w:r>
              <w:rPr>
                <w:rFonts w:eastAsia="標楷體"/>
              </w:rPr>
              <w:t>3.17%</w:t>
            </w:r>
          </w:p>
        </w:tc>
        <w:tc>
          <w:tcPr>
            <w:tcW w:w="721" w:type="pct"/>
          </w:tcPr>
          <w:p w:rsidR="00000000" w:rsidRDefault="00FD50C0">
            <w:pPr>
              <w:jc w:val="right"/>
              <w:rPr>
                <w:rFonts w:eastAsia="標楷體"/>
              </w:rPr>
            </w:pPr>
            <w:r>
              <w:rPr>
                <w:rFonts w:eastAsia="標楷體"/>
              </w:rPr>
              <w:t>4</w:t>
            </w:r>
          </w:p>
        </w:tc>
        <w:tc>
          <w:tcPr>
            <w:tcW w:w="845" w:type="pct"/>
          </w:tcPr>
          <w:p w:rsidR="00000000" w:rsidRDefault="00FD50C0">
            <w:pPr>
              <w:jc w:val="right"/>
              <w:rPr>
                <w:rFonts w:eastAsia="標楷體"/>
              </w:rPr>
            </w:pPr>
            <w:r>
              <w:rPr>
                <w:rFonts w:eastAsia="標楷體"/>
              </w:rPr>
              <w:t>0.86%</w:t>
            </w:r>
          </w:p>
        </w:tc>
      </w:tr>
      <w:tr w:rsidR="00000000">
        <w:trPr>
          <w:trHeight w:val="338"/>
        </w:trPr>
        <w:tc>
          <w:tcPr>
            <w:tcW w:w="717" w:type="pct"/>
          </w:tcPr>
          <w:p w:rsidR="00000000" w:rsidRDefault="00FD50C0">
            <w:pPr>
              <w:rPr>
                <w:rFonts w:eastAsia="標楷體"/>
              </w:rPr>
            </w:pPr>
            <w:r>
              <w:rPr>
                <w:rFonts w:eastAsia="標楷體" w:hAnsi="標楷體"/>
              </w:rPr>
              <w:t>其他法人</w:t>
            </w:r>
          </w:p>
        </w:tc>
        <w:tc>
          <w:tcPr>
            <w:tcW w:w="595" w:type="pct"/>
          </w:tcPr>
          <w:p w:rsidR="00000000" w:rsidRDefault="00FD50C0">
            <w:pPr>
              <w:rPr>
                <w:rFonts w:eastAsia="標楷體"/>
              </w:rPr>
            </w:pPr>
          </w:p>
        </w:tc>
        <w:tc>
          <w:tcPr>
            <w:tcW w:w="663" w:type="pct"/>
          </w:tcPr>
          <w:p w:rsidR="00000000" w:rsidRDefault="00FD50C0">
            <w:pPr>
              <w:rPr>
                <w:rFonts w:eastAsia="標楷體"/>
              </w:rPr>
            </w:pPr>
          </w:p>
        </w:tc>
        <w:tc>
          <w:tcPr>
            <w:tcW w:w="614" w:type="pct"/>
          </w:tcPr>
          <w:p w:rsidR="00000000" w:rsidRDefault="00FD50C0">
            <w:pPr>
              <w:jc w:val="right"/>
              <w:rPr>
                <w:rFonts w:eastAsia="標楷體"/>
                <w:b/>
              </w:rPr>
            </w:pPr>
            <w:r>
              <w:rPr>
                <w:rFonts w:eastAsia="標楷體"/>
                <w:b/>
              </w:rPr>
              <w:t>44</w:t>
            </w:r>
          </w:p>
        </w:tc>
        <w:tc>
          <w:tcPr>
            <w:tcW w:w="844" w:type="pct"/>
          </w:tcPr>
          <w:p w:rsidR="00000000" w:rsidRDefault="00FD50C0">
            <w:pPr>
              <w:jc w:val="right"/>
              <w:rPr>
                <w:rFonts w:eastAsia="標楷體"/>
              </w:rPr>
            </w:pPr>
            <w:r>
              <w:rPr>
                <w:rFonts w:eastAsia="標楷體"/>
              </w:rPr>
              <w:t>20.20%</w:t>
            </w:r>
          </w:p>
        </w:tc>
        <w:tc>
          <w:tcPr>
            <w:tcW w:w="721" w:type="pct"/>
          </w:tcPr>
          <w:p w:rsidR="00000000" w:rsidRDefault="00FD50C0">
            <w:pPr>
              <w:jc w:val="right"/>
              <w:rPr>
                <w:rFonts w:eastAsia="標楷體"/>
              </w:rPr>
            </w:pPr>
            <w:r>
              <w:rPr>
                <w:rFonts w:eastAsia="標楷體"/>
              </w:rPr>
              <w:t>33</w:t>
            </w:r>
          </w:p>
        </w:tc>
        <w:tc>
          <w:tcPr>
            <w:tcW w:w="845" w:type="pct"/>
          </w:tcPr>
          <w:p w:rsidR="00000000" w:rsidRDefault="00FD50C0">
            <w:pPr>
              <w:jc w:val="right"/>
              <w:rPr>
                <w:rFonts w:eastAsia="標楷體"/>
              </w:rPr>
            </w:pPr>
            <w:r>
              <w:rPr>
                <w:rFonts w:eastAsia="標楷體"/>
              </w:rPr>
              <w:t>2.62%</w:t>
            </w:r>
          </w:p>
        </w:tc>
      </w:tr>
      <w:tr w:rsidR="00000000">
        <w:trPr>
          <w:trHeight w:val="676"/>
        </w:trPr>
        <w:tc>
          <w:tcPr>
            <w:tcW w:w="717" w:type="pct"/>
          </w:tcPr>
          <w:p w:rsidR="00000000" w:rsidRDefault="00FD50C0">
            <w:pPr>
              <w:rPr>
                <w:rFonts w:eastAsia="標楷體"/>
              </w:rPr>
            </w:pPr>
            <w:r>
              <w:rPr>
                <w:rFonts w:eastAsia="標楷體" w:hAnsi="標楷體"/>
              </w:rPr>
              <w:t>外國機構及法人</w:t>
            </w:r>
          </w:p>
        </w:tc>
        <w:tc>
          <w:tcPr>
            <w:tcW w:w="595" w:type="pct"/>
          </w:tcPr>
          <w:p w:rsidR="00000000" w:rsidRDefault="00FD50C0">
            <w:pPr>
              <w:rPr>
                <w:rFonts w:eastAsia="標楷體"/>
              </w:rPr>
            </w:pPr>
          </w:p>
        </w:tc>
        <w:tc>
          <w:tcPr>
            <w:tcW w:w="663" w:type="pct"/>
          </w:tcPr>
          <w:p w:rsidR="00000000" w:rsidRDefault="00FD50C0">
            <w:pPr>
              <w:rPr>
                <w:rFonts w:eastAsia="標楷體"/>
              </w:rPr>
            </w:pPr>
          </w:p>
        </w:tc>
        <w:tc>
          <w:tcPr>
            <w:tcW w:w="614" w:type="pct"/>
          </w:tcPr>
          <w:p w:rsidR="00000000" w:rsidRDefault="00FD50C0">
            <w:pPr>
              <w:jc w:val="right"/>
              <w:rPr>
                <w:rFonts w:eastAsia="標楷體"/>
              </w:rPr>
            </w:pPr>
            <w:r>
              <w:rPr>
                <w:rFonts w:eastAsia="標楷體"/>
              </w:rPr>
              <w:t>22</w:t>
            </w:r>
          </w:p>
        </w:tc>
        <w:tc>
          <w:tcPr>
            <w:tcW w:w="844" w:type="pct"/>
          </w:tcPr>
          <w:p w:rsidR="00000000" w:rsidRDefault="00FD50C0">
            <w:pPr>
              <w:jc w:val="right"/>
              <w:rPr>
                <w:rFonts w:eastAsia="標楷體"/>
              </w:rPr>
            </w:pPr>
            <w:r>
              <w:rPr>
                <w:rFonts w:eastAsia="標楷體"/>
              </w:rPr>
              <w:t>10.73%</w:t>
            </w:r>
          </w:p>
        </w:tc>
        <w:tc>
          <w:tcPr>
            <w:tcW w:w="721" w:type="pct"/>
          </w:tcPr>
          <w:p w:rsidR="00000000" w:rsidRDefault="00FD50C0">
            <w:pPr>
              <w:jc w:val="right"/>
              <w:rPr>
                <w:rFonts w:eastAsia="標楷體"/>
              </w:rPr>
            </w:pPr>
            <w:r>
              <w:rPr>
                <w:rFonts w:eastAsia="標楷體"/>
              </w:rPr>
              <w:t>7</w:t>
            </w:r>
          </w:p>
        </w:tc>
        <w:tc>
          <w:tcPr>
            <w:tcW w:w="845" w:type="pct"/>
          </w:tcPr>
          <w:p w:rsidR="00000000" w:rsidRDefault="00FD50C0">
            <w:pPr>
              <w:jc w:val="right"/>
              <w:rPr>
                <w:rFonts w:eastAsia="標楷體"/>
              </w:rPr>
            </w:pPr>
            <w:r>
              <w:rPr>
                <w:rFonts w:eastAsia="標楷體"/>
              </w:rPr>
              <w:t>71.82%</w:t>
            </w:r>
          </w:p>
        </w:tc>
      </w:tr>
      <w:tr w:rsidR="00000000">
        <w:trPr>
          <w:trHeight w:val="338"/>
        </w:trPr>
        <w:tc>
          <w:tcPr>
            <w:tcW w:w="717" w:type="pct"/>
            <w:tcBorders>
              <w:bottom w:val="single" w:sz="4" w:space="0" w:color="008000"/>
            </w:tcBorders>
          </w:tcPr>
          <w:p w:rsidR="00000000" w:rsidRDefault="00FD50C0">
            <w:pPr>
              <w:rPr>
                <w:rFonts w:eastAsia="標楷體"/>
              </w:rPr>
            </w:pPr>
            <w:r>
              <w:rPr>
                <w:rFonts w:eastAsia="標楷體" w:hAnsi="標楷體"/>
              </w:rPr>
              <w:t>個人</w:t>
            </w:r>
          </w:p>
        </w:tc>
        <w:tc>
          <w:tcPr>
            <w:tcW w:w="595" w:type="pct"/>
            <w:tcBorders>
              <w:bottom w:val="single" w:sz="4" w:space="0" w:color="008000"/>
            </w:tcBorders>
          </w:tcPr>
          <w:p w:rsidR="00000000" w:rsidRDefault="00FD50C0">
            <w:pPr>
              <w:jc w:val="right"/>
              <w:rPr>
                <w:rFonts w:eastAsia="標楷體"/>
              </w:rPr>
            </w:pPr>
            <w:r>
              <w:rPr>
                <w:rFonts w:eastAsia="標楷體"/>
              </w:rPr>
              <w:t>9700</w:t>
            </w:r>
          </w:p>
        </w:tc>
        <w:tc>
          <w:tcPr>
            <w:tcW w:w="663" w:type="pct"/>
            <w:tcBorders>
              <w:bottom w:val="single" w:sz="4" w:space="0" w:color="008000"/>
            </w:tcBorders>
          </w:tcPr>
          <w:p w:rsidR="00000000" w:rsidRDefault="00FD50C0">
            <w:pPr>
              <w:jc w:val="right"/>
              <w:rPr>
                <w:rFonts w:eastAsia="標楷體"/>
              </w:rPr>
            </w:pPr>
            <w:r>
              <w:rPr>
                <w:rFonts w:eastAsia="標楷體"/>
              </w:rPr>
              <w:t>100%</w:t>
            </w:r>
          </w:p>
        </w:tc>
        <w:tc>
          <w:tcPr>
            <w:tcW w:w="614" w:type="pct"/>
            <w:tcBorders>
              <w:bottom w:val="single" w:sz="4" w:space="0" w:color="008000"/>
            </w:tcBorders>
          </w:tcPr>
          <w:p w:rsidR="00000000" w:rsidRDefault="00FD50C0">
            <w:pPr>
              <w:jc w:val="right"/>
              <w:rPr>
                <w:rFonts w:eastAsia="標楷體"/>
              </w:rPr>
            </w:pPr>
            <w:r>
              <w:rPr>
                <w:rFonts w:eastAsia="標楷體"/>
              </w:rPr>
              <w:t>9830</w:t>
            </w:r>
          </w:p>
        </w:tc>
        <w:tc>
          <w:tcPr>
            <w:tcW w:w="844" w:type="pct"/>
            <w:tcBorders>
              <w:bottom w:val="single" w:sz="4" w:space="0" w:color="008000"/>
            </w:tcBorders>
          </w:tcPr>
          <w:p w:rsidR="00000000" w:rsidRDefault="00FD50C0">
            <w:pPr>
              <w:jc w:val="right"/>
              <w:rPr>
                <w:rFonts w:eastAsia="標楷體"/>
              </w:rPr>
            </w:pPr>
            <w:r>
              <w:rPr>
                <w:rFonts w:eastAsia="標楷體"/>
              </w:rPr>
              <w:t>65.90%</w:t>
            </w:r>
          </w:p>
        </w:tc>
        <w:tc>
          <w:tcPr>
            <w:tcW w:w="721" w:type="pct"/>
            <w:tcBorders>
              <w:bottom w:val="single" w:sz="4" w:space="0" w:color="008000"/>
            </w:tcBorders>
          </w:tcPr>
          <w:p w:rsidR="00000000" w:rsidRDefault="00FD50C0">
            <w:pPr>
              <w:jc w:val="right"/>
              <w:rPr>
                <w:rFonts w:eastAsia="標楷體"/>
              </w:rPr>
            </w:pPr>
            <w:r>
              <w:rPr>
                <w:rFonts w:eastAsia="標楷體"/>
              </w:rPr>
              <w:t>19626</w:t>
            </w:r>
          </w:p>
        </w:tc>
        <w:tc>
          <w:tcPr>
            <w:tcW w:w="845" w:type="pct"/>
            <w:tcBorders>
              <w:bottom w:val="single" w:sz="4" w:space="0" w:color="008000"/>
            </w:tcBorders>
          </w:tcPr>
          <w:p w:rsidR="00000000" w:rsidRDefault="00FD50C0">
            <w:pPr>
              <w:jc w:val="right"/>
              <w:rPr>
                <w:rFonts w:eastAsia="標楷體"/>
              </w:rPr>
            </w:pPr>
            <w:r>
              <w:rPr>
                <w:rFonts w:eastAsia="標楷體"/>
              </w:rPr>
              <w:t>24.69%</w:t>
            </w:r>
          </w:p>
        </w:tc>
      </w:tr>
      <w:tr w:rsidR="00000000">
        <w:trPr>
          <w:trHeight w:val="662"/>
        </w:trPr>
        <w:tc>
          <w:tcPr>
            <w:tcW w:w="717" w:type="pct"/>
            <w:tcBorders>
              <w:top w:val="single" w:sz="4" w:space="0" w:color="008000"/>
            </w:tcBorders>
          </w:tcPr>
          <w:p w:rsidR="00000000" w:rsidRDefault="00FD50C0">
            <w:pPr>
              <w:rPr>
                <w:rFonts w:eastAsia="標楷體"/>
              </w:rPr>
            </w:pPr>
            <w:r>
              <w:rPr>
                <w:rFonts w:eastAsia="標楷體" w:hAnsi="標楷體"/>
              </w:rPr>
              <w:t>資料來源</w:t>
            </w:r>
          </w:p>
        </w:tc>
        <w:tc>
          <w:tcPr>
            <w:tcW w:w="1258" w:type="pct"/>
            <w:gridSpan w:val="2"/>
            <w:tcBorders>
              <w:top w:val="single" w:sz="4" w:space="0" w:color="008000"/>
            </w:tcBorders>
          </w:tcPr>
          <w:p w:rsidR="00000000" w:rsidRDefault="00FD50C0">
            <w:pPr>
              <w:rPr>
                <w:rFonts w:eastAsia="標楷體"/>
              </w:rPr>
            </w:pPr>
            <w:r>
              <w:rPr>
                <w:rFonts w:eastAsia="標楷體"/>
              </w:rPr>
              <w:t>1994.10</w:t>
            </w:r>
            <w:r>
              <w:rPr>
                <w:rFonts w:eastAsia="標楷體" w:hAnsi="標楷體"/>
              </w:rPr>
              <w:t>上市公開說明書</w:t>
            </w:r>
          </w:p>
        </w:tc>
        <w:tc>
          <w:tcPr>
            <w:tcW w:w="1458" w:type="pct"/>
            <w:gridSpan w:val="2"/>
            <w:tcBorders>
              <w:top w:val="single" w:sz="4" w:space="0" w:color="008000"/>
            </w:tcBorders>
          </w:tcPr>
          <w:p w:rsidR="00000000" w:rsidRDefault="00FD50C0">
            <w:pPr>
              <w:rPr>
                <w:rFonts w:eastAsia="標楷體"/>
              </w:rPr>
            </w:pPr>
            <w:r>
              <w:rPr>
                <w:rFonts w:eastAsia="標楷體"/>
              </w:rPr>
              <w:t>1997.06</w:t>
            </w:r>
            <w:r>
              <w:rPr>
                <w:rFonts w:eastAsia="標楷體" w:hAnsi="標楷體"/>
              </w:rPr>
              <w:t>現金增資公開說明書</w:t>
            </w:r>
          </w:p>
        </w:tc>
        <w:tc>
          <w:tcPr>
            <w:tcW w:w="1566" w:type="pct"/>
            <w:gridSpan w:val="2"/>
            <w:tcBorders>
              <w:top w:val="single" w:sz="4" w:space="0" w:color="008000"/>
            </w:tcBorders>
          </w:tcPr>
          <w:p w:rsidR="00000000" w:rsidRDefault="00FD50C0">
            <w:pPr>
              <w:rPr>
                <w:rFonts w:eastAsia="標楷體"/>
              </w:rPr>
            </w:pPr>
            <w:r>
              <w:rPr>
                <w:rFonts w:eastAsia="標楷體"/>
              </w:rPr>
              <w:t>2003.04</w:t>
            </w:r>
            <w:r>
              <w:rPr>
                <w:rFonts w:eastAsia="標楷體" w:hAnsi="標楷體"/>
              </w:rPr>
              <w:t>現增特別股公開說明書</w:t>
            </w:r>
          </w:p>
        </w:tc>
      </w:tr>
    </w:tbl>
    <w:p w:rsidR="00000000" w:rsidRDefault="00FD50C0">
      <w:pPr>
        <w:ind w:left="360" w:firstLine="480"/>
        <w:rPr>
          <w:rFonts w:ascii="標楷體" w:eastAsia="標楷體" w:hAnsi="標楷體" w:cs="新細明體" w:hint="eastAsia"/>
          <w:kern w:val="0"/>
        </w:rPr>
      </w:pPr>
      <w:r>
        <w:rPr>
          <w:rFonts w:ascii="標楷體" w:eastAsia="標楷體" w:hAnsi="標楷體" w:cs="新細明體" w:hint="eastAsia"/>
          <w:kern w:val="0"/>
          <w:bdr w:val="single" w:sz="4" w:space="0" w:color="auto"/>
        </w:rPr>
        <w:t>各階段股東結構比較</w:t>
      </w:r>
      <w:r>
        <w:rPr>
          <w:rFonts w:ascii="標楷體" w:eastAsia="標楷體" w:hAnsi="標楷體" w:cs="新細明體" w:hint="eastAsia"/>
          <w:kern w:val="0"/>
        </w:rPr>
        <w:t>：</w:t>
      </w:r>
    </w:p>
    <w:p w:rsidR="00000000" w:rsidRDefault="00FD50C0">
      <w:pPr>
        <w:spacing w:beforeLines="50" w:afterLines="50"/>
        <w:ind w:firstLineChars="200" w:firstLine="480"/>
        <w:jc w:val="both"/>
        <w:rPr>
          <w:rFonts w:eastAsia="標楷體"/>
          <w:kern w:val="0"/>
        </w:rPr>
      </w:pPr>
      <w:r>
        <w:rPr>
          <w:rFonts w:eastAsia="標楷體" w:hAnsi="標楷體"/>
          <w:kern w:val="0"/>
        </w:rPr>
        <w:t>由上表可以看出，在第二階段，股東結構中法人由</w:t>
      </w:r>
      <w:r>
        <w:rPr>
          <w:rFonts w:eastAsia="標楷體"/>
          <w:kern w:val="0"/>
        </w:rPr>
        <w:t>3</w:t>
      </w:r>
      <w:r>
        <w:rPr>
          <w:rFonts w:eastAsia="標楷體" w:hAnsi="標楷體"/>
          <w:kern w:val="0"/>
        </w:rPr>
        <w:t>家暴增至</w:t>
      </w:r>
      <w:r>
        <w:rPr>
          <w:rFonts w:eastAsia="標楷體"/>
          <w:kern w:val="0"/>
        </w:rPr>
        <w:t>44</w:t>
      </w:r>
      <w:r>
        <w:rPr>
          <w:rFonts w:eastAsia="標楷體" w:hAnsi="標楷體"/>
          <w:kern w:val="0"/>
        </w:rPr>
        <w:t>家，這就是反映母子公司交叉持股，使得股東裡面法人數量大幅上升。而東隆的子公司大部分都是一些專門投資的公司，不幸的是，這些子公司所投資的目標地雷股佔大部分，這也是導致公司發生財務危機的原因之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63"/>
        <w:gridCol w:w="3315"/>
        <w:gridCol w:w="2216"/>
      </w:tblGrid>
      <w:tr w:rsidR="00000000">
        <w:tc>
          <w:tcPr>
            <w:tcW w:w="310" w:type="pct"/>
          </w:tcPr>
          <w:p w:rsidR="00000000" w:rsidRDefault="00FD50C0">
            <w:pPr>
              <w:rPr>
                <w:rFonts w:eastAsia="標楷體"/>
              </w:rPr>
            </w:pPr>
          </w:p>
        </w:tc>
        <w:tc>
          <w:tcPr>
            <w:tcW w:w="1445" w:type="pct"/>
          </w:tcPr>
          <w:p w:rsidR="00000000" w:rsidRDefault="00FD50C0">
            <w:pPr>
              <w:jc w:val="center"/>
              <w:rPr>
                <w:rFonts w:eastAsia="標楷體"/>
              </w:rPr>
            </w:pPr>
            <w:r>
              <w:rPr>
                <w:rFonts w:eastAsia="標楷體" w:hAnsi="標楷體"/>
              </w:rPr>
              <w:t>第一階段</w:t>
            </w:r>
          </w:p>
        </w:tc>
        <w:tc>
          <w:tcPr>
            <w:tcW w:w="1945" w:type="pct"/>
          </w:tcPr>
          <w:p w:rsidR="00000000" w:rsidRDefault="00FD50C0">
            <w:pPr>
              <w:jc w:val="center"/>
              <w:rPr>
                <w:rFonts w:eastAsia="標楷體"/>
              </w:rPr>
            </w:pPr>
            <w:r>
              <w:rPr>
                <w:rFonts w:eastAsia="標楷體" w:hAnsi="標楷體"/>
              </w:rPr>
              <w:t>第二階段</w:t>
            </w:r>
          </w:p>
        </w:tc>
        <w:tc>
          <w:tcPr>
            <w:tcW w:w="1300" w:type="pct"/>
          </w:tcPr>
          <w:p w:rsidR="00000000" w:rsidRDefault="00FD50C0">
            <w:pPr>
              <w:jc w:val="center"/>
              <w:rPr>
                <w:rFonts w:eastAsia="標楷體"/>
              </w:rPr>
            </w:pPr>
            <w:r>
              <w:rPr>
                <w:rFonts w:eastAsia="標楷體" w:hAnsi="標楷體"/>
              </w:rPr>
              <w:t>第三階段</w:t>
            </w:r>
          </w:p>
        </w:tc>
      </w:tr>
      <w:tr w:rsidR="00000000">
        <w:tc>
          <w:tcPr>
            <w:tcW w:w="310" w:type="pct"/>
            <w:vAlign w:val="center"/>
          </w:tcPr>
          <w:p w:rsidR="00000000" w:rsidRDefault="00FD50C0">
            <w:pPr>
              <w:rPr>
                <w:rFonts w:eastAsia="標楷體"/>
              </w:rPr>
            </w:pPr>
            <w:r>
              <w:rPr>
                <w:rFonts w:eastAsia="標楷體" w:hAnsi="標楷體"/>
              </w:rPr>
              <w:t>結構</w:t>
            </w:r>
          </w:p>
        </w:tc>
        <w:tc>
          <w:tcPr>
            <w:tcW w:w="1445" w:type="pct"/>
          </w:tcPr>
          <w:p w:rsidR="00000000" w:rsidRDefault="00FD50C0">
            <w:pPr>
              <w:rPr>
                <w:rFonts w:eastAsia="標楷體"/>
              </w:rPr>
            </w:pPr>
            <w:r>
              <w:rPr>
                <w:rFonts w:eastAsia="標楷體"/>
              </w:rPr>
              <w:t>8</w:t>
            </w:r>
            <w:r>
              <w:rPr>
                <w:rFonts w:eastAsia="標楷體" w:hAnsi="標楷體"/>
              </w:rPr>
              <w:t>董</w:t>
            </w:r>
            <w:r>
              <w:rPr>
                <w:rFonts w:eastAsia="標楷體"/>
              </w:rPr>
              <w:t>3</w:t>
            </w:r>
            <w:r>
              <w:rPr>
                <w:rFonts w:eastAsia="標楷體" w:hAnsi="標楷體"/>
              </w:rPr>
              <w:t>監，范</w:t>
            </w:r>
            <w:r>
              <w:rPr>
                <w:rFonts w:eastAsia="標楷體" w:hAnsi="標楷體"/>
              </w:rPr>
              <w:t>家三大房掌握</w:t>
            </w:r>
            <w:r>
              <w:rPr>
                <w:rFonts w:eastAsia="標楷體"/>
              </w:rPr>
              <w:t>5</w:t>
            </w:r>
            <w:r>
              <w:rPr>
                <w:rFonts w:eastAsia="標楷體" w:hAnsi="標楷體"/>
              </w:rPr>
              <w:t>董</w:t>
            </w:r>
            <w:r>
              <w:rPr>
                <w:rFonts w:eastAsia="標楷體"/>
              </w:rPr>
              <w:t>2</w:t>
            </w:r>
            <w:r>
              <w:rPr>
                <w:rFonts w:eastAsia="標楷體" w:hAnsi="標楷體"/>
              </w:rPr>
              <w:t>監</w:t>
            </w:r>
          </w:p>
        </w:tc>
        <w:tc>
          <w:tcPr>
            <w:tcW w:w="1945" w:type="pct"/>
          </w:tcPr>
          <w:p w:rsidR="00000000" w:rsidRDefault="00FD50C0">
            <w:pPr>
              <w:rPr>
                <w:rFonts w:eastAsia="標楷體"/>
              </w:rPr>
            </w:pPr>
            <w:r>
              <w:rPr>
                <w:rFonts w:eastAsia="標楷體"/>
              </w:rPr>
              <w:t>10</w:t>
            </w:r>
            <w:r>
              <w:rPr>
                <w:rFonts w:eastAsia="標楷體" w:hAnsi="標楷體"/>
              </w:rPr>
              <w:t>董</w:t>
            </w:r>
            <w:r>
              <w:rPr>
                <w:rFonts w:eastAsia="標楷體"/>
              </w:rPr>
              <w:t>2</w:t>
            </w:r>
            <w:r>
              <w:rPr>
                <w:rFonts w:eastAsia="標楷體" w:hAnsi="標楷體"/>
              </w:rPr>
              <w:t>監，范芳源兄弟控制</w:t>
            </w:r>
            <w:r>
              <w:rPr>
                <w:rFonts w:eastAsia="標楷體"/>
              </w:rPr>
              <w:t>5</w:t>
            </w:r>
            <w:r>
              <w:rPr>
                <w:rFonts w:eastAsia="標楷體" w:hAnsi="標楷體"/>
              </w:rPr>
              <w:t>董</w:t>
            </w:r>
            <w:r>
              <w:rPr>
                <w:rFonts w:eastAsia="標楷體"/>
              </w:rPr>
              <w:t>1</w:t>
            </w:r>
            <w:r>
              <w:rPr>
                <w:rFonts w:eastAsia="標楷體" w:hAnsi="標楷體"/>
              </w:rPr>
              <w:t>監</w:t>
            </w:r>
          </w:p>
        </w:tc>
        <w:tc>
          <w:tcPr>
            <w:tcW w:w="1300" w:type="pct"/>
          </w:tcPr>
          <w:p w:rsidR="00000000" w:rsidRDefault="00FD50C0">
            <w:pPr>
              <w:rPr>
                <w:rFonts w:eastAsia="標楷體"/>
              </w:rPr>
            </w:pPr>
            <w:r>
              <w:rPr>
                <w:rFonts w:eastAsia="標楷體"/>
              </w:rPr>
              <w:t>7</w:t>
            </w:r>
            <w:r>
              <w:rPr>
                <w:rFonts w:eastAsia="標楷體" w:hAnsi="標楷體"/>
              </w:rPr>
              <w:t>董</w:t>
            </w:r>
            <w:r>
              <w:rPr>
                <w:rFonts w:eastAsia="標楷體"/>
              </w:rPr>
              <w:t>2</w:t>
            </w:r>
            <w:r>
              <w:rPr>
                <w:rFonts w:eastAsia="標楷體" w:hAnsi="標楷體"/>
              </w:rPr>
              <w:t>監</w:t>
            </w:r>
          </w:p>
        </w:tc>
      </w:tr>
      <w:tr w:rsidR="00000000">
        <w:tc>
          <w:tcPr>
            <w:tcW w:w="310" w:type="pct"/>
            <w:vAlign w:val="center"/>
          </w:tcPr>
          <w:p w:rsidR="00000000" w:rsidRDefault="00FD50C0">
            <w:pPr>
              <w:rPr>
                <w:rFonts w:eastAsia="標楷體"/>
              </w:rPr>
            </w:pPr>
            <w:r>
              <w:rPr>
                <w:rFonts w:eastAsia="標楷體" w:hAnsi="標楷體"/>
              </w:rPr>
              <w:t>董事</w:t>
            </w:r>
          </w:p>
        </w:tc>
        <w:tc>
          <w:tcPr>
            <w:tcW w:w="1445" w:type="pct"/>
          </w:tcPr>
          <w:p w:rsidR="00000000" w:rsidRDefault="00FD50C0">
            <w:pPr>
              <w:rPr>
                <w:rFonts w:eastAsia="標楷體"/>
              </w:rPr>
            </w:pPr>
            <w:r>
              <w:rPr>
                <w:rFonts w:eastAsia="標楷體" w:hAnsi="標楷體"/>
              </w:rPr>
              <w:t>范耀彬</w:t>
            </w:r>
            <w:r>
              <w:rPr>
                <w:rFonts w:eastAsia="標楷體"/>
              </w:rPr>
              <w:t>(</w:t>
            </w:r>
            <w:r>
              <w:rPr>
                <w:rFonts w:eastAsia="標楷體" w:hAnsi="標楷體"/>
              </w:rPr>
              <w:t>董事長兼總經理</w:t>
            </w:r>
            <w:r>
              <w:rPr>
                <w:rFonts w:eastAsia="標楷體"/>
              </w:rPr>
              <w:t>)</w:t>
            </w:r>
            <w:r>
              <w:rPr>
                <w:rFonts w:eastAsia="標楷體" w:hAnsi="標楷體"/>
              </w:rPr>
              <w:t>、范耀琦、范芳源、范芳嘉、范芳彰、戴紹松、高泉裕、陳芳崑、</w:t>
            </w:r>
            <w:r>
              <w:rPr>
                <w:rFonts w:eastAsia="標楷體"/>
              </w:rPr>
              <w:t>(</w:t>
            </w:r>
            <w:r>
              <w:rPr>
                <w:rFonts w:eastAsia="標楷體" w:hAnsi="標楷體"/>
              </w:rPr>
              <w:t>范耀鑫</w:t>
            </w:r>
            <w:r>
              <w:rPr>
                <w:rFonts w:eastAsia="標楷體"/>
              </w:rPr>
              <w:t>)</w:t>
            </w:r>
          </w:p>
        </w:tc>
        <w:tc>
          <w:tcPr>
            <w:tcW w:w="1945" w:type="pct"/>
          </w:tcPr>
          <w:p w:rsidR="00000000" w:rsidRDefault="00FD50C0">
            <w:pPr>
              <w:rPr>
                <w:rFonts w:eastAsia="標楷體"/>
              </w:rPr>
            </w:pPr>
            <w:r>
              <w:rPr>
                <w:rFonts w:eastAsia="標楷體" w:hAnsi="標楷體"/>
              </w:rPr>
              <w:t>范芳源</w:t>
            </w:r>
            <w:r>
              <w:rPr>
                <w:rFonts w:eastAsia="標楷體"/>
              </w:rPr>
              <w:t>(</w:t>
            </w:r>
            <w:r>
              <w:rPr>
                <w:rFonts w:eastAsia="標楷體" w:hAnsi="標楷體"/>
              </w:rPr>
              <w:t>董事長</w:t>
            </w:r>
            <w:r>
              <w:rPr>
                <w:rFonts w:eastAsia="標楷體"/>
              </w:rPr>
              <w:t>)</w:t>
            </w:r>
            <w:r>
              <w:rPr>
                <w:rFonts w:eastAsia="標楷體" w:hAnsi="標楷體"/>
              </w:rPr>
              <w:t>、裕台公司代表陳忠信、范芳定、范芳魁</w:t>
            </w:r>
            <w:r>
              <w:rPr>
                <w:rFonts w:eastAsia="標楷體"/>
              </w:rPr>
              <w:t>(</w:t>
            </w:r>
            <w:r>
              <w:rPr>
                <w:rFonts w:eastAsia="標楷體" w:hAnsi="標楷體"/>
              </w:rPr>
              <w:t>總經理</w:t>
            </w:r>
            <w:r>
              <w:rPr>
                <w:rFonts w:eastAsia="標楷體"/>
              </w:rPr>
              <w:t>)</w:t>
            </w:r>
            <w:r>
              <w:rPr>
                <w:rFonts w:eastAsia="標楷體" w:hAnsi="標楷體"/>
              </w:rPr>
              <w:t>、范芳沛、范芳享、范芳嘉、永順投資、六緯五金、維力科技、</w:t>
            </w:r>
            <w:r>
              <w:rPr>
                <w:rFonts w:eastAsia="標楷體"/>
              </w:rPr>
              <w:t>(</w:t>
            </w:r>
            <w:r>
              <w:rPr>
                <w:rFonts w:eastAsia="標楷體" w:hAnsi="標楷體"/>
              </w:rPr>
              <w:t>范耀彬</w:t>
            </w:r>
            <w:r>
              <w:rPr>
                <w:rFonts w:eastAsia="標楷體"/>
              </w:rPr>
              <w:t>)</w:t>
            </w:r>
          </w:p>
        </w:tc>
        <w:tc>
          <w:tcPr>
            <w:tcW w:w="1300" w:type="pct"/>
          </w:tcPr>
          <w:p w:rsidR="00000000" w:rsidRDefault="00FD50C0">
            <w:pPr>
              <w:rPr>
                <w:rFonts w:eastAsia="標楷體"/>
              </w:rPr>
            </w:pPr>
            <w:r>
              <w:rPr>
                <w:rFonts w:eastAsia="標楷體" w:hAnsi="標楷體"/>
              </w:rPr>
              <w:t>董事長：王鐘渝副董事長：宏偉實業陳伯昌執行董事：林秀玲董事：精確設備、宏偉實業、盛業五金</w:t>
            </w:r>
          </w:p>
        </w:tc>
      </w:tr>
      <w:tr w:rsidR="00000000">
        <w:tc>
          <w:tcPr>
            <w:tcW w:w="310" w:type="pct"/>
            <w:vAlign w:val="center"/>
          </w:tcPr>
          <w:p w:rsidR="00000000" w:rsidRDefault="00FD50C0">
            <w:pPr>
              <w:rPr>
                <w:rFonts w:eastAsia="標楷體"/>
              </w:rPr>
            </w:pPr>
            <w:r>
              <w:rPr>
                <w:rFonts w:eastAsia="標楷體" w:hAnsi="標楷體"/>
              </w:rPr>
              <w:t>監察人</w:t>
            </w:r>
          </w:p>
        </w:tc>
        <w:tc>
          <w:tcPr>
            <w:tcW w:w="1445" w:type="pct"/>
          </w:tcPr>
          <w:p w:rsidR="00000000" w:rsidRDefault="00FD50C0">
            <w:pPr>
              <w:rPr>
                <w:rFonts w:eastAsia="標楷體"/>
              </w:rPr>
            </w:pPr>
            <w:r>
              <w:rPr>
                <w:rFonts w:eastAsia="標楷體" w:hAnsi="標楷體"/>
              </w:rPr>
              <w:t>范瑛瑜、范芳魁、蔡垂煌</w:t>
            </w:r>
          </w:p>
        </w:tc>
        <w:tc>
          <w:tcPr>
            <w:tcW w:w="1945" w:type="pct"/>
          </w:tcPr>
          <w:p w:rsidR="00000000" w:rsidRDefault="00FD50C0">
            <w:pPr>
              <w:rPr>
                <w:rFonts w:eastAsia="標楷體"/>
              </w:rPr>
            </w:pPr>
            <w:r>
              <w:rPr>
                <w:rFonts w:eastAsia="標楷體" w:hAnsi="標楷體"/>
              </w:rPr>
              <w:t>鑫智科技、范芳彰、</w:t>
            </w:r>
            <w:r>
              <w:rPr>
                <w:rFonts w:eastAsia="標楷體"/>
              </w:rPr>
              <w:t xml:space="preserve"> (</w:t>
            </w:r>
            <w:r>
              <w:rPr>
                <w:rFonts w:eastAsia="標楷體" w:hAnsi="標楷體"/>
              </w:rPr>
              <w:t>光華投資</w:t>
            </w:r>
            <w:r>
              <w:rPr>
                <w:rFonts w:eastAsia="標楷體"/>
              </w:rPr>
              <w:t>)</w:t>
            </w:r>
          </w:p>
        </w:tc>
        <w:tc>
          <w:tcPr>
            <w:tcW w:w="1300" w:type="pct"/>
          </w:tcPr>
          <w:p w:rsidR="00000000" w:rsidRDefault="00FD50C0">
            <w:pPr>
              <w:rPr>
                <w:rFonts w:eastAsia="標楷體"/>
              </w:rPr>
            </w:pPr>
            <w:r>
              <w:rPr>
                <w:rFonts w:eastAsia="標楷體" w:hAnsi="標楷體"/>
              </w:rPr>
              <w:t>中租迪和、盛業五金</w:t>
            </w:r>
          </w:p>
        </w:tc>
      </w:tr>
      <w:tr w:rsidR="00000000">
        <w:tc>
          <w:tcPr>
            <w:tcW w:w="310" w:type="pct"/>
            <w:vAlign w:val="center"/>
          </w:tcPr>
          <w:p w:rsidR="00000000" w:rsidRDefault="00FD50C0">
            <w:pPr>
              <w:rPr>
                <w:rFonts w:eastAsia="標楷體"/>
              </w:rPr>
            </w:pPr>
            <w:r>
              <w:rPr>
                <w:rFonts w:eastAsia="標楷體" w:hAnsi="標楷體"/>
              </w:rPr>
              <w:t>備註</w:t>
            </w:r>
          </w:p>
        </w:tc>
        <w:tc>
          <w:tcPr>
            <w:tcW w:w="1445" w:type="pct"/>
          </w:tcPr>
          <w:p w:rsidR="00000000" w:rsidRDefault="00FD50C0">
            <w:pPr>
              <w:jc w:val="both"/>
              <w:rPr>
                <w:rFonts w:eastAsia="標楷體"/>
              </w:rPr>
            </w:pPr>
            <w:r>
              <w:rPr>
                <w:rFonts w:eastAsia="標楷體"/>
              </w:rPr>
              <w:t>*</w:t>
            </w:r>
            <w:r>
              <w:rPr>
                <w:rFonts w:eastAsia="標楷體" w:hAnsi="標楷體"/>
              </w:rPr>
              <w:t>董事范耀鑫於</w:t>
            </w:r>
            <w:r>
              <w:rPr>
                <w:rFonts w:eastAsia="標楷體"/>
              </w:rPr>
              <w:t>83.7.9</w:t>
            </w:r>
            <w:r>
              <w:rPr>
                <w:rFonts w:eastAsia="標楷體" w:hAnsi="標楷體"/>
              </w:rPr>
              <w:t>逝世</w:t>
            </w:r>
          </w:p>
        </w:tc>
        <w:tc>
          <w:tcPr>
            <w:tcW w:w="1945" w:type="pct"/>
          </w:tcPr>
          <w:p w:rsidR="00000000" w:rsidRDefault="00FD50C0">
            <w:pPr>
              <w:jc w:val="both"/>
              <w:rPr>
                <w:rFonts w:eastAsia="標楷體"/>
              </w:rPr>
            </w:pPr>
            <w:r>
              <w:rPr>
                <w:rFonts w:eastAsia="標楷體"/>
              </w:rPr>
              <w:t>*</w:t>
            </w:r>
            <w:r>
              <w:rPr>
                <w:rFonts w:eastAsia="標楷體" w:hAnsi="標楷體"/>
              </w:rPr>
              <w:t>監察人光華投資於</w:t>
            </w:r>
            <w:r>
              <w:rPr>
                <w:rFonts w:eastAsia="標楷體"/>
              </w:rPr>
              <w:t>86.6.19</w:t>
            </w:r>
            <w:r>
              <w:rPr>
                <w:rFonts w:eastAsia="標楷體" w:hAnsi="標楷體"/>
              </w:rPr>
              <w:t>辭職</w:t>
            </w:r>
            <w:r>
              <w:rPr>
                <w:rFonts w:eastAsia="標楷體"/>
              </w:rPr>
              <w:t xml:space="preserve"> *</w:t>
            </w:r>
            <w:r>
              <w:rPr>
                <w:rFonts w:eastAsia="標楷體" w:hAnsi="標楷體"/>
              </w:rPr>
              <w:t>董事范耀彬於</w:t>
            </w:r>
            <w:r>
              <w:rPr>
                <w:rFonts w:eastAsia="標楷體"/>
              </w:rPr>
              <w:t>85.9.11</w:t>
            </w:r>
            <w:r>
              <w:rPr>
                <w:rFonts w:eastAsia="標楷體" w:hAnsi="標楷體"/>
              </w:rPr>
              <w:t>辭職</w:t>
            </w:r>
          </w:p>
        </w:tc>
        <w:tc>
          <w:tcPr>
            <w:tcW w:w="1300" w:type="pct"/>
          </w:tcPr>
          <w:p w:rsidR="00000000" w:rsidRDefault="00FD50C0">
            <w:pPr>
              <w:rPr>
                <w:rFonts w:eastAsia="標楷體"/>
              </w:rPr>
            </w:pPr>
          </w:p>
        </w:tc>
      </w:tr>
    </w:tbl>
    <w:p w:rsidR="00000000" w:rsidRDefault="00FD50C0">
      <w:pPr>
        <w:spacing w:beforeLines="50" w:afterLines="50"/>
        <w:jc w:val="both"/>
        <w:rPr>
          <w:rFonts w:ascii="標楷體" w:eastAsia="標楷體" w:hAnsi="標楷體" w:cs="新細明體" w:hint="eastAsia"/>
          <w:kern w:val="0"/>
        </w:rPr>
      </w:pPr>
    </w:p>
    <w:p w:rsidR="00000000" w:rsidRDefault="00FD50C0">
      <w:pPr>
        <w:ind w:left="840"/>
        <w:rPr>
          <w:rFonts w:ascii="標楷體" w:eastAsia="標楷體" w:hAnsi="標楷體" w:cs="新細明體" w:hint="eastAsia"/>
          <w:kern w:val="0"/>
        </w:rPr>
      </w:pPr>
      <w:r>
        <w:rPr>
          <w:rFonts w:ascii="標楷體" w:eastAsia="標楷體" w:hAnsi="標楷體" w:cs="新細明體" w:hint="eastAsia"/>
          <w:kern w:val="0"/>
          <w:bdr w:val="single" w:sz="4" w:space="0" w:color="auto"/>
        </w:rPr>
        <w:t>交叉持股之利弊討論</w:t>
      </w:r>
      <w:r>
        <w:rPr>
          <w:rFonts w:ascii="標楷體" w:eastAsia="標楷體" w:hAnsi="標楷體" w:cs="新細明體" w:hint="eastAsia"/>
          <w:kern w:val="0"/>
        </w:rPr>
        <w:t>：</w:t>
      </w:r>
    </w:p>
    <w:tbl>
      <w:tblPr>
        <w:tblpPr w:leftFromText="180" w:rightFromText="180" w:vertAnchor="text" w:horzAnchor="margin" w:tblpXSpec="right" w:tblpY="181"/>
        <w:tblW w:w="5000" w:type="pct"/>
        <w:tblCellSpacing w:w="0" w:type="dxa"/>
        <w:tblCellMar>
          <w:left w:w="0" w:type="dxa"/>
          <w:right w:w="0" w:type="dxa"/>
        </w:tblCellMar>
        <w:tblLook w:val="0000"/>
      </w:tblPr>
      <w:tblGrid>
        <w:gridCol w:w="4215"/>
        <w:gridCol w:w="4151"/>
      </w:tblGrid>
      <w:tr w:rsidR="00000000">
        <w:trPr>
          <w:trHeight w:val="477"/>
          <w:tblCellSpacing w:w="0" w:type="dxa"/>
        </w:trPr>
        <w:tc>
          <w:tcPr>
            <w:tcW w:w="2519" w:type="pct"/>
            <w:tcBorders>
              <w:top w:val="single" w:sz="12" w:space="0" w:color="000000"/>
              <w:left w:val="single" w:sz="12" w:space="0" w:color="000000"/>
              <w:bottom w:val="single" w:sz="6" w:space="0" w:color="000000"/>
              <w:right w:val="single" w:sz="6" w:space="0" w:color="000000"/>
            </w:tcBorders>
          </w:tcPr>
          <w:p w:rsidR="00000000" w:rsidRDefault="00FD50C0">
            <w:pPr>
              <w:ind w:left="480"/>
              <w:rPr>
                <w:rFonts w:ascii="標楷體" w:eastAsia="標楷體" w:hAnsi="標楷體" w:cs="新細明體"/>
                <w:kern w:val="0"/>
              </w:rPr>
            </w:pPr>
            <w:r>
              <w:rPr>
                <w:rFonts w:ascii="標楷體" w:eastAsia="標楷體" w:hAnsi="標楷體" w:cs="新細明體" w:hint="eastAsia"/>
                <w:kern w:val="0"/>
              </w:rPr>
              <w:t>交叉持股之利</w:t>
            </w:r>
          </w:p>
        </w:tc>
        <w:tc>
          <w:tcPr>
            <w:tcW w:w="2481" w:type="pct"/>
            <w:tcBorders>
              <w:top w:val="single" w:sz="12" w:space="0" w:color="000000"/>
              <w:left w:val="single" w:sz="6" w:space="0" w:color="000000"/>
              <w:bottom w:val="single" w:sz="6" w:space="0" w:color="000000"/>
              <w:right w:val="single" w:sz="12" w:space="0" w:color="000000"/>
            </w:tcBorders>
          </w:tcPr>
          <w:p w:rsidR="00000000" w:rsidRDefault="00FD50C0">
            <w:pPr>
              <w:ind w:left="480"/>
              <w:rPr>
                <w:rFonts w:ascii="標楷體" w:eastAsia="標楷體" w:hAnsi="標楷體" w:cs="新細明體"/>
                <w:kern w:val="0"/>
              </w:rPr>
            </w:pPr>
            <w:r>
              <w:rPr>
                <w:rFonts w:ascii="標楷體" w:eastAsia="標楷體" w:hAnsi="標楷體" w:cs="新細明體" w:hint="eastAsia"/>
                <w:kern w:val="0"/>
              </w:rPr>
              <w:t>交叉持股之弊</w:t>
            </w:r>
          </w:p>
        </w:tc>
      </w:tr>
      <w:tr w:rsidR="00000000">
        <w:trPr>
          <w:trHeight w:val="2511"/>
          <w:tblCellSpacing w:w="0" w:type="dxa"/>
        </w:trPr>
        <w:tc>
          <w:tcPr>
            <w:tcW w:w="2519" w:type="pct"/>
            <w:tcBorders>
              <w:top w:val="single" w:sz="6" w:space="0" w:color="000000"/>
              <w:left w:val="single" w:sz="12" w:space="0" w:color="000000"/>
              <w:bottom w:val="single" w:sz="12" w:space="0" w:color="000000"/>
              <w:right w:val="single" w:sz="6" w:space="0" w:color="000000"/>
            </w:tcBorders>
          </w:tcPr>
          <w:p w:rsidR="00000000" w:rsidRDefault="00FD50C0">
            <w:pPr>
              <w:numPr>
                <w:ilvl w:val="0"/>
                <w:numId w:val="25"/>
              </w:numPr>
              <w:rPr>
                <w:rFonts w:ascii="標楷體" w:eastAsia="標楷體" w:hAnsi="標楷體" w:cs="新細明體"/>
                <w:kern w:val="0"/>
              </w:rPr>
            </w:pPr>
            <w:r>
              <w:rPr>
                <w:rFonts w:ascii="標楷體" w:eastAsia="標楷體" w:hAnsi="標楷體" w:cs="新細明體" w:hint="eastAsia"/>
                <w:kern w:val="0"/>
              </w:rPr>
              <w:t>有利於企業之多角化發展</w:t>
            </w:r>
          </w:p>
          <w:p w:rsidR="00000000" w:rsidRDefault="00FD50C0">
            <w:pPr>
              <w:ind w:left="360"/>
              <w:rPr>
                <w:rFonts w:ascii="標楷體" w:eastAsia="標楷體" w:hAnsi="標楷體" w:cs="新細明體" w:hint="eastAsia"/>
                <w:b/>
                <w:kern w:val="0"/>
              </w:rPr>
            </w:pPr>
            <w:r>
              <w:rPr>
                <w:rFonts w:ascii="標楷體" w:eastAsia="標楷體" w:hAnsi="標楷體" w:cs="新細明體" w:hint="eastAsia"/>
                <w:b/>
                <w:kern w:val="0"/>
              </w:rPr>
              <w:t xml:space="preserve">2. </w:t>
            </w:r>
            <w:r>
              <w:rPr>
                <w:rFonts w:ascii="標楷體" w:eastAsia="標楷體" w:hAnsi="標楷體" w:cs="新細明體" w:hint="eastAsia"/>
                <w:b/>
                <w:kern w:val="0"/>
              </w:rPr>
              <w:t>維持或強化企業間之合作</w:t>
            </w:r>
          </w:p>
          <w:p w:rsidR="00000000" w:rsidRDefault="00FD50C0">
            <w:pPr>
              <w:ind w:left="360"/>
              <w:rPr>
                <w:rFonts w:ascii="標楷體" w:eastAsia="標楷體" w:hAnsi="標楷體" w:cs="新細明體" w:hint="eastAsia"/>
                <w:b/>
                <w:kern w:val="0"/>
              </w:rPr>
            </w:pPr>
            <w:r>
              <w:rPr>
                <w:rFonts w:ascii="標楷體" w:eastAsia="標楷體" w:hAnsi="標楷體" w:cs="新細明體" w:hint="eastAsia"/>
                <w:b/>
                <w:kern w:val="0"/>
              </w:rPr>
              <w:t xml:space="preserve">3. </w:t>
            </w:r>
            <w:r>
              <w:rPr>
                <w:rFonts w:ascii="標楷體" w:eastAsia="標楷體" w:hAnsi="標楷體" w:cs="新細明體" w:hint="eastAsia"/>
                <w:b/>
                <w:kern w:val="0"/>
              </w:rPr>
              <w:t>維持公司經營權</w:t>
            </w:r>
          </w:p>
          <w:p w:rsidR="00000000" w:rsidRDefault="00FD50C0">
            <w:pPr>
              <w:ind w:left="360"/>
              <w:rPr>
                <w:rFonts w:ascii="標楷體" w:eastAsia="標楷體" w:hAnsi="標楷體" w:cs="新細明體" w:hint="eastAsia"/>
                <w:kern w:val="0"/>
              </w:rPr>
            </w:pPr>
            <w:r>
              <w:rPr>
                <w:rFonts w:ascii="標楷體" w:eastAsia="標楷體" w:hAnsi="標楷體" w:cs="新細明體" w:hint="eastAsia"/>
                <w:kern w:val="0"/>
              </w:rPr>
              <w:t xml:space="preserve">4. </w:t>
            </w:r>
            <w:r>
              <w:rPr>
                <w:rFonts w:ascii="標楷體" w:eastAsia="標楷體" w:hAnsi="標楷體" w:cs="新細明體" w:hint="eastAsia"/>
                <w:kern w:val="0"/>
              </w:rPr>
              <w:t>維持或穩定公司股價</w:t>
            </w:r>
          </w:p>
          <w:p w:rsidR="00000000" w:rsidRDefault="00FD50C0">
            <w:pPr>
              <w:ind w:left="360"/>
              <w:rPr>
                <w:rFonts w:ascii="標楷體" w:eastAsia="標楷體" w:hAnsi="標楷體" w:cs="新細明體"/>
                <w:kern w:val="0"/>
              </w:rPr>
            </w:pPr>
            <w:r>
              <w:rPr>
                <w:rFonts w:ascii="標楷體" w:eastAsia="標楷體" w:hAnsi="標楷體" w:cs="新細明體" w:hint="eastAsia"/>
                <w:kern w:val="0"/>
              </w:rPr>
              <w:t xml:space="preserve">5. </w:t>
            </w:r>
            <w:r>
              <w:rPr>
                <w:rFonts w:ascii="標楷體" w:eastAsia="標楷體" w:hAnsi="標楷體" w:cs="新細明體" w:hint="eastAsia"/>
                <w:kern w:val="0"/>
              </w:rPr>
              <w:t>靈活集團企業財務操作</w:t>
            </w:r>
          </w:p>
        </w:tc>
        <w:tc>
          <w:tcPr>
            <w:tcW w:w="2481" w:type="pct"/>
            <w:tcBorders>
              <w:top w:val="single" w:sz="6" w:space="0" w:color="000000"/>
              <w:left w:val="single" w:sz="6" w:space="0" w:color="000000"/>
              <w:bottom w:val="single" w:sz="12" w:space="0" w:color="000000"/>
              <w:right w:val="single" w:sz="12" w:space="0" w:color="000000"/>
            </w:tcBorders>
          </w:tcPr>
          <w:p w:rsidR="00000000" w:rsidRDefault="00FD50C0">
            <w:pPr>
              <w:ind w:left="360"/>
              <w:rPr>
                <w:rFonts w:ascii="標楷體" w:eastAsia="標楷體" w:hAnsi="標楷體" w:cs="新細明體"/>
                <w:b/>
                <w:kern w:val="0"/>
              </w:rPr>
            </w:pPr>
            <w:r>
              <w:rPr>
                <w:rFonts w:ascii="標楷體" w:eastAsia="標楷體" w:hAnsi="標楷體" w:cs="新細明體" w:hint="eastAsia"/>
                <w:b/>
                <w:kern w:val="0"/>
              </w:rPr>
              <w:t>1.</w:t>
            </w:r>
            <w:r>
              <w:rPr>
                <w:rFonts w:ascii="標楷體" w:eastAsia="標楷體" w:hAnsi="標楷體" w:cs="新細明體" w:hint="eastAsia"/>
                <w:b/>
                <w:kern w:val="0"/>
              </w:rPr>
              <w:t>操縱股東會，排除公司監控機制</w:t>
            </w:r>
          </w:p>
          <w:p w:rsidR="00000000" w:rsidRDefault="00FD50C0">
            <w:pPr>
              <w:ind w:left="360"/>
              <w:rPr>
                <w:rFonts w:ascii="標楷體" w:eastAsia="標楷體" w:hAnsi="標楷體" w:cs="新細明體" w:hint="eastAsia"/>
                <w:kern w:val="0"/>
              </w:rPr>
            </w:pPr>
            <w:r>
              <w:rPr>
                <w:rFonts w:ascii="標楷體" w:eastAsia="標楷體" w:hAnsi="標楷體" w:cs="新細明體" w:hint="eastAsia"/>
                <w:kern w:val="0"/>
              </w:rPr>
              <w:t>2.</w:t>
            </w:r>
            <w:r>
              <w:rPr>
                <w:rFonts w:ascii="標楷體" w:eastAsia="標楷體" w:hAnsi="標楷體" w:cs="新細明體" w:hint="eastAsia"/>
                <w:kern w:val="0"/>
              </w:rPr>
              <w:t>公司資本空洞化</w:t>
            </w:r>
          </w:p>
          <w:p w:rsidR="00000000" w:rsidRDefault="00FD50C0">
            <w:pPr>
              <w:rPr>
                <w:rFonts w:ascii="標楷體" w:eastAsia="標楷體" w:hAnsi="標楷體" w:cs="新細明體" w:hint="eastAsia"/>
                <w:b/>
                <w:kern w:val="0"/>
              </w:rPr>
            </w:pPr>
            <w:r>
              <w:rPr>
                <w:rFonts w:ascii="標楷體" w:eastAsia="標楷體" w:hAnsi="標楷體" w:cs="新細明體" w:hint="eastAsia"/>
                <w:kern w:val="0"/>
              </w:rPr>
              <w:t xml:space="preserve">  </w:t>
            </w:r>
            <w:r>
              <w:rPr>
                <w:rFonts w:ascii="標楷體" w:eastAsia="標楷體" w:hAnsi="標楷體" w:cs="新細明體" w:hint="eastAsia"/>
                <w:b/>
                <w:kern w:val="0"/>
              </w:rPr>
              <w:t xml:space="preserve"> 3.</w:t>
            </w:r>
            <w:r>
              <w:rPr>
                <w:rFonts w:ascii="標楷體" w:eastAsia="標楷體" w:hAnsi="標楷體" w:cs="新細明體" w:hint="eastAsia"/>
                <w:b/>
                <w:kern w:val="0"/>
              </w:rPr>
              <w:t>操縱股票市場價格</w:t>
            </w:r>
          </w:p>
          <w:p w:rsidR="00000000" w:rsidRDefault="00FD50C0">
            <w:pPr>
              <w:ind w:left="360"/>
              <w:rPr>
                <w:rFonts w:ascii="標楷體" w:eastAsia="標楷體" w:hAnsi="標楷體" w:cs="新細明體" w:hint="eastAsia"/>
                <w:kern w:val="0"/>
              </w:rPr>
            </w:pPr>
            <w:r>
              <w:rPr>
                <w:rFonts w:ascii="標楷體" w:eastAsia="標楷體" w:hAnsi="標楷體" w:cs="新細明體" w:hint="eastAsia"/>
                <w:kern w:val="0"/>
              </w:rPr>
              <w:t>4.</w:t>
            </w:r>
            <w:r>
              <w:rPr>
                <w:rFonts w:ascii="標楷體" w:eastAsia="標楷體" w:hAnsi="標楷體" w:cs="新細明體" w:hint="eastAsia"/>
                <w:kern w:val="0"/>
              </w:rPr>
              <w:t>增加公司財務風險</w:t>
            </w:r>
          </w:p>
          <w:p w:rsidR="00000000" w:rsidRDefault="00FD50C0">
            <w:pPr>
              <w:ind w:left="360"/>
              <w:rPr>
                <w:rFonts w:ascii="標楷體" w:eastAsia="標楷體" w:hAnsi="標楷體" w:cs="新細明體" w:hint="eastAsia"/>
                <w:b/>
                <w:kern w:val="0"/>
              </w:rPr>
            </w:pPr>
            <w:r>
              <w:rPr>
                <w:rFonts w:ascii="標楷體" w:eastAsia="標楷體" w:hAnsi="標楷體" w:cs="新細明體" w:hint="eastAsia"/>
                <w:b/>
                <w:kern w:val="0"/>
              </w:rPr>
              <w:t>5.</w:t>
            </w:r>
            <w:r>
              <w:rPr>
                <w:rFonts w:ascii="標楷體" w:eastAsia="標楷體" w:hAnsi="標楷體" w:cs="新細明體" w:hint="eastAsia"/>
                <w:b/>
                <w:kern w:val="0"/>
              </w:rPr>
              <w:t>不法利益輸送</w:t>
            </w:r>
          </w:p>
          <w:p w:rsidR="00000000" w:rsidRDefault="00FD50C0">
            <w:pPr>
              <w:ind w:left="360"/>
              <w:rPr>
                <w:rFonts w:ascii="標楷體" w:eastAsia="標楷體" w:hAnsi="標楷體" w:cs="新細明體"/>
                <w:kern w:val="0"/>
              </w:rPr>
            </w:pPr>
            <w:r>
              <w:rPr>
                <w:rFonts w:ascii="標楷體" w:eastAsia="標楷體" w:hAnsi="標楷體" w:cs="新細明體" w:hint="eastAsia"/>
                <w:kern w:val="0"/>
              </w:rPr>
              <w:t>6.</w:t>
            </w:r>
            <w:r>
              <w:rPr>
                <w:rFonts w:ascii="標楷體" w:eastAsia="標楷體" w:hAnsi="標楷體" w:cs="新細明體" w:hint="eastAsia"/>
                <w:kern w:val="0"/>
              </w:rPr>
              <w:t>危害股東盈餘分派之權力</w:t>
            </w:r>
          </w:p>
        </w:tc>
      </w:tr>
    </w:tbl>
    <w:p w:rsidR="00000000" w:rsidRDefault="00FD50C0">
      <w:pPr>
        <w:rPr>
          <w:rFonts w:ascii="標楷體" w:eastAsia="標楷體" w:hAnsi="標楷體" w:cs="新細明體"/>
          <w:kern w:val="0"/>
        </w:rPr>
      </w:pPr>
      <w:r>
        <w:rPr>
          <w:rFonts w:ascii="標楷體" w:eastAsia="標楷體" w:hAnsi="標楷體" w:cs="新細明體" w:hint="eastAsia"/>
          <w:kern w:val="0"/>
        </w:rPr>
        <w:tab/>
      </w:r>
      <w:r>
        <w:rPr>
          <w:rFonts w:ascii="標楷體" w:eastAsia="標楷體" w:hAnsi="標楷體" w:cs="新細明體" w:hint="eastAsia"/>
          <w:kern w:val="0"/>
        </w:rPr>
        <w:t>東隆五金尚利用交叉持股來護盤，維持公司的股價，讓公司在徵求委託書時訂定的條件不至於違約。上表</w:t>
      </w:r>
      <w:r>
        <w:rPr>
          <w:rFonts w:ascii="標楷體" w:eastAsia="標楷體" w:hAnsi="標楷體" w:cs="新細明體" w:hint="eastAsia"/>
          <w:kern w:val="0"/>
        </w:rPr>
        <w:t>為交叉持股之利弊，粗體的部份為東隆五金之情況。</w:t>
      </w:r>
    </w:p>
    <w:p w:rsidR="00000000" w:rsidRDefault="00FD50C0">
      <w:pPr>
        <w:ind w:left="480"/>
        <w:rPr>
          <w:rFonts w:ascii="標楷體" w:eastAsia="標楷體" w:hAnsi="標楷體" w:cs="新細明體" w:hint="eastAsia"/>
          <w:kern w:val="0"/>
        </w:rPr>
      </w:pPr>
    </w:p>
    <w:p w:rsidR="00000000" w:rsidRDefault="00FD50C0">
      <w:pPr>
        <w:ind w:firstLine="480"/>
        <w:rPr>
          <w:rFonts w:ascii="標楷體" w:eastAsia="標楷體" w:hAnsi="標楷體" w:cs="新細明體" w:hint="eastAsia"/>
          <w:kern w:val="0"/>
        </w:rPr>
      </w:pPr>
      <w:r>
        <w:rPr>
          <w:rFonts w:ascii="標楷體" w:eastAsia="標楷體" w:hAnsi="標楷體" w:cs="新細明體" w:hint="eastAsia"/>
          <w:kern w:val="0"/>
          <w:bdr w:val="single" w:sz="4" w:space="0" w:color="auto"/>
        </w:rPr>
        <w:t>東隆五金利用子公司買母公司股份之財務危機模式</w:t>
      </w:r>
      <w:r>
        <w:rPr>
          <w:rFonts w:ascii="標楷體" w:eastAsia="標楷體" w:hAnsi="標楷體" w:cs="新細明體" w:hint="eastAsia"/>
          <w:kern w:val="0"/>
        </w:rPr>
        <w:t>：</w:t>
      </w:r>
    </w:p>
    <w:p w:rsidR="00000000" w:rsidRDefault="00FD50C0">
      <w:pPr>
        <w:rPr>
          <w:rFonts w:ascii="標楷體" w:eastAsia="標楷體" w:hAnsi="標楷體" w:cs="新細明體"/>
          <w:kern w:val="0"/>
        </w:rPr>
      </w:pPr>
    </w:p>
    <w:tbl>
      <w:tblPr>
        <w:tblW w:w="2700" w:type="dxa"/>
        <w:tblCellSpacing w:w="0" w:type="dxa"/>
        <w:tblInd w:w="3390" w:type="dxa"/>
        <w:tblCellMar>
          <w:left w:w="0" w:type="dxa"/>
          <w:right w:w="0" w:type="dxa"/>
        </w:tblCellMar>
        <w:tblLook w:val="0000"/>
      </w:tblPr>
      <w:tblGrid>
        <w:gridCol w:w="1320"/>
        <w:gridCol w:w="1380"/>
      </w:tblGrid>
      <w:tr w:rsidR="00000000">
        <w:trPr>
          <w:trHeight w:val="390"/>
          <w:tblCellSpacing w:w="0" w:type="dxa"/>
        </w:trPr>
        <w:tc>
          <w:tcPr>
            <w:tcW w:w="2700" w:type="dxa"/>
            <w:gridSpan w:val="2"/>
            <w:tcBorders>
              <w:top w:val="single" w:sz="12" w:space="0" w:color="000000"/>
              <w:left w:val="single" w:sz="12" w:space="0" w:color="000000"/>
              <w:bottom w:val="single" w:sz="6" w:space="0" w:color="000000"/>
            </w:tcBorders>
            <w:shd w:val="clear" w:color="auto" w:fill="FFFFCC"/>
          </w:tcPr>
          <w:p w:rsidR="00000000" w:rsidRDefault="00FD50C0">
            <w:pPr>
              <w:rPr>
                <w:rFonts w:ascii="標楷體" w:eastAsia="標楷體" w:hAnsi="標楷體" w:cs="新細明體"/>
                <w:kern w:val="0"/>
              </w:rPr>
            </w:pPr>
            <w:r>
              <w:rPr>
                <w:rFonts w:ascii="標楷體" w:eastAsia="標楷體" w:hAnsi="標楷體" w:cs="新細明體" w:hint="eastAsia"/>
                <w:noProof/>
                <w:kern w:val="0"/>
              </w:rPr>
              <w:pict>
                <v:shapetype id="_x0000_t33" coordsize="21600,21600" o:spt="33" o:oned="t" path="m,l21600,r,21600e" filled="f">
                  <v:stroke joinstyle="miter"/>
                  <v:path arrowok="t" fillok="f" o:connecttype="none"/>
                  <o:lock v:ext="edit" shapetype="t"/>
                </v:shapetype>
                <v:shape id="_x0000_s1079" type="#_x0000_t33" style="position:absolute;margin-left:141.6pt;margin-top:8.05pt;width:37.65pt;height:53.9pt;rotation:270;flip:x;z-index:251661312" o:connectortype="elbow" adj="-328736,76427,-328736" strokecolor="#00007d" strokeweight="2.25pt">
                  <v:stroke endarrow="block"/>
                  <v:shadow color="#00007d"/>
                </v:shape>
              </w:pict>
            </w:r>
            <w:r>
              <w:rPr>
                <w:rFonts w:ascii="標楷體" w:eastAsia="標楷體" w:hAnsi="標楷體" w:cs="新細明體" w:hint="eastAsia"/>
                <w:noProof/>
                <w:kern w:val="0"/>
              </w:rPr>
              <w:pict>
                <v:shape id="_x0000_s1066" type="#_x0000_t33" style="position:absolute;margin-left:-44.65pt;margin-top:16.55pt;width:45.25pt;height:37.6pt;rotation:180;flip:y;z-index:251653120" o:connectortype="elbow" adj="-136641,87835,-136641" strokecolor="#00007d" strokeweight="1.5pt">
                  <v:stroke endarrow="block"/>
                  <v:shadow color="#00007d"/>
                </v:shape>
              </w:pict>
            </w:r>
            <w:r>
              <w:rPr>
                <w:rFonts w:ascii="標楷體" w:eastAsia="標楷體" w:hAnsi="標楷體" w:cs="新細明體" w:hint="eastAsia"/>
                <w:b/>
                <w:bCs/>
                <w:kern w:val="0"/>
              </w:rPr>
              <w:t>母公司</w:t>
            </w:r>
          </w:p>
        </w:tc>
      </w:tr>
      <w:tr w:rsidR="00000000">
        <w:trPr>
          <w:trHeight w:val="345"/>
          <w:tblCellSpacing w:w="0" w:type="dxa"/>
        </w:trPr>
        <w:tc>
          <w:tcPr>
            <w:tcW w:w="1320" w:type="dxa"/>
            <w:tcBorders>
              <w:top w:val="single" w:sz="6" w:space="0" w:color="000000"/>
              <w:left w:val="single" w:sz="12" w:space="0" w:color="000000"/>
              <w:bottom w:val="single" w:sz="12" w:space="0" w:color="000000"/>
              <w:right w:val="single" w:sz="6" w:space="0" w:color="000000"/>
            </w:tcBorders>
            <w:shd w:val="clear" w:color="auto" w:fill="CCFFCC"/>
          </w:tcPr>
          <w:p w:rsidR="00000000" w:rsidRDefault="00FD50C0">
            <w:pPr>
              <w:rPr>
                <w:rFonts w:ascii="標楷體" w:eastAsia="標楷體" w:hAnsi="標楷體" w:cs="新細明體"/>
                <w:kern w:val="0"/>
              </w:rPr>
            </w:pPr>
            <w:r>
              <w:rPr>
                <w:rFonts w:ascii="標楷體" w:eastAsia="標楷體" w:hAnsi="標楷體" w:cs="新細明體" w:hint="eastAsia"/>
                <w:b/>
                <w:bCs/>
                <w:kern w:val="0"/>
              </w:rPr>
              <w:t>資金流向</w:t>
            </w:r>
          </w:p>
        </w:tc>
        <w:tc>
          <w:tcPr>
            <w:tcW w:w="1380" w:type="dxa"/>
            <w:tcBorders>
              <w:top w:val="single" w:sz="6" w:space="0" w:color="000000"/>
              <w:left w:val="single" w:sz="6" w:space="0" w:color="000000"/>
              <w:bottom w:val="single" w:sz="12" w:space="0" w:color="000000"/>
              <w:right w:val="single" w:sz="12" w:space="0" w:color="000000"/>
            </w:tcBorders>
            <w:shd w:val="clear" w:color="auto" w:fill="FFCCFF"/>
          </w:tcPr>
          <w:p w:rsidR="00000000" w:rsidRDefault="00FD50C0">
            <w:pPr>
              <w:rPr>
                <w:rFonts w:ascii="標楷體" w:eastAsia="標楷體" w:hAnsi="標楷體" w:cs="新細明體"/>
                <w:kern w:val="0"/>
              </w:rPr>
            </w:pPr>
            <w:r>
              <w:rPr>
                <w:rFonts w:ascii="標楷體" w:eastAsia="標楷體" w:hAnsi="標楷體" w:cs="新細明體" w:hint="eastAsia"/>
                <w:b/>
                <w:bCs/>
                <w:kern w:val="0"/>
              </w:rPr>
              <w:t>資金來源</w:t>
            </w:r>
          </w:p>
        </w:tc>
      </w:tr>
    </w:tbl>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group id="_x0000_s1029" style="position:absolute;margin-left:12pt;margin-top:12pt;width:204pt;height:27pt;z-index:251645952;mso-position-horizontal-relative:text;mso-position-vertical-relative:text" coordorigin="884,1525" coordsize="2087,227" o:tableproperties="1" o:tablelimits="28.375pt">
            <o:lock v:ext="edit" rotation="t"/>
            <v:rect id="_x0000_s1030" style="position:absolute;left:884;top:1525;width:2087;height:227;v-text-anchor:middle" fillcolor="#cfc" stroked="f">
              <v:fill alignshape="f" o:detectmouseclick="t"/>
              <v:shadow color="#00007d"/>
              <v:textbox style="mso-next-textbox:#_x0000_s1030">
                <w:txbxContent>
                  <w:p w:rsidR="00000000" w:rsidRDefault="00FD50C0">
                    <w:pPr>
                      <w:autoSpaceDE w:val="0"/>
                      <w:autoSpaceDN w:val="0"/>
                      <w:adjustRightInd w:val="0"/>
                      <w:ind w:left="540" w:hanging="540"/>
                      <w:rPr>
                        <w:rFonts w:cs="新細明體"/>
                        <w:b/>
                        <w:bCs/>
                        <w:color w:val="000000"/>
                        <w:lang w:val="zh-TW"/>
                      </w:rPr>
                    </w:pPr>
                    <w:r>
                      <w:rPr>
                        <w:rFonts w:ascii="Garamond" w:eastAsia="標楷體" w:hAnsi="Garamond" w:cs="標楷體" w:hint="eastAsia"/>
                        <w:b/>
                        <w:bCs/>
                        <w:color w:val="000000"/>
                        <w:lang w:val="zh-TW"/>
                      </w:rPr>
                      <w:t>轉投資子公司藉以買賣母公司股票</w:t>
                    </w:r>
                  </w:p>
                </w:txbxContent>
              </v:textbox>
            </v:rect>
            <v:line id="_x0000_s1031" style="position:absolute" from="884,1525" to="2971,1525" strokeweight="1pt">
              <v:stroke endcap="round" imagealignshape="f"/>
              <v:shadow color="#00007d"/>
            </v:line>
            <v:line id="_x0000_s1032" style="position:absolute" from="884,1752" to="2971,1752" strokeweight="1pt">
              <v:stroke endcap="round" imagealignshape="f"/>
              <v:shadow color="#00007d"/>
            </v:line>
            <v:line id="_x0000_s1033" style="position:absolute" from="884,1525" to="884,1752" strokeweight="1pt">
              <v:stroke endcap="round" imagealignshape="f"/>
              <v:shadow color="#00007d"/>
            </v:line>
            <v:line id="_x0000_s1034" style="position:absolute" from="2971,1525" to="2971,1752" strokeweight="1pt">
              <v:stroke endcap="round" imagealignshape="f"/>
              <v:shadow color="#00007d"/>
            </v:line>
          </v:group>
        </w:pict>
      </w:r>
      <w:r>
        <w:rPr>
          <w:rFonts w:ascii="標楷體" w:eastAsia="標楷體" w:hAnsi="標楷體" w:cs="新細明體" w:hint="eastAsia"/>
          <w:noProof/>
          <w:kern w:val="0"/>
        </w:rPr>
        <w:pict>
          <v:group id="_x0000_s1073" style="position:absolute;margin-left:234pt;margin-top:12pt;width:180pt;height:45pt;z-index:251660288;mso-position-horizontal-relative:text;mso-position-vertical-relative:text" coordorigin="3560,1525" coordsize="1815,409" o:tableproperties="1" o:tablelimits="51.125pt">
            <o:lock v:ext="edit" rotation="t"/>
            <v:rect id="_x0000_s1074" style="position:absolute;left:3560;top:1525;width:1815;height:409;v-text-anchor:middle" fillcolor="#fcf" stroked="f">
              <v:fill alignshape="f" o:detectmouseclick="t"/>
              <v:shadow color="#00007d"/>
              <v:textbox style="mso-next-textbox:#_x0000_s1074">
                <w:txbxContent>
                  <w:p w:rsidR="00000000" w:rsidRDefault="00FD50C0">
                    <w:pPr>
                      <w:numPr>
                        <w:ilvl w:val="0"/>
                        <w:numId w:val="28"/>
                      </w:numPr>
                      <w:autoSpaceDE w:val="0"/>
                      <w:autoSpaceDN w:val="0"/>
                      <w:adjustRightInd w:val="0"/>
                      <w:ind w:left="275" w:hanging="275"/>
                      <w:rPr>
                        <w:rFonts w:eastAsia="標楷體" w:hAnsi="Arial" w:cs="標楷體"/>
                        <w:b/>
                        <w:bCs/>
                        <w:color w:val="000000"/>
                        <w:lang w:val="zh-TW"/>
                      </w:rPr>
                    </w:pPr>
                    <w:r>
                      <w:rPr>
                        <w:rFonts w:ascii="Garamond" w:eastAsia="標楷體" w:hAnsi="Garamond" w:cs="標楷體" w:hint="eastAsia"/>
                        <w:b/>
                        <w:bCs/>
                        <w:color w:val="000000"/>
                        <w:lang w:val="zh-TW"/>
                      </w:rPr>
                      <w:t>向金融機構大額舉債</w:t>
                    </w:r>
                  </w:p>
                  <w:p w:rsidR="00000000" w:rsidRDefault="00FD50C0">
                    <w:pPr>
                      <w:numPr>
                        <w:ilvl w:val="0"/>
                        <w:numId w:val="28"/>
                      </w:numPr>
                      <w:autoSpaceDE w:val="0"/>
                      <w:autoSpaceDN w:val="0"/>
                      <w:adjustRightInd w:val="0"/>
                      <w:ind w:left="275" w:hanging="275"/>
                      <w:rPr>
                        <w:rFonts w:cs="新細明體"/>
                        <w:b/>
                        <w:bCs/>
                        <w:color w:val="000000"/>
                        <w:lang w:val="zh-TW"/>
                      </w:rPr>
                    </w:pPr>
                    <w:r>
                      <w:rPr>
                        <w:rFonts w:ascii="Garamond" w:eastAsia="標楷體" w:hAnsi="Garamond" w:cs="標楷體" w:hint="eastAsia"/>
                        <w:b/>
                        <w:bCs/>
                        <w:color w:val="000000"/>
                        <w:lang w:val="zh-TW"/>
                      </w:rPr>
                      <w:t>現金增資募集大量資金</w:t>
                    </w:r>
                  </w:p>
                </w:txbxContent>
              </v:textbox>
            </v:rect>
            <v:line id="_x0000_s1075" style="position:absolute" from="3560,1525" to="5375,1525" strokeweight="1pt">
              <v:stroke endcap="round" imagealignshape="f"/>
              <v:shadow color="#00007d"/>
            </v:line>
            <v:line id="_x0000_s1076" style="position:absolute" from="3560,1934" to="5375,1934" strokeweight="1pt">
              <v:stroke endcap="round" imagealignshape="f"/>
              <v:shadow color="#00007d"/>
            </v:line>
            <v:line id="_x0000_s1077" style="position:absolute" from="3560,1525" to="3560,1934" strokeweight="1pt">
              <v:stroke endcap="round" imagealignshape="f"/>
              <v:shadow color="#00007d"/>
            </v:line>
            <v:line id="_x0000_s1078" style="position:absolute" from="5375,1525" to="5375,1934" strokeweight="1pt">
              <v:stroke endcap="round" imagealignshape="f"/>
              <v:shadow color="#00007d"/>
            </v:line>
          </v:group>
        </w:pict>
      </w:r>
      <w:r>
        <w:rPr>
          <w:rFonts w:ascii="標楷體" w:eastAsia="標楷體" w:hAnsi="標楷體" w:cs="新細明體" w:hint="eastAsia"/>
          <w:kern w:val="0"/>
        </w:rPr>
        <w:t xml:space="preserve">    </w:t>
      </w:r>
    </w:p>
    <w:p w:rsidR="00000000" w:rsidRDefault="00FD50C0">
      <w:pPr>
        <w:rPr>
          <w:rFonts w:ascii="標楷體" w:eastAsia="標楷體" w:hAnsi="標楷體" w:cs="新細明體" w:hint="eastAsia"/>
          <w:kern w:val="0"/>
        </w:rPr>
      </w:pPr>
    </w:p>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line id="_x0000_s1067" style="position:absolute;z-index:251654144" from="96pt,3pt" to="96pt,20pt" strokecolor="#00007d" strokeweight="1.5pt">
            <v:stroke endarrow="block"/>
            <v:shadow color="#00007d"/>
          </v:line>
        </w:pict>
      </w:r>
      <w:r>
        <w:rPr>
          <w:rFonts w:ascii="標楷體" w:eastAsia="標楷體" w:hAnsi="標楷體" w:cs="新細明體" w:hint="eastAsia"/>
          <w:noProof/>
          <w:kern w:val="0"/>
        </w:rPr>
        <w:pict>
          <v:shapetype id="_x0000_t32" coordsize="21600,21600" o:spt="32" o:oned="t" path="m,l21600,21600e" filled="f">
            <v:path arrowok="t" fillok="f" o:connecttype="none"/>
            <o:lock v:ext="edit" shapetype="t"/>
          </v:shapetype>
          <v:shape id="_x0000_s1065" type="#_x0000_t32" style="position:absolute;margin-left:3in;margin-top:3pt;width:0;height:0;z-index:251652096" o:connectortype="straight" stroked="f">
            <v:stroke endarrow="block"/>
            <v:shadow color="#00007d"/>
          </v:shape>
        </w:pict>
      </w:r>
    </w:p>
    <w:p w:rsidR="00000000" w:rsidRDefault="00FD50C0">
      <w:pPr>
        <w:rPr>
          <w:rFonts w:ascii="標楷體" w:eastAsia="標楷體" w:hAnsi="標楷體" w:cs="新細明體" w:hint="eastAsia"/>
          <w:kern w:val="0"/>
        </w:rPr>
      </w:pPr>
      <w:r>
        <w:rPr>
          <w:rFonts w:ascii="標楷體" w:eastAsia="標楷體" w:hAnsi="標楷體" w:cs="新細明體"/>
          <w:noProof/>
          <w:kern w:val="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margin-left:3in;margin-top:12pt;width:.1pt;height:52.75pt;flip:y;z-index:251659264" o:connectortype="elbow" adj="3110400,127604,-64173600" strokecolor="#f39" strokeweight="2.25pt">
            <v:stroke endarrow="block"/>
            <v:shadow color="#00007d"/>
          </v:shape>
        </w:pict>
      </w:r>
      <w:r>
        <w:rPr>
          <w:rFonts w:ascii="標楷體" w:eastAsia="標楷體" w:hAnsi="標楷體" w:cs="新細明體" w:hint="eastAsia"/>
          <w:noProof/>
          <w:kern w:val="0"/>
        </w:rPr>
        <w:pict>
          <v:group id="_x0000_s1035" style="position:absolute;margin-left:12pt;margin-top:3pt;width:204pt;height:27pt;z-index:251646976" coordorigin="884,1888" coordsize="2087,365" o:tableproperties="1" o:tablelimits="25.375pt">
            <o:lock v:ext="edit" rotation="t"/>
            <v:rect id="_x0000_s1036" style="position:absolute;left:884;top:1888;width:2087;height:365;v-text-anchor:middle" fillcolor="#cfc" stroked="f">
              <v:fill alignshape="f" o:detectmouseclick="t"/>
              <v:shadow color="#00007d"/>
              <v:textbox style="mso-next-textbox:#_x0000_s1036">
                <w:txbxContent>
                  <w:p w:rsidR="00000000" w:rsidRDefault="00FD50C0">
                    <w:pPr>
                      <w:autoSpaceDE w:val="0"/>
                      <w:autoSpaceDN w:val="0"/>
                      <w:adjustRightInd w:val="0"/>
                      <w:rPr>
                        <w:rFonts w:cs="新細明體"/>
                        <w:b/>
                        <w:bCs/>
                        <w:color w:val="000000"/>
                        <w:sz w:val="32"/>
                        <w:szCs w:val="32"/>
                        <w:lang w:val="zh-TW"/>
                      </w:rPr>
                    </w:pPr>
                    <w:r>
                      <w:rPr>
                        <w:rFonts w:ascii="Garamond" w:eastAsia="標楷體" w:hAnsi="Garamond" w:cs="標楷體" w:hint="eastAsia"/>
                        <w:b/>
                        <w:bCs/>
                        <w:color w:val="000000"/>
                        <w:lang w:val="zh-TW"/>
                      </w:rPr>
                      <w:t>利用股票質借或融資交易買母公司</w:t>
                    </w:r>
                    <w:r>
                      <w:rPr>
                        <w:rFonts w:ascii="Garamond" w:eastAsia="標楷體" w:hAnsi="Garamond" w:cs="標楷體" w:hint="eastAsia"/>
                        <w:b/>
                        <w:bCs/>
                        <w:color w:val="000000"/>
                        <w:sz w:val="32"/>
                        <w:szCs w:val="32"/>
                        <w:lang w:val="zh-TW"/>
                      </w:rPr>
                      <w:t>或其他上市</w:t>
                    </w:r>
                    <w:r>
                      <w:rPr>
                        <w:rFonts w:ascii="Garamond" w:eastAsia="標楷體" w:hAnsi="Garamond" w:cs="Garamond"/>
                        <w:b/>
                        <w:bCs/>
                        <w:color w:val="000000"/>
                        <w:sz w:val="32"/>
                        <w:szCs w:val="32"/>
                      </w:rPr>
                      <w:t>(</w:t>
                    </w:r>
                    <w:r>
                      <w:rPr>
                        <w:rFonts w:ascii="Garamond" w:eastAsia="標楷體" w:hAnsi="Garamond" w:cs="標楷體" w:hint="eastAsia"/>
                        <w:b/>
                        <w:bCs/>
                        <w:color w:val="000000"/>
                        <w:sz w:val="32"/>
                        <w:szCs w:val="32"/>
                        <w:lang w:val="zh-TW"/>
                      </w:rPr>
                      <w:t>櫃</w:t>
                    </w:r>
                    <w:r>
                      <w:rPr>
                        <w:rFonts w:ascii="Garamond" w:eastAsia="標楷體" w:hAnsi="Garamond" w:cs="Garamond"/>
                        <w:b/>
                        <w:bCs/>
                        <w:color w:val="000000"/>
                        <w:sz w:val="32"/>
                        <w:szCs w:val="32"/>
                      </w:rPr>
                      <w:t>)</w:t>
                    </w:r>
                    <w:r>
                      <w:rPr>
                        <w:rFonts w:ascii="Garamond" w:eastAsia="標楷體" w:hAnsi="Garamond" w:cs="標楷體" w:hint="eastAsia"/>
                        <w:b/>
                        <w:bCs/>
                        <w:color w:val="000000"/>
                        <w:sz w:val="32"/>
                        <w:szCs w:val="32"/>
                        <w:lang w:val="zh-TW"/>
                      </w:rPr>
                      <w:t>公司股票</w:t>
                    </w:r>
                  </w:p>
                </w:txbxContent>
              </v:textbox>
            </v:rect>
            <v:line id="_x0000_s1037" style="position:absolute" from="884,1888" to="2971,1888" strokeweight="1pt">
              <v:stroke endcap="round" imagealignshape="f"/>
              <v:shadow color="#00007d"/>
            </v:line>
            <v:line id="_x0000_s1038" style="position:absolute" from="884,2253" to="2971,2253" strokeweight="1pt">
              <v:stroke endcap="round" imagealignshape="f"/>
              <v:shadow color="#00007d"/>
            </v:line>
            <v:line id="_x0000_s1039" style="position:absolute" from="884,1888" to="884,2253" strokeweight="1pt">
              <v:stroke endcap="round" imagealignshape="f"/>
              <v:shadow color="#00007d"/>
            </v:line>
            <v:line id="_x0000_s1040" style="position:absolute" from="2971,1888" to="2971,2253" strokeweight="1pt">
              <v:stroke endcap="round" imagealignshape="f"/>
              <v:shadow color="#00007d"/>
            </v:line>
          </v:group>
        </w:pict>
      </w:r>
    </w:p>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shape id="_x0000_s1071" type="#_x0000_t32" style="position:absolute;margin-left:96pt;margin-top:12pt;width:.05pt;height:16.75pt;z-index:251658240" o:connectortype="straight" strokecolor="#00007d" strokeweight="1.5pt">
            <v:stroke endarrow="block"/>
            <v:shadow color="#00007d"/>
          </v:shape>
        </w:pict>
      </w:r>
    </w:p>
    <w:p w:rsidR="00000000" w:rsidRDefault="00FD50C0">
      <w:pPr>
        <w:jc w:val="center"/>
        <w:rPr>
          <w:rFonts w:ascii="標楷體" w:eastAsia="標楷體" w:hAnsi="標楷體" w:cs="新細明體" w:hint="eastAsia"/>
          <w:kern w:val="0"/>
        </w:rPr>
      </w:pPr>
      <w:r>
        <w:rPr>
          <w:rFonts w:ascii="標楷體" w:eastAsia="標楷體" w:hAnsi="標楷體" w:cs="新細明體" w:hint="eastAsia"/>
          <w:noProof/>
          <w:kern w:val="0"/>
        </w:rPr>
        <w:pict>
          <v:group id="_x0000_s1041" style="position:absolute;left:0;text-align:left;margin-left:12pt;margin-top:12pt;width:204pt;height:27pt;z-index:251648000" coordorigin="884,2886" coordsize="2087,211" o:tableproperties="1" o:tablelimits="22.625pt">
            <o:lock v:ext="edit" rotation="t"/>
            <v:rect id="_x0000_s1042" style="position:absolute;left:884;top:2886;width:2087;height:211;v-text-anchor:middle" fillcolor="#cfc" stroked="f">
              <v:fill alignshape="f" o:detectmouseclick="t"/>
              <v:shadow color="#00007d"/>
              <v:textbox style="mso-next-textbox:#_x0000_s1042">
                <w:txbxContent>
                  <w:p w:rsidR="00000000" w:rsidRDefault="00FD50C0">
                    <w:pPr>
                      <w:autoSpaceDE w:val="0"/>
                      <w:autoSpaceDN w:val="0"/>
                      <w:adjustRightInd w:val="0"/>
                      <w:rPr>
                        <w:rFonts w:cs="新細明體"/>
                        <w:b/>
                        <w:bCs/>
                        <w:color w:val="000000"/>
                        <w:lang w:val="zh-TW"/>
                      </w:rPr>
                    </w:pPr>
                    <w:r>
                      <w:rPr>
                        <w:rFonts w:ascii="Garamond" w:eastAsia="標楷體" w:hAnsi="Garamond" w:cs="標楷體" w:hint="eastAsia"/>
                        <w:b/>
                        <w:bCs/>
                        <w:color w:val="000000"/>
                        <w:lang w:val="zh-TW"/>
                      </w:rPr>
                      <w:t>股市不佳為免斷頭強力護盤</w:t>
                    </w:r>
                  </w:p>
                </w:txbxContent>
              </v:textbox>
            </v:rect>
            <v:line id="_x0000_s1043" style="position:absolute" from="884,2886" to="2971,2886" strokeweight="1pt">
              <v:stroke endcap="round" imagealignshape="f"/>
              <v:shadow color="#00007d"/>
            </v:line>
            <v:line id="_x0000_s1044" style="position:absolute" from="884,3097" to="2971,3097" strokeweight="1pt">
              <v:stroke endcap="round" imagealignshape="f"/>
              <v:shadow color="#00007d"/>
            </v:line>
            <v:line id="_x0000_s1045" style="position:absolute" from="884,2886" to="884,3097" strokeweight="1pt">
              <v:stroke endcap="round" imagealignshape="f"/>
              <v:shadow color="#00007d"/>
            </v:line>
            <v:line id="_x0000_s1046" style="position:absolute" from="2971,2886" to="2971,3097" strokeweight="1pt">
              <v:stroke endcap="round" imagealignshape="f"/>
              <v:shadow color="#00007d"/>
            </v:line>
          </v:group>
        </w:pict>
      </w:r>
      <w:r>
        <w:rPr>
          <w:rFonts w:ascii="標楷體" w:eastAsia="標楷體" w:hAnsi="標楷體" w:cs="新細明體" w:hint="eastAsia"/>
          <w:noProof/>
          <w:kern w:val="0"/>
        </w:rPr>
        <w:pict>
          <v:shape id="_x0000_s1070" type="#_x0000_t32" style="position:absolute;left:0;text-align:left;margin-left:96pt;margin-top:39pt;width:.05pt;height:18pt;z-index:251657216" o:connectortype="straight" strokecolor="#00007d" strokeweight="1.5pt">
            <v:stroke endarrow="block"/>
            <v:shadow color="#00007d"/>
          </v:shape>
        </w:pict>
      </w:r>
      <w:r>
        <w:rPr>
          <w:rFonts w:ascii="標楷體" w:eastAsia="標楷體" w:hAnsi="標楷體" w:cs="新細明體" w:hint="eastAsia"/>
          <w:noProof/>
          <w:kern w:val="0"/>
        </w:rPr>
      </w:r>
      <w:r>
        <w:rPr>
          <w:rFonts w:ascii="標楷體" w:eastAsia="標楷體" w:hAnsi="標楷體" w:cs="新細明體"/>
          <w:kern w:val="0"/>
        </w:rPr>
        <w:pict>
          <v:group id="_x0000_s1027" editas="canvas" style="width:66pt;height:38.75pt;mso-position-horizontal-relative:char;mso-position-vertical-relative:line" coordorigin="2245,3442" coordsize="7200,4320">
            <o:lock v:ext="edit" aspectratio="t"/>
            <v:shape id="_x0000_s1028" type="#_x0000_t75" style="position:absolute;left:2245;top:3442;width:7200;height:4320" o:preferrelative="f">
              <v:fill o:detectmouseclick="t"/>
              <v:path o:extrusionok="t" o:connecttype="none"/>
              <o:lock v:ext="edit" text="t"/>
            </v:shape>
            <w10:wrap type="none"/>
            <w10:anchorlock/>
          </v:group>
        </w:pict>
      </w:r>
    </w:p>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group id="_x0000_s1047" style="position:absolute;margin-left:12pt;margin-top:3pt;width:240pt;height:27pt;z-index:251649024" coordorigin="884,2750" coordsize="2087,365" o:tableproperties="1" o:tablelimits="25.25pt">
            <o:lock v:ext="edit" rotation="t"/>
            <v:rect id="_x0000_s1048" style="position:absolute;left:884;top:2750;width:2087;height:365;v-text-anchor:middle" fillcolor="#cfc" stroked="f">
              <v:fill alignshape="f" o:detectmouseclick="t"/>
              <v:shadow color="#00007d"/>
              <v:textbox style="mso-next-textbox:#_x0000_s1048">
                <w:txbxContent>
                  <w:p w:rsidR="00000000" w:rsidRDefault="00FD50C0">
                    <w:pPr>
                      <w:autoSpaceDE w:val="0"/>
                      <w:autoSpaceDN w:val="0"/>
                      <w:adjustRightInd w:val="0"/>
                      <w:rPr>
                        <w:rFonts w:cs="新細明體"/>
                        <w:b/>
                        <w:bCs/>
                        <w:color w:val="000000"/>
                        <w:lang w:val="zh-TW"/>
                      </w:rPr>
                    </w:pPr>
                    <w:r>
                      <w:rPr>
                        <w:rFonts w:ascii="Garamond" w:eastAsia="標楷體" w:hAnsi="Garamond" w:cs="標楷體" w:hint="eastAsia"/>
                        <w:b/>
                        <w:bCs/>
                        <w:color w:val="000000"/>
                        <w:lang w:val="zh-TW"/>
                      </w:rPr>
                      <w:t>股價已被扭曲，有效需求不足，資金被套牢</w:t>
                    </w:r>
                  </w:p>
                </w:txbxContent>
              </v:textbox>
            </v:rect>
            <v:line id="_x0000_s1049" style="position:absolute" from="884,2750" to="2971,2750" strokeweight="1pt">
              <v:stroke endcap="round" imagealignshape="f"/>
              <v:shadow color="#00007d"/>
            </v:line>
            <v:line id="_x0000_s1050" style="position:absolute" from="884,3115" to="2971,3115" strokeweight="1pt">
              <v:stroke endcap="round" imagealignshape="f"/>
              <v:shadow color="#00007d"/>
            </v:line>
            <v:line id="_x0000_s1051" style="position:absolute" from="884,2750" to="884,3115" strokeweight="1pt">
              <v:stroke endcap="round" imagealignshape="f"/>
              <v:shadow color="#00007d"/>
            </v:line>
            <v:line id="_x0000_s1052" style="position:absolute" from="2971,2750" to="2971,3115" strokeweight="1pt">
              <v:stroke endcap="round" imagealignshape="f"/>
              <v:shadow color="#00007d"/>
            </v:line>
          </v:group>
        </w:pict>
      </w:r>
    </w:p>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shape id="_x0000_s1068" type="#_x0000_t32" style="position:absolute;margin-left:96pt;margin-top:12pt;width:0;height:18pt;z-index:251655168" o:connectortype="straight" strokecolor="#00007d" strokeweight="1.5pt">
            <v:stroke endarrow="block"/>
            <v:shadow color="#00007d"/>
          </v:shape>
        </w:pict>
      </w:r>
    </w:p>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group id="_x0000_s1053" style="position:absolute;margin-left:12pt;margin-top:12pt;width:204pt;height:27pt;z-index:251650048" coordorigin="884,3249" coordsize="2087,211" o:tableproperties="1" o:tablelimits="22.75pt">
            <o:lock v:ext="edit" rotation="t"/>
            <v:rect id="_x0000_s1054" style="position:absolute;left:884;top:3249;width:2087;height:211;v-text-anchor:middle" fillcolor="#cfc" stroked="f">
              <v:fill alignshape="f" o:detectmouseclick="t"/>
              <v:shadow color="#00007d"/>
              <v:textbox style="mso-next-textbox:#_x0000_s1054">
                <w:txbxContent>
                  <w:p w:rsidR="00000000" w:rsidRDefault="00FD50C0">
                    <w:pPr>
                      <w:autoSpaceDE w:val="0"/>
                      <w:autoSpaceDN w:val="0"/>
                      <w:adjustRightInd w:val="0"/>
                      <w:ind w:left="540" w:hanging="540"/>
                      <w:rPr>
                        <w:rFonts w:cs="新細明體"/>
                        <w:b/>
                        <w:bCs/>
                        <w:color w:val="000000"/>
                        <w:lang w:val="zh-TW"/>
                      </w:rPr>
                    </w:pPr>
                    <w:r>
                      <w:rPr>
                        <w:rFonts w:ascii="Garamond" w:eastAsia="標楷體" w:hAnsi="Garamond" w:cs="標楷體" w:hint="eastAsia"/>
                        <w:b/>
                        <w:bCs/>
                        <w:color w:val="000000"/>
                        <w:lang w:val="zh-TW"/>
                      </w:rPr>
                      <w:t>子公司或關係人違約交割股價重挫</w:t>
                    </w:r>
                  </w:p>
                </w:txbxContent>
              </v:textbox>
            </v:rect>
            <v:line id="_x0000_s1055" style="position:absolute" from="884,3249" to="2971,3249" strokeweight="1pt">
              <v:stroke endcap="round" imagealignshape="f"/>
              <v:shadow color="#00007d"/>
            </v:line>
            <v:line id="_x0000_s1056" style="position:absolute" from="884,3460" to="2971,3460" strokeweight="1pt">
              <v:stroke endcap="round" imagealignshape="f"/>
              <v:shadow color="#00007d"/>
            </v:line>
            <v:line id="_x0000_s1057" style="position:absolute" from="884,3249" to="884,3460" strokeweight="1pt">
              <v:stroke endcap="round" imagealignshape="f"/>
              <v:shadow color="#00007d"/>
            </v:line>
            <v:line id="_x0000_s1058" style="position:absolute" from="2971,3249" to="2971,3460" strokeweight="1pt">
              <v:stroke endcap="round" imagealignshape="f"/>
              <v:shadow color="#00007d"/>
            </v:line>
          </v:group>
        </w:pict>
      </w:r>
    </w:p>
    <w:p w:rsidR="00000000" w:rsidRDefault="00FD50C0">
      <w:pPr>
        <w:rPr>
          <w:rFonts w:ascii="標楷體" w:eastAsia="標楷體" w:hAnsi="標楷體" w:cs="新細明體" w:hint="eastAsia"/>
          <w:kern w:val="0"/>
        </w:rPr>
      </w:pPr>
    </w:p>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shape id="_x0000_s1069" type="#_x0000_t32" style="position:absolute;margin-left:96pt;margin-top:3pt;width:0;height:18pt;z-index:251656192" o:connectortype="straight" strokecolor="#00007d" strokeweight="1.5pt">
            <v:stroke endarrow="block"/>
            <v:shadow color="#00007d"/>
          </v:shape>
        </w:pict>
      </w:r>
    </w:p>
    <w:p w:rsidR="00000000" w:rsidRDefault="00FD50C0">
      <w:pPr>
        <w:rPr>
          <w:rFonts w:ascii="標楷體" w:eastAsia="標楷體" w:hAnsi="標楷體" w:cs="新細明體" w:hint="eastAsia"/>
          <w:kern w:val="0"/>
        </w:rPr>
      </w:pPr>
      <w:r>
        <w:rPr>
          <w:rFonts w:ascii="標楷體" w:eastAsia="標楷體" w:hAnsi="標楷體" w:cs="新細明體" w:hint="eastAsia"/>
          <w:noProof/>
          <w:kern w:val="0"/>
        </w:rPr>
        <w:pict>
          <v:group id="_x0000_s1059" style="position:absolute;margin-left:12pt;margin-top:3pt;width:210pt;height:27pt;z-index:251651072" coordorigin="884,3567" coordsize="2087,258" o:tableproperties="1" o:tablelimits="32.25pt">
            <o:lock v:ext="edit" rotation="t"/>
            <v:rect id="_x0000_s1060" style="position:absolute;left:884;top:3567;width:2087;height:258;v-text-anchor:middle" fillcolor="#cfc" stroked="f">
              <v:fill alignshape="f" o:detectmouseclick="t"/>
              <v:shadow color="#00007d"/>
              <v:textbox style="mso-next-textbox:#_x0000_s1060">
                <w:txbxContent>
                  <w:p w:rsidR="00000000" w:rsidRDefault="00FD50C0">
                    <w:pPr>
                      <w:autoSpaceDE w:val="0"/>
                      <w:autoSpaceDN w:val="0"/>
                      <w:adjustRightInd w:val="0"/>
                      <w:ind w:left="540" w:hanging="540"/>
                      <w:rPr>
                        <w:rFonts w:cs="新細明體"/>
                        <w:b/>
                        <w:bCs/>
                        <w:color w:val="000000"/>
                        <w:lang w:val="zh-TW"/>
                      </w:rPr>
                    </w:pPr>
                    <w:r>
                      <w:rPr>
                        <w:rFonts w:ascii="Garamond" w:eastAsia="標楷體" w:hAnsi="Garamond" w:cs="標楷體" w:hint="eastAsia"/>
                        <w:b/>
                        <w:bCs/>
                        <w:color w:val="000000"/>
                        <w:lang w:val="zh-TW"/>
                      </w:rPr>
                      <w:t>母子公司相互牽連發生財務危機</w:t>
                    </w:r>
                  </w:p>
                </w:txbxContent>
              </v:textbox>
            </v:rect>
            <v:line id="_x0000_s1061" style="position:absolute" from="884,3567" to="2971,3567" strokeweight="1pt">
              <v:stroke endcap="round" imagealignshape="f"/>
              <v:shadow color="#00007d"/>
            </v:line>
            <v:line id="_x0000_s1062" style="position:absolute" from="884,3825" to="2971,3825" strokeweight="1pt">
              <v:stroke endcap="round" imagealignshape="f"/>
              <v:shadow color="#00007d"/>
            </v:line>
            <v:line id="_x0000_s1063" style="position:absolute" from="884,3567" to="884,3825" strokeweight="1pt">
              <v:stroke endcap="round" imagealignshape="f"/>
              <v:shadow color="#00007d"/>
            </v:line>
            <v:line id="_x0000_s1064" style="position:absolute" from="2971,3567" to="2971,3825" strokeweight="1pt">
              <v:stroke endcap="round" imagealignshape="f"/>
              <v:shadow color="#00007d"/>
            </v:line>
          </v:group>
        </w:pict>
      </w:r>
    </w:p>
    <w:p w:rsidR="00000000" w:rsidRDefault="00FD50C0">
      <w:pPr>
        <w:rPr>
          <w:rFonts w:ascii="標楷體" w:eastAsia="標楷體" w:hAnsi="標楷體" w:cs="新細明體" w:hint="eastAsia"/>
          <w:kern w:val="0"/>
        </w:rPr>
      </w:pPr>
    </w:p>
    <w:p w:rsidR="00000000" w:rsidRDefault="00FD50C0">
      <w:pPr>
        <w:rPr>
          <w:rFonts w:ascii="標楷體" w:eastAsia="標楷體" w:hAnsi="標楷體" w:cs="新細明體" w:hint="eastAsia"/>
          <w:kern w:val="0"/>
        </w:rPr>
      </w:pPr>
    </w:p>
    <w:tbl>
      <w:tblPr>
        <w:tblW w:w="5000" w:type="pct"/>
        <w:tblBorders>
          <w:top w:val="single" w:sz="12" w:space="0" w:color="008000"/>
          <w:bottom w:val="single" w:sz="12" w:space="0" w:color="008000"/>
        </w:tblBorders>
        <w:tblLook w:val="01A0"/>
      </w:tblPr>
      <w:tblGrid>
        <w:gridCol w:w="1935"/>
        <w:gridCol w:w="1317"/>
        <w:gridCol w:w="1318"/>
        <w:gridCol w:w="1318"/>
        <w:gridCol w:w="1318"/>
        <w:gridCol w:w="1316"/>
      </w:tblGrid>
      <w:tr w:rsidR="00000000">
        <w:tc>
          <w:tcPr>
            <w:tcW w:w="1136" w:type="pct"/>
            <w:tcBorders>
              <w:bottom w:val="single" w:sz="6" w:space="0" w:color="008000"/>
            </w:tcBorders>
          </w:tcPr>
          <w:p w:rsidR="00000000" w:rsidRDefault="00FD50C0">
            <w:pPr>
              <w:rPr>
                <w:rFonts w:eastAsia="標楷體"/>
              </w:rPr>
            </w:pPr>
            <w:r>
              <w:rPr>
                <w:rFonts w:eastAsia="標楷體" w:hAnsi="標楷體"/>
              </w:rPr>
              <w:t>年月</w:t>
            </w:r>
          </w:p>
        </w:tc>
        <w:tc>
          <w:tcPr>
            <w:tcW w:w="773" w:type="pct"/>
            <w:tcBorders>
              <w:bottom w:val="single" w:sz="6" w:space="0" w:color="008000"/>
            </w:tcBorders>
          </w:tcPr>
          <w:p w:rsidR="00000000" w:rsidRDefault="00FD50C0">
            <w:pPr>
              <w:jc w:val="right"/>
              <w:rPr>
                <w:rFonts w:eastAsia="標楷體"/>
              </w:rPr>
            </w:pPr>
            <w:r>
              <w:rPr>
                <w:rFonts w:eastAsia="標楷體"/>
              </w:rPr>
              <w:t>199612</w:t>
            </w:r>
          </w:p>
        </w:tc>
        <w:tc>
          <w:tcPr>
            <w:tcW w:w="773" w:type="pct"/>
            <w:tcBorders>
              <w:bottom w:val="single" w:sz="6" w:space="0" w:color="008000"/>
            </w:tcBorders>
          </w:tcPr>
          <w:p w:rsidR="00000000" w:rsidRDefault="00FD50C0">
            <w:pPr>
              <w:jc w:val="right"/>
              <w:rPr>
                <w:rFonts w:eastAsia="標楷體"/>
              </w:rPr>
            </w:pPr>
            <w:r>
              <w:rPr>
                <w:rFonts w:eastAsia="標楷體"/>
              </w:rPr>
              <w:t>199712</w:t>
            </w:r>
          </w:p>
        </w:tc>
        <w:tc>
          <w:tcPr>
            <w:tcW w:w="773" w:type="pct"/>
            <w:tcBorders>
              <w:bottom w:val="single" w:sz="6" w:space="0" w:color="008000"/>
            </w:tcBorders>
          </w:tcPr>
          <w:p w:rsidR="00000000" w:rsidRDefault="00FD50C0">
            <w:pPr>
              <w:jc w:val="right"/>
              <w:rPr>
                <w:rFonts w:eastAsia="標楷體"/>
              </w:rPr>
            </w:pPr>
            <w:r>
              <w:rPr>
                <w:rFonts w:eastAsia="標楷體"/>
              </w:rPr>
              <w:t>199812</w:t>
            </w:r>
          </w:p>
        </w:tc>
        <w:tc>
          <w:tcPr>
            <w:tcW w:w="773" w:type="pct"/>
            <w:tcBorders>
              <w:bottom w:val="single" w:sz="6" w:space="0" w:color="008000"/>
            </w:tcBorders>
          </w:tcPr>
          <w:p w:rsidR="00000000" w:rsidRDefault="00FD50C0">
            <w:pPr>
              <w:jc w:val="right"/>
              <w:rPr>
                <w:rFonts w:eastAsia="標楷體"/>
              </w:rPr>
            </w:pPr>
            <w:r>
              <w:rPr>
                <w:rFonts w:eastAsia="標楷體"/>
              </w:rPr>
              <w:t>199912</w:t>
            </w:r>
          </w:p>
        </w:tc>
        <w:tc>
          <w:tcPr>
            <w:tcW w:w="773" w:type="pct"/>
            <w:tcBorders>
              <w:bottom w:val="single" w:sz="6" w:space="0" w:color="008000"/>
            </w:tcBorders>
          </w:tcPr>
          <w:p w:rsidR="00000000" w:rsidRDefault="00FD50C0">
            <w:pPr>
              <w:jc w:val="right"/>
              <w:rPr>
                <w:rFonts w:eastAsia="標楷體"/>
              </w:rPr>
            </w:pPr>
            <w:r>
              <w:rPr>
                <w:rFonts w:eastAsia="標楷體"/>
              </w:rPr>
              <w:t>200012</w:t>
            </w:r>
          </w:p>
        </w:tc>
      </w:tr>
      <w:tr w:rsidR="00000000">
        <w:tc>
          <w:tcPr>
            <w:tcW w:w="1136" w:type="pct"/>
          </w:tcPr>
          <w:p w:rsidR="00000000" w:rsidRDefault="00FD50C0">
            <w:pPr>
              <w:rPr>
                <w:rFonts w:eastAsia="標楷體"/>
              </w:rPr>
            </w:pPr>
            <w:r>
              <w:rPr>
                <w:rFonts w:eastAsia="標楷體" w:hAnsi="標楷體"/>
              </w:rPr>
              <w:t>董監質押</w:t>
            </w:r>
            <w:r>
              <w:rPr>
                <w:rFonts w:eastAsia="標楷體"/>
              </w:rPr>
              <w:t>%</w:t>
            </w:r>
          </w:p>
        </w:tc>
        <w:tc>
          <w:tcPr>
            <w:tcW w:w="773" w:type="pct"/>
          </w:tcPr>
          <w:p w:rsidR="00000000" w:rsidRDefault="00FD50C0">
            <w:pPr>
              <w:jc w:val="right"/>
              <w:rPr>
                <w:rFonts w:eastAsia="標楷體"/>
              </w:rPr>
            </w:pPr>
            <w:r>
              <w:rPr>
                <w:rFonts w:eastAsia="標楷體"/>
              </w:rPr>
              <w:t>0</w:t>
            </w:r>
          </w:p>
        </w:tc>
        <w:tc>
          <w:tcPr>
            <w:tcW w:w="773" w:type="pct"/>
          </w:tcPr>
          <w:p w:rsidR="00000000" w:rsidRDefault="00FD50C0">
            <w:pPr>
              <w:jc w:val="right"/>
              <w:rPr>
                <w:rFonts w:eastAsia="標楷體"/>
              </w:rPr>
            </w:pPr>
            <w:r>
              <w:rPr>
                <w:rFonts w:eastAsia="標楷體"/>
              </w:rPr>
              <w:t>62.95</w:t>
            </w:r>
          </w:p>
        </w:tc>
        <w:tc>
          <w:tcPr>
            <w:tcW w:w="773" w:type="pct"/>
          </w:tcPr>
          <w:p w:rsidR="00000000" w:rsidRDefault="00FD50C0">
            <w:pPr>
              <w:jc w:val="right"/>
              <w:rPr>
                <w:rFonts w:eastAsia="標楷體"/>
              </w:rPr>
            </w:pPr>
            <w:r>
              <w:rPr>
                <w:rFonts w:eastAsia="標楷體"/>
              </w:rPr>
              <w:t>37.29</w:t>
            </w:r>
          </w:p>
        </w:tc>
        <w:tc>
          <w:tcPr>
            <w:tcW w:w="773" w:type="pct"/>
          </w:tcPr>
          <w:p w:rsidR="00000000" w:rsidRDefault="00FD50C0">
            <w:pPr>
              <w:jc w:val="right"/>
              <w:rPr>
                <w:rFonts w:eastAsia="標楷體"/>
              </w:rPr>
            </w:pPr>
            <w:r>
              <w:rPr>
                <w:rFonts w:eastAsia="標楷體"/>
              </w:rPr>
              <w:t>44.33</w:t>
            </w:r>
          </w:p>
        </w:tc>
        <w:tc>
          <w:tcPr>
            <w:tcW w:w="773" w:type="pct"/>
          </w:tcPr>
          <w:p w:rsidR="00000000" w:rsidRDefault="00FD50C0">
            <w:pPr>
              <w:jc w:val="right"/>
              <w:rPr>
                <w:rFonts w:eastAsia="標楷體"/>
              </w:rPr>
            </w:pPr>
            <w:r>
              <w:rPr>
                <w:rFonts w:eastAsia="標楷體"/>
              </w:rPr>
              <w:t>0</w:t>
            </w:r>
          </w:p>
        </w:tc>
      </w:tr>
      <w:tr w:rsidR="00000000">
        <w:tc>
          <w:tcPr>
            <w:tcW w:w="1136" w:type="pct"/>
          </w:tcPr>
          <w:p w:rsidR="00000000" w:rsidRDefault="00FD50C0">
            <w:pPr>
              <w:rPr>
                <w:rFonts w:eastAsia="標楷體"/>
              </w:rPr>
            </w:pPr>
            <w:r>
              <w:rPr>
                <w:rFonts w:eastAsia="標楷體" w:hAnsi="標楷體"/>
              </w:rPr>
              <w:t>董事質押</w:t>
            </w:r>
            <w:r>
              <w:rPr>
                <w:rFonts w:eastAsia="標楷體"/>
              </w:rPr>
              <w:t>%</w:t>
            </w:r>
          </w:p>
        </w:tc>
        <w:tc>
          <w:tcPr>
            <w:tcW w:w="773" w:type="pct"/>
          </w:tcPr>
          <w:p w:rsidR="00000000" w:rsidRDefault="00FD50C0">
            <w:pPr>
              <w:jc w:val="right"/>
              <w:rPr>
                <w:rFonts w:eastAsia="標楷體"/>
              </w:rPr>
            </w:pPr>
            <w:r>
              <w:rPr>
                <w:rFonts w:eastAsia="標楷體"/>
              </w:rPr>
              <w:t>0</w:t>
            </w:r>
          </w:p>
        </w:tc>
        <w:tc>
          <w:tcPr>
            <w:tcW w:w="773" w:type="pct"/>
          </w:tcPr>
          <w:p w:rsidR="00000000" w:rsidRDefault="00FD50C0">
            <w:pPr>
              <w:jc w:val="right"/>
              <w:rPr>
                <w:rFonts w:eastAsia="標楷體"/>
              </w:rPr>
            </w:pPr>
            <w:r>
              <w:rPr>
                <w:rFonts w:eastAsia="標楷體"/>
              </w:rPr>
              <w:t>0</w:t>
            </w:r>
          </w:p>
        </w:tc>
        <w:tc>
          <w:tcPr>
            <w:tcW w:w="773" w:type="pct"/>
          </w:tcPr>
          <w:p w:rsidR="00000000" w:rsidRDefault="00FD50C0">
            <w:pPr>
              <w:jc w:val="right"/>
              <w:rPr>
                <w:rFonts w:eastAsia="標楷體"/>
              </w:rPr>
            </w:pPr>
            <w:r>
              <w:rPr>
                <w:rFonts w:eastAsia="標楷體"/>
              </w:rPr>
              <w:t>40.49</w:t>
            </w:r>
          </w:p>
        </w:tc>
        <w:tc>
          <w:tcPr>
            <w:tcW w:w="773" w:type="pct"/>
          </w:tcPr>
          <w:p w:rsidR="00000000" w:rsidRDefault="00FD50C0">
            <w:pPr>
              <w:jc w:val="right"/>
              <w:rPr>
                <w:rFonts w:eastAsia="標楷體"/>
              </w:rPr>
            </w:pPr>
            <w:r>
              <w:rPr>
                <w:rFonts w:eastAsia="標楷體"/>
              </w:rPr>
              <w:t>44.33</w:t>
            </w:r>
          </w:p>
        </w:tc>
        <w:tc>
          <w:tcPr>
            <w:tcW w:w="773" w:type="pct"/>
          </w:tcPr>
          <w:p w:rsidR="00000000" w:rsidRDefault="00FD50C0">
            <w:pPr>
              <w:jc w:val="right"/>
              <w:rPr>
                <w:rFonts w:eastAsia="標楷體"/>
              </w:rPr>
            </w:pPr>
            <w:r>
              <w:rPr>
                <w:rFonts w:eastAsia="標楷體"/>
              </w:rPr>
              <w:t>0</w:t>
            </w:r>
          </w:p>
        </w:tc>
      </w:tr>
    </w:tbl>
    <w:p w:rsidR="00000000" w:rsidRDefault="00FD50C0">
      <w:pPr>
        <w:rPr>
          <w:rFonts w:ascii="標楷體" w:eastAsia="標楷體" w:hAnsi="標楷體" w:cs="新細明體" w:hint="eastAsia"/>
          <w:kern w:val="0"/>
        </w:rPr>
      </w:pPr>
    </w:p>
    <w:p w:rsidR="00000000" w:rsidRDefault="00FD50C0">
      <w:pPr>
        <w:spacing w:beforeLines="50" w:afterLines="50"/>
        <w:ind w:leftChars="201" w:left="722" w:hangingChars="100" w:hanging="240"/>
        <w:jc w:val="both"/>
        <w:rPr>
          <w:rFonts w:eastAsia="標楷體"/>
          <w:kern w:val="0"/>
        </w:rPr>
      </w:pPr>
      <w:r>
        <w:rPr>
          <w:rFonts w:eastAsia="標楷體" w:hAnsi="標楷體" w:hint="eastAsia"/>
          <w:kern w:val="0"/>
        </w:rPr>
        <w:t>(1)</w:t>
      </w:r>
      <w:r>
        <w:rPr>
          <w:rFonts w:eastAsia="標楷體" w:hAnsi="標楷體"/>
          <w:kern w:val="0"/>
        </w:rPr>
        <w:t>范氏兄弟在經由挪用不當資金而取的經營權之後，所擁有東隆的股權其</w:t>
      </w:r>
      <w:r>
        <w:rPr>
          <w:rFonts w:eastAsia="標楷體" w:hAnsi="標楷體"/>
          <w:kern w:val="0"/>
        </w:rPr>
        <w:t>實並不高，如果公司虧損賠光，經營者並不會受到相當大的影響，董事質押的百分比卻在公司發生問題的這段期間大幅上升</w:t>
      </w:r>
      <w:r>
        <w:rPr>
          <w:rFonts w:eastAsia="標楷體"/>
          <w:kern w:val="0"/>
        </w:rPr>
        <w:t>(</w:t>
      </w:r>
      <w:r>
        <w:rPr>
          <w:rFonts w:eastAsia="標楷體" w:hAnsi="標楷體"/>
          <w:kern w:val="0"/>
        </w:rPr>
        <w:t>由上圖可以看出</w:t>
      </w:r>
      <w:r>
        <w:rPr>
          <w:rFonts w:eastAsia="標楷體"/>
          <w:kern w:val="0"/>
        </w:rPr>
        <w:t>)</w:t>
      </w:r>
      <w:r>
        <w:rPr>
          <w:rFonts w:eastAsia="標楷體" w:hAnsi="標楷體"/>
          <w:kern w:val="0"/>
        </w:rPr>
        <w:t>，代表范氏兄弟把持股以質押方式抽回資金，原本擁有的股權已經不高，此時又以質押方式套現，如果公司陷入財務危機，對於所負責的經營者影響其實不大，這樣的經營者</w:t>
      </w:r>
      <w:r>
        <w:rPr>
          <w:rFonts w:eastAsia="標楷體" w:hAnsi="標楷體" w:hint="eastAsia"/>
          <w:kern w:val="0"/>
        </w:rPr>
        <w:t>應不會</w:t>
      </w:r>
      <w:r>
        <w:rPr>
          <w:rFonts w:eastAsia="標楷體" w:hAnsi="標楷體"/>
          <w:kern w:val="0"/>
        </w:rPr>
        <w:t>以追求所有股東最大權益為目的來經營這家公司</w:t>
      </w:r>
      <w:r>
        <w:rPr>
          <w:rFonts w:eastAsia="標楷體" w:hAnsi="標楷體" w:hint="eastAsia"/>
          <w:kern w:val="0"/>
        </w:rPr>
        <w:t>。</w:t>
      </w:r>
    </w:p>
    <w:p w:rsidR="00000000" w:rsidRDefault="00FD50C0">
      <w:pPr>
        <w:ind w:left="840"/>
        <w:rPr>
          <w:rFonts w:ascii="標楷體" w:eastAsia="標楷體" w:hAnsi="標楷體" w:cs="新細明體" w:hint="eastAsia"/>
          <w:kern w:val="0"/>
        </w:rPr>
      </w:pPr>
      <w:r>
        <w:rPr>
          <w:rFonts w:ascii="標楷體" w:eastAsia="標楷體" w:hAnsi="標楷體" w:cs="新細明體" w:hint="eastAsia"/>
          <w:kern w:val="0"/>
        </w:rPr>
        <w:t>股權結構各階段比較：</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tblPr>
      <w:tblGrid>
        <w:gridCol w:w="2294"/>
        <w:gridCol w:w="1801"/>
        <w:gridCol w:w="2010"/>
        <w:gridCol w:w="2221"/>
      </w:tblGrid>
      <w:tr w:rsidR="00000000">
        <w:trPr>
          <w:trHeight w:val="323"/>
          <w:tblCellSpacing w:w="0" w:type="dxa"/>
        </w:trPr>
        <w:tc>
          <w:tcPr>
            <w:tcW w:w="1377" w:type="pct"/>
            <w:vAlign w:val="center"/>
          </w:tcPr>
          <w:p w:rsidR="00000000" w:rsidRDefault="00FD50C0">
            <w:pPr>
              <w:ind w:left="480"/>
              <w:jc w:val="center"/>
              <w:rPr>
                <w:rFonts w:eastAsia="標楷體"/>
                <w:kern w:val="0"/>
              </w:rPr>
            </w:pPr>
          </w:p>
        </w:tc>
        <w:tc>
          <w:tcPr>
            <w:tcW w:w="1081" w:type="pct"/>
            <w:vAlign w:val="center"/>
          </w:tcPr>
          <w:p w:rsidR="00000000" w:rsidRDefault="00FD50C0">
            <w:pPr>
              <w:ind w:left="480"/>
              <w:jc w:val="center"/>
              <w:rPr>
                <w:rFonts w:eastAsia="標楷體"/>
                <w:kern w:val="0"/>
                <w:sz w:val="22"/>
                <w:szCs w:val="22"/>
              </w:rPr>
            </w:pPr>
            <w:r>
              <w:rPr>
                <w:rFonts w:eastAsia="標楷體" w:hAnsi="標楷體"/>
                <w:kern w:val="0"/>
                <w:sz w:val="22"/>
                <w:szCs w:val="22"/>
              </w:rPr>
              <w:t>第一階段</w:t>
            </w:r>
          </w:p>
        </w:tc>
        <w:tc>
          <w:tcPr>
            <w:tcW w:w="1207" w:type="pct"/>
            <w:vAlign w:val="center"/>
          </w:tcPr>
          <w:p w:rsidR="00000000" w:rsidRDefault="00FD50C0">
            <w:pPr>
              <w:ind w:left="480"/>
              <w:jc w:val="center"/>
              <w:rPr>
                <w:rFonts w:eastAsia="標楷體"/>
                <w:kern w:val="0"/>
                <w:sz w:val="22"/>
                <w:szCs w:val="22"/>
              </w:rPr>
            </w:pPr>
            <w:r>
              <w:rPr>
                <w:rFonts w:eastAsia="標楷體" w:hAnsi="標楷體"/>
                <w:kern w:val="0"/>
                <w:sz w:val="22"/>
                <w:szCs w:val="22"/>
              </w:rPr>
              <w:t>第二階段</w:t>
            </w:r>
          </w:p>
        </w:tc>
        <w:tc>
          <w:tcPr>
            <w:tcW w:w="1334" w:type="pct"/>
            <w:vAlign w:val="center"/>
          </w:tcPr>
          <w:p w:rsidR="00000000" w:rsidRDefault="00FD50C0">
            <w:pPr>
              <w:ind w:left="480"/>
              <w:jc w:val="center"/>
              <w:rPr>
                <w:rFonts w:eastAsia="標楷體"/>
                <w:kern w:val="0"/>
                <w:sz w:val="22"/>
                <w:szCs w:val="22"/>
              </w:rPr>
            </w:pPr>
            <w:r>
              <w:rPr>
                <w:rFonts w:eastAsia="標楷體" w:hAnsi="標楷體"/>
                <w:kern w:val="0"/>
                <w:sz w:val="22"/>
                <w:szCs w:val="22"/>
              </w:rPr>
              <w:t>第三階段</w:t>
            </w:r>
          </w:p>
        </w:tc>
      </w:tr>
      <w:tr w:rsidR="00000000">
        <w:trPr>
          <w:trHeight w:val="280"/>
          <w:tblCellSpacing w:w="0" w:type="dxa"/>
        </w:trPr>
        <w:tc>
          <w:tcPr>
            <w:tcW w:w="1377" w:type="pct"/>
            <w:vAlign w:val="center"/>
          </w:tcPr>
          <w:p w:rsidR="00000000" w:rsidRDefault="00FD50C0">
            <w:pPr>
              <w:rPr>
                <w:rFonts w:eastAsia="標楷體"/>
                <w:kern w:val="0"/>
              </w:rPr>
            </w:pPr>
            <w:r>
              <w:rPr>
                <w:rFonts w:eastAsia="標楷體" w:hAnsi="標楷體"/>
                <w:kern w:val="0"/>
              </w:rPr>
              <w:t>全體董事持股比率</w:t>
            </w:r>
          </w:p>
        </w:tc>
        <w:tc>
          <w:tcPr>
            <w:tcW w:w="1081" w:type="pct"/>
            <w:vAlign w:val="center"/>
          </w:tcPr>
          <w:p w:rsidR="00000000" w:rsidRDefault="00FD50C0">
            <w:pPr>
              <w:ind w:left="480"/>
              <w:jc w:val="center"/>
              <w:rPr>
                <w:rFonts w:eastAsia="標楷體"/>
                <w:kern w:val="0"/>
                <w:sz w:val="22"/>
                <w:szCs w:val="22"/>
              </w:rPr>
            </w:pPr>
            <w:r>
              <w:rPr>
                <w:rFonts w:eastAsia="標楷體"/>
                <w:kern w:val="0"/>
                <w:sz w:val="22"/>
                <w:szCs w:val="22"/>
              </w:rPr>
              <w:t>40.52%</w:t>
            </w:r>
          </w:p>
        </w:tc>
        <w:tc>
          <w:tcPr>
            <w:tcW w:w="1207" w:type="pct"/>
            <w:vAlign w:val="center"/>
          </w:tcPr>
          <w:p w:rsidR="00000000" w:rsidRDefault="00FD50C0">
            <w:pPr>
              <w:ind w:left="480"/>
              <w:jc w:val="center"/>
              <w:rPr>
                <w:rFonts w:eastAsia="標楷體"/>
                <w:kern w:val="0"/>
                <w:sz w:val="22"/>
                <w:szCs w:val="22"/>
              </w:rPr>
            </w:pPr>
            <w:r>
              <w:rPr>
                <w:rFonts w:eastAsia="標楷體"/>
                <w:kern w:val="0"/>
                <w:sz w:val="22"/>
                <w:szCs w:val="22"/>
              </w:rPr>
              <w:t>21.74%</w:t>
            </w:r>
          </w:p>
        </w:tc>
        <w:tc>
          <w:tcPr>
            <w:tcW w:w="1334" w:type="pct"/>
            <w:vAlign w:val="center"/>
          </w:tcPr>
          <w:p w:rsidR="00000000" w:rsidRDefault="00FD50C0">
            <w:pPr>
              <w:ind w:left="480"/>
              <w:jc w:val="center"/>
              <w:rPr>
                <w:rFonts w:eastAsia="標楷體"/>
                <w:kern w:val="0"/>
                <w:sz w:val="22"/>
                <w:szCs w:val="22"/>
              </w:rPr>
            </w:pPr>
            <w:r>
              <w:rPr>
                <w:rFonts w:eastAsia="標楷體"/>
                <w:kern w:val="0"/>
                <w:sz w:val="22"/>
                <w:szCs w:val="22"/>
              </w:rPr>
              <w:t>54.73%</w:t>
            </w:r>
          </w:p>
        </w:tc>
      </w:tr>
      <w:tr w:rsidR="00000000">
        <w:trPr>
          <w:trHeight w:val="269"/>
          <w:tblCellSpacing w:w="0" w:type="dxa"/>
        </w:trPr>
        <w:tc>
          <w:tcPr>
            <w:tcW w:w="1377" w:type="pct"/>
            <w:vAlign w:val="center"/>
          </w:tcPr>
          <w:p w:rsidR="00000000" w:rsidRDefault="00FD50C0">
            <w:pPr>
              <w:rPr>
                <w:rFonts w:eastAsia="標楷體"/>
                <w:kern w:val="0"/>
              </w:rPr>
            </w:pPr>
            <w:r>
              <w:rPr>
                <w:rFonts w:eastAsia="標楷體" w:hAnsi="標楷體"/>
                <w:kern w:val="0"/>
              </w:rPr>
              <w:t>全體監察人持股比率</w:t>
            </w:r>
          </w:p>
        </w:tc>
        <w:tc>
          <w:tcPr>
            <w:tcW w:w="1081" w:type="pct"/>
            <w:vAlign w:val="center"/>
          </w:tcPr>
          <w:p w:rsidR="00000000" w:rsidRDefault="00FD50C0">
            <w:pPr>
              <w:ind w:left="480"/>
              <w:jc w:val="center"/>
              <w:rPr>
                <w:rFonts w:eastAsia="標楷體"/>
                <w:kern w:val="0"/>
                <w:sz w:val="22"/>
                <w:szCs w:val="22"/>
              </w:rPr>
            </w:pPr>
            <w:r>
              <w:rPr>
                <w:rFonts w:eastAsia="標楷體"/>
                <w:kern w:val="0"/>
                <w:sz w:val="22"/>
                <w:szCs w:val="22"/>
              </w:rPr>
              <w:t>4.91%</w:t>
            </w:r>
          </w:p>
        </w:tc>
        <w:tc>
          <w:tcPr>
            <w:tcW w:w="1207" w:type="pct"/>
            <w:vAlign w:val="center"/>
          </w:tcPr>
          <w:p w:rsidR="00000000" w:rsidRDefault="00FD50C0">
            <w:pPr>
              <w:ind w:left="480"/>
              <w:jc w:val="center"/>
              <w:rPr>
                <w:rFonts w:eastAsia="標楷體"/>
                <w:kern w:val="0"/>
                <w:sz w:val="22"/>
                <w:szCs w:val="22"/>
              </w:rPr>
            </w:pPr>
            <w:r>
              <w:rPr>
                <w:rFonts w:eastAsia="標楷體"/>
                <w:kern w:val="0"/>
                <w:sz w:val="22"/>
                <w:szCs w:val="22"/>
              </w:rPr>
              <w:t>2.90%</w:t>
            </w:r>
          </w:p>
        </w:tc>
        <w:tc>
          <w:tcPr>
            <w:tcW w:w="1334" w:type="pct"/>
            <w:vAlign w:val="center"/>
          </w:tcPr>
          <w:p w:rsidR="00000000" w:rsidRDefault="00FD50C0">
            <w:pPr>
              <w:ind w:left="480"/>
              <w:jc w:val="center"/>
              <w:rPr>
                <w:rFonts w:eastAsia="標楷體"/>
                <w:kern w:val="0"/>
                <w:sz w:val="22"/>
                <w:szCs w:val="22"/>
              </w:rPr>
            </w:pPr>
            <w:r>
              <w:rPr>
                <w:rFonts w:eastAsia="標楷體"/>
                <w:kern w:val="0"/>
                <w:sz w:val="22"/>
                <w:szCs w:val="22"/>
              </w:rPr>
              <w:t>11.91%</w:t>
            </w:r>
          </w:p>
        </w:tc>
      </w:tr>
    </w:tbl>
    <w:p w:rsidR="00000000" w:rsidRDefault="00FD50C0">
      <w:pPr>
        <w:rPr>
          <w:rFonts w:ascii="標楷體" w:eastAsia="標楷體" w:hAnsi="標楷體" w:cs="新細明體" w:hint="eastAsia"/>
          <w:kern w:val="0"/>
        </w:rPr>
      </w:pPr>
    </w:p>
    <w:p w:rsidR="00000000" w:rsidRDefault="00FD50C0">
      <w:pPr>
        <w:spacing w:beforeLines="50" w:afterLines="50"/>
        <w:ind w:leftChars="200" w:left="768" w:hangingChars="120" w:hanging="288"/>
        <w:jc w:val="both"/>
        <w:rPr>
          <w:rFonts w:eastAsia="標楷體"/>
          <w:kern w:val="0"/>
        </w:rPr>
      </w:pPr>
      <w:r>
        <w:rPr>
          <w:rFonts w:eastAsia="標楷體" w:hAnsi="標楷體" w:hint="eastAsia"/>
          <w:kern w:val="0"/>
        </w:rPr>
        <w:t>(</w:t>
      </w:r>
      <w:r>
        <w:rPr>
          <w:rFonts w:eastAsia="標楷體" w:hAnsi="標楷體" w:hint="eastAsia"/>
          <w:kern w:val="0"/>
        </w:rPr>
        <w:t>2)</w:t>
      </w:r>
      <w:r>
        <w:rPr>
          <w:rFonts w:eastAsia="標楷體" w:hAnsi="標楷體"/>
          <w:kern w:val="0"/>
        </w:rPr>
        <w:t>東隆五金的內部稽核徒留形式，且是家族式管理作風，主要經營者可以輕易調度資金、簽訂契約，甚至隨便要公司撥</w:t>
      </w:r>
      <w:r>
        <w:rPr>
          <w:rFonts w:eastAsia="標楷體"/>
          <w:kern w:val="0"/>
        </w:rPr>
        <w:t>2.8</w:t>
      </w:r>
      <w:r>
        <w:rPr>
          <w:rFonts w:eastAsia="標楷體" w:hAnsi="標楷體"/>
          <w:kern w:val="0"/>
        </w:rPr>
        <w:t>億元現金，由董監事保管，董監事持股實際上卻僅佔</w:t>
      </w:r>
      <w:r>
        <w:rPr>
          <w:rFonts w:eastAsia="標楷體" w:hint="eastAsia"/>
          <w:kern w:val="0"/>
        </w:rPr>
        <w:t>20</w:t>
      </w:r>
      <w:r>
        <w:rPr>
          <w:rFonts w:eastAsia="標楷體"/>
          <w:kern w:val="0"/>
        </w:rPr>
        <w:t>%</w:t>
      </w:r>
      <w:r>
        <w:rPr>
          <w:rFonts w:eastAsia="標楷體" w:hAnsi="標楷體"/>
          <w:kern w:val="0"/>
        </w:rPr>
        <w:t>，完全沒有公司治理的概念。</w:t>
      </w:r>
    </w:p>
    <w:p w:rsidR="00000000" w:rsidRDefault="00FD50C0">
      <w:pPr>
        <w:spacing w:beforeLines="50" w:afterLines="50"/>
        <w:ind w:leftChars="201" w:left="782" w:hangingChars="125" w:hanging="300"/>
        <w:jc w:val="both"/>
        <w:rPr>
          <w:rFonts w:eastAsia="標楷體"/>
          <w:kern w:val="0"/>
        </w:rPr>
      </w:pPr>
      <w:r>
        <w:rPr>
          <w:rFonts w:eastAsia="標楷體" w:hAnsi="標楷體" w:hint="eastAsia"/>
          <w:kern w:val="0"/>
        </w:rPr>
        <w:t>(3)</w:t>
      </w:r>
      <w:r>
        <w:rPr>
          <w:rFonts w:eastAsia="標楷體" w:hAnsi="標楷體"/>
          <w:kern w:val="0"/>
        </w:rPr>
        <w:t>東隆五金的財簽報表，原本應有三個章，但其主辦會計的簽章，也是總經理的章，等於財報上只剩下總經理及董事長兩個章，財務報表透明度不高。</w:t>
      </w:r>
      <w:r>
        <w:rPr>
          <w:rFonts w:eastAsia="標楷體"/>
          <w:kern w:val="0"/>
        </w:rPr>
        <w:t>87</w:t>
      </w:r>
      <w:r>
        <w:rPr>
          <w:rFonts w:eastAsia="標楷體" w:hAnsi="標楷體"/>
          <w:kern w:val="0"/>
        </w:rPr>
        <w:t>年的半年報，東隆五金更換會計師，其中張書成會計師是第一年考上會計師，也是本次財報的主查及覆核的會計師。因為之前的簽證會計師在查核的過程中，早就發現東隆所隱含的問題，因此勉強簽到</w:t>
      </w:r>
      <w:r>
        <w:rPr>
          <w:rFonts w:eastAsia="標楷體"/>
          <w:kern w:val="0"/>
        </w:rPr>
        <w:t>86</w:t>
      </w:r>
      <w:r>
        <w:rPr>
          <w:rFonts w:eastAsia="標楷體" w:hAnsi="標楷體"/>
          <w:kern w:val="0"/>
        </w:rPr>
        <w:t>年的財報。由於張會計師的經驗不足，才會</w:t>
      </w:r>
      <w:r>
        <w:rPr>
          <w:rFonts w:eastAsia="標楷體" w:hAnsi="標楷體" w:hint="eastAsia"/>
          <w:kern w:val="0"/>
        </w:rPr>
        <w:t>貿</w:t>
      </w:r>
      <w:r>
        <w:rPr>
          <w:rFonts w:eastAsia="標楷體" w:hAnsi="標楷體"/>
          <w:kern w:val="0"/>
        </w:rPr>
        <w:t>然接手。</w:t>
      </w:r>
    </w:p>
    <w:p w:rsidR="00000000" w:rsidRDefault="00FD50C0">
      <w:pPr>
        <w:spacing w:beforeLines="50" w:afterLines="50"/>
        <w:ind w:leftChars="200" w:left="754" w:hangingChars="114" w:hanging="274"/>
        <w:jc w:val="both"/>
        <w:rPr>
          <w:rFonts w:eastAsia="標楷體"/>
          <w:kern w:val="0"/>
        </w:rPr>
      </w:pPr>
      <w:r>
        <w:rPr>
          <w:rFonts w:eastAsia="標楷體" w:hint="eastAsia"/>
          <w:kern w:val="0"/>
        </w:rPr>
        <w:t>(4)</w:t>
      </w:r>
      <w:r>
        <w:rPr>
          <w:rFonts w:eastAsia="標楷體"/>
          <w:kern w:val="0"/>
        </w:rPr>
        <w:t>85</w:t>
      </w:r>
      <w:r>
        <w:rPr>
          <w:rFonts w:eastAsia="標楷體" w:hAnsi="標楷體"/>
          <w:kern w:val="0"/>
        </w:rPr>
        <w:t>年</w:t>
      </w:r>
      <w:r>
        <w:rPr>
          <w:rFonts w:eastAsia="標楷體"/>
          <w:kern w:val="0"/>
        </w:rPr>
        <w:t>9</w:t>
      </w:r>
      <w:r>
        <w:rPr>
          <w:rFonts w:eastAsia="標楷體" w:hAnsi="標楷體"/>
          <w:kern w:val="0"/>
        </w:rPr>
        <w:t>月，董事會決議由財務部成本課長接替離職的稽核主任章定成，為新任稽核主任。並且在</w:t>
      </w:r>
      <w:r>
        <w:rPr>
          <w:rFonts w:eastAsia="標楷體"/>
          <w:kern w:val="0"/>
        </w:rPr>
        <w:t>87</w:t>
      </w:r>
      <w:r>
        <w:rPr>
          <w:rFonts w:eastAsia="標楷體" w:hAnsi="標楷體"/>
          <w:kern w:val="0"/>
        </w:rPr>
        <w:t>年</w:t>
      </w:r>
      <w:r>
        <w:rPr>
          <w:rFonts w:eastAsia="標楷體"/>
          <w:kern w:val="0"/>
        </w:rPr>
        <w:t>10</w:t>
      </w:r>
      <w:r>
        <w:rPr>
          <w:rFonts w:eastAsia="標楷體" w:hAnsi="標楷體"/>
          <w:kern w:val="0"/>
        </w:rPr>
        <w:t>月</w:t>
      </w:r>
      <w:r>
        <w:rPr>
          <w:rFonts w:eastAsia="標楷體"/>
          <w:kern w:val="0"/>
        </w:rPr>
        <w:t>10</w:t>
      </w:r>
      <w:r>
        <w:rPr>
          <w:rFonts w:eastAsia="標楷體" w:hAnsi="標楷體"/>
          <w:kern w:val="0"/>
        </w:rPr>
        <w:t>日，總經理改由專業經理人王鴻儒擔任，而四天後就自動請辭。我們認為稽核主任的變更以及總經理短期自動離職，可以看出內部經理人對公司缺乏信心，公司有一些問題存在。</w:t>
      </w:r>
    </w:p>
    <w:p w:rsidR="00000000" w:rsidRDefault="00FD50C0">
      <w:pPr>
        <w:widowControl/>
        <w:spacing w:beforeLines="50" w:afterLines="50"/>
        <w:jc w:val="both"/>
        <w:outlineLvl w:val="1"/>
        <w:rPr>
          <w:rFonts w:ascii="標楷體" w:eastAsia="標楷體" w:hAnsi="標楷體" w:cs="新細明體" w:hint="eastAsia"/>
          <w:b/>
          <w:bCs/>
          <w:kern w:val="0"/>
          <w:sz w:val="28"/>
          <w:szCs w:val="28"/>
        </w:rPr>
      </w:pPr>
      <w:bookmarkStart w:id="10" w:name="_Toc42188616"/>
      <w:r>
        <w:rPr>
          <w:rFonts w:eastAsia="標楷體" w:hAnsi="標楷體" w:hint="eastAsia"/>
          <w:b/>
          <w:bCs/>
          <w:kern w:val="0"/>
          <w:sz w:val="28"/>
        </w:rPr>
        <w:t>(</w:t>
      </w:r>
      <w:r>
        <w:rPr>
          <w:rFonts w:eastAsia="標楷體" w:hAnsi="標楷體" w:hint="eastAsia"/>
          <w:b/>
          <w:bCs/>
          <w:kern w:val="0"/>
          <w:sz w:val="28"/>
        </w:rPr>
        <w:t>二</w:t>
      </w:r>
      <w:r>
        <w:rPr>
          <w:rFonts w:eastAsia="標楷體" w:hAnsi="標楷體" w:hint="eastAsia"/>
          <w:b/>
          <w:bCs/>
          <w:kern w:val="0"/>
          <w:sz w:val="28"/>
        </w:rPr>
        <w:t>)</w:t>
      </w:r>
      <w:r>
        <w:rPr>
          <w:rFonts w:eastAsia="標楷體" w:hAnsi="標楷體" w:hint="eastAsia"/>
          <w:b/>
          <w:bCs/>
          <w:kern w:val="0"/>
          <w:sz w:val="28"/>
        </w:rPr>
        <w:t>不當轉投資</w:t>
      </w:r>
      <w:bookmarkEnd w:id="10"/>
    </w:p>
    <w:p w:rsidR="00000000" w:rsidRDefault="00FD50C0">
      <w:pPr>
        <w:spacing w:beforeLines="50" w:afterLines="50"/>
        <w:ind w:leftChars="309" w:left="742" w:firstLineChars="200" w:firstLine="480"/>
        <w:jc w:val="both"/>
        <w:rPr>
          <w:rFonts w:ascii="標楷體" w:eastAsia="標楷體" w:hAnsi="標楷體" w:hint="eastAsia"/>
        </w:rPr>
      </w:pPr>
      <w:r>
        <w:rPr>
          <w:rFonts w:ascii="標楷體" w:eastAsia="標楷體" w:hAnsi="標楷體" w:hint="eastAsia"/>
        </w:rPr>
        <w:t>東隆五金在</w:t>
      </w:r>
      <w:r>
        <w:rPr>
          <w:rFonts w:ascii="標楷體" w:eastAsia="標楷體" w:hAnsi="標楷體" w:hint="eastAsia"/>
        </w:rPr>
        <w:t>85</w:t>
      </w:r>
      <w:r>
        <w:rPr>
          <w:rFonts w:ascii="標楷體" w:eastAsia="標楷體" w:hAnsi="標楷體" w:hint="eastAsia"/>
        </w:rPr>
        <w:t>年進行董監事改選後，取得經營權的范芳源與范芳魁兩兄弟，便一改當初父執輩的穩健經營模式，開始變得比較前瞻與市場化，所以，取得經營權後便進行多項投資，在股票買賣中更是大</w:t>
      </w:r>
      <w:r>
        <w:rPr>
          <w:rFonts w:ascii="標楷體" w:eastAsia="標楷體" w:hAnsi="標楷體" w:hint="eastAsia"/>
        </w:rPr>
        <w:t>舉買進中纖、駿達建設、臺鳳、信元、景泰工業、華隆、臺硝</w:t>
      </w:r>
      <w:r>
        <w:rPr>
          <w:rFonts w:ascii="標楷體" w:eastAsia="標楷體" w:hAnsi="標楷體"/>
        </w:rPr>
        <w:t>…</w:t>
      </w:r>
      <w:r>
        <w:rPr>
          <w:rFonts w:ascii="標楷體" w:eastAsia="標楷體" w:hAnsi="標楷體" w:hint="eastAsia"/>
        </w:rPr>
        <w:t>等多檔股票，東隆不管是公司本身或是透過子公司、大股東個人等均參與其中，而投資標的不乏爭議性強、投機色彩濃厚的個股，此外，根據報導（呂絲端，</w:t>
      </w:r>
      <w:r>
        <w:rPr>
          <w:rFonts w:ascii="標楷體" w:eastAsia="標楷體" w:hAnsi="標楷體" w:hint="eastAsia"/>
        </w:rPr>
        <w:t>1998</w:t>
      </w:r>
      <w:r>
        <w:rPr>
          <w:rFonts w:ascii="標楷體" w:eastAsia="標楷體" w:hAnsi="標楷體" w:hint="eastAsia"/>
        </w:rPr>
        <w:t>）東隆甚至將股票拿去金融機構質押，將借貸款項在進行他種投資或是股票買賣，所以，遇到</w:t>
      </w:r>
      <w:r>
        <w:rPr>
          <w:rFonts w:ascii="標楷體" w:eastAsia="標楷體" w:hAnsi="標楷體" w:hint="eastAsia"/>
        </w:rPr>
        <w:t>1997</w:t>
      </w:r>
      <w:r>
        <w:rPr>
          <w:rFonts w:ascii="標楷體" w:eastAsia="標楷體" w:hAnsi="標楷體" w:hint="eastAsia"/>
        </w:rPr>
        <w:t>年亞洲金融風暴後，東隆五金一連串財務狀況的引爆便開始了。</w:t>
      </w:r>
    </w:p>
    <w:p w:rsidR="00000000" w:rsidRDefault="00FD50C0">
      <w:pPr>
        <w:spacing w:beforeLines="50" w:afterLines="50"/>
        <w:ind w:leftChars="309" w:left="742" w:firstLineChars="198" w:firstLine="475"/>
        <w:jc w:val="both"/>
        <w:rPr>
          <w:rFonts w:ascii="標楷體" w:eastAsia="標楷體" w:hAnsi="標楷體" w:hint="eastAsia"/>
        </w:rPr>
      </w:pPr>
      <w:r>
        <w:rPr>
          <w:rFonts w:ascii="標楷體" w:eastAsia="標楷體" w:hAnsi="標楷體" w:hint="eastAsia"/>
        </w:rPr>
        <w:t>東隆五金的總經理范芳魁是投資主導者，地點從大陸、菲律賓到新加坡，領域從製鎖本業到</w:t>
      </w:r>
      <w:r>
        <w:rPr>
          <w:rFonts w:ascii="標楷體" w:eastAsia="標楷體" w:hAnsi="標楷體"/>
        </w:rPr>
        <w:t>LCD</w:t>
      </w:r>
      <w:r>
        <w:rPr>
          <w:rFonts w:ascii="標楷體" w:eastAsia="標楷體" w:hAnsi="標楷體" w:hint="eastAsia"/>
        </w:rPr>
        <w:t>、甚至是航太科技業，在</w:t>
      </w:r>
      <w:r>
        <w:rPr>
          <w:rFonts w:ascii="標楷體" w:eastAsia="標楷體" w:hAnsi="標楷體" w:hint="eastAsia"/>
        </w:rPr>
        <w:t>85</w:t>
      </w:r>
      <w:r>
        <w:rPr>
          <w:rFonts w:ascii="標楷體" w:eastAsia="標楷體" w:hAnsi="標楷體" w:hint="eastAsia"/>
        </w:rPr>
        <w:t>年的八月投資</w:t>
      </w:r>
      <w:r>
        <w:rPr>
          <w:rFonts w:ascii="標楷體" w:eastAsia="標楷體" w:hAnsi="標楷體" w:hint="eastAsia"/>
        </w:rPr>
        <w:t>12</w:t>
      </w:r>
      <w:r>
        <w:rPr>
          <w:rFonts w:ascii="標楷體" w:eastAsia="標楷體" w:hAnsi="標楷體" w:hint="eastAsia"/>
        </w:rPr>
        <w:t>億購買淡水附近的土地，建屋出售，在</w:t>
      </w:r>
      <w:r>
        <w:rPr>
          <w:rFonts w:ascii="標楷體" w:eastAsia="標楷體" w:hAnsi="標楷體" w:hint="eastAsia"/>
        </w:rPr>
        <w:t>86</w:t>
      </w:r>
      <w:r>
        <w:rPr>
          <w:rFonts w:ascii="標楷體" w:eastAsia="標楷體" w:hAnsi="標楷體" w:hint="eastAsia"/>
        </w:rPr>
        <w:t>年</w:t>
      </w:r>
      <w:r>
        <w:rPr>
          <w:rFonts w:ascii="標楷體" w:eastAsia="標楷體" w:hAnsi="標楷體" w:hint="eastAsia"/>
        </w:rPr>
        <w:t>6</w:t>
      </w:r>
      <w:r>
        <w:rPr>
          <w:rFonts w:ascii="標楷體" w:eastAsia="標楷體" w:hAnsi="標楷體" w:hint="eastAsia"/>
        </w:rPr>
        <w:t>月跨足航太零件業，與美國飛機結構廠商</w:t>
      </w:r>
      <w:r>
        <w:rPr>
          <w:rFonts w:ascii="標楷體" w:eastAsia="標楷體" w:hAnsi="標楷體" w:hint="eastAsia"/>
        </w:rPr>
        <w:t>Klune</w:t>
      </w:r>
      <w:r>
        <w:rPr>
          <w:rFonts w:ascii="標楷體" w:eastAsia="標楷體" w:hAnsi="標楷體" w:hint="eastAsia"/>
        </w:rPr>
        <w:t>合作生產起落架，在</w:t>
      </w:r>
      <w:r>
        <w:rPr>
          <w:rFonts w:ascii="標楷體" w:eastAsia="標楷體" w:hAnsi="標楷體" w:hint="eastAsia"/>
        </w:rPr>
        <w:t>87</w:t>
      </w:r>
      <w:r>
        <w:rPr>
          <w:rFonts w:ascii="標楷體" w:eastAsia="標楷體" w:hAnsi="標楷體" w:hint="eastAsia"/>
        </w:rPr>
        <w:t>年</w:t>
      </w:r>
      <w:r>
        <w:rPr>
          <w:rFonts w:ascii="標楷體" w:eastAsia="標楷體" w:hAnsi="標楷體" w:hint="eastAsia"/>
        </w:rPr>
        <w:t>7</w:t>
      </w:r>
      <w:r>
        <w:rPr>
          <w:rFonts w:ascii="標楷體" w:eastAsia="標楷體" w:hAnsi="標楷體" w:hint="eastAsia"/>
        </w:rPr>
        <w:t>月跨足物流銷售業—投資五金連鎖店，到了</w:t>
      </w:r>
      <w:r>
        <w:rPr>
          <w:rFonts w:ascii="標楷體" w:eastAsia="標楷體" w:hAnsi="標楷體" w:hint="eastAsia"/>
        </w:rPr>
        <w:t>87</w:t>
      </w:r>
      <w:r>
        <w:rPr>
          <w:rFonts w:ascii="標楷體" w:eastAsia="標楷體" w:hAnsi="標楷體" w:hint="eastAsia"/>
        </w:rPr>
        <w:t>年</w:t>
      </w:r>
      <w:r>
        <w:rPr>
          <w:rFonts w:ascii="標楷體" w:eastAsia="標楷體" w:hAnsi="標楷體" w:hint="eastAsia"/>
        </w:rPr>
        <w:t>9</w:t>
      </w:r>
      <w:r>
        <w:rPr>
          <w:rFonts w:ascii="標楷體" w:eastAsia="標楷體" w:hAnsi="標楷體" w:hint="eastAsia"/>
        </w:rPr>
        <w:t>月轉投資東賢科技生產</w:t>
      </w:r>
      <w:r>
        <w:rPr>
          <w:rFonts w:ascii="標楷體" w:eastAsia="標楷體" w:hAnsi="標楷體" w:hint="eastAsia"/>
        </w:rPr>
        <w:t>LCD</w:t>
      </w:r>
      <w:r>
        <w:rPr>
          <w:rFonts w:ascii="標楷體" w:eastAsia="標楷體" w:hAnsi="標楷體" w:hint="eastAsia"/>
        </w:rPr>
        <w:t>原件中之彩色濾光片。，進一步在跨足房地產及股票，至</w:t>
      </w:r>
      <w:r>
        <w:rPr>
          <w:rFonts w:ascii="標楷體" w:eastAsia="標楷體" w:hAnsi="標楷體"/>
        </w:rPr>
        <w:t>87</w:t>
      </w:r>
      <w:r>
        <w:rPr>
          <w:rFonts w:ascii="標楷體" w:eastAsia="標楷體" w:hAnsi="標楷體" w:hint="eastAsia"/>
        </w:rPr>
        <w:t>年</w:t>
      </w:r>
      <w:r>
        <w:rPr>
          <w:rFonts w:ascii="標楷體" w:eastAsia="標楷體" w:hAnsi="標楷體"/>
        </w:rPr>
        <w:t>9</w:t>
      </w:r>
      <w:r>
        <w:rPr>
          <w:rFonts w:ascii="標楷體" w:eastAsia="標楷體" w:hAnsi="標楷體" w:hint="eastAsia"/>
        </w:rPr>
        <w:t>月底，東隆列為長期投資的對象就有</w:t>
      </w:r>
      <w:r>
        <w:rPr>
          <w:rFonts w:ascii="標楷體" w:eastAsia="標楷體" w:hAnsi="標楷體"/>
        </w:rPr>
        <w:t>26</w:t>
      </w:r>
      <w:r>
        <w:rPr>
          <w:rFonts w:ascii="標楷體" w:eastAsia="標楷體" w:hAnsi="標楷體" w:hint="eastAsia"/>
        </w:rPr>
        <w:t>家，帳列金額約</w:t>
      </w:r>
      <w:r>
        <w:rPr>
          <w:rFonts w:ascii="標楷體" w:eastAsia="標楷體" w:hAnsi="標楷體"/>
        </w:rPr>
        <w:t>44.3</w:t>
      </w:r>
      <w:r>
        <w:rPr>
          <w:rFonts w:ascii="標楷體" w:eastAsia="標楷體" w:hAnsi="標楷體" w:hint="eastAsia"/>
        </w:rPr>
        <w:t>億元。再透過子公司東泰、東華等投資公司在非當權派范耀彬、范耀琦在市場拋售持股時替母公司股價護盤，買進的股票又向金融機構質押借錢，由東隆背書保證；另外，東隆透過海外子公司發行債券，募集的資金用來操作衍生性金融商品或再投入國內股市，取得其他上市上櫃</w:t>
      </w:r>
      <w:r>
        <w:rPr>
          <w:rFonts w:ascii="標楷體" w:eastAsia="標楷體" w:hAnsi="標楷體" w:hint="eastAsia"/>
        </w:rPr>
        <w:t>公司大量股權或經營權，如景泰、駿達。</w:t>
      </w:r>
    </w:p>
    <w:p w:rsidR="00000000" w:rsidRDefault="00FD50C0">
      <w:pPr>
        <w:ind w:leftChars="309" w:left="742" w:firstLineChars="198" w:firstLine="475"/>
        <w:jc w:val="both"/>
        <w:rPr>
          <w:rFonts w:ascii="標楷體" w:eastAsia="標楷體" w:hAnsi="標楷體" w:hint="eastAsia"/>
        </w:rPr>
      </w:pPr>
    </w:p>
    <w:p w:rsidR="00000000" w:rsidRDefault="00FD50C0">
      <w:pPr>
        <w:jc w:val="both"/>
        <w:rPr>
          <w:rFonts w:ascii="標楷體" w:eastAsia="標楷體" w:hAnsi="標楷體" w:hint="eastAsia"/>
          <w:b/>
        </w:rPr>
      </w:pPr>
      <w:r>
        <w:rPr>
          <w:rFonts w:ascii="標楷體" w:eastAsia="標楷體" w:hAnsi="標楷體" w:hint="eastAsia"/>
          <w:b/>
        </w:rPr>
        <w:t>◎不當轉投資：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253"/>
      </w:tblGrid>
      <w:tr w:rsidR="00000000">
        <w:tc>
          <w:tcPr>
            <w:tcW w:w="1331" w:type="pct"/>
            <w:tcBorders>
              <w:bottom w:val="single" w:sz="4" w:space="0" w:color="auto"/>
            </w:tcBorders>
          </w:tcPr>
          <w:p w:rsidR="00000000" w:rsidRDefault="00FD50C0">
            <w:pPr>
              <w:jc w:val="both"/>
              <w:rPr>
                <w:rFonts w:eastAsia="標楷體"/>
              </w:rPr>
            </w:pPr>
            <w:r>
              <w:rPr>
                <w:rFonts w:eastAsia="標楷體"/>
              </w:rPr>
              <w:t>85/08/30</w:t>
            </w:r>
            <w:r>
              <w:rPr>
                <w:rFonts w:eastAsia="標楷體" w:hAnsi="標楷體"/>
              </w:rPr>
              <w:t>房地產</w:t>
            </w:r>
          </w:p>
        </w:tc>
        <w:tc>
          <w:tcPr>
            <w:tcW w:w="3669" w:type="pct"/>
            <w:tcBorders>
              <w:bottom w:val="single" w:sz="4" w:space="0" w:color="auto"/>
            </w:tcBorders>
          </w:tcPr>
          <w:p w:rsidR="00000000" w:rsidRDefault="00FD50C0">
            <w:pPr>
              <w:jc w:val="both"/>
              <w:rPr>
                <w:rFonts w:eastAsia="標楷體"/>
              </w:rPr>
            </w:pPr>
            <w:r>
              <w:rPr>
                <w:rFonts w:eastAsia="標楷體" w:hAnsi="標楷體"/>
              </w:rPr>
              <w:t>范氏兩兄弟與其他八家公司共同投資開發台北小坪頂</w:t>
            </w:r>
            <w:r>
              <w:rPr>
                <w:rFonts w:eastAsia="標楷體"/>
              </w:rPr>
              <w:t>(</w:t>
            </w:r>
            <w:r>
              <w:rPr>
                <w:rFonts w:eastAsia="標楷體" w:hAnsi="標楷體"/>
              </w:rPr>
              <w:t>稱為：陽明山莊</w:t>
            </w:r>
            <w:r>
              <w:rPr>
                <w:rFonts w:eastAsia="標楷體"/>
              </w:rPr>
              <w:t>)</w:t>
            </w:r>
            <w:r>
              <w:rPr>
                <w:rFonts w:eastAsia="標楷體" w:hAnsi="標楷體"/>
              </w:rPr>
              <w:t>，又適逢林肯大郡事件，導致完工後的陽明山莊因位於山邊而銷售遲緩，也讓大力促成此投資之范芳魁後悔跨入營建業，並表示陽明山莊結案後東隆五金不在跨入營建業，但為時已晚，東隆五金又積壓了</w:t>
            </w:r>
            <w:r>
              <w:rPr>
                <w:rFonts w:eastAsia="標楷體"/>
              </w:rPr>
              <w:t>24</w:t>
            </w:r>
            <w:r>
              <w:rPr>
                <w:rFonts w:eastAsia="標楷體" w:hAnsi="標楷體"/>
              </w:rPr>
              <w:t>億資金。</w:t>
            </w:r>
          </w:p>
        </w:tc>
      </w:tr>
      <w:tr w:rsidR="00000000">
        <w:tc>
          <w:tcPr>
            <w:tcW w:w="1331" w:type="pct"/>
            <w:shd w:val="clear" w:color="auto" w:fill="E6E6E6"/>
          </w:tcPr>
          <w:p w:rsidR="00000000" w:rsidRDefault="00FD50C0">
            <w:pPr>
              <w:jc w:val="both"/>
              <w:rPr>
                <w:rFonts w:eastAsia="標楷體"/>
              </w:rPr>
            </w:pPr>
            <w:r>
              <w:rPr>
                <w:rFonts w:eastAsia="標楷體"/>
              </w:rPr>
              <w:t>86/03/12</w:t>
            </w:r>
            <w:r>
              <w:rPr>
                <w:rFonts w:eastAsia="標楷體" w:hAnsi="標楷體"/>
              </w:rPr>
              <w:t>航太業</w:t>
            </w:r>
          </w:p>
        </w:tc>
        <w:tc>
          <w:tcPr>
            <w:tcW w:w="3669" w:type="pct"/>
            <w:shd w:val="clear" w:color="auto" w:fill="E6E6E6"/>
          </w:tcPr>
          <w:p w:rsidR="00000000" w:rsidRDefault="00FD50C0">
            <w:pPr>
              <w:jc w:val="both"/>
              <w:rPr>
                <w:rFonts w:eastAsia="標楷體"/>
              </w:rPr>
            </w:pPr>
            <w:r>
              <w:rPr>
                <w:rFonts w:eastAsia="標楷體" w:hAnsi="標楷體"/>
              </w:rPr>
              <w:t>與美國飛機結構件廠商</w:t>
            </w:r>
            <w:r>
              <w:rPr>
                <w:rFonts w:eastAsia="標楷體"/>
              </w:rPr>
              <w:t>Klune</w:t>
            </w:r>
            <w:r>
              <w:rPr>
                <w:rFonts w:eastAsia="標楷體" w:hAnsi="標楷體"/>
              </w:rPr>
              <w:t>合作生產起落架。</w:t>
            </w:r>
          </w:p>
        </w:tc>
      </w:tr>
      <w:tr w:rsidR="00000000">
        <w:tc>
          <w:tcPr>
            <w:tcW w:w="1331" w:type="pct"/>
            <w:tcBorders>
              <w:bottom w:val="single" w:sz="4" w:space="0" w:color="auto"/>
            </w:tcBorders>
          </w:tcPr>
          <w:p w:rsidR="00000000" w:rsidRDefault="00FD50C0">
            <w:pPr>
              <w:jc w:val="both"/>
              <w:rPr>
                <w:rFonts w:eastAsia="標楷體"/>
              </w:rPr>
            </w:pPr>
            <w:r>
              <w:rPr>
                <w:rFonts w:eastAsia="標楷體"/>
              </w:rPr>
              <w:t>86/09/26</w:t>
            </w:r>
            <w:r>
              <w:rPr>
                <w:rFonts w:eastAsia="標楷體" w:hAnsi="標楷體"/>
              </w:rPr>
              <w:t>製鎖本業</w:t>
            </w:r>
          </w:p>
        </w:tc>
        <w:tc>
          <w:tcPr>
            <w:tcW w:w="3669" w:type="pct"/>
            <w:tcBorders>
              <w:bottom w:val="single" w:sz="4" w:space="0" w:color="auto"/>
            </w:tcBorders>
          </w:tcPr>
          <w:p w:rsidR="00000000" w:rsidRDefault="00FD50C0">
            <w:pPr>
              <w:jc w:val="both"/>
              <w:rPr>
                <w:rFonts w:eastAsia="標楷體"/>
              </w:rPr>
            </w:pPr>
            <w:r>
              <w:rPr>
                <w:rFonts w:eastAsia="標楷體" w:hAnsi="標楷體"/>
              </w:rPr>
              <w:t>董事會通過赴大陸投資</w:t>
            </w:r>
            <w:r>
              <w:rPr>
                <w:rFonts w:eastAsia="標楷體"/>
              </w:rPr>
              <w:t>2000</w:t>
            </w:r>
            <w:r>
              <w:rPr>
                <w:rFonts w:eastAsia="標楷體" w:hAnsi="標楷體"/>
              </w:rPr>
              <w:t>萬元，興建月產能</w:t>
            </w:r>
            <w:r>
              <w:rPr>
                <w:rFonts w:eastAsia="標楷體"/>
              </w:rPr>
              <w:t>200</w:t>
            </w:r>
            <w:r>
              <w:rPr>
                <w:rFonts w:eastAsia="標楷體" w:hAnsi="標楷體"/>
              </w:rPr>
              <w:t>萬組的鎖廠。</w:t>
            </w:r>
          </w:p>
        </w:tc>
      </w:tr>
      <w:tr w:rsidR="00000000">
        <w:tc>
          <w:tcPr>
            <w:tcW w:w="1331" w:type="pct"/>
            <w:shd w:val="clear" w:color="auto" w:fill="E6E6E6"/>
          </w:tcPr>
          <w:p w:rsidR="00000000" w:rsidRDefault="00FD50C0">
            <w:pPr>
              <w:jc w:val="both"/>
              <w:rPr>
                <w:rFonts w:eastAsia="標楷體"/>
              </w:rPr>
            </w:pPr>
            <w:r>
              <w:rPr>
                <w:rFonts w:eastAsia="標楷體"/>
              </w:rPr>
              <w:t>87/0</w:t>
            </w:r>
            <w:r>
              <w:rPr>
                <w:rFonts w:eastAsia="標楷體"/>
              </w:rPr>
              <w:t>9/24 LCD</w:t>
            </w:r>
          </w:p>
        </w:tc>
        <w:tc>
          <w:tcPr>
            <w:tcW w:w="3669" w:type="pct"/>
            <w:shd w:val="clear" w:color="auto" w:fill="E6E6E6"/>
          </w:tcPr>
          <w:p w:rsidR="00000000" w:rsidRDefault="00FD50C0">
            <w:pPr>
              <w:jc w:val="both"/>
              <w:rPr>
                <w:rFonts w:eastAsia="標楷體"/>
              </w:rPr>
            </w:pPr>
            <w:r>
              <w:rPr>
                <w:rFonts w:eastAsia="標楷體" w:hAnsi="標楷體"/>
              </w:rPr>
              <w:t>轉投資公司東賢科技宣佈生產</w:t>
            </w:r>
            <w:r>
              <w:rPr>
                <w:rFonts w:eastAsia="標楷體"/>
              </w:rPr>
              <w:t>LCD</w:t>
            </w:r>
            <w:r>
              <w:rPr>
                <w:rFonts w:eastAsia="標楷體" w:hAnsi="標楷體"/>
              </w:rPr>
              <w:t>元件中之彩色濾光片於</w:t>
            </w:r>
            <w:r>
              <w:rPr>
                <w:rFonts w:eastAsia="標楷體"/>
              </w:rPr>
              <w:t>12</w:t>
            </w:r>
            <w:r>
              <w:rPr>
                <w:rFonts w:eastAsia="標楷體" w:hAnsi="標楷體"/>
              </w:rPr>
              <w:t>月進入量產階段。</w:t>
            </w:r>
          </w:p>
        </w:tc>
      </w:tr>
    </w:tbl>
    <w:p w:rsidR="00000000" w:rsidRDefault="00FD50C0">
      <w:pPr>
        <w:jc w:val="both"/>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跨足的轉投資事業會因與本業事務技術、背景知識差異過大、或是其風險較高於一般，而導致因為管理高層的決策失誤，而影響到公司資金運作或是拖垮本業的營運績效，東隆朝多角化經營跨足其他許多事業，包括五金連鎖、飛機起落架等，但管理階層一直由范氏兄弟所把持，未有專業經理人才加入。可以發現東隆公司進行多筆的非本業投資，其各項投資也不過在短短的</w:t>
      </w:r>
      <w:r>
        <w:rPr>
          <w:rFonts w:ascii="標楷體" w:eastAsia="標楷體" w:hAnsi="標楷體" w:hint="eastAsia"/>
        </w:rPr>
        <w:t>2</w:t>
      </w:r>
      <w:r>
        <w:rPr>
          <w:rFonts w:ascii="標楷體" w:eastAsia="標楷體" w:hAnsi="標楷體" w:hint="eastAsia"/>
        </w:rPr>
        <w:t>年到</w:t>
      </w:r>
      <w:r>
        <w:rPr>
          <w:rFonts w:ascii="標楷體" w:eastAsia="標楷體" w:hAnsi="標楷體" w:hint="eastAsia"/>
        </w:rPr>
        <w:t>3</w:t>
      </w:r>
      <w:r>
        <w:rPr>
          <w:rFonts w:ascii="標楷體" w:eastAsia="標楷體" w:hAnsi="標楷體" w:hint="eastAsia"/>
        </w:rPr>
        <w:t>年（約</w:t>
      </w:r>
      <w:r>
        <w:rPr>
          <w:rFonts w:ascii="標楷體" w:eastAsia="標楷體" w:hAnsi="標楷體" w:hint="eastAsia"/>
        </w:rPr>
        <w:t>85</w:t>
      </w:r>
      <w:r>
        <w:rPr>
          <w:rFonts w:ascii="標楷體" w:eastAsia="標楷體" w:hAnsi="標楷體" w:hint="eastAsia"/>
        </w:rPr>
        <w:t>～</w:t>
      </w:r>
      <w:r>
        <w:rPr>
          <w:rFonts w:ascii="標楷體" w:eastAsia="標楷體" w:hAnsi="標楷體" w:hint="eastAsia"/>
        </w:rPr>
        <w:t>87</w:t>
      </w:r>
      <w:r>
        <w:rPr>
          <w:rFonts w:ascii="標楷體" w:eastAsia="標楷體" w:hAnsi="標楷體" w:hint="eastAsia"/>
        </w:rPr>
        <w:t>年）便開始進行，故所承擔之風險可見一般。東隆五金原本在本業的</w:t>
      </w:r>
      <w:r>
        <w:rPr>
          <w:rFonts w:ascii="標楷體" w:eastAsia="標楷體" w:hAnsi="標楷體" w:hint="eastAsia"/>
        </w:rPr>
        <w:t>表現是可圈可點，前景看好。但在經營權易主後，經營風格迥然不同，疏忽了本業的經營，致力於轉投資事業，大量運用財務槓桿，以股票質押借錢。位害怕斷頭，進而利用交叉持股、挪用公款等方式進行護盤，最後資金週轉不靈，爆發財務危機，終究是白忙一場。殊不知專注本業才是護盤的最佳工具。</w:t>
      </w:r>
    </w:p>
    <w:p w:rsidR="00000000" w:rsidRDefault="00FD50C0">
      <w:pPr>
        <w:pStyle w:val="1"/>
        <w:rPr>
          <w:rFonts w:hint="eastAsia"/>
        </w:rPr>
      </w:pPr>
      <w:bookmarkStart w:id="11" w:name="_Toc42188617"/>
    </w:p>
    <w:p w:rsidR="00000000" w:rsidRDefault="00FD50C0">
      <w:pPr>
        <w:rPr>
          <w:rFonts w:hint="eastAsia"/>
        </w:rPr>
      </w:pPr>
    </w:p>
    <w:p w:rsidR="00000000" w:rsidRDefault="00FD50C0">
      <w:pPr>
        <w:pStyle w:val="1"/>
        <w:rPr>
          <w:rFonts w:hint="eastAsia"/>
        </w:rPr>
      </w:pPr>
      <w:r>
        <w:rPr>
          <w:rFonts w:hint="eastAsia"/>
        </w:rPr>
        <w:t>四、東隆五金重整實務</w:t>
      </w:r>
      <w:bookmarkEnd w:id="11"/>
    </w:p>
    <w:p w:rsidR="00000000" w:rsidRDefault="00FD50C0">
      <w:pPr>
        <w:widowControl/>
        <w:spacing w:beforeLines="50" w:afterLines="50"/>
        <w:jc w:val="both"/>
        <w:outlineLvl w:val="1"/>
        <w:rPr>
          <w:rFonts w:eastAsia="標楷體" w:hAnsi="標楷體" w:hint="eastAsia"/>
          <w:b/>
          <w:bCs/>
          <w:kern w:val="0"/>
          <w:sz w:val="28"/>
        </w:rPr>
      </w:pPr>
      <w:bookmarkStart w:id="12" w:name="_Toc42188618"/>
      <w:r>
        <w:rPr>
          <w:rFonts w:eastAsia="標楷體" w:hAnsi="標楷體" w:hint="eastAsia"/>
          <w:b/>
          <w:bCs/>
          <w:kern w:val="0"/>
          <w:sz w:val="28"/>
        </w:rPr>
        <w:t>(</w:t>
      </w:r>
      <w:r>
        <w:rPr>
          <w:rFonts w:eastAsia="標楷體" w:hAnsi="標楷體" w:hint="eastAsia"/>
          <w:b/>
          <w:bCs/>
          <w:kern w:val="0"/>
          <w:sz w:val="28"/>
        </w:rPr>
        <w:t>一</w:t>
      </w:r>
      <w:r>
        <w:rPr>
          <w:rFonts w:eastAsia="標楷體" w:hAnsi="標楷體" w:hint="eastAsia"/>
          <w:b/>
          <w:bCs/>
          <w:kern w:val="0"/>
          <w:sz w:val="28"/>
        </w:rPr>
        <w:t>)</w:t>
      </w:r>
      <w:r>
        <w:rPr>
          <w:rFonts w:eastAsia="標楷體" w:hAnsi="標楷體" w:hint="eastAsia"/>
          <w:b/>
          <w:bCs/>
          <w:kern w:val="0"/>
          <w:sz w:val="28"/>
        </w:rPr>
        <w:t>重整的法源依據</w:t>
      </w:r>
      <w:bookmarkEnd w:id="12"/>
    </w:p>
    <w:p w:rsidR="00000000" w:rsidRDefault="00FD50C0">
      <w:pPr>
        <w:widowControl/>
        <w:spacing w:afterLines="50"/>
        <w:ind w:firstLine="482"/>
        <w:rPr>
          <w:rFonts w:eastAsia="標楷體" w:hAnsi="標楷體" w:hint="eastAsia"/>
          <w:bCs/>
          <w:kern w:val="0"/>
        </w:rPr>
      </w:pPr>
      <w:r>
        <w:rPr>
          <w:rFonts w:eastAsia="標楷體" w:hAnsi="標楷體"/>
          <w:bCs/>
          <w:kern w:val="0"/>
        </w:rPr>
        <w:t>法源依據</w:t>
      </w:r>
      <w:r>
        <w:rPr>
          <w:rFonts w:eastAsia="標楷體" w:hAnsi="標楷體" w:hint="eastAsia"/>
          <w:bCs/>
          <w:kern w:val="0"/>
        </w:rPr>
        <w:t>：公司法第</w:t>
      </w:r>
      <w:r>
        <w:rPr>
          <w:rFonts w:eastAsia="標楷體" w:hAnsi="標楷體" w:hint="eastAsia"/>
          <w:bCs/>
          <w:kern w:val="0"/>
        </w:rPr>
        <w:t>294</w:t>
      </w:r>
      <w:r>
        <w:rPr>
          <w:rFonts w:eastAsia="標楷體" w:hAnsi="標楷體" w:hint="eastAsia"/>
          <w:bCs/>
          <w:kern w:val="0"/>
        </w:rPr>
        <w:t>條：「裁定重整後，公司之破產、和解、強制執行及因財產關係所生之訴訟等程序，當然停止。」公司法與重整相關的重要條文整理如下：</w:t>
      </w:r>
    </w:p>
    <w:tbl>
      <w:tblPr>
        <w:tblW w:w="9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028"/>
        <w:gridCol w:w="6972"/>
      </w:tblGrid>
      <w:tr w:rsidR="00000000">
        <w:tc>
          <w:tcPr>
            <w:tcW w:w="2028" w:type="dxa"/>
          </w:tcPr>
          <w:p w:rsidR="00000000" w:rsidRDefault="00FD50C0">
            <w:pPr>
              <w:widowControl/>
              <w:jc w:val="both"/>
              <w:rPr>
                <w:rFonts w:eastAsia="標楷體"/>
                <w:kern w:val="0"/>
              </w:rPr>
            </w:pPr>
            <w:r>
              <w:rPr>
                <w:rFonts w:eastAsia="標楷體" w:hAnsi="標楷體"/>
                <w:kern w:val="0"/>
              </w:rPr>
              <w:t>第二百八十二條</w:t>
            </w:r>
          </w:p>
        </w:tc>
        <w:tc>
          <w:tcPr>
            <w:tcW w:w="6972" w:type="dxa"/>
          </w:tcPr>
          <w:p w:rsidR="00000000" w:rsidRDefault="00FD50C0">
            <w:pPr>
              <w:widowControl/>
              <w:jc w:val="both"/>
              <w:rPr>
                <w:rFonts w:eastAsia="標楷體"/>
                <w:kern w:val="0"/>
              </w:rPr>
            </w:pPr>
            <w:r>
              <w:rPr>
                <w:rFonts w:eastAsia="標楷體" w:hAnsi="標楷體"/>
                <w:kern w:val="0"/>
              </w:rPr>
              <w:t>公開發行股票或公司債之公司，因</w:t>
            </w:r>
            <w:r>
              <w:rPr>
                <w:rFonts w:eastAsia="標楷體" w:hAnsi="標楷體"/>
                <w:kern w:val="0"/>
              </w:rPr>
              <w:t>財務困難，暫停營業或有停業之虞者，法院得依下列關係人之一之聲請，裁定准予重整：</w:t>
            </w:r>
            <w:r>
              <w:rPr>
                <w:rFonts w:eastAsia="標楷體"/>
                <w:kern w:val="0"/>
              </w:rPr>
              <w:t xml:space="preserve"> </w:t>
            </w:r>
          </w:p>
          <w:p w:rsidR="00000000" w:rsidRDefault="00FD50C0">
            <w:pPr>
              <w:widowControl/>
              <w:numPr>
                <w:ilvl w:val="0"/>
                <w:numId w:val="37"/>
              </w:numPr>
              <w:jc w:val="both"/>
              <w:rPr>
                <w:rFonts w:eastAsia="標楷體"/>
                <w:kern w:val="0"/>
              </w:rPr>
            </w:pPr>
            <w:r>
              <w:rPr>
                <w:rFonts w:eastAsia="標楷體" w:hAnsi="標楷體"/>
                <w:kern w:val="0"/>
              </w:rPr>
              <w:t>董事會。</w:t>
            </w:r>
            <w:r>
              <w:rPr>
                <w:rFonts w:eastAsia="標楷體"/>
                <w:kern w:val="0"/>
              </w:rPr>
              <w:t xml:space="preserve"> </w:t>
            </w:r>
          </w:p>
          <w:p w:rsidR="00000000" w:rsidRDefault="00FD50C0">
            <w:pPr>
              <w:widowControl/>
              <w:numPr>
                <w:ilvl w:val="0"/>
                <w:numId w:val="37"/>
              </w:numPr>
              <w:jc w:val="both"/>
              <w:rPr>
                <w:rFonts w:eastAsia="標楷體"/>
                <w:kern w:val="0"/>
              </w:rPr>
            </w:pPr>
            <w:r>
              <w:rPr>
                <w:rFonts w:eastAsia="標楷體" w:hAnsi="標楷體"/>
                <w:kern w:val="0"/>
              </w:rPr>
              <w:t>繼續六個月以上持有已發行股份總數百分之十以上股份之股東。</w:t>
            </w:r>
            <w:r>
              <w:rPr>
                <w:rFonts w:eastAsia="標楷體"/>
                <w:kern w:val="0"/>
              </w:rPr>
              <w:t xml:space="preserve"> </w:t>
            </w:r>
          </w:p>
          <w:p w:rsidR="00000000" w:rsidRDefault="00FD50C0">
            <w:pPr>
              <w:widowControl/>
              <w:numPr>
                <w:ilvl w:val="0"/>
                <w:numId w:val="37"/>
              </w:numPr>
              <w:jc w:val="both"/>
              <w:rPr>
                <w:rFonts w:eastAsia="標楷體"/>
                <w:kern w:val="0"/>
              </w:rPr>
            </w:pPr>
            <w:r>
              <w:rPr>
                <w:rFonts w:eastAsia="標楷體" w:hAnsi="標楷體"/>
                <w:kern w:val="0"/>
              </w:rPr>
              <w:t>相當於公司已發行股份總數金額百分之十以上之公司債權人。</w:t>
            </w:r>
            <w:r>
              <w:rPr>
                <w:rFonts w:eastAsia="標楷體"/>
                <w:kern w:val="0"/>
              </w:rPr>
              <w:t xml:space="preserve"> </w:t>
            </w:r>
          </w:p>
          <w:p w:rsidR="00000000" w:rsidRDefault="00FD50C0">
            <w:pPr>
              <w:widowControl/>
              <w:jc w:val="both"/>
              <w:rPr>
                <w:rFonts w:eastAsia="標楷體"/>
                <w:kern w:val="0"/>
              </w:rPr>
            </w:pPr>
            <w:r>
              <w:rPr>
                <w:rFonts w:eastAsia="標楷體" w:hAnsi="標楷體"/>
                <w:kern w:val="0"/>
              </w:rPr>
              <w:t>董事會為前項聲請，應以董事三分之二以上之出席，及出席董事過半數同意之決議行之。</w:t>
            </w:r>
          </w:p>
        </w:tc>
      </w:tr>
      <w:tr w:rsidR="00000000">
        <w:tc>
          <w:tcPr>
            <w:tcW w:w="2028" w:type="dxa"/>
          </w:tcPr>
          <w:p w:rsidR="00000000" w:rsidRDefault="00FD50C0">
            <w:pPr>
              <w:widowControl/>
              <w:jc w:val="both"/>
              <w:rPr>
                <w:rFonts w:eastAsia="標楷體"/>
                <w:b/>
                <w:kern w:val="0"/>
              </w:rPr>
            </w:pPr>
            <w:r>
              <w:rPr>
                <w:rFonts w:eastAsia="標楷體" w:hAnsi="標楷體"/>
                <w:b/>
                <w:kern w:val="0"/>
              </w:rPr>
              <w:t>第二百九十四條</w:t>
            </w:r>
          </w:p>
        </w:tc>
        <w:tc>
          <w:tcPr>
            <w:tcW w:w="6972" w:type="dxa"/>
          </w:tcPr>
          <w:p w:rsidR="00000000" w:rsidRDefault="00FD50C0">
            <w:pPr>
              <w:widowControl/>
              <w:jc w:val="both"/>
              <w:rPr>
                <w:rFonts w:eastAsia="標楷體"/>
                <w:b/>
                <w:kern w:val="0"/>
              </w:rPr>
            </w:pPr>
            <w:r>
              <w:rPr>
                <w:rFonts w:eastAsia="標楷體" w:hAnsi="標楷體"/>
                <w:b/>
                <w:kern w:val="0"/>
              </w:rPr>
              <w:t>裁定重整後，公司之破產、和解、強制執行及因財產關係所生之訴訟等程序，當然停止。</w:t>
            </w:r>
          </w:p>
        </w:tc>
      </w:tr>
      <w:tr w:rsidR="00000000">
        <w:tc>
          <w:tcPr>
            <w:tcW w:w="2028" w:type="dxa"/>
          </w:tcPr>
          <w:p w:rsidR="00000000" w:rsidRDefault="00FD50C0">
            <w:pPr>
              <w:widowControl/>
              <w:jc w:val="both"/>
              <w:rPr>
                <w:rFonts w:eastAsia="標楷體"/>
                <w:kern w:val="0"/>
              </w:rPr>
            </w:pPr>
            <w:r>
              <w:rPr>
                <w:rFonts w:eastAsia="標楷體" w:hAnsi="標楷體"/>
                <w:kern w:val="0"/>
              </w:rPr>
              <w:t>第二百九十六條</w:t>
            </w:r>
          </w:p>
        </w:tc>
        <w:tc>
          <w:tcPr>
            <w:tcW w:w="6972" w:type="dxa"/>
          </w:tcPr>
          <w:p w:rsidR="00000000" w:rsidRDefault="00FD50C0">
            <w:pPr>
              <w:widowControl/>
              <w:jc w:val="both"/>
              <w:rPr>
                <w:rFonts w:eastAsia="標楷體"/>
                <w:kern w:val="0"/>
              </w:rPr>
            </w:pPr>
            <w:r>
              <w:rPr>
                <w:rFonts w:eastAsia="標楷體" w:hAnsi="標楷體"/>
                <w:kern w:val="0"/>
              </w:rPr>
              <w:t>對公司之債權，在重整裁定前成立者，為重整債權，其依法享有優先受償權者，為優先重整債權，其有抵押權質權或留</w:t>
            </w:r>
            <w:r>
              <w:rPr>
                <w:rFonts w:eastAsia="標楷體" w:hAnsi="標楷體"/>
                <w:kern w:val="0"/>
              </w:rPr>
              <w:t>置權為擔保者，為有擔保重整債權，無此項擔保者，為無擔保重整債權，各該債權，非依重整程序，均不得行使權利。破產法破產債權節之規定，於前項債權準用之；但其中有關別除權及優先權之規定不在此限。取回權、解除權或抵銷權之行使，應向重整人為之。</w:t>
            </w:r>
          </w:p>
        </w:tc>
      </w:tr>
      <w:tr w:rsidR="00000000">
        <w:tc>
          <w:tcPr>
            <w:tcW w:w="2028" w:type="dxa"/>
          </w:tcPr>
          <w:p w:rsidR="00000000" w:rsidRDefault="00FD50C0">
            <w:pPr>
              <w:widowControl/>
              <w:jc w:val="both"/>
              <w:rPr>
                <w:rFonts w:eastAsia="標楷體"/>
                <w:kern w:val="0"/>
              </w:rPr>
            </w:pPr>
            <w:r>
              <w:rPr>
                <w:rFonts w:eastAsia="標楷體" w:hAnsi="標楷體"/>
                <w:kern w:val="0"/>
              </w:rPr>
              <w:t>第三百十條</w:t>
            </w:r>
          </w:p>
        </w:tc>
        <w:tc>
          <w:tcPr>
            <w:tcW w:w="6972" w:type="dxa"/>
          </w:tcPr>
          <w:p w:rsidR="00000000" w:rsidRDefault="00FD50C0">
            <w:pPr>
              <w:widowControl/>
              <w:jc w:val="both"/>
              <w:rPr>
                <w:rFonts w:eastAsia="標楷體"/>
                <w:kern w:val="0"/>
              </w:rPr>
            </w:pPr>
            <w:r>
              <w:rPr>
                <w:rFonts w:eastAsia="標楷體" w:hAnsi="標楷體"/>
                <w:kern w:val="0"/>
              </w:rPr>
              <w:t>公司重整人，應於重整計劃所定期限內，完成重整工作，並召集重整後之股東會。重整後之公司董事、監察人於就任後，應即向主管機關申請登記或變更登記，並會同重整人報請法院為重整完成之裁定。</w:t>
            </w:r>
          </w:p>
        </w:tc>
      </w:tr>
      <w:tr w:rsidR="00000000">
        <w:tc>
          <w:tcPr>
            <w:tcW w:w="2028" w:type="dxa"/>
          </w:tcPr>
          <w:p w:rsidR="00000000" w:rsidRDefault="00FD50C0">
            <w:pPr>
              <w:widowControl/>
              <w:jc w:val="both"/>
              <w:rPr>
                <w:rFonts w:eastAsia="標楷體"/>
                <w:kern w:val="0"/>
              </w:rPr>
            </w:pPr>
            <w:r>
              <w:rPr>
                <w:rFonts w:eastAsia="標楷體" w:hAnsi="標楷體"/>
                <w:kern w:val="0"/>
              </w:rPr>
              <w:t>第三百十一條</w:t>
            </w:r>
          </w:p>
        </w:tc>
        <w:tc>
          <w:tcPr>
            <w:tcW w:w="6972" w:type="dxa"/>
          </w:tcPr>
          <w:p w:rsidR="00000000" w:rsidRDefault="00FD50C0">
            <w:pPr>
              <w:widowControl/>
              <w:jc w:val="both"/>
              <w:rPr>
                <w:rFonts w:eastAsia="標楷體"/>
                <w:kern w:val="0"/>
              </w:rPr>
            </w:pPr>
            <w:r>
              <w:rPr>
                <w:rFonts w:eastAsia="標楷體" w:hAnsi="標楷體"/>
                <w:kern w:val="0"/>
              </w:rPr>
              <w:t>公司重整完成後，有下列效力：</w:t>
            </w:r>
            <w:r>
              <w:rPr>
                <w:rFonts w:eastAsia="標楷體"/>
                <w:kern w:val="0"/>
              </w:rPr>
              <w:t xml:space="preserve"> </w:t>
            </w:r>
          </w:p>
          <w:p w:rsidR="00000000" w:rsidRDefault="00FD50C0">
            <w:pPr>
              <w:widowControl/>
              <w:numPr>
                <w:ilvl w:val="0"/>
                <w:numId w:val="38"/>
              </w:numPr>
              <w:jc w:val="both"/>
              <w:rPr>
                <w:rFonts w:eastAsia="標楷體"/>
                <w:kern w:val="0"/>
              </w:rPr>
            </w:pPr>
            <w:r>
              <w:rPr>
                <w:rFonts w:eastAsia="標楷體" w:hAnsi="標楷體"/>
                <w:kern w:val="0"/>
              </w:rPr>
              <w:t>已申報之債權未受清償部份，除依重整計</w:t>
            </w:r>
            <w:r>
              <w:rPr>
                <w:rFonts w:eastAsia="標楷體" w:hAnsi="標楷體"/>
                <w:kern w:val="0"/>
              </w:rPr>
              <w:t>畫處理，移轉重整後之公司承受者外，其請求權消滅；未申報之債權亦同。</w:t>
            </w:r>
            <w:r>
              <w:rPr>
                <w:rFonts w:eastAsia="標楷體"/>
                <w:kern w:val="0"/>
              </w:rPr>
              <w:t xml:space="preserve"> </w:t>
            </w:r>
          </w:p>
          <w:p w:rsidR="00000000" w:rsidRDefault="00FD50C0">
            <w:pPr>
              <w:widowControl/>
              <w:numPr>
                <w:ilvl w:val="0"/>
                <w:numId w:val="38"/>
              </w:numPr>
              <w:jc w:val="both"/>
              <w:rPr>
                <w:rFonts w:eastAsia="標楷體"/>
                <w:kern w:val="0"/>
              </w:rPr>
            </w:pPr>
            <w:r>
              <w:rPr>
                <w:rFonts w:eastAsia="標楷體" w:hAnsi="標楷體"/>
                <w:kern w:val="0"/>
              </w:rPr>
              <w:t>股東股權經重整而變更或減除之部分，其權利消滅，未申報之無記名股票之權利亦同。</w:t>
            </w:r>
            <w:r>
              <w:rPr>
                <w:rFonts w:eastAsia="標楷體"/>
                <w:kern w:val="0"/>
              </w:rPr>
              <w:t xml:space="preserve"> </w:t>
            </w:r>
          </w:p>
          <w:p w:rsidR="00000000" w:rsidRDefault="00FD50C0">
            <w:pPr>
              <w:widowControl/>
              <w:numPr>
                <w:ilvl w:val="0"/>
                <w:numId w:val="38"/>
              </w:numPr>
              <w:jc w:val="both"/>
              <w:rPr>
                <w:rFonts w:eastAsia="標楷體"/>
                <w:kern w:val="0"/>
              </w:rPr>
            </w:pPr>
            <w:r>
              <w:rPr>
                <w:rFonts w:eastAsia="標楷體" w:hAnsi="標楷體"/>
                <w:kern w:val="0"/>
              </w:rPr>
              <w:t>重整裁定前，公司之破產、和解、強制執行及因財產關係所生之訴訟等程序，即行失其效力。</w:t>
            </w:r>
            <w:r>
              <w:rPr>
                <w:rFonts w:eastAsia="標楷體"/>
                <w:kern w:val="0"/>
              </w:rPr>
              <w:t xml:space="preserve"> </w:t>
            </w:r>
          </w:p>
          <w:p w:rsidR="00000000" w:rsidRDefault="00FD50C0">
            <w:pPr>
              <w:widowControl/>
              <w:jc w:val="both"/>
              <w:rPr>
                <w:rFonts w:eastAsia="標楷體"/>
                <w:kern w:val="0"/>
              </w:rPr>
            </w:pPr>
            <w:r>
              <w:rPr>
                <w:rFonts w:eastAsia="標楷體" w:hAnsi="標楷體"/>
                <w:kern w:val="0"/>
              </w:rPr>
              <w:t>公司債權人對公司債務之保證人及其他共同債務人之權利，不因公司重整而受影響。</w:t>
            </w:r>
          </w:p>
        </w:tc>
      </w:tr>
    </w:tbl>
    <w:p w:rsidR="00000000" w:rsidRDefault="00FD50C0">
      <w:pPr>
        <w:widowControl/>
        <w:spacing w:beforeLines="50" w:afterLines="50"/>
        <w:jc w:val="both"/>
        <w:outlineLvl w:val="1"/>
        <w:rPr>
          <w:rFonts w:ascii="標楷體" w:eastAsia="標楷體" w:hAnsi="標楷體"/>
          <w:b/>
          <w:bCs/>
          <w:sz w:val="28"/>
          <w:szCs w:val="28"/>
        </w:rPr>
      </w:pPr>
      <w:bookmarkStart w:id="13" w:name="_Toc42188619"/>
      <w:r>
        <w:rPr>
          <w:rFonts w:eastAsia="標楷體" w:hAnsi="標楷體" w:hint="eastAsia"/>
          <w:b/>
          <w:bCs/>
          <w:kern w:val="0"/>
          <w:sz w:val="28"/>
        </w:rPr>
        <w:t>(</w:t>
      </w:r>
      <w:r>
        <w:rPr>
          <w:rFonts w:eastAsia="標楷體" w:hAnsi="標楷體" w:hint="eastAsia"/>
          <w:b/>
          <w:bCs/>
          <w:kern w:val="0"/>
          <w:sz w:val="28"/>
        </w:rPr>
        <w:t>二</w:t>
      </w:r>
      <w:r>
        <w:rPr>
          <w:rFonts w:eastAsia="標楷體" w:hAnsi="標楷體" w:hint="eastAsia"/>
          <w:b/>
          <w:bCs/>
          <w:kern w:val="0"/>
          <w:sz w:val="28"/>
        </w:rPr>
        <w:t>)</w:t>
      </w:r>
      <w:r>
        <w:rPr>
          <w:rFonts w:eastAsia="標楷體" w:hAnsi="標楷體"/>
          <w:b/>
          <w:bCs/>
          <w:kern w:val="0"/>
          <w:sz w:val="28"/>
        </w:rPr>
        <w:t>重整的前提</w:t>
      </w:r>
      <w:r>
        <w:rPr>
          <w:rFonts w:eastAsia="標楷體" w:hAnsi="標楷體" w:hint="eastAsia"/>
          <w:b/>
          <w:bCs/>
          <w:kern w:val="0"/>
          <w:sz w:val="28"/>
        </w:rPr>
        <w:t>－</w:t>
      </w:r>
      <w:r>
        <w:rPr>
          <w:rFonts w:eastAsia="標楷體" w:hAnsi="標楷體"/>
          <w:b/>
          <w:bCs/>
          <w:kern w:val="0"/>
          <w:sz w:val="28"/>
        </w:rPr>
        <w:t>經濟價值高</w:t>
      </w:r>
      <w:bookmarkEnd w:id="13"/>
    </w:p>
    <w:p w:rsidR="00000000" w:rsidRDefault="00FD50C0">
      <w:pPr>
        <w:spacing w:beforeLines="50" w:afterLines="50"/>
        <w:ind w:firstLine="482"/>
        <w:jc w:val="both"/>
        <w:rPr>
          <w:rFonts w:eastAsia="標楷體"/>
        </w:rPr>
      </w:pPr>
      <w:r>
        <w:rPr>
          <w:rFonts w:eastAsia="標楷體" w:hAnsi="標楷體"/>
        </w:rPr>
        <w:t>嘉義地方法院依法徵詢上述機關之意見，其意見略為「該公司製造能力而言，擁有優秀開發及技術人才，一貫作業之生產設備及產品品質頗獲佳評，銷售網涵蓋全球，國內市場佔有率領先同業</w:t>
      </w:r>
      <w:r>
        <w:rPr>
          <w:rFonts w:eastAsia="標楷體" w:hAnsi="標楷體"/>
        </w:rPr>
        <w:t>，因此，公司能專注於其所專長之五金產品，則可具發展潛力」及「該公司發生巨額虧損，研判應非其五金製造部門經營不善所致，若能改善財務結構及管理制度，並專注於其所專長之五金產業，該公司可具發展潛力」。</w:t>
      </w:r>
    </w:p>
    <w:p w:rsidR="00000000" w:rsidRDefault="00FD50C0">
      <w:pPr>
        <w:spacing w:beforeLines="50" w:afterLines="50"/>
        <w:ind w:firstLine="480"/>
        <w:jc w:val="both"/>
        <w:rPr>
          <w:rFonts w:eastAsia="標楷體"/>
        </w:rPr>
      </w:pPr>
      <w:r>
        <w:rPr>
          <w:rFonts w:eastAsia="標楷體" w:hAnsi="標楷體"/>
          <w:kern w:val="0"/>
        </w:rPr>
        <w:t>東隆注重產品研發升級，現在的研究開發團隊裡經驗超過</w:t>
      </w:r>
      <w:r>
        <w:rPr>
          <w:rFonts w:eastAsia="標楷體"/>
          <w:kern w:val="0"/>
        </w:rPr>
        <w:t>15</w:t>
      </w:r>
      <w:r>
        <w:rPr>
          <w:rFonts w:eastAsia="標楷體" w:hAnsi="標楷體"/>
          <w:kern w:val="0"/>
        </w:rPr>
        <w:t>到</w:t>
      </w:r>
      <w:r>
        <w:rPr>
          <w:rFonts w:eastAsia="標楷體"/>
          <w:kern w:val="0"/>
        </w:rPr>
        <w:t>20</w:t>
      </w:r>
      <w:r>
        <w:rPr>
          <w:rFonts w:eastAsia="標楷體" w:hAnsi="標楷體"/>
          <w:kern w:val="0"/>
        </w:rPr>
        <w:t>年的技師至少有</w:t>
      </w:r>
      <w:r>
        <w:rPr>
          <w:rFonts w:eastAsia="標楷體"/>
          <w:kern w:val="0"/>
        </w:rPr>
        <w:t>80</w:t>
      </w:r>
      <w:r>
        <w:rPr>
          <w:rFonts w:eastAsia="標楷體" w:hAnsi="標楷體"/>
          <w:kern w:val="0"/>
        </w:rPr>
        <w:t>位以上，</w:t>
      </w:r>
      <w:r>
        <w:rPr>
          <w:rFonts w:eastAsia="標楷體" w:hAnsi="標楷體"/>
        </w:rPr>
        <w:t>公司員工並且在老董事長時期便養成了一種好習慣，也就是在</w:t>
      </w:r>
      <w:r>
        <w:rPr>
          <w:rFonts w:eastAsia="標楷體"/>
        </w:rPr>
        <w:t>1985</w:t>
      </w:r>
      <w:r>
        <w:rPr>
          <w:rFonts w:eastAsia="標楷體" w:hAnsi="標楷體"/>
        </w:rPr>
        <w:t>年開始研發製造門鎖時便申請各種設計的專利權，至今在台灣有效登記的專利共有</w:t>
      </w:r>
      <w:r>
        <w:rPr>
          <w:rFonts w:eastAsia="標楷體"/>
        </w:rPr>
        <w:t>162</w:t>
      </w:r>
      <w:r>
        <w:rPr>
          <w:rFonts w:eastAsia="標楷體" w:hAnsi="標楷體"/>
        </w:rPr>
        <w:t>項，再加上在美國、日本及世界其他各國申請的專利，讓公司不管是在</w:t>
      </w:r>
      <w:r>
        <w:rPr>
          <w:rFonts w:eastAsia="標楷體" w:hAnsi="標楷體"/>
          <w:kern w:val="0"/>
        </w:rPr>
        <w:t>喇叭鎖、管型鎖、輔助鎖、大把</w:t>
      </w:r>
      <w:r>
        <w:rPr>
          <w:rFonts w:eastAsia="標楷體" w:hAnsi="標楷體"/>
          <w:kern w:val="0"/>
        </w:rPr>
        <w:t>手鎖、水平鎖、指紋辨識鎖、防盜傳訊鎖、門弓器、排煙窗</w:t>
      </w:r>
      <w:r>
        <w:rPr>
          <w:rFonts w:eastAsia="標楷體"/>
          <w:kern w:val="0"/>
        </w:rPr>
        <w:t>…</w:t>
      </w:r>
      <w:r>
        <w:rPr>
          <w:rFonts w:eastAsia="標楷體" w:hAnsi="標楷體"/>
          <w:kern w:val="0"/>
        </w:rPr>
        <w:t>等各種鎖類、或是門戶安全系統相關產品之製造銷售上，都可以防止世界上其他競爭對手的模仿以及抄襲。</w:t>
      </w:r>
      <w:r>
        <w:rPr>
          <w:rFonts w:eastAsia="標楷體" w:hAnsi="標楷體"/>
        </w:rPr>
        <w:t>以投入研發之角度而言，東隆五金在經過三十多年的自行研發製造，在製鎖技術上已達世界一流之水準，尤其在沖床加工及模具開發上在國內更位居領導地位。且東隆五金自民國五十幾年即進入此一產品研發設計領域，相較另一同業差距約有近二十年之久。因此公司在沖壓模具技術能力，從模具設計到製作累積了相當豐富之經驗與技術，不僅利用沖床與模具技術之結合使得產品製程由多次加工縮減為一次加工，</w:t>
      </w:r>
      <w:r>
        <w:rPr>
          <w:rFonts w:eastAsia="標楷體" w:hAnsi="標楷體"/>
        </w:rPr>
        <w:t>且沖壓模具產品壽命長，每次製造模具皆有備模，使得相關之模具與零組件得以共用，可有效降低成本，排除對手與之競爭的潛在可能。</w:t>
      </w:r>
    </w:p>
    <w:p w:rsidR="00000000" w:rsidRDefault="00FD50C0">
      <w:pPr>
        <w:spacing w:beforeLines="50" w:afterLines="50"/>
        <w:ind w:firstLine="480"/>
        <w:jc w:val="both"/>
        <w:rPr>
          <w:rFonts w:eastAsia="標楷體"/>
        </w:rPr>
      </w:pPr>
      <w:r>
        <w:rPr>
          <w:rFonts w:eastAsia="標楷體" w:hAnsi="標楷體"/>
        </w:rPr>
        <w:t>東隆五金在八零年代時即向國外擴展市場，當時公司產品有三成供應國內市場，另外七成則外銷至全球各國，其中又以美國為主要市場，公司的自有品牌</w:t>
      </w:r>
      <w:r>
        <w:rPr>
          <w:rFonts w:eastAsia="標楷體"/>
        </w:rPr>
        <w:t>EZSET</w:t>
      </w:r>
      <w:r>
        <w:rPr>
          <w:rFonts w:eastAsia="標楷體" w:hAnsi="標楷體"/>
        </w:rPr>
        <w:t>約有美國市佔率</w:t>
      </w:r>
      <w:r>
        <w:rPr>
          <w:rFonts w:eastAsia="標楷體"/>
        </w:rPr>
        <w:t>3%</w:t>
      </w:r>
      <w:r>
        <w:rPr>
          <w:rFonts w:eastAsia="標楷體" w:hAnsi="標楷體"/>
        </w:rPr>
        <w:t>，亦有接受來自美國、澳洲、日本等國際大廠的</w:t>
      </w:r>
      <w:r>
        <w:rPr>
          <w:rFonts w:eastAsia="標楷體"/>
        </w:rPr>
        <w:t>OEM</w:t>
      </w:r>
      <w:r>
        <w:rPr>
          <w:rFonts w:eastAsia="標楷體" w:hAnsi="標楷體"/>
        </w:rPr>
        <w:t>訂單，顯示公司的銷售網遍佈全世界、並且公司的產品開發技術深受到國際的肯定。</w:t>
      </w:r>
    </w:p>
    <w:p w:rsidR="00000000" w:rsidRDefault="00FD50C0">
      <w:pPr>
        <w:spacing w:beforeLines="50"/>
        <w:ind w:firstLine="482"/>
        <w:rPr>
          <w:rFonts w:ascii="標楷體" w:eastAsia="標楷體" w:hAnsi="標楷體" w:hint="eastAsia"/>
        </w:rPr>
      </w:pPr>
      <w:r>
        <w:rPr>
          <w:rFonts w:ascii="標楷體" w:eastAsia="標楷體" w:hAnsi="標楷體" w:hint="eastAsia"/>
        </w:rPr>
        <w:t>表二、東隆專利權項目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960"/>
        <w:gridCol w:w="1080"/>
        <w:gridCol w:w="5535"/>
      </w:tblGrid>
      <w:tr w:rsidR="00000000">
        <w:trPr>
          <w:tblHeader/>
        </w:trPr>
        <w:tc>
          <w:tcPr>
            <w:tcW w:w="948" w:type="dxa"/>
            <w:vAlign w:val="center"/>
          </w:tcPr>
          <w:p w:rsidR="00000000" w:rsidRDefault="00FD50C0">
            <w:pPr>
              <w:rPr>
                <w:rFonts w:eastAsia="標楷體"/>
              </w:rPr>
            </w:pPr>
            <w:r>
              <w:rPr>
                <w:rFonts w:eastAsia="標楷體" w:hAnsi="標楷體"/>
              </w:rPr>
              <w:t>編號</w:t>
            </w:r>
          </w:p>
        </w:tc>
        <w:tc>
          <w:tcPr>
            <w:tcW w:w="960" w:type="dxa"/>
            <w:vAlign w:val="center"/>
          </w:tcPr>
          <w:p w:rsidR="00000000" w:rsidRDefault="00FD50C0">
            <w:pPr>
              <w:rPr>
                <w:rFonts w:eastAsia="標楷體"/>
              </w:rPr>
            </w:pPr>
            <w:r>
              <w:rPr>
                <w:rFonts w:eastAsia="標楷體" w:hAnsi="標楷體"/>
              </w:rPr>
              <w:t>公告號</w:t>
            </w:r>
          </w:p>
        </w:tc>
        <w:tc>
          <w:tcPr>
            <w:tcW w:w="1080" w:type="dxa"/>
            <w:vAlign w:val="center"/>
          </w:tcPr>
          <w:p w:rsidR="00000000" w:rsidRDefault="00FD50C0">
            <w:pPr>
              <w:rPr>
                <w:rFonts w:eastAsia="標楷體"/>
              </w:rPr>
            </w:pPr>
            <w:r>
              <w:rPr>
                <w:rFonts w:eastAsia="標楷體" w:hAnsi="標楷體"/>
              </w:rPr>
              <w:t>公告日</w:t>
            </w:r>
          </w:p>
        </w:tc>
        <w:tc>
          <w:tcPr>
            <w:tcW w:w="5540" w:type="dxa"/>
            <w:vAlign w:val="center"/>
          </w:tcPr>
          <w:p w:rsidR="00000000" w:rsidRDefault="00FD50C0">
            <w:pPr>
              <w:rPr>
                <w:rFonts w:eastAsia="標楷體"/>
              </w:rPr>
            </w:pPr>
            <w:r>
              <w:rPr>
                <w:rFonts w:eastAsia="標楷體" w:hAnsi="標楷體"/>
              </w:rPr>
              <w:t>專利名稱</w:t>
            </w:r>
          </w:p>
        </w:tc>
      </w:tr>
      <w:tr w:rsidR="00000000">
        <w:tc>
          <w:tcPr>
            <w:tcW w:w="948" w:type="dxa"/>
          </w:tcPr>
          <w:p w:rsidR="00000000" w:rsidRDefault="00FD50C0">
            <w:pPr>
              <w:jc w:val="center"/>
              <w:rPr>
                <w:rFonts w:eastAsia="標楷體"/>
                <w:sz w:val="18"/>
                <w:szCs w:val="18"/>
              </w:rPr>
            </w:pPr>
            <w:r>
              <w:rPr>
                <w:rFonts w:eastAsia="標楷體"/>
                <w:sz w:val="18"/>
                <w:szCs w:val="18"/>
              </w:rPr>
              <w:t>151</w:t>
            </w:r>
          </w:p>
        </w:tc>
        <w:tc>
          <w:tcPr>
            <w:tcW w:w="960" w:type="dxa"/>
          </w:tcPr>
          <w:p w:rsidR="00000000" w:rsidRDefault="00FD50C0">
            <w:pPr>
              <w:jc w:val="center"/>
              <w:rPr>
                <w:rFonts w:eastAsia="標楷體"/>
                <w:u w:val="single"/>
              </w:rPr>
            </w:pPr>
            <w:hyperlink r:id="rId10" w:history="1">
              <w:r>
                <w:rPr>
                  <w:rStyle w:val="a9"/>
                  <w:rFonts w:eastAsia="標楷體"/>
                  <w:color w:val="auto"/>
                </w:rPr>
                <w:t>86648</w:t>
              </w:r>
            </w:hyperlink>
          </w:p>
        </w:tc>
        <w:tc>
          <w:tcPr>
            <w:tcW w:w="1080" w:type="dxa"/>
          </w:tcPr>
          <w:p w:rsidR="00000000" w:rsidRDefault="00FD50C0">
            <w:pPr>
              <w:jc w:val="center"/>
              <w:rPr>
                <w:rFonts w:eastAsia="標楷體"/>
                <w:sz w:val="18"/>
                <w:szCs w:val="18"/>
              </w:rPr>
            </w:pPr>
            <w:r>
              <w:rPr>
                <w:rFonts w:eastAsia="標楷體"/>
                <w:sz w:val="18"/>
                <w:szCs w:val="18"/>
              </w:rPr>
              <w:t xml:space="preserve">1987/4/16 </w:t>
            </w:r>
          </w:p>
        </w:tc>
        <w:tc>
          <w:tcPr>
            <w:tcW w:w="5540" w:type="dxa"/>
            <w:vAlign w:val="center"/>
          </w:tcPr>
          <w:p w:rsidR="00000000" w:rsidRDefault="00FD50C0">
            <w:pPr>
              <w:rPr>
                <w:rFonts w:eastAsia="標楷體"/>
              </w:rPr>
            </w:pPr>
            <w:r>
              <w:rPr>
                <w:rFonts w:eastAsia="標楷體" w:hAnsi="標楷體"/>
              </w:rPr>
              <w:t>把手鎖傳動機構</w:t>
            </w:r>
          </w:p>
        </w:tc>
      </w:tr>
      <w:tr w:rsidR="00000000">
        <w:tc>
          <w:tcPr>
            <w:tcW w:w="948" w:type="dxa"/>
          </w:tcPr>
          <w:p w:rsidR="00000000" w:rsidRDefault="00FD50C0">
            <w:pPr>
              <w:jc w:val="center"/>
              <w:rPr>
                <w:rFonts w:eastAsia="標楷體"/>
                <w:sz w:val="18"/>
                <w:szCs w:val="18"/>
              </w:rPr>
            </w:pPr>
            <w:r>
              <w:rPr>
                <w:rFonts w:eastAsia="標楷體"/>
                <w:sz w:val="18"/>
                <w:szCs w:val="18"/>
              </w:rPr>
              <w:t>152</w:t>
            </w:r>
          </w:p>
        </w:tc>
        <w:tc>
          <w:tcPr>
            <w:tcW w:w="960" w:type="dxa"/>
          </w:tcPr>
          <w:p w:rsidR="00000000" w:rsidRDefault="00FD50C0">
            <w:pPr>
              <w:jc w:val="center"/>
              <w:rPr>
                <w:rFonts w:eastAsia="標楷體"/>
                <w:u w:val="single"/>
              </w:rPr>
            </w:pPr>
            <w:hyperlink r:id="rId11" w:history="1">
              <w:r>
                <w:rPr>
                  <w:rStyle w:val="a9"/>
                  <w:rFonts w:eastAsia="標楷體"/>
                  <w:color w:val="auto"/>
                </w:rPr>
                <w:t>86632</w:t>
              </w:r>
            </w:hyperlink>
          </w:p>
        </w:tc>
        <w:tc>
          <w:tcPr>
            <w:tcW w:w="1080" w:type="dxa"/>
          </w:tcPr>
          <w:p w:rsidR="00000000" w:rsidRDefault="00FD50C0">
            <w:pPr>
              <w:jc w:val="center"/>
              <w:rPr>
                <w:rFonts w:eastAsia="標楷體"/>
                <w:sz w:val="18"/>
                <w:szCs w:val="18"/>
              </w:rPr>
            </w:pPr>
            <w:r>
              <w:rPr>
                <w:rFonts w:eastAsia="標楷體"/>
                <w:sz w:val="18"/>
                <w:szCs w:val="18"/>
              </w:rPr>
              <w:t xml:space="preserve">1987/4/16 </w:t>
            </w:r>
          </w:p>
        </w:tc>
        <w:tc>
          <w:tcPr>
            <w:tcW w:w="5540" w:type="dxa"/>
            <w:vAlign w:val="center"/>
          </w:tcPr>
          <w:p w:rsidR="00000000" w:rsidRDefault="00FD50C0">
            <w:pPr>
              <w:rPr>
                <w:rFonts w:eastAsia="標楷體"/>
              </w:rPr>
            </w:pPr>
            <w:r>
              <w:rPr>
                <w:rFonts w:eastAsia="標楷體" w:hAnsi="標楷體"/>
              </w:rPr>
              <w:t>一種新型管形鎖結構</w:t>
            </w:r>
          </w:p>
        </w:tc>
      </w:tr>
      <w:tr w:rsidR="00000000">
        <w:tc>
          <w:tcPr>
            <w:tcW w:w="948" w:type="dxa"/>
          </w:tcPr>
          <w:p w:rsidR="00000000" w:rsidRDefault="00FD50C0">
            <w:pPr>
              <w:jc w:val="center"/>
              <w:rPr>
                <w:rFonts w:eastAsia="標楷體"/>
                <w:sz w:val="18"/>
                <w:szCs w:val="18"/>
              </w:rPr>
            </w:pPr>
            <w:r>
              <w:rPr>
                <w:rFonts w:eastAsia="標楷體"/>
                <w:sz w:val="18"/>
                <w:szCs w:val="18"/>
              </w:rPr>
              <w:t>153</w:t>
            </w:r>
          </w:p>
        </w:tc>
        <w:tc>
          <w:tcPr>
            <w:tcW w:w="960" w:type="dxa"/>
          </w:tcPr>
          <w:p w:rsidR="00000000" w:rsidRDefault="00FD50C0">
            <w:pPr>
              <w:jc w:val="center"/>
              <w:rPr>
                <w:rFonts w:eastAsia="標楷體"/>
                <w:u w:val="single"/>
              </w:rPr>
            </w:pPr>
            <w:hyperlink r:id="rId12" w:history="1">
              <w:r>
                <w:rPr>
                  <w:rStyle w:val="a9"/>
                  <w:rFonts w:eastAsia="標楷體"/>
                  <w:color w:val="auto"/>
                </w:rPr>
                <w:t>85341</w:t>
              </w:r>
            </w:hyperlink>
          </w:p>
        </w:tc>
        <w:tc>
          <w:tcPr>
            <w:tcW w:w="1080" w:type="dxa"/>
          </w:tcPr>
          <w:p w:rsidR="00000000" w:rsidRDefault="00FD50C0">
            <w:pPr>
              <w:jc w:val="center"/>
              <w:rPr>
                <w:rFonts w:eastAsia="標楷體"/>
                <w:sz w:val="18"/>
                <w:szCs w:val="18"/>
              </w:rPr>
            </w:pPr>
            <w:r>
              <w:rPr>
                <w:rFonts w:eastAsia="標楷體"/>
                <w:sz w:val="18"/>
                <w:szCs w:val="18"/>
              </w:rPr>
              <w:t xml:space="preserve">1987/2/16 </w:t>
            </w:r>
          </w:p>
        </w:tc>
        <w:tc>
          <w:tcPr>
            <w:tcW w:w="5540" w:type="dxa"/>
            <w:vAlign w:val="center"/>
          </w:tcPr>
          <w:p w:rsidR="00000000" w:rsidRDefault="00FD50C0">
            <w:pPr>
              <w:rPr>
                <w:rFonts w:eastAsia="標楷體"/>
              </w:rPr>
            </w:pPr>
            <w:r>
              <w:rPr>
                <w:rFonts w:eastAsia="標楷體" w:hAnsi="標楷體"/>
              </w:rPr>
              <w:t>一種方形傳動桿管形鎖之多用式鎖閂機構</w:t>
            </w:r>
          </w:p>
        </w:tc>
      </w:tr>
      <w:tr w:rsidR="00000000">
        <w:tc>
          <w:tcPr>
            <w:tcW w:w="948" w:type="dxa"/>
          </w:tcPr>
          <w:p w:rsidR="00000000" w:rsidRDefault="00FD50C0">
            <w:pPr>
              <w:jc w:val="center"/>
              <w:rPr>
                <w:rFonts w:eastAsia="標楷體"/>
                <w:sz w:val="18"/>
                <w:szCs w:val="18"/>
              </w:rPr>
            </w:pPr>
            <w:r>
              <w:rPr>
                <w:rFonts w:eastAsia="標楷體"/>
                <w:sz w:val="18"/>
                <w:szCs w:val="18"/>
              </w:rPr>
              <w:t>154</w:t>
            </w:r>
          </w:p>
        </w:tc>
        <w:tc>
          <w:tcPr>
            <w:tcW w:w="960" w:type="dxa"/>
          </w:tcPr>
          <w:p w:rsidR="00000000" w:rsidRDefault="00FD50C0">
            <w:pPr>
              <w:jc w:val="center"/>
              <w:rPr>
                <w:rFonts w:eastAsia="標楷體"/>
                <w:u w:val="single"/>
              </w:rPr>
            </w:pPr>
            <w:hyperlink r:id="rId13" w:history="1">
              <w:r>
                <w:rPr>
                  <w:rStyle w:val="a9"/>
                  <w:rFonts w:eastAsia="標楷體"/>
                  <w:color w:val="auto"/>
                </w:rPr>
                <w:t>82734</w:t>
              </w:r>
            </w:hyperlink>
          </w:p>
        </w:tc>
        <w:tc>
          <w:tcPr>
            <w:tcW w:w="1080" w:type="dxa"/>
          </w:tcPr>
          <w:p w:rsidR="00000000" w:rsidRDefault="00FD50C0">
            <w:pPr>
              <w:jc w:val="center"/>
              <w:rPr>
                <w:rFonts w:eastAsia="標楷體"/>
                <w:sz w:val="18"/>
                <w:szCs w:val="18"/>
              </w:rPr>
            </w:pPr>
            <w:r>
              <w:rPr>
                <w:rFonts w:eastAsia="標楷體"/>
                <w:sz w:val="18"/>
                <w:szCs w:val="18"/>
              </w:rPr>
              <w:t xml:space="preserve">1986/11/16 </w:t>
            </w:r>
          </w:p>
        </w:tc>
        <w:tc>
          <w:tcPr>
            <w:tcW w:w="5540" w:type="dxa"/>
            <w:vAlign w:val="center"/>
          </w:tcPr>
          <w:p w:rsidR="00000000" w:rsidRDefault="00FD50C0">
            <w:pPr>
              <w:rPr>
                <w:rFonts w:eastAsia="標楷體"/>
              </w:rPr>
            </w:pPr>
            <w:r>
              <w:rPr>
                <w:rFonts w:eastAsia="標楷體" w:hAnsi="標楷體"/>
              </w:rPr>
              <w:t>二段調整喇叭鎖鎖閂筒構</w:t>
            </w:r>
            <w:r>
              <w:rPr>
                <w:rFonts w:eastAsia="標楷體" w:hAnsi="標楷體"/>
              </w:rPr>
              <w:t>造</w:t>
            </w:r>
          </w:p>
        </w:tc>
      </w:tr>
      <w:tr w:rsidR="00000000">
        <w:tc>
          <w:tcPr>
            <w:tcW w:w="948" w:type="dxa"/>
          </w:tcPr>
          <w:p w:rsidR="00000000" w:rsidRDefault="00FD50C0">
            <w:pPr>
              <w:jc w:val="center"/>
              <w:rPr>
                <w:rFonts w:eastAsia="標楷體"/>
                <w:sz w:val="18"/>
                <w:szCs w:val="18"/>
              </w:rPr>
            </w:pPr>
            <w:r>
              <w:rPr>
                <w:rFonts w:eastAsia="標楷體"/>
                <w:sz w:val="18"/>
                <w:szCs w:val="18"/>
              </w:rPr>
              <w:t>155</w:t>
            </w:r>
          </w:p>
        </w:tc>
        <w:tc>
          <w:tcPr>
            <w:tcW w:w="960" w:type="dxa"/>
          </w:tcPr>
          <w:p w:rsidR="00000000" w:rsidRDefault="00FD50C0">
            <w:pPr>
              <w:jc w:val="center"/>
              <w:rPr>
                <w:rFonts w:eastAsia="標楷體"/>
                <w:u w:val="single"/>
              </w:rPr>
            </w:pPr>
            <w:hyperlink r:id="rId14" w:history="1">
              <w:r>
                <w:rPr>
                  <w:rStyle w:val="a9"/>
                  <w:rFonts w:eastAsia="標楷體"/>
                  <w:color w:val="auto"/>
                </w:rPr>
                <w:t>82243</w:t>
              </w:r>
            </w:hyperlink>
          </w:p>
        </w:tc>
        <w:tc>
          <w:tcPr>
            <w:tcW w:w="1080" w:type="dxa"/>
          </w:tcPr>
          <w:p w:rsidR="00000000" w:rsidRDefault="00FD50C0">
            <w:pPr>
              <w:jc w:val="center"/>
              <w:rPr>
                <w:rFonts w:eastAsia="標楷體"/>
                <w:sz w:val="20"/>
                <w:szCs w:val="20"/>
              </w:rPr>
            </w:pPr>
            <w:r>
              <w:rPr>
                <w:rFonts w:eastAsia="標楷體"/>
                <w:sz w:val="20"/>
                <w:szCs w:val="20"/>
              </w:rPr>
              <w:t xml:space="preserve">1986/11/1 </w:t>
            </w:r>
          </w:p>
        </w:tc>
        <w:tc>
          <w:tcPr>
            <w:tcW w:w="5540" w:type="dxa"/>
            <w:vAlign w:val="center"/>
          </w:tcPr>
          <w:p w:rsidR="00000000" w:rsidRDefault="00FD50C0">
            <w:pPr>
              <w:rPr>
                <w:rFonts w:eastAsia="標楷體"/>
              </w:rPr>
            </w:pPr>
            <w:r>
              <w:rPr>
                <w:rFonts w:eastAsia="標楷體" w:hAnsi="標楷體"/>
              </w:rPr>
              <w:t>一種管形鎖鎖閂機構之改良構造</w:t>
            </w:r>
          </w:p>
        </w:tc>
      </w:tr>
      <w:tr w:rsidR="00000000">
        <w:tc>
          <w:tcPr>
            <w:tcW w:w="948" w:type="dxa"/>
          </w:tcPr>
          <w:p w:rsidR="00000000" w:rsidRDefault="00FD50C0">
            <w:pPr>
              <w:jc w:val="center"/>
              <w:rPr>
                <w:rFonts w:eastAsia="標楷體"/>
                <w:sz w:val="18"/>
                <w:szCs w:val="18"/>
              </w:rPr>
            </w:pPr>
            <w:r>
              <w:rPr>
                <w:rFonts w:eastAsia="標楷體"/>
                <w:sz w:val="18"/>
                <w:szCs w:val="18"/>
              </w:rPr>
              <w:t>156</w:t>
            </w:r>
          </w:p>
        </w:tc>
        <w:tc>
          <w:tcPr>
            <w:tcW w:w="960" w:type="dxa"/>
          </w:tcPr>
          <w:p w:rsidR="00000000" w:rsidRDefault="00FD50C0">
            <w:pPr>
              <w:jc w:val="center"/>
              <w:rPr>
                <w:rFonts w:eastAsia="標楷體"/>
                <w:u w:val="single"/>
              </w:rPr>
            </w:pPr>
            <w:hyperlink r:id="rId15" w:history="1">
              <w:r>
                <w:rPr>
                  <w:rStyle w:val="a9"/>
                  <w:rFonts w:eastAsia="標楷體"/>
                  <w:color w:val="auto"/>
                </w:rPr>
                <w:t>82239</w:t>
              </w:r>
            </w:hyperlink>
          </w:p>
        </w:tc>
        <w:tc>
          <w:tcPr>
            <w:tcW w:w="1080" w:type="dxa"/>
          </w:tcPr>
          <w:p w:rsidR="00000000" w:rsidRDefault="00FD50C0">
            <w:pPr>
              <w:jc w:val="center"/>
              <w:rPr>
                <w:rFonts w:eastAsia="標楷體"/>
                <w:sz w:val="18"/>
                <w:szCs w:val="18"/>
              </w:rPr>
            </w:pPr>
            <w:r>
              <w:rPr>
                <w:rFonts w:eastAsia="標楷體"/>
                <w:sz w:val="18"/>
                <w:szCs w:val="18"/>
              </w:rPr>
              <w:t>1986/1</w:t>
            </w:r>
            <w:r>
              <w:rPr>
                <w:rFonts w:eastAsia="標楷體"/>
                <w:sz w:val="18"/>
                <w:szCs w:val="18"/>
              </w:rPr>
              <w:t xml:space="preserve">1/1 </w:t>
            </w:r>
          </w:p>
        </w:tc>
        <w:tc>
          <w:tcPr>
            <w:tcW w:w="5540" w:type="dxa"/>
            <w:vAlign w:val="center"/>
          </w:tcPr>
          <w:p w:rsidR="00000000" w:rsidRDefault="00FD50C0">
            <w:pPr>
              <w:rPr>
                <w:rFonts w:eastAsia="標楷體"/>
              </w:rPr>
            </w:pPr>
            <w:r>
              <w:rPr>
                <w:rFonts w:eastAsia="標楷體" w:hAnsi="標楷體"/>
              </w:rPr>
              <w:t>管形鎖新型閉鎖裝置</w:t>
            </w:r>
          </w:p>
        </w:tc>
      </w:tr>
      <w:tr w:rsidR="00000000">
        <w:tc>
          <w:tcPr>
            <w:tcW w:w="948" w:type="dxa"/>
          </w:tcPr>
          <w:p w:rsidR="00000000" w:rsidRDefault="00FD50C0">
            <w:pPr>
              <w:jc w:val="center"/>
              <w:rPr>
                <w:rFonts w:eastAsia="標楷體"/>
                <w:sz w:val="18"/>
                <w:szCs w:val="18"/>
              </w:rPr>
            </w:pPr>
            <w:r>
              <w:rPr>
                <w:rFonts w:eastAsia="標楷體"/>
                <w:sz w:val="18"/>
                <w:szCs w:val="18"/>
              </w:rPr>
              <w:t>157</w:t>
            </w:r>
          </w:p>
        </w:tc>
        <w:tc>
          <w:tcPr>
            <w:tcW w:w="960" w:type="dxa"/>
          </w:tcPr>
          <w:p w:rsidR="00000000" w:rsidRDefault="00FD50C0">
            <w:pPr>
              <w:jc w:val="center"/>
              <w:rPr>
                <w:rFonts w:eastAsia="標楷體"/>
                <w:u w:val="single"/>
              </w:rPr>
            </w:pPr>
            <w:hyperlink r:id="rId16" w:history="1">
              <w:r>
                <w:rPr>
                  <w:rStyle w:val="a9"/>
                  <w:rFonts w:eastAsia="標楷體"/>
                  <w:color w:val="auto"/>
                </w:rPr>
                <w:t>80471</w:t>
              </w:r>
            </w:hyperlink>
          </w:p>
        </w:tc>
        <w:tc>
          <w:tcPr>
            <w:tcW w:w="1080" w:type="dxa"/>
          </w:tcPr>
          <w:p w:rsidR="00000000" w:rsidRDefault="00FD50C0">
            <w:pPr>
              <w:jc w:val="center"/>
              <w:rPr>
                <w:rFonts w:eastAsia="標楷體"/>
                <w:sz w:val="18"/>
                <w:szCs w:val="18"/>
              </w:rPr>
            </w:pPr>
            <w:r>
              <w:rPr>
                <w:rFonts w:eastAsia="標楷體"/>
                <w:sz w:val="18"/>
                <w:szCs w:val="18"/>
              </w:rPr>
              <w:t xml:space="preserve">1986/9/1 </w:t>
            </w:r>
          </w:p>
        </w:tc>
        <w:tc>
          <w:tcPr>
            <w:tcW w:w="5540" w:type="dxa"/>
            <w:vAlign w:val="center"/>
          </w:tcPr>
          <w:p w:rsidR="00000000" w:rsidRDefault="00FD50C0">
            <w:pPr>
              <w:rPr>
                <w:rFonts w:eastAsia="標楷體"/>
              </w:rPr>
            </w:pPr>
            <w:r>
              <w:rPr>
                <w:rFonts w:eastAsia="標楷體" w:hAnsi="標楷體"/>
              </w:rPr>
              <w:t>雙用型管形鎖鎖閂機構</w:t>
            </w:r>
          </w:p>
        </w:tc>
      </w:tr>
      <w:tr w:rsidR="00000000">
        <w:tc>
          <w:tcPr>
            <w:tcW w:w="948" w:type="dxa"/>
          </w:tcPr>
          <w:p w:rsidR="00000000" w:rsidRDefault="00FD50C0">
            <w:pPr>
              <w:jc w:val="center"/>
              <w:rPr>
                <w:rFonts w:eastAsia="標楷體"/>
                <w:sz w:val="18"/>
                <w:szCs w:val="18"/>
              </w:rPr>
            </w:pPr>
            <w:r>
              <w:rPr>
                <w:rFonts w:eastAsia="標楷體"/>
                <w:sz w:val="18"/>
                <w:szCs w:val="18"/>
              </w:rPr>
              <w:t>158</w:t>
            </w:r>
          </w:p>
        </w:tc>
        <w:tc>
          <w:tcPr>
            <w:tcW w:w="960" w:type="dxa"/>
          </w:tcPr>
          <w:p w:rsidR="00000000" w:rsidRDefault="00FD50C0">
            <w:pPr>
              <w:jc w:val="center"/>
              <w:rPr>
                <w:rFonts w:eastAsia="標楷體"/>
                <w:u w:val="single"/>
              </w:rPr>
            </w:pPr>
            <w:hyperlink r:id="rId17" w:history="1">
              <w:r>
                <w:rPr>
                  <w:rStyle w:val="a9"/>
                  <w:rFonts w:eastAsia="標楷體"/>
                  <w:color w:val="auto"/>
                </w:rPr>
                <w:t>76774</w:t>
              </w:r>
            </w:hyperlink>
          </w:p>
        </w:tc>
        <w:tc>
          <w:tcPr>
            <w:tcW w:w="1080" w:type="dxa"/>
          </w:tcPr>
          <w:p w:rsidR="00000000" w:rsidRDefault="00FD50C0">
            <w:pPr>
              <w:jc w:val="center"/>
              <w:rPr>
                <w:rFonts w:eastAsia="標楷體"/>
                <w:sz w:val="18"/>
                <w:szCs w:val="18"/>
              </w:rPr>
            </w:pPr>
            <w:r>
              <w:rPr>
                <w:rFonts w:eastAsia="標楷體"/>
                <w:sz w:val="18"/>
                <w:szCs w:val="18"/>
              </w:rPr>
              <w:t xml:space="preserve">1986/4/16 </w:t>
            </w:r>
          </w:p>
        </w:tc>
        <w:tc>
          <w:tcPr>
            <w:tcW w:w="5540" w:type="dxa"/>
            <w:vAlign w:val="center"/>
          </w:tcPr>
          <w:p w:rsidR="00000000" w:rsidRDefault="00FD50C0">
            <w:pPr>
              <w:rPr>
                <w:rFonts w:eastAsia="標楷體"/>
              </w:rPr>
            </w:pPr>
            <w:r>
              <w:rPr>
                <w:rFonts w:eastAsia="標楷體" w:hAnsi="標楷體"/>
              </w:rPr>
              <w:t>雙重安全鎖之聯合啟鎖機構</w:t>
            </w:r>
          </w:p>
        </w:tc>
      </w:tr>
      <w:tr w:rsidR="00000000">
        <w:tc>
          <w:tcPr>
            <w:tcW w:w="948" w:type="dxa"/>
          </w:tcPr>
          <w:p w:rsidR="00000000" w:rsidRDefault="00FD50C0">
            <w:pPr>
              <w:jc w:val="center"/>
              <w:rPr>
                <w:rFonts w:eastAsia="標楷體"/>
                <w:sz w:val="18"/>
                <w:szCs w:val="18"/>
              </w:rPr>
            </w:pPr>
            <w:r>
              <w:rPr>
                <w:rFonts w:eastAsia="標楷體"/>
                <w:sz w:val="18"/>
                <w:szCs w:val="18"/>
              </w:rPr>
              <w:t>159</w:t>
            </w:r>
          </w:p>
        </w:tc>
        <w:tc>
          <w:tcPr>
            <w:tcW w:w="960" w:type="dxa"/>
          </w:tcPr>
          <w:p w:rsidR="00000000" w:rsidRDefault="00FD50C0">
            <w:pPr>
              <w:jc w:val="center"/>
              <w:rPr>
                <w:rFonts w:eastAsia="標楷體"/>
                <w:u w:val="single"/>
              </w:rPr>
            </w:pPr>
            <w:hyperlink r:id="rId18" w:history="1">
              <w:r>
                <w:rPr>
                  <w:rStyle w:val="a9"/>
                  <w:rFonts w:eastAsia="標楷體"/>
                  <w:color w:val="auto"/>
                </w:rPr>
                <w:t>75968</w:t>
              </w:r>
            </w:hyperlink>
          </w:p>
        </w:tc>
        <w:tc>
          <w:tcPr>
            <w:tcW w:w="1080" w:type="dxa"/>
          </w:tcPr>
          <w:p w:rsidR="00000000" w:rsidRDefault="00FD50C0">
            <w:pPr>
              <w:jc w:val="center"/>
              <w:rPr>
                <w:rFonts w:eastAsia="標楷體"/>
                <w:sz w:val="18"/>
                <w:szCs w:val="18"/>
              </w:rPr>
            </w:pPr>
            <w:r>
              <w:rPr>
                <w:rFonts w:eastAsia="標楷體"/>
                <w:sz w:val="18"/>
                <w:szCs w:val="18"/>
              </w:rPr>
              <w:t xml:space="preserve">1986/3/16 </w:t>
            </w:r>
          </w:p>
        </w:tc>
        <w:tc>
          <w:tcPr>
            <w:tcW w:w="5540" w:type="dxa"/>
            <w:vAlign w:val="center"/>
          </w:tcPr>
          <w:p w:rsidR="00000000" w:rsidRDefault="00FD50C0">
            <w:pPr>
              <w:rPr>
                <w:rFonts w:eastAsia="標楷體"/>
              </w:rPr>
            </w:pPr>
            <w:r>
              <w:rPr>
                <w:rFonts w:eastAsia="標楷體" w:hAnsi="標楷體"/>
              </w:rPr>
              <w:t>一種新型管形鎖結構</w:t>
            </w:r>
          </w:p>
        </w:tc>
      </w:tr>
      <w:tr w:rsidR="00000000">
        <w:tc>
          <w:tcPr>
            <w:tcW w:w="948" w:type="dxa"/>
          </w:tcPr>
          <w:p w:rsidR="00000000" w:rsidRDefault="00FD50C0">
            <w:pPr>
              <w:jc w:val="center"/>
              <w:rPr>
                <w:rFonts w:eastAsia="標楷體"/>
                <w:sz w:val="18"/>
                <w:szCs w:val="18"/>
              </w:rPr>
            </w:pPr>
            <w:r>
              <w:rPr>
                <w:rFonts w:eastAsia="標楷體"/>
                <w:sz w:val="18"/>
                <w:szCs w:val="18"/>
              </w:rPr>
              <w:t>160</w:t>
            </w:r>
          </w:p>
        </w:tc>
        <w:tc>
          <w:tcPr>
            <w:tcW w:w="960" w:type="dxa"/>
          </w:tcPr>
          <w:p w:rsidR="00000000" w:rsidRDefault="00FD50C0">
            <w:pPr>
              <w:jc w:val="center"/>
              <w:rPr>
                <w:rFonts w:eastAsia="標楷體"/>
                <w:u w:val="single"/>
              </w:rPr>
            </w:pPr>
            <w:hyperlink r:id="rId19" w:history="1">
              <w:r>
                <w:rPr>
                  <w:rStyle w:val="a9"/>
                  <w:rFonts w:eastAsia="標楷體"/>
                  <w:color w:val="auto"/>
                </w:rPr>
                <w:t>71470</w:t>
              </w:r>
            </w:hyperlink>
          </w:p>
        </w:tc>
        <w:tc>
          <w:tcPr>
            <w:tcW w:w="1080" w:type="dxa"/>
          </w:tcPr>
          <w:p w:rsidR="00000000" w:rsidRDefault="00FD50C0">
            <w:pPr>
              <w:jc w:val="center"/>
              <w:rPr>
                <w:rFonts w:eastAsia="標楷體"/>
                <w:sz w:val="18"/>
                <w:szCs w:val="18"/>
              </w:rPr>
            </w:pPr>
            <w:r>
              <w:rPr>
                <w:rFonts w:eastAsia="標楷體"/>
                <w:sz w:val="18"/>
                <w:szCs w:val="18"/>
              </w:rPr>
              <w:t xml:space="preserve">1985/10/16 </w:t>
            </w:r>
          </w:p>
        </w:tc>
        <w:tc>
          <w:tcPr>
            <w:tcW w:w="5540" w:type="dxa"/>
            <w:vAlign w:val="center"/>
          </w:tcPr>
          <w:p w:rsidR="00000000" w:rsidRDefault="00FD50C0">
            <w:pPr>
              <w:rPr>
                <w:rFonts w:eastAsia="標楷體"/>
              </w:rPr>
            </w:pPr>
            <w:r>
              <w:rPr>
                <w:rFonts w:eastAsia="標楷體" w:hAnsi="標楷體"/>
              </w:rPr>
              <w:t>喇叭鎖（管形鎖）握把蓋之改良構造</w:t>
            </w:r>
          </w:p>
        </w:tc>
      </w:tr>
      <w:tr w:rsidR="00000000">
        <w:tc>
          <w:tcPr>
            <w:tcW w:w="948" w:type="dxa"/>
          </w:tcPr>
          <w:p w:rsidR="00000000" w:rsidRDefault="00FD50C0">
            <w:pPr>
              <w:jc w:val="center"/>
              <w:rPr>
                <w:rFonts w:eastAsia="標楷體"/>
                <w:sz w:val="18"/>
                <w:szCs w:val="18"/>
              </w:rPr>
            </w:pPr>
            <w:r>
              <w:rPr>
                <w:rFonts w:eastAsia="標楷體"/>
                <w:sz w:val="18"/>
                <w:szCs w:val="18"/>
              </w:rPr>
              <w:t>161</w:t>
            </w:r>
          </w:p>
        </w:tc>
        <w:tc>
          <w:tcPr>
            <w:tcW w:w="960" w:type="dxa"/>
          </w:tcPr>
          <w:p w:rsidR="00000000" w:rsidRDefault="00FD50C0">
            <w:pPr>
              <w:jc w:val="center"/>
              <w:rPr>
                <w:rFonts w:eastAsia="標楷體"/>
                <w:u w:val="single"/>
              </w:rPr>
            </w:pPr>
            <w:hyperlink r:id="rId20" w:history="1">
              <w:r>
                <w:rPr>
                  <w:rStyle w:val="a9"/>
                  <w:rFonts w:eastAsia="標楷體"/>
                  <w:color w:val="auto"/>
                </w:rPr>
                <w:t>69323</w:t>
              </w:r>
            </w:hyperlink>
          </w:p>
        </w:tc>
        <w:tc>
          <w:tcPr>
            <w:tcW w:w="1080" w:type="dxa"/>
          </w:tcPr>
          <w:p w:rsidR="00000000" w:rsidRDefault="00FD50C0">
            <w:pPr>
              <w:jc w:val="center"/>
              <w:rPr>
                <w:rFonts w:eastAsia="標楷體"/>
                <w:sz w:val="18"/>
                <w:szCs w:val="18"/>
              </w:rPr>
            </w:pPr>
            <w:r>
              <w:rPr>
                <w:rFonts w:eastAsia="標楷體"/>
                <w:sz w:val="18"/>
                <w:szCs w:val="18"/>
              </w:rPr>
              <w:t xml:space="preserve">1985/8/1 </w:t>
            </w:r>
          </w:p>
        </w:tc>
        <w:tc>
          <w:tcPr>
            <w:tcW w:w="5540" w:type="dxa"/>
            <w:vAlign w:val="center"/>
          </w:tcPr>
          <w:p w:rsidR="00000000" w:rsidRDefault="00FD50C0">
            <w:pPr>
              <w:rPr>
                <w:rFonts w:eastAsia="標楷體"/>
              </w:rPr>
            </w:pPr>
            <w:r>
              <w:rPr>
                <w:rFonts w:eastAsia="標楷體" w:hAnsi="標楷體"/>
              </w:rPr>
              <w:t>具有可變換裝置距離之喇叭鎖鎖閂構造</w:t>
            </w:r>
          </w:p>
        </w:tc>
      </w:tr>
      <w:tr w:rsidR="00000000">
        <w:tc>
          <w:tcPr>
            <w:tcW w:w="948" w:type="dxa"/>
          </w:tcPr>
          <w:p w:rsidR="00000000" w:rsidRDefault="00FD50C0">
            <w:pPr>
              <w:jc w:val="center"/>
              <w:rPr>
                <w:rFonts w:eastAsia="標楷體"/>
                <w:sz w:val="18"/>
                <w:szCs w:val="18"/>
              </w:rPr>
            </w:pPr>
            <w:r>
              <w:rPr>
                <w:rFonts w:eastAsia="標楷體"/>
                <w:sz w:val="18"/>
                <w:szCs w:val="18"/>
              </w:rPr>
              <w:t>162</w:t>
            </w:r>
          </w:p>
        </w:tc>
        <w:tc>
          <w:tcPr>
            <w:tcW w:w="960" w:type="dxa"/>
          </w:tcPr>
          <w:p w:rsidR="00000000" w:rsidRDefault="00FD50C0">
            <w:pPr>
              <w:jc w:val="center"/>
              <w:rPr>
                <w:rFonts w:eastAsia="標楷體"/>
                <w:u w:val="single"/>
              </w:rPr>
            </w:pPr>
            <w:hyperlink r:id="rId21" w:history="1">
              <w:r>
                <w:rPr>
                  <w:rStyle w:val="a9"/>
                  <w:rFonts w:eastAsia="標楷體"/>
                  <w:color w:val="auto"/>
                </w:rPr>
                <w:t>68464</w:t>
              </w:r>
            </w:hyperlink>
          </w:p>
        </w:tc>
        <w:tc>
          <w:tcPr>
            <w:tcW w:w="1080" w:type="dxa"/>
          </w:tcPr>
          <w:p w:rsidR="00000000" w:rsidRDefault="00FD50C0">
            <w:pPr>
              <w:jc w:val="center"/>
              <w:rPr>
                <w:rFonts w:eastAsia="標楷體"/>
                <w:sz w:val="18"/>
                <w:szCs w:val="18"/>
              </w:rPr>
            </w:pPr>
            <w:r>
              <w:rPr>
                <w:rFonts w:eastAsia="標楷體"/>
                <w:sz w:val="18"/>
                <w:szCs w:val="18"/>
              </w:rPr>
              <w:t xml:space="preserve">1985/7/1 </w:t>
            </w:r>
          </w:p>
        </w:tc>
        <w:tc>
          <w:tcPr>
            <w:tcW w:w="5540" w:type="dxa"/>
            <w:vAlign w:val="center"/>
          </w:tcPr>
          <w:p w:rsidR="00000000" w:rsidRDefault="00FD50C0">
            <w:pPr>
              <w:rPr>
                <w:rFonts w:eastAsia="標楷體"/>
              </w:rPr>
            </w:pPr>
            <w:r>
              <w:rPr>
                <w:rFonts w:eastAsia="標楷體" w:hAnsi="標楷體"/>
              </w:rPr>
              <w:t>一種「具有複合式母鎖珠組鎖心構造之鎖具，及與其相配合之特製鑰匙」</w:t>
            </w:r>
          </w:p>
        </w:tc>
      </w:tr>
    </w:tbl>
    <w:p w:rsidR="00000000" w:rsidRDefault="00FD50C0">
      <w:pPr>
        <w:rPr>
          <w:rFonts w:ascii="標楷體" w:eastAsia="標楷體" w:hAnsi="標楷體" w:hint="eastAsia"/>
        </w:rPr>
      </w:pPr>
      <w:r>
        <w:rPr>
          <w:rFonts w:ascii="標楷體" w:eastAsia="標楷體" w:hAnsi="標楷體" w:hint="eastAsia"/>
        </w:rPr>
        <w:t>資料來源：經濟部智慧財產局</w:t>
      </w:r>
    </w:p>
    <w:p w:rsidR="00000000" w:rsidRDefault="00FD50C0">
      <w:pPr>
        <w:widowControl/>
        <w:spacing w:beforeLines="50" w:afterLines="50"/>
        <w:jc w:val="both"/>
        <w:outlineLvl w:val="1"/>
        <w:rPr>
          <w:rFonts w:ascii="標楷體" w:eastAsia="標楷體" w:hAnsi="標楷體" w:hint="eastAsia"/>
          <w:b/>
          <w:bCs/>
          <w:sz w:val="28"/>
          <w:szCs w:val="28"/>
        </w:rPr>
      </w:pPr>
      <w:bookmarkStart w:id="14" w:name="_Toc42188620"/>
      <w:r>
        <w:rPr>
          <w:rFonts w:ascii="標楷體" w:eastAsia="標楷體" w:hAnsi="標楷體" w:hint="eastAsia"/>
          <w:b/>
          <w:bCs/>
          <w:kern w:val="0"/>
          <w:sz w:val="28"/>
        </w:rPr>
        <w:t>(</w:t>
      </w:r>
      <w:r>
        <w:rPr>
          <w:rFonts w:ascii="標楷體" w:eastAsia="標楷體" w:hAnsi="標楷體" w:hint="eastAsia"/>
          <w:b/>
          <w:bCs/>
          <w:kern w:val="0"/>
          <w:sz w:val="28"/>
        </w:rPr>
        <w:t>三</w:t>
      </w:r>
      <w:r>
        <w:rPr>
          <w:rFonts w:ascii="標楷體" w:eastAsia="標楷體" w:hAnsi="標楷體" w:hint="eastAsia"/>
          <w:b/>
          <w:bCs/>
          <w:kern w:val="0"/>
          <w:sz w:val="28"/>
        </w:rPr>
        <w:t>)</w:t>
      </w:r>
      <w:r>
        <w:rPr>
          <w:rFonts w:ascii="標楷體" w:eastAsia="標楷體" w:hAnsi="標楷體" w:hint="eastAsia"/>
          <w:b/>
          <w:bCs/>
          <w:kern w:val="0"/>
          <w:sz w:val="28"/>
        </w:rPr>
        <w:t>重整的關鍵驅動力－重整，「人」才是關鍵</w:t>
      </w:r>
      <w:bookmarkEnd w:id="14"/>
    </w:p>
    <w:p w:rsidR="00000000" w:rsidRDefault="00FD50C0">
      <w:pPr>
        <w:ind w:firstLine="480"/>
        <w:rPr>
          <w:rFonts w:ascii="標楷體" w:eastAsia="標楷體" w:hAnsi="標楷體" w:hint="eastAsia"/>
        </w:rPr>
      </w:pPr>
      <w:r>
        <w:rPr>
          <w:rFonts w:ascii="標楷體" w:eastAsia="標楷體" w:hAnsi="標楷體" w:hint="eastAsia"/>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0" type="#_x0000_t98" style="position:absolute;left:0;text-align:left;margin-left:30pt;margin-top:69.5pt;width:369pt;height:81pt;z-index:251662336">
            <v:textbox style="mso-next-textbox:#_x0000_s1080">
              <w:txbxContent>
                <w:p w:rsidR="00000000" w:rsidRDefault="00FD50C0">
                  <w:pPr>
                    <w:rPr>
                      <w:rFonts w:ascii="標楷體" w:eastAsia="標楷體" w:hAnsi="標楷體" w:cs="新細明體" w:hint="eastAsia"/>
                      <w:kern w:val="0"/>
                    </w:rPr>
                  </w:pPr>
                  <w:r>
                    <w:rPr>
                      <w:rFonts w:ascii="標楷體" w:eastAsia="標楷體" w:hAnsi="標楷體" w:hint="eastAsia"/>
                    </w:rPr>
                    <w:t>重整的三大關鍵人物</w:t>
                  </w:r>
                  <w:r>
                    <w:rPr>
                      <w:rFonts w:ascii="標楷體" w:eastAsia="標楷體" w:hAnsi="標楷體" w:hint="eastAsia"/>
                    </w:rPr>
                    <w:t xml:space="preserve">  </w:t>
                  </w:r>
                  <w:r>
                    <w:rPr>
                      <w:rFonts w:ascii="標楷體" w:eastAsia="標楷體" w:hAnsi="標楷體" w:cs="新細明體" w:hint="eastAsia"/>
                      <w:kern w:val="0"/>
                    </w:rPr>
                    <w:t>代表匯豐銀行財務支援主力</w:t>
                  </w:r>
                  <w:r>
                    <w:rPr>
                      <w:rFonts w:ascii="標楷體" w:eastAsia="標楷體" w:hAnsi="標楷體" w:cs="新細明體" w:hint="eastAsia"/>
                      <w:kern w:val="0"/>
                    </w:rPr>
                    <w:t xml:space="preserve">    </w:t>
                  </w:r>
                  <w:r>
                    <w:rPr>
                      <w:rFonts w:ascii="標楷體" w:eastAsia="標楷體" w:hAnsi="標楷體" w:cs="新細明體" w:hint="eastAsia"/>
                      <w:kern w:val="0"/>
                    </w:rPr>
                    <w:t>陳伯昌</w:t>
                  </w:r>
                </w:p>
                <w:p w:rsidR="00000000" w:rsidRDefault="00FD50C0">
                  <w:pPr>
                    <w:rPr>
                      <w:rFonts w:ascii="標楷體" w:eastAsia="標楷體" w:hAnsi="標楷體" w:cs="新細明體" w:hint="eastAsia"/>
                      <w:kern w:val="0"/>
                    </w:rPr>
                  </w:pPr>
                  <w:r>
                    <w:rPr>
                      <w:rFonts w:ascii="標楷體" w:eastAsia="標楷體" w:hAnsi="標楷體" w:cs="新細明體" w:hint="eastAsia"/>
                      <w:kern w:val="0"/>
                    </w:rPr>
                    <w:t xml:space="preserve">                    </w:t>
                  </w:r>
                  <w:r>
                    <w:rPr>
                      <w:rFonts w:ascii="標楷體" w:eastAsia="標楷體" w:hAnsi="標楷體" w:cs="新細明體" w:hint="eastAsia"/>
                      <w:kern w:val="0"/>
                    </w:rPr>
                    <w:t>文化重塑與企業運作重返正軌</w:t>
                  </w:r>
                  <w:r>
                    <w:rPr>
                      <w:rFonts w:ascii="標楷體" w:eastAsia="標楷體" w:hAnsi="標楷體" w:cs="新細明體" w:hint="eastAsia"/>
                      <w:kern w:val="0"/>
                    </w:rPr>
                    <w:t xml:space="preserve">  </w:t>
                  </w:r>
                  <w:r>
                    <w:rPr>
                      <w:rFonts w:ascii="標楷體" w:eastAsia="標楷體" w:hAnsi="標楷體" w:cs="新細明體" w:hint="eastAsia"/>
                      <w:kern w:val="0"/>
                    </w:rPr>
                    <w:t>王鍾渝</w:t>
                  </w:r>
                </w:p>
                <w:p w:rsidR="00000000" w:rsidRDefault="00FD50C0">
                  <w:r>
                    <w:rPr>
                      <w:rFonts w:ascii="標楷體" w:eastAsia="標楷體" w:hAnsi="標楷體" w:cs="新細明體" w:hint="eastAsia"/>
                      <w:kern w:val="0"/>
                    </w:rPr>
                    <w:t xml:space="preserve">                    </w:t>
                  </w:r>
                  <w:r>
                    <w:rPr>
                      <w:rFonts w:ascii="標楷體" w:eastAsia="標楷體" w:hAnsi="標楷體" w:cs="新細明體" w:hint="eastAsia"/>
                      <w:kern w:val="0"/>
                    </w:rPr>
                    <w:t>堅強法律陣容理律法律事務所</w:t>
                  </w:r>
                  <w:r>
                    <w:rPr>
                      <w:rFonts w:ascii="標楷體" w:eastAsia="標楷體" w:hAnsi="標楷體" w:cs="新細明體" w:hint="eastAsia"/>
                      <w:kern w:val="0"/>
                    </w:rPr>
                    <w:t xml:space="preserve">  </w:t>
                  </w:r>
                  <w:r>
                    <w:rPr>
                      <w:rFonts w:ascii="標楷體" w:eastAsia="標楷體" w:hAnsi="標楷體" w:cs="新細明體" w:hint="eastAsia"/>
                      <w:kern w:val="0"/>
                    </w:rPr>
                    <w:t>林秀玲</w:t>
                  </w:r>
                </w:p>
              </w:txbxContent>
            </v:textbox>
          </v:shape>
        </w:pict>
      </w:r>
      <w:r>
        <w:rPr>
          <w:rFonts w:ascii="標楷體" w:eastAsia="標楷體" w:hAnsi="標楷體" w:hint="eastAsia"/>
        </w:rPr>
        <w:t>找到關鍵人物</w:t>
      </w:r>
      <w:r>
        <w:rPr>
          <w:rFonts w:ascii="標楷體" w:eastAsia="標楷體" w:hAnsi="標楷體" w:hint="eastAsia"/>
        </w:rPr>
        <w:t>--</w:t>
      </w:r>
      <w:r>
        <w:rPr>
          <w:rFonts w:ascii="標楷體" w:eastAsia="標楷體" w:hAnsi="標楷體"/>
        </w:rPr>
        <w:t>「東隆五金找對了關鍵人物！」，東隆五金是敗也在人、成也在人的企業啟示錄。過去東隆五金最大問題在於人謀不臧，其餘技術、規模、市場都是最好的；能夠重整成功，除了背後金主匯豐投資全力支持，便完全仰賴深諳財務工具的陳伯昌，及擅長經營管理的王鍾渝。</w:t>
      </w:r>
    </w:p>
    <w:p w:rsidR="00000000" w:rsidRDefault="00FD50C0">
      <w:pPr>
        <w:rPr>
          <w:rFonts w:ascii="標楷體" w:eastAsia="標楷體" w:hAnsi="標楷體" w:hint="eastAsia"/>
        </w:rPr>
      </w:pPr>
    </w:p>
    <w:p w:rsidR="00000000" w:rsidRDefault="00FD50C0">
      <w:pPr>
        <w:rPr>
          <w:rFonts w:ascii="標楷體" w:eastAsia="標楷體" w:hAnsi="標楷體" w:hint="eastAsia"/>
        </w:rPr>
      </w:pPr>
    </w:p>
    <w:p w:rsidR="00000000" w:rsidRDefault="00FD50C0">
      <w:pPr>
        <w:rPr>
          <w:rFonts w:ascii="標楷體" w:eastAsia="標楷體" w:hAnsi="標楷體" w:cs="新細明體" w:hint="eastAsia"/>
          <w:kern w:val="0"/>
        </w:rPr>
      </w:pPr>
    </w:p>
    <w:p w:rsidR="00000000" w:rsidRDefault="00FD50C0">
      <w:pPr>
        <w:rPr>
          <w:rFonts w:ascii="標楷體" w:eastAsia="標楷體" w:hAnsi="標楷體" w:cs="新細明體" w:hint="eastAsia"/>
          <w:kern w:val="0"/>
        </w:rPr>
      </w:pPr>
    </w:p>
    <w:p w:rsidR="00000000" w:rsidRDefault="00FD50C0">
      <w:pPr>
        <w:rPr>
          <w:rFonts w:ascii="標楷體" w:eastAsia="標楷體" w:hAnsi="標楷體" w:cs="新細明體" w:hint="eastAsia"/>
          <w:kern w:val="0"/>
        </w:rPr>
      </w:pPr>
    </w:p>
    <w:p w:rsidR="00000000" w:rsidRDefault="00FD50C0">
      <w:pPr>
        <w:rPr>
          <w:rFonts w:ascii="標楷體" w:eastAsia="標楷體" w:hAnsi="標楷體" w:hint="eastAsia"/>
        </w:rPr>
      </w:pPr>
      <w:r>
        <w:rPr>
          <w:rFonts w:ascii="標楷體" w:eastAsia="標楷體" w:hAnsi="標楷體" w:hint="eastAsia"/>
          <w:noProof/>
        </w:rPr>
      </w:r>
      <w:r>
        <w:rPr>
          <w:rFonts w:ascii="標楷體" w:eastAsia="標楷體" w:hAnsi="標楷體"/>
        </w:rPr>
        <w:pict>
          <v:shape id="_x0000_s1026" type="#_x0000_t75" style="width:423pt;height:312.9pt;mso-position-horizontal-relative:char;mso-position-vertical-relative:line">
            <v:fill o:detectmouseclick="t"/>
            <v:imagedata r:id="rId22" o:title=""/>
            <v:shadow color="#00007d"/>
            <w10:wrap type="none"/>
            <w10:anchorlock/>
          </v:shape>
        </w:pict>
      </w:r>
    </w:p>
    <w:p w:rsidR="00000000" w:rsidRDefault="00FD50C0">
      <w:pPr>
        <w:widowControl/>
        <w:spacing w:beforeLines="50" w:afterLines="50"/>
        <w:jc w:val="both"/>
        <w:outlineLvl w:val="1"/>
        <w:rPr>
          <w:rFonts w:ascii="標楷體" w:eastAsia="標楷體" w:hAnsi="標楷體"/>
        </w:rPr>
      </w:pPr>
      <w:r>
        <w:rPr>
          <w:rFonts w:eastAsia="標楷體"/>
          <w:b/>
          <w:sz w:val="28"/>
          <w:szCs w:val="28"/>
          <w:u w:val="single"/>
        </w:rPr>
        <w:t xml:space="preserve">KEY PERSON 1 </w:t>
      </w:r>
      <w:r>
        <w:rPr>
          <w:rFonts w:eastAsia="標楷體" w:hAnsi="標楷體"/>
          <w:b/>
          <w:sz w:val="28"/>
          <w:szCs w:val="28"/>
          <w:u w:val="single"/>
        </w:rPr>
        <w:t>陳伯昌</w:t>
      </w:r>
      <w:r>
        <w:rPr>
          <w:rFonts w:eastAsia="標楷體"/>
          <w:b/>
          <w:sz w:val="28"/>
          <w:szCs w:val="28"/>
          <w:u w:val="single"/>
        </w:rPr>
        <w:t xml:space="preserve"> </w:t>
      </w:r>
    </w:p>
    <w:p w:rsidR="00000000" w:rsidRDefault="00FD50C0">
      <w:pPr>
        <w:spacing w:beforeLines="50" w:afterLines="50"/>
        <w:ind w:firstLine="468"/>
        <w:jc w:val="both"/>
        <w:rPr>
          <w:rFonts w:ascii="標楷體" w:eastAsia="標楷體" w:hAnsi="標楷體" w:hint="eastAsia"/>
          <w:i/>
        </w:rPr>
      </w:pPr>
      <w:r>
        <w:rPr>
          <w:rFonts w:ascii="標楷體" w:eastAsia="標楷體" w:hAnsi="標楷體" w:hint="eastAsia"/>
          <w:i/>
        </w:rPr>
        <w:t>銀行家的慧眼</w:t>
      </w:r>
    </w:p>
    <w:p w:rsidR="00000000" w:rsidRDefault="00FD50C0">
      <w:pPr>
        <w:spacing w:beforeLines="50" w:afterLines="50"/>
        <w:ind w:firstLineChars="195" w:firstLine="468"/>
        <w:jc w:val="both"/>
        <w:rPr>
          <w:rFonts w:ascii="標楷體" w:eastAsia="標楷體" w:hAnsi="標楷體" w:hint="eastAsia"/>
        </w:rPr>
      </w:pPr>
      <w:r>
        <w:rPr>
          <w:rFonts w:ascii="標楷體" w:eastAsia="標楷體" w:hAnsi="標楷體" w:hint="eastAsia"/>
        </w:rPr>
        <w:t>東隆公司擁有百項專利、出事前毛利率有</w:t>
      </w:r>
      <w:r>
        <w:rPr>
          <w:rFonts w:ascii="標楷體" w:eastAsia="標楷體" w:hAnsi="標楷體" w:hint="eastAsia"/>
        </w:rPr>
        <w:t>389</w:t>
      </w:r>
      <w:r>
        <w:rPr>
          <w:rFonts w:ascii="標楷體" w:eastAsia="標楷體" w:hAnsi="標楷體" w:hint="eastAsia"/>
        </w:rPr>
        <w:t>％出事後僅下滑到</w:t>
      </w:r>
      <w:r>
        <w:rPr>
          <w:rFonts w:ascii="標楷體" w:eastAsia="標楷體" w:hAnsi="標楷體" w:hint="eastAsia"/>
        </w:rPr>
        <w:t>24</w:t>
      </w:r>
      <w:r>
        <w:rPr>
          <w:rFonts w:ascii="標楷體" w:eastAsia="標楷體" w:hAnsi="標楷體" w:hint="eastAsia"/>
        </w:rPr>
        <w:t>％、公司一直有現金進入沒有虧欠員工薪水、製鎖業是項進入障礙較高的特殊行業，產品週期、</w:t>
      </w:r>
      <w:r>
        <w:rPr>
          <w:rFonts w:ascii="標楷體" w:eastAsia="標楷體" w:hAnsi="標楷體" w:hint="eastAsia"/>
        </w:rPr>
        <w:t>2</w:t>
      </w:r>
      <w:r>
        <w:rPr>
          <w:rFonts w:ascii="標楷體" w:eastAsia="標楷體" w:hAnsi="標楷體" w:hint="eastAsia"/>
        </w:rPr>
        <w:t>百年都沒有變化，最大的市場—美國每年也有</w:t>
      </w:r>
      <w:r>
        <w:rPr>
          <w:rFonts w:ascii="標楷體" w:eastAsia="標楷體" w:hAnsi="標楷體" w:hint="eastAsia"/>
        </w:rPr>
        <w:t>5</w:t>
      </w:r>
      <w:r>
        <w:rPr>
          <w:rFonts w:ascii="標楷體" w:eastAsia="標楷體" w:hAnsi="標楷體" w:hint="eastAsia"/>
        </w:rPr>
        <w:t>～</w:t>
      </w:r>
      <w:r>
        <w:rPr>
          <w:rFonts w:ascii="標楷體" w:eastAsia="標楷體" w:hAnsi="標楷體" w:hint="eastAsia"/>
        </w:rPr>
        <w:t>6</w:t>
      </w:r>
      <w:r>
        <w:rPr>
          <w:rFonts w:ascii="標楷體" w:eastAsia="標楷體" w:hAnsi="標楷體" w:hint="eastAsia"/>
        </w:rPr>
        <w:t>％的成長，這樣的一個觀察，讓匯豐銀行直接投資公司董事陳伯昌決定介入。</w:t>
      </w:r>
    </w:p>
    <w:p w:rsidR="00000000" w:rsidRDefault="00FD50C0">
      <w:pPr>
        <w:spacing w:beforeLines="50" w:afterLines="50"/>
        <w:ind w:firstLineChars="195" w:firstLine="468"/>
        <w:jc w:val="both"/>
        <w:rPr>
          <w:rFonts w:ascii="標楷體" w:eastAsia="標楷體" w:hAnsi="標楷體" w:hint="eastAsia"/>
        </w:rPr>
      </w:pPr>
      <w:r>
        <w:rPr>
          <w:rFonts w:ascii="標楷體" w:eastAsia="標楷體" w:hAnsi="標楷體" w:hint="eastAsia"/>
        </w:rPr>
        <w:t>在民國</w:t>
      </w:r>
      <w:r>
        <w:rPr>
          <w:rFonts w:ascii="標楷體" w:eastAsia="標楷體" w:hAnsi="標楷體" w:hint="eastAsia"/>
        </w:rPr>
        <w:t>90</w:t>
      </w:r>
      <w:r>
        <w:rPr>
          <w:rFonts w:ascii="標楷體" w:eastAsia="標楷體" w:hAnsi="標楷體" w:hint="eastAsia"/>
        </w:rPr>
        <w:t>年底，匯豐投入</w:t>
      </w:r>
      <w:r>
        <w:rPr>
          <w:rFonts w:ascii="標楷體" w:eastAsia="標楷體" w:hAnsi="標楷體" w:hint="eastAsia"/>
        </w:rPr>
        <w:t>5500</w:t>
      </w:r>
      <w:r>
        <w:rPr>
          <w:rFonts w:ascii="標楷體" w:eastAsia="標楷體" w:hAnsi="標楷體" w:hint="eastAsia"/>
        </w:rPr>
        <w:t>萬美元，搶下東隆</w:t>
      </w:r>
      <w:r>
        <w:rPr>
          <w:rFonts w:ascii="標楷體" w:eastAsia="標楷體" w:hAnsi="標楷體" w:hint="eastAsia"/>
        </w:rPr>
        <w:t>72</w:t>
      </w:r>
      <w:r>
        <w:rPr>
          <w:rFonts w:ascii="標楷體" w:eastAsia="標楷體" w:hAnsi="標楷體" w:hint="eastAsia"/>
        </w:rPr>
        <w:t>％的股權，開始進行公司重整，另一方面匯豐銀行台中分行經理鄭大榮出面統合債權人，組成銀行團申請重整，</w:t>
      </w:r>
      <w:r>
        <w:rPr>
          <w:rFonts w:ascii="標楷體" w:eastAsia="標楷體" w:hAnsi="標楷體" w:hint="eastAsia"/>
        </w:rPr>
        <w:t>鄭大榮認為，「台灣有太多不良債權沒有好好處理，就是因為債權人沒有團結起來，因為這些出問題的公司，資產、淨值都已經是負的了，換句話說，已經不是這家公司欠你錢，而是這已經是你的公司了，要把她當作自己的錢來處理」。也因為在匯豐銀行的陳伯昌、鄭大榮的積極運作之下，東隆五金出現重生的契機。</w:t>
      </w:r>
    </w:p>
    <w:p w:rsidR="00000000" w:rsidRDefault="00FD50C0">
      <w:pPr>
        <w:spacing w:beforeLines="50" w:afterLines="50"/>
        <w:jc w:val="both"/>
        <w:rPr>
          <w:rFonts w:ascii="標楷體" w:eastAsia="標楷體" w:hAnsi="標楷體" w:hint="eastAsia"/>
        </w:rPr>
      </w:pPr>
      <w:r>
        <w:rPr>
          <w:rFonts w:ascii="標楷體" w:eastAsia="標楷體" w:hAnsi="標楷體" w:hint="eastAsia"/>
        </w:rPr>
        <w:t xml:space="preserve">   </w:t>
      </w:r>
      <w:r>
        <w:rPr>
          <w:rFonts w:ascii="標楷體" w:eastAsia="標楷體" w:hAnsi="標楷體"/>
        </w:rPr>
        <w:t>來自</w:t>
      </w:r>
      <w:r>
        <w:rPr>
          <w:rFonts w:ascii="標楷體" w:eastAsia="標楷體" w:hAnsi="標楷體" w:hint="eastAsia"/>
        </w:rPr>
        <w:t>HSBC</w:t>
      </w:r>
      <w:r>
        <w:rPr>
          <w:rFonts w:ascii="標楷體" w:eastAsia="標楷體" w:hAnsi="標楷體"/>
        </w:rPr>
        <w:t>外商，</w:t>
      </w:r>
      <w:r>
        <w:rPr>
          <w:rFonts w:ascii="標楷體" w:eastAsia="標楷體" w:hAnsi="標楷體" w:hint="eastAsia"/>
        </w:rPr>
        <w:t>陳伯昌</w:t>
      </w:r>
      <w:r>
        <w:rPr>
          <w:rFonts w:ascii="標楷體" w:eastAsia="標楷體" w:hAnsi="標楷體"/>
        </w:rPr>
        <w:t>卻很尊重東隆原有的人才與企業文化，沒有大量引進空降部隊，讓東隆的團隊士氣繼續保留是很重要的成功因素。</w:t>
      </w:r>
    </w:p>
    <w:p w:rsidR="00000000" w:rsidRDefault="00FD50C0">
      <w:pPr>
        <w:spacing w:beforeLines="50" w:afterLines="50"/>
        <w:jc w:val="both"/>
        <w:rPr>
          <w:rFonts w:eastAsia="標楷體"/>
          <w:b/>
          <w:sz w:val="28"/>
          <w:szCs w:val="28"/>
          <w:u w:val="single"/>
        </w:rPr>
      </w:pPr>
      <w:r>
        <w:rPr>
          <w:rFonts w:eastAsia="標楷體"/>
          <w:b/>
          <w:sz w:val="28"/>
          <w:szCs w:val="28"/>
          <w:u w:val="single"/>
        </w:rPr>
        <w:t>KEY PERSON 2--</w:t>
      </w:r>
      <w:r>
        <w:rPr>
          <w:rFonts w:eastAsia="標楷體" w:hAnsi="標楷體"/>
          <w:b/>
          <w:sz w:val="28"/>
          <w:szCs w:val="28"/>
          <w:u w:val="single"/>
        </w:rPr>
        <w:t>王鍾渝</w:t>
      </w:r>
    </w:p>
    <w:p w:rsidR="00000000" w:rsidRDefault="00FD50C0">
      <w:pPr>
        <w:spacing w:beforeLines="50" w:afterLines="50"/>
        <w:ind w:firstLine="360"/>
        <w:jc w:val="both"/>
        <w:rPr>
          <w:rFonts w:ascii="標楷體" w:eastAsia="標楷體" w:hAnsi="標楷體" w:hint="eastAsia"/>
          <w:i/>
        </w:rPr>
      </w:pPr>
      <w:r>
        <w:rPr>
          <w:rFonts w:ascii="標楷體" w:eastAsia="標楷體" w:hAnsi="標楷體" w:hint="eastAsia"/>
          <w:i/>
        </w:rPr>
        <w:t>企管專才</w:t>
      </w:r>
      <w:r>
        <w:rPr>
          <w:rFonts w:ascii="標楷體" w:eastAsia="標楷體" w:hAnsi="標楷體" w:hint="eastAsia"/>
          <w:i/>
        </w:rPr>
        <w:t>+</w:t>
      </w:r>
      <w:r>
        <w:rPr>
          <w:rFonts w:ascii="標楷體" w:eastAsia="標楷體" w:hAnsi="標楷體" w:hint="eastAsia"/>
          <w:i/>
        </w:rPr>
        <w:t>中鋼董事長背景</w:t>
      </w:r>
      <w:r>
        <w:rPr>
          <w:rFonts w:ascii="標楷體" w:eastAsia="標楷體" w:hAnsi="標楷體" w:hint="eastAsia"/>
          <w:i/>
        </w:rPr>
        <w:t>+</w:t>
      </w:r>
      <w:r>
        <w:rPr>
          <w:rFonts w:ascii="標楷體" w:eastAsia="標楷體" w:hAnsi="標楷體" w:hint="eastAsia"/>
          <w:i/>
        </w:rPr>
        <w:t>立法委員身分</w:t>
      </w:r>
    </w:p>
    <w:p w:rsidR="00000000" w:rsidRDefault="00FD50C0">
      <w:pPr>
        <w:spacing w:beforeLines="50" w:afterLines="50"/>
        <w:ind w:firstLine="360"/>
        <w:jc w:val="both"/>
        <w:rPr>
          <w:rFonts w:ascii="標楷體" w:eastAsia="標楷體" w:hAnsi="標楷體" w:hint="eastAsia"/>
        </w:rPr>
      </w:pPr>
      <w:r>
        <w:rPr>
          <w:rFonts w:ascii="標楷體" w:eastAsia="標楷體" w:hAnsi="標楷體" w:hint="eastAsia"/>
        </w:rPr>
        <w:t>王鍾渝不但提供了中鋼董</w:t>
      </w:r>
      <w:r>
        <w:rPr>
          <w:rFonts w:ascii="標楷體" w:eastAsia="標楷體" w:hAnsi="標楷體" w:hint="eastAsia"/>
        </w:rPr>
        <w:t>事長背景的力量，支持公司重整財務的背後力量，也發揮了他的企管長才，是公司文化重整的關鍵人物。</w:t>
      </w:r>
    </w:p>
    <w:p w:rsidR="00000000" w:rsidRDefault="00FD50C0">
      <w:pPr>
        <w:numPr>
          <w:ilvl w:val="0"/>
          <w:numId w:val="34"/>
        </w:numPr>
        <w:spacing w:beforeLines="50" w:afterLines="50"/>
        <w:jc w:val="both"/>
        <w:rPr>
          <w:rFonts w:eastAsia="標楷體"/>
        </w:rPr>
      </w:pPr>
      <w:r>
        <w:rPr>
          <w:rFonts w:eastAsia="標楷體" w:hAnsi="標楷體"/>
        </w:rPr>
        <w:t>扭正公司企業文化，一改過去家族經營色彩，提高公司效率重返軌道。</w:t>
      </w:r>
    </w:p>
    <w:p w:rsidR="00000000" w:rsidRDefault="00FD50C0">
      <w:pPr>
        <w:numPr>
          <w:ilvl w:val="0"/>
          <w:numId w:val="33"/>
        </w:numPr>
        <w:spacing w:beforeLines="50" w:afterLines="50"/>
        <w:jc w:val="both"/>
        <w:rPr>
          <w:rFonts w:eastAsia="標楷體"/>
        </w:rPr>
      </w:pPr>
      <w:r>
        <w:rPr>
          <w:rFonts w:eastAsia="標楷體" w:hAnsi="標楷體"/>
        </w:rPr>
        <w:t>確實做事不敷衍，誠實，提昇公司效率</w:t>
      </w:r>
    </w:p>
    <w:p w:rsidR="00000000" w:rsidRDefault="00FD50C0">
      <w:pPr>
        <w:spacing w:beforeLines="50" w:afterLines="50"/>
        <w:jc w:val="both"/>
        <w:rPr>
          <w:rFonts w:eastAsia="標楷體"/>
        </w:rPr>
      </w:pPr>
      <w:r>
        <w:rPr>
          <w:rFonts w:eastAsia="標楷體"/>
        </w:rPr>
        <w:t>2001</w:t>
      </w:r>
      <w:r>
        <w:rPr>
          <w:rFonts w:eastAsia="標楷體" w:hAnsi="標楷體"/>
        </w:rPr>
        <w:t>年成功導入</w:t>
      </w:r>
      <w:r>
        <w:rPr>
          <w:rFonts w:eastAsia="標楷體"/>
        </w:rPr>
        <w:t>ERP</w:t>
      </w:r>
      <w:r>
        <w:rPr>
          <w:rFonts w:eastAsia="標楷體" w:hAnsi="標楷體"/>
        </w:rPr>
        <w:t>系統，建立電子化商務平台，重建東隆的競爭力。</w:t>
      </w:r>
    </w:p>
    <w:p w:rsidR="00000000" w:rsidRDefault="00FD50C0">
      <w:pPr>
        <w:numPr>
          <w:ilvl w:val="0"/>
          <w:numId w:val="33"/>
        </w:numPr>
        <w:spacing w:beforeLines="50" w:afterLines="50"/>
        <w:jc w:val="both"/>
        <w:rPr>
          <w:rFonts w:eastAsia="標楷體"/>
        </w:rPr>
      </w:pPr>
      <w:r>
        <w:rPr>
          <w:rFonts w:eastAsia="標楷體" w:hAnsi="標楷體"/>
        </w:rPr>
        <w:t>對老闆說實話，對決策的錯誤要敢直言無諱。</w:t>
      </w:r>
    </w:p>
    <w:p w:rsidR="00000000" w:rsidRDefault="00FD50C0">
      <w:pPr>
        <w:spacing w:beforeLines="50" w:afterLines="50"/>
        <w:jc w:val="both"/>
        <w:rPr>
          <w:rFonts w:eastAsia="標楷體"/>
        </w:rPr>
      </w:pPr>
      <w:r>
        <w:rPr>
          <w:rFonts w:eastAsia="標楷體" w:hAnsi="標楷體"/>
        </w:rPr>
        <w:t>導正以前家族企業的惡習，王鍾渝要求大家對老闆說真話，之前公司有許多錯誤的轉投資決策，例如投資美國灑農藥的飛機、以及過時的軍事裝砲彈機器，這些都是老闆在自己不了解的情況下，聽了錯誤的建議，所做出的可笑決定，王</w:t>
      </w:r>
      <w:r>
        <w:rPr>
          <w:rFonts w:eastAsia="標楷體" w:hAnsi="標楷體"/>
        </w:rPr>
        <w:t>董事長在演講時強調，當時他接管時，許多員工反映其實她們當時都知道那些決策是錯誤的，但是他們當時並沒有說出來，王董事長要求員工徹底改掉這個文化陋習，對老闆說真話，共同推動公司的進步。</w:t>
      </w:r>
    </w:p>
    <w:p w:rsidR="00000000" w:rsidRDefault="00FD50C0">
      <w:pPr>
        <w:spacing w:beforeLines="50" w:afterLines="50"/>
        <w:jc w:val="both"/>
        <w:rPr>
          <w:rFonts w:ascii="標楷體" w:eastAsia="標楷體" w:hAnsi="標楷體" w:hint="eastAsia"/>
        </w:rPr>
      </w:pPr>
    </w:p>
    <w:p w:rsidR="00000000" w:rsidRDefault="00FD50C0">
      <w:pPr>
        <w:numPr>
          <w:ilvl w:val="0"/>
          <w:numId w:val="34"/>
        </w:numPr>
        <w:spacing w:beforeLines="50" w:afterLines="50"/>
        <w:jc w:val="both"/>
        <w:rPr>
          <w:rFonts w:eastAsia="標楷體"/>
        </w:rPr>
      </w:pPr>
      <w:r>
        <w:rPr>
          <w:rFonts w:eastAsia="標楷體" w:hAnsi="標楷體"/>
        </w:rPr>
        <w:t>員工忠心耿耿</w:t>
      </w:r>
    </w:p>
    <w:p w:rsidR="00000000" w:rsidRDefault="00FD50C0">
      <w:pPr>
        <w:spacing w:beforeLines="50" w:afterLines="50"/>
        <w:ind w:firstLine="360"/>
        <w:jc w:val="both"/>
        <w:rPr>
          <w:rFonts w:eastAsia="標楷體"/>
          <w:kern w:val="0"/>
        </w:rPr>
      </w:pPr>
      <w:r>
        <w:rPr>
          <w:rFonts w:eastAsia="標楷體" w:hAnsi="標楷體"/>
          <w:kern w:val="0"/>
        </w:rPr>
        <w:t>東隆員工的忠誠度相當讓人動容，當初在募集資金時，已經過了繳款期</w:t>
      </w:r>
      <w:r>
        <w:rPr>
          <w:rFonts w:eastAsia="標楷體"/>
          <w:kern w:val="0"/>
        </w:rPr>
        <w:t>3</w:t>
      </w:r>
      <w:r>
        <w:rPr>
          <w:rFonts w:eastAsia="標楷體" w:hAnsi="標楷體"/>
          <w:kern w:val="0"/>
        </w:rPr>
        <w:t>個月，</w:t>
      </w:r>
      <w:r>
        <w:rPr>
          <w:rFonts w:eastAsia="標楷體"/>
          <w:kern w:val="0"/>
        </w:rPr>
        <w:t>22</w:t>
      </w:r>
      <w:r>
        <w:rPr>
          <w:rFonts w:eastAsia="標楷體" w:hAnsi="標楷體"/>
          <w:kern w:val="0"/>
        </w:rPr>
        <w:t>億元的額度才只募到</w:t>
      </w:r>
      <w:r>
        <w:rPr>
          <w:rFonts w:eastAsia="標楷體"/>
          <w:kern w:val="0"/>
        </w:rPr>
        <w:t>7000</w:t>
      </w:r>
      <w:r>
        <w:rPr>
          <w:rFonts w:eastAsia="標楷體" w:hAnsi="標楷體"/>
          <w:kern w:val="0"/>
        </w:rPr>
        <w:t>萬元，其中有</w:t>
      </w:r>
      <w:r>
        <w:rPr>
          <w:rFonts w:eastAsia="標楷體"/>
          <w:kern w:val="0"/>
        </w:rPr>
        <w:t>5000</w:t>
      </w:r>
      <w:r>
        <w:rPr>
          <w:rFonts w:eastAsia="標楷體" w:hAnsi="標楷體"/>
          <w:kern w:val="0"/>
        </w:rPr>
        <w:t>萬元是員工拿出來的；即使在東隆五金最艱困、風雨飄搖時期，這批技術精良的員工也沒有流失，人才的保留，是公司存在的最大價值。</w:t>
      </w:r>
    </w:p>
    <w:p w:rsidR="00000000" w:rsidRDefault="00FD50C0">
      <w:pPr>
        <w:spacing w:beforeLines="50" w:afterLines="50"/>
        <w:ind w:firstLine="360"/>
        <w:jc w:val="both"/>
        <w:rPr>
          <w:rFonts w:eastAsia="標楷體"/>
          <w:kern w:val="0"/>
        </w:rPr>
      </w:pPr>
      <w:r>
        <w:rPr>
          <w:rFonts w:eastAsia="標楷體" w:hAnsi="標楷體"/>
          <w:kern w:val="0"/>
        </w:rPr>
        <w:t>是什麼原因讓員工願意留下來一起奮鬥，有因就有果。大多數的老師傅，都是從年</w:t>
      </w:r>
      <w:r>
        <w:rPr>
          <w:rFonts w:eastAsia="標楷體" w:hAnsi="標楷體"/>
          <w:kern w:val="0"/>
        </w:rPr>
        <w:t>輕時就跟著東隆五金創辦人打拚，受到栽培，因為對公司有很深的感情，願意付出，也因為「有這批身懷絕技師傅們」，東隆五金即使是在台灣生產製造，毛利率還是可以達至</w:t>
      </w:r>
      <w:r>
        <w:rPr>
          <w:rFonts w:eastAsia="標楷體"/>
          <w:kern w:val="0"/>
        </w:rPr>
        <w:t>35</w:t>
      </w:r>
      <w:r>
        <w:rPr>
          <w:rFonts w:eastAsia="標楷體" w:hAnsi="標楷體"/>
          <w:kern w:val="0"/>
        </w:rPr>
        <w:t>％，這在「</w:t>
      </w:r>
      <w:r>
        <w:rPr>
          <w:rFonts w:eastAsia="標楷體"/>
          <w:kern w:val="0"/>
        </w:rPr>
        <w:t>made in taiwan</w:t>
      </w:r>
      <w:r>
        <w:rPr>
          <w:rFonts w:eastAsia="標楷體" w:hAnsi="標楷體"/>
          <w:kern w:val="0"/>
        </w:rPr>
        <w:t>」的產品來說，幾乎是在創造奇蹟了，東隆五金做的到，除了透過管理降低成本外，有優良的技術開發高階產品是最主要的原因。</w:t>
      </w:r>
    </w:p>
    <w:p w:rsidR="00000000" w:rsidRDefault="00FD50C0">
      <w:pPr>
        <w:spacing w:beforeLines="50" w:afterLines="50"/>
        <w:jc w:val="both"/>
        <w:rPr>
          <w:rFonts w:eastAsia="標楷體"/>
          <w:kern w:val="0"/>
          <w:u w:val="single"/>
        </w:rPr>
      </w:pPr>
      <w:r>
        <w:rPr>
          <w:rFonts w:eastAsia="標楷體"/>
          <w:b/>
          <w:kern w:val="0"/>
          <w:sz w:val="28"/>
          <w:szCs w:val="28"/>
          <w:u w:val="single"/>
        </w:rPr>
        <w:t>KEY PERSON 3--</w:t>
      </w:r>
      <w:r>
        <w:rPr>
          <w:rFonts w:eastAsia="標楷體"/>
          <w:b/>
          <w:kern w:val="0"/>
          <w:sz w:val="28"/>
          <w:szCs w:val="28"/>
          <w:u w:val="single"/>
        </w:rPr>
        <w:t>理律法律事務所顧問林秀玲</w:t>
      </w:r>
    </w:p>
    <w:p w:rsidR="00000000" w:rsidRDefault="00FD50C0">
      <w:pPr>
        <w:spacing w:beforeLines="50" w:afterLines="50"/>
        <w:jc w:val="both"/>
        <w:rPr>
          <w:rFonts w:eastAsia="標楷體"/>
        </w:rPr>
      </w:pPr>
      <w:r>
        <w:rPr>
          <w:rFonts w:eastAsia="標楷體"/>
        </w:rPr>
        <w:t>1.</w:t>
      </w:r>
      <w:r>
        <w:rPr>
          <w:rFonts w:eastAsia="標楷體"/>
        </w:rPr>
        <w:t>修改重整法，讓重整流程不再窒礙難行</w:t>
      </w:r>
    </w:p>
    <w:p w:rsidR="00000000" w:rsidRDefault="00FD50C0">
      <w:pPr>
        <w:spacing w:beforeLines="50" w:afterLines="50"/>
        <w:ind w:firstLine="480"/>
        <w:jc w:val="both"/>
        <w:rPr>
          <w:rFonts w:eastAsia="標楷體"/>
        </w:rPr>
      </w:pPr>
      <w:r>
        <w:rPr>
          <w:rFonts w:eastAsia="標楷體"/>
        </w:rPr>
        <w:t>結合林秀玲的專業法律知識，以及王鍾渝董事長的立法委員力量，共同推動修整重整法的內容，讓通過重整表決的過程較</w:t>
      </w:r>
      <w:r>
        <w:rPr>
          <w:rFonts w:eastAsia="標楷體"/>
        </w:rPr>
        <w:t>簡便。</w:t>
      </w:r>
    </w:p>
    <w:p w:rsidR="00000000" w:rsidRDefault="00FD50C0">
      <w:pPr>
        <w:spacing w:beforeLines="50" w:afterLines="50"/>
        <w:jc w:val="both"/>
        <w:rPr>
          <w:rFonts w:eastAsia="標楷體" w:hint="eastAsia"/>
        </w:rPr>
      </w:pPr>
      <w:r>
        <w:rPr>
          <w:rFonts w:eastAsia="標楷體"/>
        </w:rPr>
        <w:t>2.</w:t>
      </w:r>
      <w:r>
        <w:rPr>
          <w:rFonts w:eastAsia="標楷體"/>
        </w:rPr>
        <w:t>重整，一切計畫法律背書</w:t>
      </w:r>
      <w:r>
        <w:rPr>
          <w:rFonts w:eastAsia="標楷體"/>
        </w:rPr>
        <w:t xml:space="preserve"> </w:t>
      </w:r>
    </w:p>
    <w:p w:rsidR="00000000" w:rsidRDefault="00FD50C0">
      <w:pPr>
        <w:spacing w:beforeLines="50" w:afterLines="50"/>
        <w:ind w:firstLine="480"/>
        <w:jc w:val="both"/>
        <w:rPr>
          <w:rFonts w:eastAsia="標楷體" w:hint="eastAsia"/>
        </w:rPr>
      </w:pPr>
      <w:r>
        <w:rPr>
          <w:rFonts w:eastAsia="標楷體"/>
        </w:rPr>
        <w:t>陳伯昌指出，匯豐銀行的債權其實只占東隆五金的五％。掏空案後，重整人委員會取代舊的董事會，找了律師、財務顧問擬重整計畫，並讓債權銀行通過重整計畫，送到法院批准後生效，陳伯昌才來看這個投資案。「不然我不知道債權有多少，也沒有重整計畫的保障，錢一進來可能就通通被債權銀行拿走了！」</w:t>
      </w:r>
    </w:p>
    <w:p w:rsidR="00000000" w:rsidRDefault="00FD50C0">
      <w:pPr>
        <w:spacing w:beforeLines="50" w:afterLines="50"/>
        <w:ind w:firstLine="480"/>
        <w:jc w:val="both"/>
        <w:rPr>
          <w:rFonts w:eastAsia="標楷體"/>
        </w:rPr>
      </w:pPr>
      <w:r>
        <w:rPr>
          <w:rFonts w:eastAsia="標楷體"/>
        </w:rPr>
        <w:t>依據法院批准的七年還債計畫，陳伯昌拿到增資的錢，可以優先給公司營運用，再慢慢還債。「現在台灣很多重整企業搞不清楚狀況，重整計畫沒有合理的制訂，投資人錢就不敢進來，公司的體質便一直不斷地消耗到死，很可</w:t>
      </w:r>
      <w:r>
        <w:rPr>
          <w:rFonts w:eastAsia="標楷體"/>
        </w:rPr>
        <w:t>惜！」</w:t>
      </w:r>
    </w:p>
    <w:p w:rsidR="00000000" w:rsidRDefault="00FD50C0">
      <w:pPr>
        <w:widowControl/>
        <w:spacing w:beforeLines="50" w:afterLines="50"/>
        <w:jc w:val="both"/>
        <w:outlineLvl w:val="1"/>
        <w:rPr>
          <w:rFonts w:ascii="標楷體" w:eastAsia="標楷體" w:hAnsi="標楷體" w:hint="eastAsia"/>
          <w:b/>
          <w:bCs/>
          <w:sz w:val="28"/>
          <w:szCs w:val="28"/>
        </w:rPr>
      </w:pPr>
      <w:bookmarkStart w:id="15" w:name="_Toc42188621"/>
      <w:r>
        <w:rPr>
          <w:rFonts w:eastAsia="標楷體" w:hAnsi="標楷體" w:hint="eastAsia"/>
          <w:b/>
          <w:bCs/>
          <w:kern w:val="0"/>
          <w:sz w:val="28"/>
        </w:rPr>
        <w:t>(</w:t>
      </w:r>
      <w:r>
        <w:rPr>
          <w:rFonts w:eastAsia="標楷體" w:hAnsi="標楷體" w:hint="eastAsia"/>
          <w:b/>
          <w:bCs/>
          <w:kern w:val="0"/>
          <w:sz w:val="28"/>
        </w:rPr>
        <w:t>四</w:t>
      </w:r>
      <w:r>
        <w:rPr>
          <w:rFonts w:eastAsia="標楷體" w:hAnsi="標楷體" w:hint="eastAsia"/>
          <w:b/>
          <w:bCs/>
          <w:kern w:val="0"/>
          <w:sz w:val="28"/>
        </w:rPr>
        <w:t>)</w:t>
      </w:r>
      <w:r>
        <w:rPr>
          <w:rFonts w:eastAsia="標楷體" w:hAnsi="標楷體" w:hint="eastAsia"/>
          <w:b/>
          <w:bCs/>
          <w:kern w:val="0"/>
          <w:sz w:val="28"/>
        </w:rPr>
        <w:t>董事長對重整成功的定義</w:t>
      </w:r>
      <w:r>
        <w:rPr>
          <w:rFonts w:eastAsia="標楷體" w:hAnsi="標楷體" w:hint="eastAsia"/>
          <w:b/>
          <w:bCs/>
          <w:kern w:val="0"/>
          <w:sz w:val="28"/>
        </w:rPr>
        <w:t>---</w:t>
      </w:r>
      <w:r>
        <w:rPr>
          <w:rFonts w:eastAsia="標楷體" w:hAnsi="標楷體" w:hint="eastAsia"/>
          <w:b/>
          <w:bCs/>
          <w:kern w:val="0"/>
          <w:sz w:val="28"/>
        </w:rPr>
        <w:t>讓四方族群滿意</w:t>
      </w:r>
      <w:bookmarkEnd w:id="15"/>
    </w:p>
    <w:p w:rsidR="00000000" w:rsidRDefault="00FD50C0">
      <w:pPr>
        <w:spacing w:beforeLines="50" w:afterLines="50" w:line="300" w:lineRule="auto"/>
        <w:ind w:left="960" w:hangingChars="400" w:hanging="960"/>
        <w:rPr>
          <w:rFonts w:eastAsia="標楷體"/>
        </w:rPr>
      </w:pPr>
      <w:r>
        <w:rPr>
          <w:rFonts w:eastAsia="標楷體"/>
        </w:rPr>
        <w:t>1.</w:t>
      </w:r>
      <w:r>
        <w:rPr>
          <w:rFonts w:eastAsia="標楷體" w:hAnsi="標楷體"/>
        </w:rPr>
        <w:t>銀行：擬定還款計畫，與銀行協商，延遲付款。東隆與有擔保和沒有擔保的銀行兩方一起協商，雖然兩邊立場不同，不容易妥協，但銀行若堅持即刻清償債務的話，東隆也只能用現存固定資產清償有擔保銀行的債務，而無擔保銀行則是一毛錢也拿不到，但東隆的固定資產對有擔保銀行團來說其實效用非常地低，公司提出的還款計畫，也就是本金照還給有擔保銀行，七年內固定支付百分之六的利息，相對於收回固定資產是更有吸引力的，有擔保銀行妥協延遲付款；對無擔保銀行而言，公司保證償還債務的百分</w:t>
      </w:r>
      <w:r>
        <w:rPr>
          <w:rFonts w:eastAsia="標楷體" w:hAnsi="標楷體"/>
        </w:rPr>
        <w:t>之四十二，再加上每年百分之一的利息，與接受公司賴債不還比較起來，無擔保公司在延遲付款協議上也妥協。</w:t>
      </w:r>
    </w:p>
    <w:p w:rsidR="00000000" w:rsidRDefault="00FD50C0">
      <w:pPr>
        <w:spacing w:beforeLines="50" w:afterLines="50" w:line="300" w:lineRule="auto"/>
        <w:ind w:left="960" w:hangingChars="400" w:hanging="960"/>
        <w:rPr>
          <w:rFonts w:eastAsia="標楷體"/>
        </w:rPr>
      </w:pPr>
      <w:r>
        <w:rPr>
          <w:rFonts w:eastAsia="標楷體"/>
        </w:rPr>
        <w:t>2.</w:t>
      </w:r>
      <w:r>
        <w:rPr>
          <w:rFonts w:eastAsia="標楷體"/>
        </w:rPr>
        <w:t>員工：東隆是嘉義市後湖地區最大的工廠也是最大的雇主，在</w:t>
      </w:r>
      <w:r>
        <w:rPr>
          <w:rFonts w:eastAsia="標楷體"/>
        </w:rPr>
        <w:t>1998</w:t>
      </w:r>
      <w:r>
        <w:rPr>
          <w:rFonts w:eastAsia="標楷體"/>
        </w:rPr>
        <w:t>年雇用員工總數大約一千兩百位，在創辦者范耀鑫掌管時期，公司員工對管理者十分信服，因為董事長十分重視員工的福利，例如：公司年終一定舉辦全員工由上至下一起同歡的尾牙、每年員工都有一星期的員工旅遊的機會、公司每年提固定比例盈餘來做為員工的退休金，而無論是製造鎖的技術或是待人處世的態度，范耀鑫老董事長也一直是員工們敬佩的對象，沒有人比老董事長更熟悉製造</w:t>
      </w:r>
      <w:r>
        <w:rPr>
          <w:rFonts w:eastAsia="標楷體"/>
        </w:rPr>
        <w:t>鎖的過程、沒有人比老董事長更熟悉嘉義鐵皮工廠裡的一草一木，因為當初老董事長就是住在工廠裡以工廠起家的，讓許多當地居民及員工都跟范氏家族一樣對東隆都有存有深厚的感情。東隆掏空弊案發生後，員工們雖然感到不知所措但也無法有應變的對策，只能靜待新的管理團隊應變，王鐘渝董事長與陳伯昌總經理接手處理後便建立新的人事方針，即使公司陷入危機也不隨便開除任何一位員工，只要每位員工抱著誠實以對的態度，公司願意也期待能與員工一起度過難關！</w:t>
      </w:r>
    </w:p>
    <w:p w:rsidR="00000000" w:rsidRDefault="00FD50C0">
      <w:pPr>
        <w:spacing w:beforeLines="50" w:afterLines="50" w:line="300" w:lineRule="auto"/>
        <w:ind w:left="840" w:hangingChars="350" w:hanging="840"/>
        <w:rPr>
          <w:rFonts w:eastAsia="標楷體"/>
          <w:sz w:val="28"/>
        </w:rPr>
      </w:pPr>
      <w:r>
        <w:rPr>
          <w:rFonts w:eastAsia="標楷體"/>
        </w:rPr>
        <w:t>3.</w:t>
      </w:r>
      <w:r>
        <w:rPr>
          <w:rFonts w:eastAsia="標楷體" w:hAnsi="標楷體"/>
        </w:rPr>
        <w:t>客戶：在東隆最輝煌的民國</w:t>
      </w:r>
      <w:r>
        <w:rPr>
          <w:rFonts w:eastAsia="標楷體"/>
        </w:rPr>
        <w:t>80</w:t>
      </w:r>
      <w:r>
        <w:rPr>
          <w:rFonts w:eastAsia="標楷體" w:hAnsi="標楷體"/>
        </w:rPr>
        <w:t>年代，公司根本不需要任何行銷策略，客戶每天就排隊在工廠門口</w:t>
      </w:r>
      <w:r>
        <w:rPr>
          <w:rFonts w:eastAsia="標楷體" w:hAnsi="標楷體"/>
        </w:rPr>
        <w:t>等著買鎖，由於東隆製鎖的技術居於世界領先地位，再加上擁有多國專利權的保護，其他廠商無法輕易模仿製造，使其產品具高度差異化優勢，故客戶對東隆之議價能力對較低。但在掏空事件爆發後，客戶擔心債權人的求償延遲、甚至是停止東隆產品的出貨，紛紛停止對東隆下訂單，為了解決客戶的擔憂，重整監督人，也就是現任的董事長王鐘渝親自飛到歐美向客戶推銷產品、保證公司準時出貨，也讓國際大廠肯定東隆</w:t>
      </w:r>
      <w:r>
        <w:rPr>
          <w:rFonts w:eastAsia="標楷體"/>
        </w:rPr>
        <w:t>OEM/ODM</w:t>
      </w:r>
      <w:r>
        <w:rPr>
          <w:rFonts w:eastAsia="標楷體" w:hAnsi="標楷體"/>
        </w:rPr>
        <w:t>的技術。</w:t>
      </w:r>
    </w:p>
    <w:p w:rsidR="00000000" w:rsidRDefault="00FD50C0">
      <w:pPr>
        <w:spacing w:beforeLines="50" w:afterLines="50" w:line="300" w:lineRule="auto"/>
        <w:ind w:left="840" w:hangingChars="350" w:hanging="840"/>
        <w:rPr>
          <w:rFonts w:eastAsia="標楷體"/>
        </w:rPr>
      </w:pPr>
      <w:r>
        <w:rPr>
          <w:rFonts w:eastAsia="標楷體"/>
        </w:rPr>
        <w:t>4.</w:t>
      </w:r>
      <w:r>
        <w:rPr>
          <w:rFonts w:eastAsia="標楷體" w:hAnsi="標楷體"/>
        </w:rPr>
        <w:t>股東：在東隆五金被虧空後無資本淨值下，股東組無重整計畫可決之表決權，即其權益易受輕視。又公司重整制度為藉由法院介</w:t>
      </w:r>
      <w:r>
        <w:rPr>
          <w:rFonts w:eastAsia="標楷體" w:hAnsi="標楷體"/>
        </w:rPr>
        <w:t>入調整利害關係人之權利義務已挽救具重建更生可能之公司，因此，任一利害關係人皆不容受忽視。而在東隆五金重整計畫中，其重整人具股東身份，將能朝向「對股東損害最低下，債權人利益極大化」之原則來擬定重整計畫，以使本身損害降至最低，且能使重整計畫獲關係人會議可決。再者，該重整人亦為公司之經理人，對公司營運狀況熟悉，有益於重整進行。</w:t>
      </w:r>
    </w:p>
    <w:p w:rsidR="00000000" w:rsidRDefault="00FD50C0">
      <w:pPr>
        <w:spacing w:beforeLines="50" w:afterLines="50" w:line="360" w:lineRule="auto"/>
        <w:outlineLvl w:val="1"/>
        <w:rPr>
          <w:rFonts w:ascii="標楷體" w:eastAsia="標楷體" w:hAnsi="標楷體" w:hint="eastAsia"/>
          <w:b/>
          <w:bCs/>
          <w:sz w:val="28"/>
          <w:szCs w:val="28"/>
        </w:rPr>
      </w:pPr>
      <w:bookmarkStart w:id="16" w:name="_Toc42188622"/>
      <w:r>
        <w:rPr>
          <w:rFonts w:ascii="標楷體" w:eastAsia="標楷體" w:hAnsi="標楷體" w:hint="eastAsia"/>
          <w:b/>
          <w:bCs/>
          <w:sz w:val="28"/>
          <w:szCs w:val="28"/>
        </w:rPr>
        <w:t>(</w:t>
      </w:r>
      <w:r>
        <w:rPr>
          <w:rFonts w:ascii="標楷體" w:eastAsia="標楷體" w:hAnsi="標楷體" w:hint="eastAsia"/>
          <w:b/>
          <w:bCs/>
          <w:sz w:val="28"/>
          <w:szCs w:val="28"/>
        </w:rPr>
        <w:t>五</w:t>
      </w:r>
      <w:r>
        <w:rPr>
          <w:rFonts w:ascii="標楷體" w:eastAsia="標楷體" w:hAnsi="標楷體" w:hint="eastAsia"/>
          <w:b/>
          <w:bCs/>
          <w:sz w:val="28"/>
          <w:szCs w:val="28"/>
        </w:rPr>
        <w:t>)</w:t>
      </w:r>
      <w:r>
        <w:rPr>
          <w:rFonts w:ascii="標楷體" w:eastAsia="標楷體" w:hAnsi="標楷體" w:hint="eastAsia"/>
          <w:b/>
          <w:bCs/>
          <w:sz w:val="28"/>
          <w:szCs w:val="28"/>
        </w:rPr>
        <w:t>重整的步驟</w:t>
      </w:r>
      <w:bookmarkEnd w:id="16"/>
    </w:p>
    <w:p w:rsidR="00000000" w:rsidRDefault="00FD50C0">
      <w:pPr>
        <w:spacing w:beforeLines="50" w:afterLines="50"/>
        <w:ind w:firstLine="480"/>
        <w:jc w:val="both"/>
        <w:rPr>
          <w:rFonts w:eastAsia="標楷體"/>
        </w:rPr>
      </w:pPr>
      <w:r>
        <w:rPr>
          <w:rFonts w:eastAsia="標楷體" w:hAnsi="標楷體" w:hint="eastAsia"/>
        </w:rPr>
        <w:t>東隆五金</w:t>
      </w:r>
      <w:r>
        <w:rPr>
          <w:rFonts w:eastAsia="標楷體" w:hAnsi="標楷體"/>
        </w:rPr>
        <w:t>公司</w:t>
      </w:r>
      <w:r>
        <w:rPr>
          <w:rFonts w:eastAsia="標楷體" w:hAnsi="標楷體" w:hint="eastAsia"/>
        </w:rPr>
        <w:t>的</w:t>
      </w:r>
      <w:r>
        <w:rPr>
          <w:rFonts w:eastAsia="標楷體" w:hAnsi="標楷體"/>
        </w:rPr>
        <w:t>重整</w:t>
      </w:r>
      <w:r>
        <w:rPr>
          <w:rFonts w:eastAsia="標楷體" w:hAnsi="標楷體" w:hint="eastAsia"/>
        </w:rPr>
        <w:t>步驟主要分為以下四個大方向：</w:t>
      </w:r>
    </w:p>
    <w:p w:rsidR="00000000" w:rsidRDefault="00FD50C0">
      <w:pPr>
        <w:numPr>
          <w:ilvl w:val="0"/>
          <w:numId w:val="39"/>
        </w:numPr>
        <w:spacing w:beforeLines="50" w:afterLines="50"/>
        <w:jc w:val="both"/>
        <w:rPr>
          <w:rFonts w:eastAsia="標楷體" w:hint="eastAsia"/>
        </w:rPr>
      </w:pPr>
      <w:r>
        <w:rPr>
          <w:rFonts w:eastAsia="標楷體" w:hAnsi="標楷體"/>
        </w:rPr>
        <w:t>出清閒置資產</w:t>
      </w:r>
    </w:p>
    <w:tbl>
      <w:tblPr>
        <w:tblW w:w="5000" w:type="pct"/>
        <w:tblBorders>
          <w:top w:val="single" w:sz="12" w:space="0" w:color="008000"/>
          <w:bottom w:val="single" w:sz="12" w:space="0" w:color="008000"/>
        </w:tblBorders>
        <w:tblLook w:val="0000"/>
      </w:tblPr>
      <w:tblGrid>
        <w:gridCol w:w="2119"/>
        <w:gridCol w:w="1989"/>
        <w:gridCol w:w="2415"/>
        <w:gridCol w:w="1999"/>
      </w:tblGrid>
      <w:tr w:rsidR="00000000">
        <w:trPr>
          <w:trHeight w:val="390"/>
        </w:trPr>
        <w:tc>
          <w:tcPr>
            <w:tcW w:w="1243" w:type="pct"/>
            <w:tcBorders>
              <w:bottom w:val="single" w:sz="8" w:space="0" w:color="008000"/>
            </w:tcBorders>
          </w:tcPr>
          <w:p w:rsidR="00000000" w:rsidRDefault="00FD50C0">
            <w:pPr>
              <w:jc w:val="both"/>
              <w:rPr>
                <w:rFonts w:eastAsia="標楷體" w:hAnsi="標楷體"/>
              </w:rPr>
            </w:pPr>
            <w:r>
              <w:rPr>
                <w:rFonts w:eastAsia="標楷體" w:hAnsi="標楷體" w:hint="eastAsia"/>
                <w:b/>
                <w:bCs/>
              </w:rPr>
              <w:t>百萬元</w:t>
            </w:r>
          </w:p>
        </w:tc>
        <w:tc>
          <w:tcPr>
            <w:tcW w:w="1167" w:type="pct"/>
            <w:tcBorders>
              <w:bottom w:val="single" w:sz="8" w:space="0" w:color="008000"/>
            </w:tcBorders>
          </w:tcPr>
          <w:p w:rsidR="00000000" w:rsidRDefault="00FD50C0">
            <w:pPr>
              <w:jc w:val="both"/>
              <w:rPr>
                <w:rFonts w:eastAsia="標楷體" w:hAnsi="標楷體"/>
              </w:rPr>
            </w:pPr>
            <w:r>
              <w:rPr>
                <w:rFonts w:eastAsia="標楷體" w:hAnsi="標楷體" w:hint="eastAsia"/>
                <w:b/>
                <w:bCs/>
              </w:rPr>
              <w:t>資產淨值</w:t>
            </w:r>
          </w:p>
        </w:tc>
        <w:tc>
          <w:tcPr>
            <w:tcW w:w="1417" w:type="pct"/>
            <w:tcBorders>
              <w:bottom w:val="single" w:sz="8" w:space="0" w:color="008000"/>
            </w:tcBorders>
          </w:tcPr>
          <w:p w:rsidR="00000000" w:rsidRDefault="00FD50C0">
            <w:pPr>
              <w:jc w:val="both"/>
              <w:rPr>
                <w:rFonts w:eastAsia="標楷體" w:hAnsi="標楷體"/>
              </w:rPr>
            </w:pPr>
            <w:r>
              <w:rPr>
                <w:rFonts w:eastAsia="標楷體" w:hAnsi="標楷體" w:hint="eastAsia"/>
                <w:b/>
                <w:bCs/>
              </w:rPr>
              <w:t>處分</w:t>
            </w:r>
            <w:r>
              <w:rPr>
                <w:rFonts w:eastAsia="標楷體" w:hAnsi="標楷體" w:hint="eastAsia"/>
                <w:b/>
                <w:bCs/>
              </w:rPr>
              <w:t>(</w:t>
            </w:r>
            <w:r>
              <w:rPr>
                <w:rFonts w:eastAsia="標楷體" w:hAnsi="標楷體" w:hint="eastAsia"/>
                <w:b/>
                <w:bCs/>
              </w:rPr>
              <w:t>損</w:t>
            </w:r>
            <w:r>
              <w:rPr>
                <w:rFonts w:eastAsia="標楷體" w:hAnsi="標楷體" w:hint="eastAsia"/>
                <w:b/>
                <w:bCs/>
              </w:rPr>
              <w:t>)</w:t>
            </w:r>
            <w:r>
              <w:rPr>
                <w:rFonts w:eastAsia="標楷體" w:hAnsi="標楷體" w:hint="eastAsia"/>
                <w:b/>
                <w:bCs/>
              </w:rPr>
              <w:t>益</w:t>
            </w:r>
          </w:p>
        </w:tc>
        <w:tc>
          <w:tcPr>
            <w:tcW w:w="1174" w:type="pct"/>
            <w:tcBorders>
              <w:bottom w:val="single" w:sz="8" w:space="0" w:color="008000"/>
            </w:tcBorders>
          </w:tcPr>
          <w:p w:rsidR="00000000" w:rsidRDefault="00FD50C0">
            <w:pPr>
              <w:jc w:val="both"/>
              <w:rPr>
                <w:rFonts w:eastAsia="標楷體" w:hAnsi="標楷體"/>
              </w:rPr>
            </w:pPr>
            <w:r>
              <w:rPr>
                <w:rFonts w:eastAsia="標楷體" w:hAnsi="標楷體" w:hint="eastAsia"/>
                <w:b/>
                <w:bCs/>
              </w:rPr>
              <w:t>處分日期</w:t>
            </w:r>
            <w:r>
              <w:rPr>
                <w:rFonts w:eastAsia="標楷體" w:hAnsi="標楷體" w:hint="eastAsia"/>
                <w:b/>
                <w:bCs/>
              </w:rPr>
              <w:t xml:space="preserve"> </w:t>
            </w:r>
          </w:p>
        </w:tc>
      </w:tr>
      <w:tr w:rsidR="00000000">
        <w:trPr>
          <w:trHeight w:val="390"/>
        </w:trPr>
        <w:tc>
          <w:tcPr>
            <w:tcW w:w="1243" w:type="pct"/>
            <w:tcBorders>
              <w:top w:val="single" w:sz="8" w:space="0" w:color="008000"/>
            </w:tcBorders>
          </w:tcPr>
          <w:p w:rsidR="00000000" w:rsidRDefault="00FD50C0">
            <w:pPr>
              <w:jc w:val="both"/>
              <w:rPr>
                <w:rFonts w:eastAsia="標楷體" w:hAnsi="標楷體"/>
              </w:rPr>
            </w:pPr>
            <w:r>
              <w:rPr>
                <w:rFonts w:eastAsia="標楷體" w:hAnsi="標楷體" w:hint="eastAsia"/>
                <w:b/>
                <w:bCs/>
              </w:rPr>
              <w:t>高雄大樓</w:t>
            </w:r>
            <w:r>
              <w:rPr>
                <w:rFonts w:eastAsia="標楷體" w:hAnsi="標楷體" w:hint="eastAsia"/>
                <w:b/>
                <w:bCs/>
              </w:rPr>
              <w:t xml:space="preserve"> </w:t>
            </w:r>
          </w:p>
        </w:tc>
        <w:tc>
          <w:tcPr>
            <w:tcW w:w="1167" w:type="pct"/>
            <w:tcBorders>
              <w:top w:val="single" w:sz="8" w:space="0" w:color="008000"/>
            </w:tcBorders>
          </w:tcPr>
          <w:p w:rsidR="00000000" w:rsidRDefault="00FD50C0">
            <w:pPr>
              <w:jc w:val="both"/>
              <w:rPr>
                <w:rFonts w:eastAsia="標楷體" w:hAnsi="標楷體"/>
              </w:rPr>
            </w:pPr>
            <w:r>
              <w:rPr>
                <w:rFonts w:eastAsia="標楷體" w:hAnsi="標楷體" w:hint="eastAsia"/>
                <w:b/>
                <w:bCs/>
              </w:rPr>
              <w:t>218</w:t>
            </w:r>
          </w:p>
        </w:tc>
        <w:tc>
          <w:tcPr>
            <w:tcW w:w="1417" w:type="pct"/>
            <w:tcBorders>
              <w:top w:val="single" w:sz="8" w:space="0" w:color="008000"/>
            </w:tcBorders>
          </w:tcPr>
          <w:p w:rsidR="00000000" w:rsidRDefault="00FD50C0">
            <w:pPr>
              <w:jc w:val="both"/>
              <w:rPr>
                <w:rFonts w:eastAsia="標楷體" w:hAnsi="標楷體"/>
              </w:rPr>
            </w:pPr>
            <w:r>
              <w:rPr>
                <w:rFonts w:eastAsia="標楷體" w:hAnsi="標楷體" w:hint="eastAsia"/>
                <w:b/>
                <w:bCs/>
              </w:rPr>
              <w:t xml:space="preserve">(44) </w:t>
            </w:r>
          </w:p>
        </w:tc>
        <w:tc>
          <w:tcPr>
            <w:tcW w:w="1174" w:type="pct"/>
            <w:tcBorders>
              <w:top w:val="single" w:sz="8" w:space="0" w:color="008000"/>
            </w:tcBorders>
          </w:tcPr>
          <w:p w:rsidR="00000000" w:rsidRDefault="00FD50C0">
            <w:pPr>
              <w:jc w:val="both"/>
              <w:rPr>
                <w:rFonts w:eastAsia="標楷體" w:hAnsi="標楷體"/>
              </w:rPr>
            </w:pPr>
            <w:r>
              <w:rPr>
                <w:rFonts w:eastAsia="標楷體" w:hAnsi="標楷體" w:hint="eastAsia"/>
                <w:b/>
                <w:bCs/>
              </w:rPr>
              <w:t xml:space="preserve">2000.12 </w:t>
            </w:r>
          </w:p>
        </w:tc>
      </w:tr>
      <w:tr w:rsidR="00000000">
        <w:trPr>
          <w:trHeight w:val="390"/>
        </w:trPr>
        <w:tc>
          <w:tcPr>
            <w:tcW w:w="1243" w:type="pct"/>
          </w:tcPr>
          <w:p w:rsidR="00000000" w:rsidRDefault="00FD50C0">
            <w:pPr>
              <w:jc w:val="both"/>
              <w:rPr>
                <w:rFonts w:eastAsia="標楷體" w:hAnsi="標楷體"/>
              </w:rPr>
            </w:pPr>
            <w:r>
              <w:rPr>
                <w:rFonts w:eastAsia="標楷體" w:hAnsi="標楷體" w:hint="eastAsia"/>
                <w:b/>
                <w:bCs/>
              </w:rPr>
              <w:t>台中大樓</w:t>
            </w:r>
          </w:p>
        </w:tc>
        <w:tc>
          <w:tcPr>
            <w:tcW w:w="1167" w:type="pct"/>
          </w:tcPr>
          <w:p w:rsidR="00000000" w:rsidRDefault="00FD50C0">
            <w:pPr>
              <w:jc w:val="both"/>
              <w:rPr>
                <w:rFonts w:eastAsia="標楷體" w:hAnsi="標楷體"/>
              </w:rPr>
            </w:pPr>
            <w:r>
              <w:rPr>
                <w:rFonts w:eastAsia="標楷體" w:hAnsi="標楷體" w:hint="eastAsia"/>
                <w:b/>
                <w:bCs/>
              </w:rPr>
              <w:t>117</w:t>
            </w:r>
          </w:p>
        </w:tc>
        <w:tc>
          <w:tcPr>
            <w:tcW w:w="1417" w:type="pct"/>
          </w:tcPr>
          <w:p w:rsidR="00000000" w:rsidRDefault="00FD50C0">
            <w:pPr>
              <w:jc w:val="both"/>
              <w:rPr>
                <w:rFonts w:eastAsia="標楷體" w:hAnsi="標楷體"/>
              </w:rPr>
            </w:pPr>
            <w:r>
              <w:rPr>
                <w:rFonts w:eastAsia="標楷體" w:hAnsi="標楷體" w:hint="eastAsia"/>
                <w:b/>
                <w:bCs/>
              </w:rPr>
              <w:t>—</w:t>
            </w:r>
            <w:r>
              <w:rPr>
                <w:rFonts w:eastAsia="標楷體" w:hAnsi="標楷體" w:hint="eastAsia"/>
                <w:b/>
                <w:bCs/>
              </w:rPr>
              <w:t xml:space="preserve"> </w:t>
            </w:r>
          </w:p>
        </w:tc>
        <w:tc>
          <w:tcPr>
            <w:tcW w:w="1174" w:type="pct"/>
          </w:tcPr>
          <w:p w:rsidR="00000000" w:rsidRDefault="00FD50C0">
            <w:pPr>
              <w:jc w:val="both"/>
              <w:rPr>
                <w:rFonts w:eastAsia="標楷體" w:hAnsi="標楷體"/>
              </w:rPr>
            </w:pPr>
            <w:r>
              <w:rPr>
                <w:rFonts w:eastAsia="標楷體" w:hAnsi="標楷體" w:hint="eastAsia"/>
                <w:b/>
                <w:bCs/>
              </w:rPr>
              <w:t xml:space="preserve">2001.08 </w:t>
            </w:r>
          </w:p>
        </w:tc>
      </w:tr>
      <w:tr w:rsidR="00000000">
        <w:trPr>
          <w:trHeight w:val="500"/>
        </w:trPr>
        <w:tc>
          <w:tcPr>
            <w:tcW w:w="1243" w:type="pct"/>
          </w:tcPr>
          <w:p w:rsidR="00000000" w:rsidRDefault="00FD50C0">
            <w:pPr>
              <w:jc w:val="both"/>
              <w:rPr>
                <w:rFonts w:eastAsia="標楷體" w:hAnsi="標楷體"/>
              </w:rPr>
            </w:pPr>
            <w:r>
              <w:rPr>
                <w:rFonts w:eastAsia="標楷體" w:hAnsi="標楷體" w:hint="eastAsia"/>
                <w:b/>
                <w:bCs/>
              </w:rPr>
              <w:t>二廠</w:t>
            </w:r>
            <w:r>
              <w:rPr>
                <w:rFonts w:eastAsia="標楷體" w:hAnsi="標楷體" w:hint="eastAsia"/>
                <w:b/>
                <w:bCs/>
              </w:rPr>
              <w:t>1,400</w:t>
            </w:r>
            <w:r>
              <w:rPr>
                <w:rFonts w:eastAsia="標楷體" w:hAnsi="標楷體" w:hint="eastAsia"/>
                <w:b/>
                <w:bCs/>
              </w:rPr>
              <w:t>坪</w:t>
            </w:r>
            <w:r>
              <w:rPr>
                <w:rFonts w:eastAsia="標楷體" w:hAnsi="標楷體" w:hint="eastAsia"/>
                <w:b/>
                <w:bCs/>
              </w:rPr>
              <w:t xml:space="preserve"> </w:t>
            </w:r>
          </w:p>
        </w:tc>
        <w:tc>
          <w:tcPr>
            <w:tcW w:w="1167" w:type="pct"/>
          </w:tcPr>
          <w:p w:rsidR="00000000" w:rsidRDefault="00FD50C0">
            <w:pPr>
              <w:jc w:val="both"/>
              <w:rPr>
                <w:rFonts w:eastAsia="標楷體" w:hAnsi="標楷體"/>
              </w:rPr>
            </w:pPr>
            <w:r>
              <w:rPr>
                <w:rFonts w:eastAsia="標楷體" w:hAnsi="標楷體" w:hint="eastAsia"/>
                <w:b/>
                <w:bCs/>
              </w:rPr>
              <w:t>37</w:t>
            </w:r>
          </w:p>
        </w:tc>
        <w:tc>
          <w:tcPr>
            <w:tcW w:w="1417" w:type="pct"/>
          </w:tcPr>
          <w:p w:rsidR="00000000" w:rsidRDefault="00FD50C0">
            <w:pPr>
              <w:jc w:val="both"/>
              <w:rPr>
                <w:rFonts w:eastAsia="標楷體" w:hAnsi="標楷體"/>
              </w:rPr>
            </w:pPr>
            <w:r>
              <w:rPr>
                <w:rFonts w:eastAsia="標楷體" w:hAnsi="標楷體" w:hint="eastAsia"/>
                <w:b/>
                <w:bCs/>
              </w:rPr>
              <w:t xml:space="preserve">14 </w:t>
            </w:r>
          </w:p>
        </w:tc>
        <w:tc>
          <w:tcPr>
            <w:tcW w:w="1174" w:type="pct"/>
          </w:tcPr>
          <w:p w:rsidR="00000000" w:rsidRDefault="00FD50C0">
            <w:pPr>
              <w:jc w:val="both"/>
              <w:rPr>
                <w:rFonts w:eastAsia="標楷體" w:hAnsi="標楷體"/>
              </w:rPr>
            </w:pPr>
            <w:r>
              <w:rPr>
                <w:rFonts w:eastAsia="標楷體" w:hAnsi="標楷體" w:hint="eastAsia"/>
                <w:b/>
                <w:bCs/>
              </w:rPr>
              <w:t xml:space="preserve">2004.08 </w:t>
            </w:r>
          </w:p>
        </w:tc>
      </w:tr>
      <w:tr w:rsidR="00000000">
        <w:trPr>
          <w:trHeight w:val="550"/>
        </w:trPr>
        <w:tc>
          <w:tcPr>
            <w:tcW w:w="1243" w:type="pct"/>
          </w:tcPr>
          <w:p w:rsidR="00000000" w:rsidRDefault="00FD50C0">
            <w:pPr>
              <w:jc w:val="both"/>
              <w:rPr>
                <w:rFonts w:eastAsia="標楷體" w:hAnsi="標楷體"/>
              </w:rPr>
            </w:pPr>
            <w:r>
              <w:rPr>
                <w:rFonts w:eastAsia="標楷體" w:hAnsi="標楷體" w:hint="eastAsia"/>
                <w:b/>
                <w:bCs/>
              </w:rPr>
              <w:t>梅林廠</w:t>
            </w:r>
            <w:r>
              <w:rPr>
                <w:rFonts w:eastAsia="標楷體" w:hAnsi="標楷體" w:hint="eastAsia"/>
                <w:b/>
                <w:bCs/>
              </w:rPr>
              <w:t>2,100</w:t>
            </w:r>
            <w:r>
              <w:rPr>
                <w:rFonts w:eastAsia="標楷體" w:hAnsi="標楷體" w:hint="eastAsia"/>
                <w:b/>
                <w:bCs/>
              </w:rPr>
              <w:t>坪</w:t>
            </w:r>
            <w:r>
              <w:rPr>
                <w:rFonts w:eastAsia="標楷體" w:hAnsi="標楷體" w:hint="eastAsia"/>
                <w:b/>
                <w:bCs/>
              </w:rPr>
              <w:t xml:space="preserve"> </w:t>
            </w:r>
          </w:p>
        </w:tc>
        <w:tc>
          <w:tcPr>
            <w:tcW w:w="1167" w:type="pct"/>
          </w:tcPr>
          <w:p w:rsidR="00000000" w:rsidRDefault="00FD50C0">
            <w:pPr>
              <w:jc w:val="both"/>
              <w:rPr>
                <w:rFonts w:eastAsia="標楷體" w:hAnsi="標楷體"/>
              </w:rPr>
            </w:pPr>
            <w:r>
              <w:rPr>
                <w:rFonts w:eastAsia="標楷體" w:hAnsi="標楷體" w:hint="eastAsia"/>
                <w:b/>
                <w:bCs/>
              </w:rPr>
              <w:t>49</w:t>
            </w:r>
          </w:p>
        </w:tc>
        <w:tc>
          <w:tcPr>
            <w:tcW w:w="1417" w:type="pct"/>
          </w:tcPr>
          <w:p w:rsidR="00000000" w:rsidRDefault="00FD50C0">
            <w:pPr>
              <w:jc w:val="both"/>
              <w:rPr>
                <w:rFonts w:eastAsia="標楷體" w:hAnsi="標楷體"/>
              </w:rPr>
            </w:pPr>
            <w:r>
              <w:rPr>
                <w:rFonts w:eastAsia="標楷體" w:hAnsi="標楷體" w:hint="eastAsia"/>
                <w:b/>
                <w:bCs/>
              </w:rPr>
              <w:t xml:space="preserve">21 </w:t>
            </w:r>
          </w:p>
        </w:tc>
        <w:tc>
          <w:tcPr>
            <w:tcW w:w="1174" w:type="pct"/>
          </w:tcPr>
          <w:p w:rsidR="00000000" w:rsidRDefault="00FD50C0">
            <w:pPr>
              <w:jc w:val="both"/>
              <w:rPr>
                <w:rFonts w:eastAsia="標楷體" w:hAnsi="標楷體"/>
              </w:rPr>
            </w:pPr>
            <w:r>
              <w:rPr>
                <w:rFonts w:eastAsia="標楷體" w:hAnsi="標楷體" w:hint="eastAsia"/>
                <w:b/>
                <w:bCs/>
              </w:rPr>
              <w:t>2004.09</w:t>
            </w:r>
          </w:p>
        </w:tc>
      </w:tr>
      <w:tr w:rsidR="00000000">
        <w:trPr>
          <w:trHeight w:val="675"/>
        </w:trPr>
        <w:tc>
          <w:tcPr>
            <w:tcW w:w="1243" w:type="pct"/>
            <w:tcBorders>
              <w:bottom w:val="single" w:sz="8" w:space="0" w:color="008000"/>
            </w:tcBorders>
          </w:tcPr>
          <w:p w:rsidR="00000000" w:rsidRDefault="00FD50C0">
            <w:pPr>
              <w:jc w:val="both"/>
              <w:rPr>
                <w:rFonts w:eastAsia="標楷體" w:hAnsi="標楷體"/>
              </w:rPr>
            </w:pPr>
            <w:r>
              <w:rPr>
                <w:rFonts w:eastAsia="標楷體" w:hAnsi="標楷體" w:hint="eastAsia"/>
                <w:b/>
                <w:bCs/>
              </w:rPr>
              <w:t>梅林廠</w:t>
            </w:r>
            <w:r>
              <w:rPr>
                <w:rFonts w:eastAsia="標楷體" w:hAnsi="標楷體" w:hint="eastAsia"/>
                <w:b/>
                <w:bCs/>
              </w:rPr>
              <w:t>7,500</w:t>
            </w:r>
            <w:r>
              <w:rPr>
                <w:rFonts w:eastAsia="標楷體" w:hAnsi="標楷體" w:hint="eastAsia"/>
                <w:b/>
                <w:bCs/>
              </w:rPr>
              <w:t>坪</w:t>
            </w:r>
            <w:r>
              <w:rPr>
                <w:rFonts w:eastAsia="標楷體" w:hAnsi="標楷體" w:hint="eastAsia"/>
                <w:b/>
                <w:bCs/>
              </w:rPr>
              <w:t xml:space="preserve"> </w:t>
            </w:r>
          </w:p>
        </w:tc>
        <w:tc>
          <w:tcPr>
            <w:tcW w:w="1167" w:type="pct"/>
            <w:tcBorders>
              <w:bottom w:val="single" w:sz="8" w:space="0" w:color="008000"/>
            </w:tcBorders>
          </w:tcPr>
          <w:p w:rsidR="00000000" w:rsidRDefault="00FD50C0">
            <w:pPr>
              <w:jc w:val="both"/>
              <w:rPr>
                <w:rFonts w:eastAsia="標楷體" w:hAnsi="標楷體"/>
              </w:rPr>
            </w:pPr>
            <w:r>
              <w:rPr>
                <w:rFonts w:eastAsia="標楷體" w:hAnsi="標楷體" w:hint="eastAsia"/>
                <w:b/>
                <w:bCs/>
              </w:rPr>
              <w:t>170</w:t>
            </w:r>
          </w:p>
        </w:tc>
        <w:tc>
          <w:tcPr>
            <w:tcW w:w="1417" w:type="pct"/>
            <w:tcBorders>
              <w:bottom w:val="single" w:sz="8" w:space="0" w:color="008000"/>
            </w:tcBorders>
          </w:tcPr>
          <w:p w:rsidR="00000000" w:rsidRDefault="00FD50C0">
            <w:pPr>
              <w:jc w:val="both"/>
              <w:rPr>
                <w:rFonts w:eastAsia="標楷體" w:hAnsi="標楷體"/>
              </w:rPr>
            </w:pPr>
            <w:r>
              <w:rPr>
                <w:rFonts w:eastAsia="標楷體" w:hAnsi="標楷體" w:hint="eastAsia"/>
                <w:b/>
                <w:bCs/>
              </w:rPr>
              <w:t xml:space="preserve">99 </w:t>
            </w:r>
          </w:p>
        </w:tc>
        <w:tc>
          <w:tcPr>
            <w:tcW w:w="1174" w:type="pct"/>
            <w:tcBorders>
              <w:bottom w:val="single" w:sz="8" w:space="0" w:color="008000"/>
            </w:tcBorders>
          </w:tcPr>
          <w:p w:rsidR="00000000" w:rsidRDefault="00FD50C0">
            <w:pPr>
              <w:jc w:val="both"/>
              <w:rPr>
                <w:rFonts w:eastAsia="標楷體" w:hAnsi="標楷體"/>
              </w:rPr>
            </w:pPr>
            <w:r>
              <w:rPr>
                <w:rFonts w:eastAsia="標楷體" w:hAnsi="標楷體" w:hint="eastAsia"/>
                <w:b/>
                <w:bCs/>
              </w:rPr>
              <w:t>2005.02</w:t>
            </w:r>
          </w:p>
        </w:tc>
      </w:tr>
      <w:tr w:rsidR="00000000">
        <w:trPr>
          <w:trHeight w:val="390"/>
        </w:trPr>
        <w:tc>
          <w:tcPr>
            <w:tcW w:w="1243" w:type="pct"/>
            <w:tcBorders>
              <w:top w:val="single" w:sz="8" w:space="0" w:color="008000"/>
            </w:tcBorders>
          </w:tcPr>
          <w:p w:rsidR="00000000" w:rsidRDefault="00FD50C0">
            <w:pPr>
              <w:jc w:val="both"/>
              <w:rPr>
                <w:rFonts w:eastAsia="標楷體" w:hAnsi="標楷體"/>
              </w:rPr>
            </w:pPr>
            <w:r>
              <w:rPr>
                <w:rFonts w:eastAsia="標楷體" w:hAnsi="標楷體" w:hint="eastAsia"/>
                <w:b/>
                <w:bCs/>
              </w:rPr>
              <w:t>合計</w:t>
            </w:r>
            <w:r>
              <w:rPr>
                <w:rFonts w:eastAsia="標楷體" w:hAnsi="標楷體" w:hint="eastAsia"/>
                <w:b/>
                <w:bCs/>
              </w:rPr>
              <w:t xml:space="preserve"> </w:t>
            </w:r>
          </w:p>
        </w:tc>
        <w:tc>
          <w:tcPr>
            <w:tcW w:w="1167" w:type="pct"/>
            <w:tcBorders>
              <w:top w:val="single" w:sz="8" w:space="0" w:color="008000"/>
            </w:tcBorders>
          </w:tcPr>
          <w:p w:rsidR="00000000" w:rsidRDefault="00FD50C0">
            <w:pPr>
              <w:jc w:val="both"/>
              <w:rPr>
                <w:rFonts w:eastAsia="標楷體" w:hAnsi="標楷體"/>
              </w:rPr>
            </w:pPr>
            <w:r>
              <w:rPr>
                <w:rFonts w:eastAsia="標楷體" w:hAnsi="標楷體" w:hint="eastAsia"/>
                <w:b/>
                <w:bCs/>
              </w:rPr>
              <w:t>591</w:t>
            </w:r>
          </w:p>
        </w:tc>
        <w:tc>
          <w:tcPr>
            <w:tcW w:w="1417" w:type="pct"/>
            <w:tcBorders>
              <w:top w:val="single" w:sz="8" w:space="0" w:color="008000"/>
            </w:tcBorders>
          </w:tcPr>
          <w:p w:rsidR="00000000" w:rsidRDefault="00FD50C0">
            <w:pPr>
              <w:jc w:val="both"/>
              <w:rPr>
                <w:rFonts w:eastAsia="標楷體" w:hAnsi="標楷體"/>
              </w:rPr>
            </w:pPr>
            <w:r>
              <w:rPr>
                <w:rFonts w:eastAsia="標楷體" w:hAnsi="標楷體" w:hint="eastAsia"/>
                <w:b/>
                <w:bCs/>
              </w:rPr>
              <w:t xml:space="preserve">90 </w:t>
            </w:r>
          </w:p>
        </w:tc>
        <w:tc>
          <w:tcPr>
            <w:tcW w:w="1174" w:type="pct"/>
            <w:tcBorders>
              <w:top w:val="single" w:sz="8" w:space="0" w:color="008000"/>
            </w:tcBorders>
          </w:tcPr>
          <w:p w:rsidR="00000000" w:rsidRDefault="00FD50C0">
            <w:pPr>
              <w:jc w:val="both"/>
              <w:rPr>
                <w:rFonts w:eastAsia="標楷體" w:hAnsi="標楷體"/>
              </w:rPr>
            </w:pPr>
          </w:p>
        </w:tc>
      </w:tr>
    </w:tbl>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r>
        <w:rPr>
          <w:rFonts w:eastAsia="標楷體" w:hint="eastAsia"/>
          <w:noProof/>
        </w:rPr>
        <w:pict>
          <v:shape id="_x0000_s1081" type="#_x0000_t75" style="position:absolute;left:0;text-align:left;margin-left:36pt;margin-top:-18pt;width:300pt;height:306pt;z-index:251663360" o:bwpure="blackTextAndLines" o:bwnormal="blackTextAndLines">
            <v:imagedata r:id="rId23" o:title=""/>
          </v:shape>
          <o:OLEObject Type="Embed" ProgID="MSGraph.Chart.8" ShapeID="_x0000_s1081" DrawAspect="Content" ObjectID="_1358853878" r:id="rId24">
            <o:FieldCodes>\s</o:FieldCodes>
          </o:OLEObject>
        </w:pict>
      </w: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spacing w:beforeLines="50" w:afterLines="50"/>
        <w:jc w:val="both"/>
        <w:rPr>
          <w:rFonts w:eastAsia="標楷體" w:hint="eastAsia"/>
        </w:rPr>
      </w:pPr>
    </w:p>
    <w:p w:rsidR="00000000" w:rsidRDefault="00FD50C0">
      <w:pPr>
        <w:numPr>
          <w:ilvl w:val="0"/>
          <w:numId w:val="39"/>
        </w:numPr>
        <w:spacing w:beforeLines="50" w:afterLines="50"/>
        <w:jc w:val="both"/>
        <w:rPr>
          <w:rFonts w:eastAsia="標楷體" w:hint="eastAsia"/>
        </w:rPr>
      </w:pPr>
      <w:r>
        <w:rPr>
          <w:rFonts w:eastAsia="標楷體" w:hAnsi="標楷體"/>
        </w:rPr>
        <w:t>提高資產使用效率</w:t>
      </w:r>
    </w:p>
    <w:p w:rsidR="00000000" w:rsidRDefault="00FD50C0">
      <w:pPr>
        <w:spacing w:beforeLines="50" w:afterLines="50"/>
        <w:jc w:val="both"/>
        <w:rPr>
          <w:rFonts w:eastAsia="標楷體" w:hAnsi="標楷體" w:hint="eastAsia"/>
        </w:rPr>
      </w:pPr>
      <w:r>
        <w:rPr>
          <w:rFonts w:eastAsia="標楷體" w:hint="eastAsia"/>
          <w:noProof/>
        </w:rPr>
        <w:pict>
          <v:shape id="_x0000_s1083" type="#_x0000_t75" style="position:absolute;left:0;text-align:left;margin-left:225pt;margin-top:-9pt;width:249.8pt;height:263.25pt;z-index:251665408" o:bwpure="blackTextAndLines" o:bwnormal="blackTextAndLines">
            <v:imagedata r:id="rId25" o:title=""/>
          </v:shape>
          <o:OLEObject Type="Embed" ProgID="MSGraph.Chart.8" ShapeID="_x0000_s1083" DrawAspect="Content" ObjectID="_1358853879" r:id="rId26">
            <o:FieldCodes>\s</o:FieldCodes>
          </o:OLEObject>
        </w:pict>
      </w:r>
      <w:r>
        <w:rPr>
          <w:rFonts w:eastAsia="標楷體" w:hAnsi="標楷體" w:hint="eastAsia"/>
          <w:noProof/>
        </w:rPr>
        <w:pict>
          <v:shape id="_x0000_s1082" type="#_x0000_t75" style="position:absolute;left:0;text-align:left;margin-left:-54pt;margin-top:0;width:271.55pt;height:270.05pt;z-index:251664384" o:bwpure="blackTextAndLines" o:bwnormal="blackTextAndLines">
            <v:imagedata r:id="rId27" o:title=""/>
          </v:shape>
          <o:OLEObject Type="Embed" ProgID="MSGraph.Chart.8" ShapeID="_x0000_s1082" DrawAspect="Content" ObjectID="_1358853880" r:id="rId28">
            <o:FieldCodes>\s</o:FieldCodes>
          </o:OLEObject>
        </w:pict>
      </w: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int="eastAsia"/>
        </w:rPr>
      </w:pPr>
    </w:p>
    <w:p w:rsidR="00000000" w:rsidRDefault="00FD50C0">
      <w:pPr>
        <w:numPr>
          <w:ilvl w:val="0"/>
          <w:numId w:val="39"/>
        </w:numPr>
        <w:spacing w:beforeLines="50" w:afterLines="50"/>
        <w:jc w:val="both"/>
        <w:rPr>
          <w:rFonts w:eastAsia="標楷體" w:hint="eastAsia"/>
        </w:rPr>
      </w:pPr>
      <w:r>
        <w:rPr>
          <w:rFonts w:eastAsia="標楷體" w:hAnsi="標楷體" w:hint="eastAsia"/>
          <w:noProof/>
        </w:rPr>
        <w:pict>
          <v:shape id="_x0000_s1085" type="#_x0000_t75" style="position:absolute;left:0;text-align:left;margin-left:198pt;margin-top:18pt;width:282pt;height:326.25pt;z-index:251667456" o:bwpure="blackTextAndLines" o:bwnormal="blackTextAndLines">
            <v:imagedata r:id="rId29" o:title=""/>
          </v:shape>
          <o:OLEObject Type="Embed" ProgID="MSGraph.Chart.8" ShapeID="_x0000_s1085" DrawAspect="Content" ObjectID="_1358853881" r:id="rId30">
            <o:FieldCodes>\s</o:FieldCodes>
          </o:OLEObject>
        </w:pict>
      </w:r>
      <w:r>
        <w:rPr>
          <w:rFonts w:eastAsia="標楷體" w:hAnsi="標楷體"/>
        </w:rPr>
        <w:t>降低負債比率</w:t>
      </w:r>
    </w:p>
    <w:p w:rsidR="00000000" w:rsidRDefault="00FD50C0">
      <w:pPr>
        <w:spacing w:beforeLines="50" w:afterLines="50"/>
        <w:jc w:val="both"/>
        <w:rPr>
          <w:rFonts w:eastAsia="標楷體" w:hAnsi="標楷體" w:hint="eastAsia"/>
        </w:rPr>
      </w:pPr>
      <w:r>
        <w:rPr>
          <w:rFonts w:eastAsia="標楷體" w:hAnsi="標楷體" w:hint="eastAsia"/>
          <w:noProof/>
        </w:rPr>
        <w:pict>
          <v:shape id="_x0000_s1084" type="#_x0000_t75" style="position:absolute;left:0;text-align:left;margin-left:-54pt;margin-top:0;width:264.75pt;height:332.35pt;z-index:251666432" o:bwpure="blackTextAndLines" o:bwnormal="blackTextAndLines">
            <v:imagedata r:id="rId31" o:title=""/>
          </v:shape>
          <o:OLEObject Type="Embed" ProgID="MSGraph.Chart.8" ShapeID="_x0000_s1084" DrawAspect="Content" ObjectID="_1358853882" r:id="rId32">
            <o:FieldCodes>\s</o:FieldCodes>
          </o:OLEObject>
        </w:pict>
      </w: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spacing w:beforeLines="50" w:afterLines="50"/>
        <w:jc w:val="both"/>
        <w:rPr>
          <w:rFonts w:eastAsia="標楷體" w:hAnsi="標楷體" w:hint="eastAsia"/>
        </w:rPr>
      </w:pPr>
    </w:p>
    <w:p w:rsidR="00000000" w:rsidRDefault="00FD50C0">
      <w:pPr>
        <w:numPr>
          <w:ilvl w:val="0"/>
          <w:numId w:val="39"/>
        </w:numPr>
        <w:spacing w:beforeLines="50" w:afterLines="50"/>
        <w:jc w:val="both"/>
        <w:rPr>
          <w:rFonts w:eastAsia="標楷體"/>
        </w:rPr>
      </w:pPr>
      <w:r>
        <w:rPr>
          <w:rFonts w:eastAsia="標楷體" w:hAnsi="標楷體"/>
        </w:rPr>
        <w:t>專注本業，減少轉投資</w:t>
      </w:r>
    </w:p>
    <w:p w:rsidR="00000000" w:rsidRDefault="00FD50C0">
      <w:pPr>
        <w:ind w:firstLineChars="200" w:firstLine="480"/>
        <w:rPr>
          <w:rFonts w:eastAsia="標楷體" w:hAnsi="標楷體" w:hint="eastAsia"/>
        </w:rPr>
      </w:pPr>
      <w:r>
        <w:rPr>
          <w:rFonts w:eastAsia="標楷體" w:hAnsi="標楷體" w:hint="eastAsia"/>
        </w:rPr>
        <w:t>東隆五金在進行重整以後，不再像以前一樣有複雜的轉投資情況。目前專注於本業，轉投資情況清楚。</w:t>
      </w:r>
    </w:p>
    <w:p w:rsidR="00000000" w:rsidRDefault="00FD50C0">
      <w:pPr>
        <w:spacing w:beforeLines="50" w:afterLines="50"/>
        <w:outlineLvl w:val="1"/>
        <w:rPr>
          <w:rFonts w:eastAsia="標楷體" w:hAnsi="標楷體" w:hint="eastAsia"/>
          <w:b/>
          <w:bCs/>
          <w:sz w:val="28"/>
          <w:szCs w:val="28"/>
        </w:rPr>
      </w:pPr>
      <w:bookmarkStart w:id="17" w:name="_Toc42188623"/>
      <w:r>
        <w:rPr>
          <w:rFonts w:eastAsia="標楷體" w:hAnsi="標楷體" w:hint="eastAsia"/>
          <w:b/>
          <w:bCs/>
          <w:sz w:val="28"/>
          <w:szCs w:val="28"/>
        </w:rPr>
        <w:t>(</w:t>
      </w:r>
      <w:r>
        <w:rPr>
          <w:rFonts w:eastAsia="標楷體" w:hAnsi="標楷體" w:hint="eastAsia"/>
          <w:b/>
          <w:bCs/>
          <w:sz w:val="28"/>
          <w:szCs w:val="28"/>
        </w:rPr>
        <w:t>六</w:t>
      </w:r>
      <w:r>
        <w:rPr>
          <w:rFonts w:eastAsia="標楷體" w:hAnsi="標楷體" w:hint="eastAsia"/>
          <w:b/>
          <w:bCs/>
          <w:sz w:val="28"/>
          <w:szCs w:val="28"/>
        </w:rPr>
        <w:t>)</w:t>
      </w:r>
      <w:r>
        <w:rPr>
          <w:rFonts w:eastAsia="標楷體" w:hAnsi="標楷體" w:hint="eastAsia"/>
          <w:b/>
          <w:bCs/>
          <w:sz w:val="28"/>
          <w:szCs w:val="28"/>
        </w:rPr>
        <w:t>重整計畫三階段</w:t>
      </w:r>
      <w:r>
        <w:rPr>
          <w:rStyle w:val="a8"/>
          <w:rFonts w:eastAsia="標楷體"/>
          <w:b/>
          <w:bCs/>
          <w:sz w:val="28"/>
          <w:u w:val="single"/>
        </w:rPr>
        <w:footnoteReference w:id="1"/>
      </w:r>
      <w:bookmarkEnd w:id="17"/>
    </w:p>
    <w:p w:rsidR="00000000" w:rsidRDefault="00FD50C0">
      <w:pPr>
        <w:numPr>
          <w:ilvl w:val="0"/>
          <w:numId w:val="35"/>
        </w:numPr>
        <w:rPr>
          <w:rFonts w:eastAsia="標楷體"/>
        </w:rPr>
      </w:pPr>
      <w:r>
        <w:rPr>
          <w:rFonts w:eastAsia="標楷體" w:hAnsi="標楷體"/>
          <w:b/>
          <w:bCs/>
        </w:rPr>
        <w:t>第一階段：六個月的磨合期</w:t>
      </w:r>
    </w:p>
    <w:p w:rsidR="00000000" w:rsidRDefault="00FD50C0">
      <w:pPr>
        <w:numPr>
          <w:ilvl w:val="1"/>
          <w:numId w:val="35"/>
        </w:numPr>
        <w:rPr>
          <w:rFonts w:eastAsia="標楷體"/>
        </w:rPr>
      </w:pPr>
      <w:r>
        <w:rPr>
          <w:rFonts w:eastAsia="標楷體" w:hAnsi="標楷體"/>
        </w:rPr>
        <w:t>一、</w:t>
      </w:r>
      <w:r>
        <w:rPr>
          <w:rFonts w:eastAsia="標楷體" w:hAnsi="標楷體"/>
        </w:rPr>
        <w:t>接觸員工，讓員工接納信任他</w:t>
      </w:r>
    </w:p>
    <w:p w:rsidR="00000000" w:rsidRDefault="00FD50C0">
      <w:pPr>
        <w:numPr>
          <w:ilvl w:val="1"/>
          <w:numId w:val="35"/>
        </w:numPr>
        <w:rPr>
          <w:rFonts w:eastAsia="標楷體"/>
        </w:rPr>
      </w:pPr>
      <w:r>
        <w:rPr>
          <w:rFonts w:eastAsia="標楷體" w:hAnsi="標楷體"/>
        </w:rPr>
        <w:t>二、掌握現金流量，避免繼續累積虧損</w:t>
      </w:r>
    </w:p>
    <w:p w:rsidR="00000000" w:rsidRDefault="00FD50C0">
      <w:pPr>
        <w:numPr>
          <w:ilvl w:val="1"/>
          <w:numId w:val="35"/>
        </w:numPr>
        <w:rPr>
          <w:rFonts w:eastAsia="標楷體"/>
        </w:rPr>
      </w:pPr>
      <w:r>
        <w:rPr>
          <w:rFonts w:eastAsia="標楷體" w:hAnsi="標楷體"/>
        </w:rPr>
        <w:t>三、與全球大廠洽談</w:t>
      </w:r>
      <w:r>
        <w:rPr>
          <w:rFonts w:eastAsia="標楷體"/>
        </w:rPr>
        <w:t>OEM</w:t>
      </w:r>
      <w:r>
        <w:rPr>
          <w:rFonts w:eastAsia="標楷體" w:hAnsi="標楷體"/>
        </w:rPr>
        <w:t>代工製造合作計畫</w:t>
      </w:r>
    </w:p>
    <w:p w:rsidR="00000000" w:rsidRDefault="00FD50C0">
      <w:pPr>
        <w:numPr>
          <w:ilvl w:val="1"/>
          <w:numId w:val="35"/>
        </w:numPr>
        <w:rPr>
          <w:rFonts w:eastAsia="標楷體"/>
        </w:rPr>
      </w:pPr>
      <w:r>
        <w:rPr>
          <w:rFonts w:eastAsia="標楷體" w:hAnsi="標楷體"/>
        </w:rPr>
        <w:t>四、研究組織圖變化，了解組織特性與流程演</w:t>
      </w:r>
    </w:p>
    <w:p w:rsidR="00000000" w:rsidRDefault="00FD50C0">
      <w:pPr>
        <w:numPr>
          <w:ilvl w:val="1"/>
          <w:numId w:val="35"/>
        </w:numPr>
        <w:rPr>
          <w:rFonts w:eastAsia="標楷體"/>
        </w:rPr>
      </w:pPr>
      <w:r>
        <w:rPr>
          <w:rFonts w:eastAsia="標楷體" w:hAnsi="標楷體"/>
        </w:rPr>
        <w:t>五、了解公司幹部</w:t>
      </w:r>
    </w:p>
    <w:p w:rsidR="00000000" w:rsidRDefault="00FD50C0">
      <w:pPr>
        <w:numPr>
          <w:ilvl w:val="0"/>
          <w:numId w:val="35"/>
        </w:numPr>
        <w:rPr>
          <w:rFonts w:eastAsia="標楷體"/>
          <w:b/>
          <w:bCs/>
        </w:rPr>
      </w:pPr>
      <w:r>
        <w:rPr>
          <w:rFonts w:eastAsia="標楷體" w:hAnsi="標楷體"/>
          <w:b/>
          <w:bCs/>
        </w:rPr>
        <w:t>第二階段：提升內部管理效率</w:t>
      </w:r>
      <w:r>
        <w:rPr>
          <w:rFonts w:eastAsia="標楷體"/>
          <w:b/>
          <w:bCs/>
        </w:rPr>
        <w:t>:</w:t>
      </w:r>
    </w:p>
    <w:p w:rsidR="00000000" w:rsidRDefault="00FD50C0">
      <w:pPr>
        <w:numPr>
          <w:ilvl w:val="1"/>
          <w:numId w:val="35"/>
        </w:numPr>
        <w:rPr>
          <w:rFonts w:eastAsia="標楷體"/>
        </w:rPr>
      </w:pPr>
      <w:r>
        <w:rPr>
          <w:rFonts w:eastAsia="標楷體" w:hAnsi="標楷體"/>
        </w:rPr>
        <w:t>一、全面性組織調整、精簡製造廠編制</w:t>
      </w:r>
    </w:p>
    <w:p w:rsidR="00000000" w:rsidRDefault="00FD50C0">
      <w:pPr>
        <w:numPr>
          <w:ilvl w:val="1"/>
          <w:numId w:val="35"/>
        </w:numPr>
        <w:rPr>
          <w:rFonts w:eastAsia="標楷體"/>
        </w:rPr>
      </w:pPr>
      <w:r>
        <w:rPr>
          <w:rFonts w:eastAsia="標楷體" w:hAnsi="標楷體"/>
        </w:rPr>
        <w:t>二、調動經副理級以上幹部，活化組織</w:t>
      </w:r>
    </w:p>
    <w:p w:rsidR="00000000" w:rsidRDefault="00FD50C0">
      <w:pPr>
        <w:numPr>
          <w:ilvl w:val="1"/>
          <w:numId w:val="35"/>
        </w:numPr>
        <w:rPr>
          <w:rFonts w:eastAsia="標楷體"/>
        </w:rPr>
      </w:pPr>
      <w:r>
        <w:rPr>
          <w:rFonts w:eastAsia="標楷體" w:hAnsi="標楷體"/>
        </w:rPr>
        <w:t>三、解決非營運面的重整法律問題</w:t>
      </w:r>
    </w:p>
    <w:p w:rsidR="00000000" w:rsidRDefault="00FD50C0">
      <w:pPr>
        <w:numPr>
          <w:ilvl w:val="0"/>
          <w:numId w:val="35"/>
        </w:numPr>
        <w:rPr>
          <w:rFonts w:eastAsia="標楷體"/>
        </w:rPr>
      </w:pPr>
      <w:r>
        <w:rPr>
          <w:rFonts w:eastAsia="標楷體" w:hAnsi="標楷體"/>
          <w:b/>
          <w:bCs/>
        </w:rPr>
        <w:t>第三階段：財務重整工程</w:t>
      </w:r>
      <w:r>
        <w:rPr>
          <w:rFonts w:eastAsia="標楷體"/>
        </w:rPr>
        <w:t xml:space="preserve">    </w:t>
      </w:r>
    </w:p>
    <w:p w:rsidR="00000000" w:rsidRDefault="00FD50C0">
      <w:pPr>
        <w:rPr>
          <w:rFonts w:hint="eastAsia"/>
        </w:rPr>
      </w:pPr>
    </w:p>
    <w:p w:rsidR="00000000" w:rsidRDefault="00FD50C0">
      <w:pPr>
        <w:spacing w:beforeLines="50" w:afterLines="50"/>
        <w:ind w:firstLine="480"/>
        <w:jc w:val="both"/>
        <w:rPr>
          <w:rFonts w:eastAsia="標楷體"/>
        </w:rPr>
      </w:pPr>
      <w:r>
        <w:rPr>
          <w:rFonts w:eastAsia="標楷體" w:hAnsi="標楷體"/>
        </w:rPr>
        <w:t>在第三階段的財務重整工程中，東隆五金必須進行債務協商並公佈償債細節。以下便是東隆五金債務協商內容：</w:t>
      </w:r>
    </w:p>
    <w:p w:rsidR="00000000" w:rsidRDefault="00FD50C0">
      <w:pPr>
        <w:spacing w:beforeLines="50" w:afterLines="50"/>
        <w:jc w:val="both"/>
        <w:rPr>
          <w:rFonts w:eastAsia="標楷體"/>
        </w:rPr>
      </w:pPr>
      <w:r>
        <w:rPr>
          <w:rFonts w:eastAsia="標楷體"/>
        </w:rPr>
        <w:t xml:space="preserve">    1999</w:t>
      </w:r>
      <w:r>
        <w:rPr>
          <w:rFonts w:eastAsia="標楷體" w:hAnsi="標楷體"/>
        </w:rPr>
        <w:t>年</w:t>
      </w:r>
      <w:r>
        <w:rPr>
          <w:rFonts w:eastAsia="標楷體"/>
        </w:rPr>
        <w:t>6</w:t>
      </w:r>
      <w:r>
        <w:rPr>
          <w:rFonts w:eastAsia="標楷體" w:hAnsi="標楷體"/>
        </w:rPr>
        <w:t>月</w:t>
      </w:r>
      <w:r>
        <w:rPr>
          <w:rFonts w:eastAsia="標楷體"/>
        </w:rPr>
        <w:t>9</w:t>
      </w:r>
      <w:r>
        <w:rPr>
          <w:rFonts w:eastAsia="標楷體" w:hAnsi="標楷體"/>
        </w:rPr>
        <w:t>日召開第一次關係人會議，會中確認重整方案，其中償債計劃</w:t>
      </w:r>
      <w:r>
        <w:rPr>
          <w:rFonts w:eastAsia="標楷體" w:hAnsi="標楷體"/>
        </w:rPr>
        <w:t>分為兩個方案：一是由債權銀行以債換股入主成為股東；另一則是分五至八年，協議清償</w:t>
      </w:r>
      <w:r>
        <w:rPr>
          <w:rFonts w:eastAsia="標楷體"/>
        </w:rPr>
        <w:t>61</w:t>
      </w:r>
      <w:r>
        <w:rPr>
          <w:rFonts w:eastAsia="標楷體" w:hAnsi="標楷體"/>
        </w:rPr>
        <w:t>億元銀行債款。在總計達</w:t>
      </w:r>
      <w:r>
        <w:rPr>
          <w:rFonts w:eastAsia="標楷體"/>
        </w:rPr>
        <w:t>61</w:t>
      </w:r>
      <w:r>
        <w:rPr>
          <w:rFonts w:eastAsia="標楷體" w:hAnsi="標楷體"/>
        </w:rPr>
        <w:t>億元的銀行債款（此金額已扣除中興銀行接手陽明山莊達</w:t>
      </w:r>
      <w:r>
        <w:rPr>
          <w:rFonts w:eastAsia="標楷體"/>
        </w:rPr>
        <w:t>10</w:t>
      </w:r>
      <w:r>
        <w:rPr>
          <w:rFonts w:eastAsia="標楷體" w:hAnsi="標楷體"/>
        </w:rPr>
        <w:t>億</w:t>
      </w:r>
      <w:r>
        <w:rPr>
          <w:rFonts w:eastAsia="標楷體"/>
        </w:rPr>
        <w:t>8900</w:t>
      </w:r>
      <w:r>
        <w:rPr>
          <w:rFonts w:eastAsia="標楷體" w:hAnsi="標楷體"/>
        </w:rPr>
        <w:t>萬元債款），僅有二十多億元屬有擔保債款，其餘</w:t>
      </w:r>
      <w:r>
        <w:rPr>
          <w:rFonts w:eastAsia="標楷體"/>
        </w:rPr>
        <w:t>40</w:t>
      </w:r>
      <w:r>
        <w:rPr>
          <w:rFonts w:eastAsia="標楷體" w:hAnsi="標楷體"/>
        </w:rPr>
        <w:t>億元款項</w:t>
      </w:r>
      <w:r>
        <w:rPr>
          <w:rFonts w:eastAsia="標楷體"/>
        </w:rPr>
        <w:t>,</w:t>
      </w:r>
      <w:r>
        <w:rPr>
          <w:rFonts w:eastAsia="標楷體" w:hAnsi="標楷體"/>
        </w:rPr>
        <w:t>則多屬無擔保放款，在東隆聲請重整成功後，信用放款部份已暫緩繳息，至於有擔保放款則僅支付</w:t>
      </w:r>
      <w:r>
        <w:rPr>
          <w:rFonts w:eastAsia="標楷體"/>
        </w:rPr>
        <w:t>4.5%</w:t>
      </w:r>
      <w:r>
        <w:rPr>
          <w:rFonts w:eastAsia="標楷體" w:hAnsi="標楷體"/>
        </w:rPr>
        <w:t>的年息。</w:t>
      </w:r>
    </w:p>
    <w:p w:rsidR="00000000" w:rsidRDefault="00FD50C0">
      <w:pPr>
        <w:spacing w:beforeLines="50" w:afterLines="50"/>
        <w:ind w:firstLine="480"/>
        <w:jc w:val="both"/>
        <w:rPr>
          <w:rFonts w:eastAsia="標楷體"/>
        </w:rPr>
      </w:pPr>
      <w:r>
        <w:rPr>
          <w:rFonts w:eastAsia="標楷體" w:hAnsi="標楷體"/>
        </w:rPr>
        <w:t>關於中興銀行取得東隆五金在淡水小坪頂開發興建的陽明山莊部份，乃是法院判決中興銀行以債權人的身份取得該建案產權，代價則是中興銀行貸借給東隆五金</w:t>
      </w:r>
      <w:r>
        <w:rPr>
          <w:rFonts w:eastAsia="標楷體"/>
        </w:rPr>
        <w:t>10</w:t>
      </w:r>
      <w:r>
        <w:rPr>
          <w:rFonts w:eastAsia="標楷體" w:hAnsi="標楷體"/>
        </w:rPr>
        <w:t>億</w:t>
      </w:r>
      <w:r>
        <w:rPr>
          <w:rFonts w:eastAsia="標楷體"/>
        </w:rPr>
        <w:t>8900</w:t>
      </w:r>
      <w:r>
        <w:rPr>
          <w:rFonts w:eastAsia="標楷體" w:hAnsi="標楷體"/>
        </w:rPr>
        <w:t>萬元，另加上工程款</w:t>
      </w:r>
      <w:r>
        <w:rPr>
          <w:rFonts w:eastAsia="標楷體"/>
        </w:rPr>
        <w:t>1</w:t>
      </w:r>
      <w:r>
        <w:rPr>
          <w:rFonts w:eastAsia="標楷體" w:hAnsi="標楷體"/>
        </w:rPr>
        <w:t>億</w:t>
      </w:r>
      <w:r>
        <w:rPr>
          <w:rFonts w:eastAsia="標楷體"/>
        </w:rPr>
        <w:t>8</w:t>
      </w:r>
      <w:r>
        <w:rPr>
          <w:rFonts w:eastAsia="標楷體"/>
        </w:rPr>
        <w:t>000</w:t>
      </w:r>
      <w:r>
        <w:rPr>
          <w:rFonts w:eastAsia="標楷體" w:hAnsi="標楷體"/>
        </w:rPr>
        <w:t>萬元，但是這</w:t>
      </w:r>
      <w:r>
        <w:rPr>
          <w:rFonts w:eastAsia="標楷體"/>
        </w:rPr>
        <w:t>1</w:t>
      </w:r>
      <w:r>
        <w:rPr>
          <w:rFonts w:eastAsia="標楷體" w:hAnsi="標楷體"/>
        </w:rPr>
        <w:t>億</w:t>
      </w:r>
      <w:r>
        <w:rPr>
          <w:rFonts w:eastAsia="標楷體"/>
        </w:rPr>
        <w:t>8000</w:t>
      </w:r>
      <w:r>
        <w:rPr>
          <w:rFonts w:eastAsia="標楷體" w:hAnsi="標楷體"/>
        </w:rPr>
        <w:t>萬元要等該建案完工出售，扣除興建開發成本後有餘額，才會給付給東隆五金，否則以該建案未售出房屋抵償。中興銀行接手陽明山莊後，東隆五金一年可省五億四千多萬元的利息費用。</w:t>
      </w:r>
    </w:p>
    <w:p w:rsidR="00000000" w:rsidRDefault="00FD50C0">
      <w:pPr>
        <w:spacing w:beforeLines="50" w:afterLines="50"/>
        <w:ind w:firstLine="480"/>
        <w:jc w:val="both"/>
        <w:rPr>
          <w:rFonts w:eastAsia="標楷體"/>
        </w:rPr>
      </w:pPr>
      <w:r>
        <w:rPr>
          <w:rFonts w:eastAsia="標楷體" w:hAnsi="標楷體"/>
        </w:rPr>
        <w:t>至於第一次關係人會議中，有關償債計劃的內容中，對於債權銀行的債權，重整方案將允許銀行處分手中持有東隆五金的抵押品以抵債權。至於以無擔保授信為主的銀行及出售抵押品仍不足以償債的銀行，則將在東隆五金提供的三項償債計劃中選擇一項，此三項分別如下：</w:t>
      </w:r>
    </w:p>
    <w:p w:rsidR="00000000" w:rsidRDefault="00FD50C0">
      <w:pPr>
        <w:spacing w:beforeLines="50" w:afterLines="50"/>
        <w:ind w:left="180" w:hanging="180"/>
        <w:jc w:val="both"/>
        <w:rPr>
          <w:rFonts w:eastAsia="標楷體"/>
        </w:rPr>
      </w:pPr>
      <w:r>
        <w:rPr>
          <w:rFonts w:eastAsia="標楷體"/>
        </w:rPr>
        <w:t>1.</w:t>
      </w:r>
      <w:r>
        <w:rPr>
          <w:rFonts w:eastAsia="標楷體" w:hAnsi="標楷體"/>
        </w:rPr>
        <w:t>債權銀行將所有債權轉換成七年期長期授信額度，年利率則介於</w:t>
      </w:r>
      <w:r>
        <w:rPr>
          <w:rFonts w:eastAsia="標楷體"/>
        </w:rPr>
        <w:t>1%~3%</w:t>
      </w:r>
      <w:r>
        <w:rPr>
          <w:rFonts w:eastAsia="標楷體" w:hAnsi="標楷體"/>
        </w:rPr>
        <w:t>之間</w:t>
      </w:r>
      <w:r>
        <w:rPr>
          <w:rFonts w:eastAsia="標楷體" w:hAnsi="標楷體"/>
        </w:rPr>
        <w:t>，此計劃銀行約可取回授信總額五成三的債權。</w:t>
      </w:r>
    </w:p>
    <w:p w:rsidR="00000000" w:rsidRDefault="00FD50C0">
      <w:pPr>
        <w:spacing w:beforeLines="50" w:afterLines="50"/>
        <w:jc w:val="both"/>
        <w:rPr>
          <w:rFonts w:eastAsia="標楷體"/>
        </w:rPr>
      </w:pPr>
      <w:r>
        <w:rPr>
          <w:rFonts w:eastAsia="標楷體"/>
        </w:rPr>
        <w:t>2.</w:t>
      </w:r>
      <w:r>
        <w:rPr>
          <w:rFonts w:eastAsia="標楷體" w:hAnsi="標楷體"/>
        </w:rPr>
        <w:t>東隆五金立即支付債權銀行授信總額</w:t>
      </w:r>
      <w:r>
        <w:rPr>
          <w:rFonts w:eastAsia="標楷體"/>
        </w:rPr>
        <w:t>45%</w:t>
      </w:r>
      <w:r>
        <w:rPr>
          <w:rFonts w:eastAsia="標楷體" w:hAnsi="標楷體"/>
        </w:rPr>
        <w:t>的款項</w:t>
      </w:r>
      <w:r>
        <w:rPr>
          <w:rFonts w:eastAsia="標楷體"/>
        </w:rPr>
        <w:t>,</w:t>
      </w:r>
      <w:r>
        <w:rPr>
          <w:rFonts w:eastAsia="標楷體" w:hAnsi="標楷體"/>
        </w:rPr>
        <w:t>其餘打成壞帳。</w:t>
      </w:r>
    </w:p>
    <w:p w:rsidR="00000000" w:rsidRDefault="00FD50C0">
      <w:pPr>
        <w:spacing w:beforeLines="50" w:afterLines="50"/>
        <w:ind w:left="180" w:hanging="180"/>
        <w:jc w:val="both"/>
        <w:rPr>
          <w:rFonts w:eastAsia="標楷體"/>
        </w:rPr>
      </w:pPr>
      <w:r>
        <w:rPr>
          <w:rFonts w:eastAsia="標楷體"/>
        </w:rPr>
        <w:t>3.</w:t>
      </w:r>
      <w:r>
        <w:rPr>
          <w:rFonts w:eastAsia="標楷體" w:hAnsi="標楷體"/>
        </w:rPr>
        <w:t>債權銀行收回</w:t>
      </w:r>
      <w:r>
        <w:rPr>
          <w:rFonts w:eastAsia="標楷體"/>
        </w:rPr>
        <w:t>53%</w:t>
      </w:r>
      <w:r>
        <w:rPr>
          <w:rFonts w:eastAsia="標楷體" w:hAnsi="標楷體"/>
        </w:rPr>
        <w:t>的貸款，而其它不足債權部份，則溢價折為東隆五金的普通股。</w:t>
      </w:r>
    </w:p>
    <w:p w:rsidR="00000000" w:rsidRDefault="00FD50C0">
      <w:pPr>
        <w:spacing w:beforeLines="50" w:afterLines="50"/>
        <w:jc w:val="both"/>
        <w:rPr>
          <w:rFonts w:eastAsia="標楷體"/>
        </w:rPr>
      </w:pPr>
      <w:r>
        <w:rPr>
          <w:rFonts w:eastAsia="標楷體"/>
        </w:rPr>
        <w:t xml:space="preserve">    </w:t>
      </w:r>
      <w:r>
        <w:rPr>
          <w:rFonts w:eastAsia="標楷體" w:hAnsi="標楷體"/>
        </w:rPr>
        <w:t>會中約有佔東隆五金總貸款額五成以上的債權銀行，表示願意支持第一項七年期償債方案。要附加說明的是，由於彰化銀行與聯邦銀行手中握有的抵押資產屬於東隆五金的核心事業與廠房，因此這兩家銀行將被排除在可以處份抵押資產的名單之外。至於東隆五金對上述兩家銀行的債務，則可能以較優惠的條件提前償還。根據重整方案的內容，東隆五金將分</w:t>
      </w:r>
      <w:r>
        <w:rPr>
          <w:rFonts w:eastAsia="標楷體" w:hAnsi="標楷體"/>
        </w:rPr>
        <w:t>三年以</w:t>
      </w:r>
      <w:r>
        <w:rPr>
          <w:rFonts w:eastAsia="標楷體"/>
        </w:rPr>
        <w:t>60%</w:t>
      </w:r>
      <w:r>
        <w:rPr>
          <w:rFonts w:eastAsia="標楷體" w:hAnsi="標楷體"/>
        </w:rPr>
        <w:t>、</w:t>
      </w:r>
      <w:r>
        <w:rPr>
          <w:rFonts w:eastAsia="標楷體"/>
        </w:rPr>
        <w:t>20%</w:t>
      </w:r>
      <w:r>
        <w:rPr>
          <w:rFonts w:eastAsia="標楷體" w:hAnsi="標楷體"/>
        </w:rPr>
        <w:t>、</w:t>
      </w:r>
      <w:r>
        <w:rPr>
          <w:rFonts w:eastAsia="標楷體"/>
        </w:rPr>
        <w:t>20%</w:t>
      </w:r>
      <w:r>
        <w:rPr>
          <w:rFonts w:eastAsia="標楷體" w:hAnsi="標楷體"/>
        </w:rPr>
        <w:t>的比率，提前清償彰化銀行與聯邦銀行兩家銀行的債權，借款利息則以年利率</w:t>
      </w:r>
      <w:r>
        <w:rPr>
          <w:rFonts w:eastAsia="標楷體"/>
        </w:rPr>
        <w:t>4.5%</w:t>
      </w:r>
      <w:r>
        <w:rPr>
          <w:rFonts w:eastAsia="標楷體" w:hAnsi="標楷體"/>
        </w:rPr>
        <w:t>計算。以上即為東隆五金第一次關係人會議中預定的償債計劃。</w:t>
      </w:r>
    </w:p>
    <w:p w:rsidR="00000000" w:rsidRDefault="00FD50C0">
      <w:pPr>
        <w:spacing w:beforeLines="50" w:afterLines="50"/>
        <w:jc w:val="both"/>
        <w:rPr>
          <w:rFonts w:eastAsia="標楷體"/>
        </w:rPr>
      </w:pPr>
      <w:r>
        <w:rPr>
          <w:rFonts w:eastAsia="標楷體"/>
        </w:rPr>
        <w:t xml:space="preserve">    </w:t>
      </w:r>
      <w:r>
        <w:rPr>
          <w:rFonts w:eastAsia="標楷體" w:hAnsi="標楷體"/>
        </w:rPr>
        <w:t>民國</w:t>
      </w:r>
      <w:r>
        <w:rPr>
          <w:rFonts w:eastAsia="標楷體"/>
        </w:rPr>
        <w:t>89</w:t>
      </w:r>
      <w:r>
        <w:rPr>
          <w:rFonts w:eastAsia="標楷體" w:hAnsi="標楷體"/>
        </w:rPr>
        <w:t>年</w:t>
      </w:r>
      <w:r>
        <w:rPr>
          <w:rFonts w:eastAsia="標楷體"/>
        </w:rPr>
        <w:t>8</w:t>
      </w:r>
      <w:r>
        <w:rPr>
          <w:rFonts w:eastAsia="標楷體" w:hAnsi="標楷體"/>
        </w:rPr>
        <w:t>月</w:t>
      </w:r>
      <w:r>
        <w:rPr>
          <w:rFonts w:eastAsia="標楷體"/>
        </w:rPr>
        <w:t>12</w:t>
      </w:r>
      <w:r>
        <w:rPr>
          <w:rFonts w:eastAsia="標楷體" w:hAnsi="標楷體"/>
        </w:rPr>
        <w:t>日，東隆五金召開第二次關係人會議。會中通過的重整計劃，獲得的支持比率如下：支持重整計劃的有擔保債權人權數有十九億零四百三十萬，佔總權數的</w:t>
      </w:r>
      <w:r>
        <w:rPr>
          <w:rFonts w:eastAsia="標楷體"/>
        </w:rPr>
        <w:t>92.44%</w:t>
      </w:r>
      <w:r>
        <w:rPr>
          <w:rFonts w:eastAsia="標楷體" w:hAnsi="標楷體"/>
        </w:rPr>
        <w:t>。無擔保債權人贊成的權數則有三十八億五千八百萬，佔總權數的</w:t>
      </w:r>
      <w:r>
        <w:rPr>
          <w:rFonts w:eastAsia="標楷體"/>
        </w:rPr>
        <w:t>92.44%</w:t>
      </w:r>
      <w:r>
        <w:rPr>
          <w:rFonts w:eastAsia="標楷體" w:hAnsi="標楷體"/>
        </w:rPr>
        <w:t>。</w:t>
      </w:r>
    </w:p>
    <w:p w:rsidR="00000000" w:rsidRDefault="00FD50C0">
      <w:pPr>
        <w:spacing w:beforeLines="50" w:afterLines="50"/>
        <w:jc w:val="both"/>
        <w:rPr>
          <w:rFonts w:eastAsia="標楷體"/>
        </w:rPr>
      </w:pPr>
      <w:r>
        <w:rPr>
          <w:rFonts w:eastAsia="標楷體"/>
        </w:rPr>
        <w:t xml:space="preserve">    </w:t>
      </w:r>
      <w:r>
        <w:rPr>
          <w:rFonts w:eastAsia="標楷體" w:hAnsi="標楷體"/>
        </w:rPr>
        <w:t>第二次關係人會議通過的重整計劃中，對於有擔保債權人包括彰化銀行、中華銀行及聯邦銀行，在重整期間</w:t>
      </w:r>
      <w:r>
        <w:rPr>
          <w:rFonts w:eastAsia="標楷體" w:hAnsi="標楷體"/>
        </w:rPr>
        <w:t>債權擔保物因營業需要，將不予處分或開發後處分。至於償債方式，兩家銀行都是在重整計劃現金增資繳款完成</w:t>
      </w:r>
      <w:r>
        <w:rPr>
          <w:rFonts w:eastAsia="標楷體"/>
        </w:rPr>
        <w:t>30</w:t>
      </w:r>
      <w:r>
        <w:rPr>
          <w:rFonts w:eastAsia="標楷體" w:hAnsi="標楷體"/>
        </w:rPr>
        <w:t>日內，償還</w:t>
      </w:r>
      <w:r>
        <w:rPr>
          <w:rFonts w:eastAsia="標楷體"/>
        </w:rPr>
        <w:t>40%</w:t>
      </w:r>
      <w:r>
        <w:rPr>
          <w:rFonts w:eastAsia="標楷體" w:hAnsi="標楷體"/>
        </w:rPr>
        <w:t>的本金，繳款完成日之次年</w:t>
      </w:r>
      <w:r>
        <w:rPr>
          <w:rFonts w:eastAsia="標楷體"/>
        </w:rPr>
        <w:t>6</w:t>
      </w:r>
      <w:r>
        <w:rPr>
          <w:rFonts w:eastAsia="標楷體" w:hAnsi="標楷體"/>
        </w:rPr>
        <w:t>月</w:t>
      </w:r>
      <w:r>
        <w:rPr>
          <w:rFonts w:eastAsia="標楷體"/>
        </w:rPr>
        <w:t>30</w:t>
      </w:r>
      <w:r>
        <w:rPr>
          <w:rFonts w:eastAsia="標楷體" w:hAnsi="標楷體"/>
        </w:rPr>
        <w:t>日再償還</w:t>
      </w:r>
      <w:r>
        <w:rPr>
          <w:rFonts w:eastAsia="標楷體"/>
        </w:rPr>
        <w:t>30%</w:t>
      </w:r>
      <w:r>
        <w:rPr>
          <w:rFonts w:eastAsia="標楷體" w:hAnsi="標楷體"/>
        </w:rPr>
        <w:t>本金，另</w:t>
      </w:r>
      <w:r>
        <w:rPr>
          <w:rFonts w:eastAsia="標楷體"/>
        </w:rPr>
        <w:t>30%</w:t>
      </w:r>
      <w:r>
        <w:rPr>
          <w:rFonts w:eastAsia="標楷體" w:hAnsi="標楷體"/>
        </w:rPr>
        <w:t>本金則於次二年</w:t>
      </w:r>
      <w:r>
        <w:rPr>
          <w:rFonts w:eastAsia="標楷體"/>
        </w:rPr>
        <w:t>6</w:t>
      </w:r>
      <w:r>
        <w:rPr>
          <w:rFonts w:eastAsia="標楷體" w:hAnsi="標楷體"/>
        </w:rPr>
        <w:t>月</w:t>
      </w:r>
      <w:r>
        <w:rPr>
          <w:rFonts w:eastAsia="標楷體"/>
        </w:rPr>
        <w:t>30</w:t>
      </w:r>
      <w:r>
        <w:rPr>
          <w:rFonts w:eastAsia="標楷體" w:hAnsi="標楷體"/>
        </w:rPr>
        <w:t>日完成清償，預計</w:t>
      </w:r>
      <w:r>
        <w:rPr>
          <w:rFonts w:eastAsia="標楷體"/>
        </w:rPr>
        <w:t>91</w:t>
      </w:r>
      <w:r>
        <w:rPr>
          <w:rFonts w:eastAsia="標楷體" w:hAnsi="標楷體"/>
        </w:rPr>
        <w:t>年</w:t>
      </w:r>
      <w:r>
        <w:rPr>
          <w:rFonts w:eastAsia="標楷體"/>
        </w:rPr>
        <w:t>6</w:t>
      </w:r>
      <w:r>
        <w:rPr>
          <w:rFonts w:eastAsia="標楷體" w:hAnsi="標楷體"/>
        </w:rPr>
        <w:t>月</w:t>
      </w:r>
      <w:r>
        <w:rPr>
          <w:rFonts w:eastAsia="標楷體"/>
        </w:rPr>
        <w:t>30</w:t>
      </w:r>
      <w:r>
        <w:rPr>
          <w:rFonts w:eastAsia="標楷體" w:hAnsi="標楷體"/>
        </w:rPr>
        <w:t>日債權全部清償完畢，利息計算則為重整計劃在獲法院裁定翌日起迄當年底以年利率</w:t>
      </w:r>
      <w:r>
        <w:rPr>
          <w:rFonts w:eastAsia="標楷體"/>
        </w:rPr>
        <w:t>4.5%</w:t>
      </w:r>
      <w:r>
        <w:rPr>
          <w:rFonts w:eastAsia="標楷體" w:hAnsi="標楷體"/>
        </w:rPr>
        <w:t>計算，次年改依</w:t>
      </w:r>
      <w:r>
        <w:rPr>
          <w:rFonts w:eastAsia="標楷體"/>
        </w:rPr>
        <w:t>6%</w:t>
      </w:r>
      <w:r>
        <w:rPr>
          <w:rFonts w:eastAsia="標楷體" w:hAnsi="標楷體"/>
        </w:rPr>
        <w:t>核計。</w:t>
      </w:r>
    </w:p>
    <w:p w:rsidR="00000000" w:rsidRDefault="00FD50C0">
      <w:pPr>
        <w:autoSpaceDE w:val="0"/>
        <w:autoSpaceDN w:val="0"/>
        <w:adjustRightInd w:val="0"/>
        <w:spacing w:beforeLines="50" w:afterLines="50"/>
        <w:jc w:val="both"/>
        <w:rPr>
          <w:rFonts w:eastAsia="標楷體"/>
        </w:rPr>
      </w:pPr>
      <w:r>
        <w:rPr>
          <w:rFonts w:eastAsia="標楷體"/>
        </w:rPr>
        <w:t xml:space="preserve">    </w:t>
      </w:r>
      <w:r>
        <w:rPr>
          <w:rFonts w:eastAsia="標楷體" w:hAnsi="標楷體"/>
        </w:rPr>
        <w:t>至於無擔保債權人的清償方面，有三案可複選，分述如下：</w:t>
      </w:r>
    </w:p>
    <w:p w:rsidR="00000000" w:rsidRDefault="00FD50C0">
      <w:pPr>
        <w:autoSpaceDE w:val="0"/>
        <w:autoSpaceDN w:val="0"/>
        <w:adjustRightInd w:val="0"/>
        <w:spacing w:beforeLines="50" w:afterLines="50"/>
        <w:ind w:left="180" w:hanging="180"/>
        <w:jc w:val="both"/>
        <w:rPr>
          <w:rFonts w:eastAsia="標楷體"/>
        </w:rPr>
      </w:pPr>
      <w:r>
        <w:rPr>
          <w:rFonts w:eastAsia="標楷體"/>
        </w:rPr>
        <w:t>1.100%</w:t>
      </w:r>
      <w:r>
        <w:rPr>
          <w:rFonts w:eastAsia="標楷體" w:hAnsi="標楷體"/>
        </w:rPr>
        <w:t>償還案，自重整計劃之現金增資繳款完成次年</w:t>
      </w:r>
      <w:r>
        <w:rPr>
          <w:rFonts w:eastAsia="標楷體"/>
        </w:rPr>
        <w:t>12</w:t>
      </w:r>
      <w:r>
        <w:rPr>
          <w:rFonts w:eastAsia="標楷體" w:hAnsi="標楷體"/>
        </w:rPr>
        <w:t>月</w:t>
      </w:r>
      <w:r>
        <w:rPr>
          <w:rFonts w:eastAsia="標楷體"/>
        </w:rPr>
        <w:t>31</w:t>
      </w:r>
      <w:r>
        <w:rPr>
          <w:rFonts w:eastAsia="標楷體" w:hAnsi="標楷體"/>
        </w:rPr>
        <w:t>日起分</w:t>
      </w:r>
      <w:r>
        <w:rPr>
          <w:rFonts w:eastAsia="標楷體"/>
        </w:rPr>
        <w:t>6</w:t>
      </w:r>
      <w:r>
        <w:rPr>
          <w:rFonts w:eastAsia="標楷體" w:hAnsi="標楷體"/>
        </w:rPr>
        <w:t>年</w:t>
      </w:r>
      <w:r>
        <w:rPr>
          <w:rFonts w:eastAsia="標楷體"/>
        </w:rPr>
        <w:t>11</w:t>
      </w:r>
      <w:r>
        <w:rPr>
          <w:rFonts w:eastAsia="標楷體" w:hAnsi="標楷體"/>
        </w:rPr>
        <w:t>期攤還，利率依前一年度之稅前盈餘彈性</w:t>
      </w:r>
      <w:r>
        <w:rPr>
          <w:rFonts w:eastAsia="標楷體" w:hAnsi="標楷體"/>
        </w:rPr>
        <w:t>調整。</w:t>
      </w:r>
    </w:p>
    <w:p w:rsidR="00000000" w:rsidRDefault="00FD50C0">
      <w:pPr>
        <w:autoSpaceDE w:val="0"/>
        <w:autoSpaceDN w:val="0"/>
        <w:adjustRightInd w:val="0"/>
        <w:spacing w:beforeLines="50" w:afterLines="50"/>
        <w:jc w:val="both"/>
        <w:rPr>
          <w:rFonts w:eastAsia="標楷體"/>
        </w:rPr>
      </w:pPr>
      <w:r>
        <w:rPr>
          <w:rFonts w:eastAsia="標楷體"/>
        </w:rPr>
        <w:t>2.</w:t>
      </w:r>
      <w:r>
        <w:rPr>
          <w:rFonts w:eastAsia="標楷體" w:hAnsi="標楷體"/>
        </w:rPr>
        <w:t>立即償還</w:t>
      </w:r>
      <w:r>
        <w:rPr>
          <w:rFonts w:eastAsia="標楷體"/>
        </w:rPr>
        <w:t>45%</w:t>
      </w:r>
      <w:r>
        <w:rPr>
          <w:rFonts w:eastAsia="標楷體" w:hAnsi="標楷體"/>
        </w:rPr>
        <w:t>債權本金，自現金增資繳款完成日起</w:t>
      </w:r>
      <w:r>
        <w:rPr>
          <w:rFonts w:eastAsia="標楷體"/>
        </w:rPr>
        <w:t>30</w:t>
      </w:r>
      <w:r>
        <w:rPr>
          <w:rFonts w:eastAsia="標楷體" w:hAnsi="標楷體"/>
        </w:rPr>
        <w:t>日內完成清償。</w:t>
      </w:r>
    </w:p>
    <w:p w:rsidR="00000000" w:rsidRDefault="00FD50C0">
      <w:pPr>
        <w:autoSpaceDE w:val="0"/>
        <w:autoSpaceDN w:val="0"/>
        <w:adjustRightInd w:val="0"/>
        <w:spacing w:beforeLines="50" w:afterLines="50"/>
        <w:ind w:left="180" w:hanging="180"/>
        <w:jc w:val="both"/>
        <w:rPr>
          <w:rFonts w:eastAsia="標楷體" w:hint="eastAsia"/>
        </w:rPr>
      </w:pPr>
      <w:r>
        <w:rPr>
          <w:rFonts w:eastAsia="標楷體"/>
        </w:rPr>
        <w:t>3.</w:t>
      </w:r>
      <w:r>
        <w:rPr>
          <w:rFonts w:eastAsia="標楷體" w:hAnsi="標楷體"/>
        </w:rPr>
        <w:t>按債權本金</w:t>
      </w:r>
      <w:r>
        <w:rPr>
          <w:rFonts w:eastAsia="標楷體"/>
        </w:rPr>
        <w:t>53%</w:t>
      </w:r>
      <w:r>
        <w:rPr>
          <w:rFonts w:eastAsia="標楷體" w:hAnsi="標楷體"/>
        </w:rPr>
        <w:t>立即償還，但債權人須參與認購重整計劃之現金增資員工及原股東未認足部份，如因法令限制債權人無法自行認購者，可指定第三人認購。</w:t>
      </w:r>
    </w:p>
    <w:p w:rsidR="00000000" w:rsidRDefault="00FD50C0">
      <w:pPr>
        <w:autoSpaceDE w:val="0"/>
        <w:autoSpaceDN w:val="0"/>
        <w:adjustRightInd w:val="0"/>
        <w:spacing w:beforeLines="50" w:afterLines="50"/>
        <w:jc w:val="both"/>
        <w:outlineLvl w:val="1"/>
        <w:rPr>
          <w:rFonts w:eastAsia="標楷體" w:hAnsi="標楷體" w:hint="eastAsia"/>
          <w:sz w:val="28"/>
          <w:szCs w:val="28"/>
        </w:rPr>
      </w:pPr>
      <w:bookmarkStart w:id="18" w:name="_Toc42188624"/>
    </w:p>
    <w:p w:rsidR="00000000" w:rsidRDefault="00FD50C0">
      <w:pPr>
        <w:autoSpaceDE w:val="0"/>
        <w:autoSpaceDN w:val="0"/>
        <w:adjustRightInd w:val="0"/>
        <w:spacing w:beforeLines="50" w:afterLines="50"/>
        <w:jc w:val="both"/>
        <w:outlineLvl w:val="1"/>
        <w:rPr>
          <w:rFonts w:eastAsia="標楷體" w:hAnsi="標楷體" w:hint="eastAsia"/>
          <w:sz w:val="28"/>
          <w:szCs w:val="28"/>
        </w:rPr>
      </w:pPr>
    </w:p>
    <w:p w:rsidR="00000000" w:rsidRDefault="00FD50C0">
      <w:pPr>
        <w:autoSpaceDE w:val="0"/>
        <w:autoSpaceDN w:val="0"/>
        <w:adjustRightInd w:val="0"/>
        <w:spacing w:beforeLines="50" w:afterLines="50"/>
        <w:jc w:val="both"/>
        <w:outlineLvl w:val="1"/>
        <w:rPr>
          <w:rFonts w:eastAsia="標楷體" w:hAnsi="標楷體"/>
          <w:b/>
          <w:bCs/>
          <w:sz w:val="28"/>
          <w:szCs w:val="28"/>
        </w:rPr>
      </w:pPr>
      <w:r>
        <w:rPr>
          <w:rFonts w:eastAsia="標楷體" w:hAnsi="標楷體" w:hint="eastAsia"/>
          <w:b/>
          <w:bCs/>
          <w:sz w:val="28"/>
          <w:szCs w:val="28"/>
        </w:rPr>
        <w:t>(</w:t>
      </w:r>
      <w:r>
        <w:rPr>
          <w:rFonts w:eastAsia="標楷體" w:hAnsi="標楷體" w:hint="eastAsia"/>
          <w:b/>
          <w:bCs/>
          <w:sz w:val="28"/>
          <w:szCs w:val="28"/>
        </w:rPr>
        <w:t>七</w:t>
      </w:r>
      <w:r>
        <w:rPr>
          <w:rFonts w:eastAsia="標楷體" w:hAnsi="標楷體" w:hint="eastAsia"/>
          <w:b/>
          <w:bCs/>
          <w:sz w:val="28"/>
          <w:szCs w:val="28"/>
        </w:rPr>
        <w:t>)</w:t>
      </w:r>
      <w:r>
        <w:rPr>
          <w:rFonts w:eastAsia="標楷體" w:hAnsi="標楷體"/>
          <w:b/>
          <w:bCs/>
          <w:sz w:val="28"/>
          <w:szCs w:val="28"/>
        </w:rPr>
        <w:t>重整尾聲－減資與增資</w:t>
      </w:r>
      <w:bookmarkEnd w:id="18"/>
    </w:p>
    <w:p w:rsidR="00000000" w:rsidRDefault="00FD50C0">
      <w:pPr>
        <w:autoSpaceDE w:val="0"/>
        <w:autoSpaceDN w:val="0"/>
        <w:adjustRightInd w:val="0"/>
        <w:spacing w:beforeLines="50" w:afterLines="50"/>
        <w:jc w:val="both"/>
        <w:rPr>
          <w:rFonts w:eastAsia="標楷體"/>
        </w:rPr>
      </w:pPr>
      <w:r>
        <w:rPr>
          <w:rFonts w:eastAsia="標楷體"/>
        </w:rPr>
        <w:t xml:space="preserve">    </w:t>
      </w:r>
      <w:r>
        <w:rPr>
          <w:rFonts w:eastAsia="標楷體" w:hAnsi="標楷體"/>
        </w:rPr>
        <w:t>東隆五金在第二次關係人會議中通過的重整計劃中，預計將</w:t>
      </w:r>
      <w:r>
        <w:rPr>
          <w:rFonts w:eastAsia="標楷體"/>
        </w:rPr>
        <w:t>30</w:t>
      </w:r>
      <w:r>
        <w:rPr>
          <w:rFonts w:eastAsia="標楷體" w:hAnsi="標楷體"/>
        </w:rPr>
        <w:t>億</w:t>
      </w:r>
      <w:r>
        <w:rPr>
          <w:rFonts w:eastAsia="標楷體"/>
        </w:rPr>
        <w:t>6100</w:t>
      </w:r>
      <w:r>
        <w:rPr>
          <w:rFonts w:eastAsia="標楷體" w:hAnsi="標楷體"/>
        </w:rPr>
        <w:t>萬元的資本額減至</w:t>
      </w:r>
      <w:r>
        <w:rPr>
          <w:rFonts w:eastAsia="標楷體"/>
        </w:rPr>
        <w:t>2</w:t>
      </w:r>
      <w:r>
        <w:rPr>
          <w:rFonts w:eastAsia="標楷體" w:hAnsi="標楷體"/>
        </w:rPr>
        <w:t>億元，將虧損金額一次補足，另再辦理</w:t>
      </w:r>
      <w:r>
        <w:rPr>
          <w:rFonts w:eastAsia="標楷體"/>
        </w:rPr>
        <w:t>13</w:t>
      </w:r>
      <w:r>
        <w:rPr>
          <w:rFonts w:eastAsia="標楷體" w:hAnsi="標楷體"/>
        </w:rPr>
        <w:t>億元的增資案。公司計劃先於民國</w:t>
      </w:r>
      <w:r>
        <w:rPr>
          <w:rFonts w:eastAsia="標楷體"/>
        </w:rPr>
        <w:t>89</w:t>
      </w:r>
      <w:r>
        <w:rPr>
          <w:rFonts w:eastAsia="標楷體" w:hAnsi="標楷體"/>
        </w:rPr>
        <w:t>年</w:t>
      </w:r>
      <w:r>
        <w:rPr>
          <w:rFonts w:eastAsia="標楷體"/>
        </w:rPr>
        <w:t>3</w:t>
      </w:r>
      <w:r>
        <w:rPr>
          <w:rFonts w:eastAsia="標楷體" w:hAnsi="標楷體"/>
        </w:rPr>
        <w:t>月進行減資，資本額將由</w:t>
      </w:r>
      <w:r>
        <w:rPr>
          <w:rFonts w:eastAsia="標楷體"/>
        </w:rPr>
        <w:t>30</w:t>
      </w:r>
      <w:r>
        <w:rPr>
          <w:rFonts w:eastAsia="標楷體" w:hAnsi="標楷體"/>
        </w:rPr>
        <w:t>億</w:t>
      </w:r>
      <w:r>
        <w:rPr>
          <w:rFonts w:eastAsia="標楷體"/>
        </w:rPr>
        <w:t>600</w:t>
      </w:r>
      <w:r>
        <w:rPr>
          <w:rFonts w:eastAsia="標楷體" w:hAnsi="標楷體"/>
        </w:rPr>
        <w:t>萬元，減至</w:t>
      </w:r>
      <w:r>
        <w:rPr>
          <w:rFonts w:eastAsia="標楷體"/>
        </w:rPr>
        <w:t>2</w:t>
      </w:r>
      <w:r>
        <w:rPr>
          <w:rFonts w:eastAsia="標楷體" w:hAnsi="標楷體"/>
        </w:rPr>
        <w:t>億</w:t>
      </w:r>
      <w:r>
        <w:rPr>
          <w:rFonts w:eastAsia="標楷體"/>
        </w:rPr>
        <w:t>41</w:t>
      </w:r>
      <w:r>
        <w:rPr>
          <w:rFonts w:eastAsia="標楷體" w:hAnsi="標楷體"/>
        </w:rPr>
        <w:t>萬元；再辦理</w:t>
      </w:r>
      <w:r>
        <w:rPr>
          <w:rFonts w:eastAsia="標楷體"/>
        </w:rPr>
        <w:t>13.02</w:t>
      </w:r>
      <w:r>
        <w:rPr>
          <w:rFonts w:eastAsia="標楷體" w:hAnsi="標楷體"/>
        </w:rPr>
        <w:t>億元現金增資，每</w:t>
      </w:r>
      <w:r>
        <w:rPr>
          <w:rFonts w:eastAsia="標楷體" w:hAnsi="標楷體"/>
        </w:rPr>
        <w:t>股以</w:t>
      </w:r>
      <w:r>
        <w:rPr>
          <w:rFonts w:eastAsia="標楷體"/>
        </w:rPr>
        <w:t>17</w:t>
      </w:r>
      <w:r>
        <w:rPr>
          <w:rFonts w:eastAsia="標楷體" w:hAnsi="標楷體"/>
        </w:rPr>
        <w:t>元發行，預計募集</w:t>
      </w:r>
      <w:r>
        <w:rPr>
          <w:rFonts w:eastAsia="標楷體"/>
        </w:rPr>
        <w:t>22.13</w:t>
      </w:r>
      <w:r>
        <w:rPr>
          <w:rFonts w:eastAsia="標楷體" w:hAnsi="標楷體"/>
        </w:rPr>
        <w:t>億元，現金增資已於民國</w:t>
      </w:r>
      <w:r>
        <w:rPr>
          <w:rFonts w:eastAsia="標楷體"/>
        </w:rPr>
        <w:t>89</w:t>
      </w:r>
      <w:r>
        <w:rPr>
          <w:rFonts w:eastAsia="標楷體" w:hAnsi="標楷體"/>
        </w:rPr>
        <w:t>年</w:t>
      </w:r>
      <w:r>
        <w:rPr>
          <w:rFonts w:eastAsia="標楷體"/>
        </w:rPr>
        <w:t>9</w:t>
      </w:r>
      <w:r>
        <w:rPr>
          <w:rFonts w:eastAsia="標楷體" w:hAnsi="標楷體"/>
        </w:rPr>
        <w:t>月完成。</w:t>
      </w:r>
    </w:p>
    <w:p w:rsidR="00000000" w:rsidRDefault="00FD50C0">
      <w:pPr>
        <w:autoSpaceDE w:val="0"/>
        <w:autoSpaceDN w:val="0"/>
        <w:adjustRightInd w:val="0"/>
        <w:spacing w:beforeLines="50" w:afterLines="50"/>
        <w:jc w:val="both"/>
        <w:rPr>
          <w:rFonts w:eastAsia="標楷體"/>
        </w:rPr>
      </w:pPr>
      <w:r>
        <w:rPr>
          <w:rFonts w:eastAsia="標楷體"/>
        </w:rPr>
        <w:t xml:space="preserve">    </w:t>
      </w:r>
      <w:r>
        <w:rPr>
          <w:rFonts w:eastAsia="標楷體" w:hAnsi="標楷體"/>
        </w:rPr>
        <w:t>有關現金增資的部份，由於新股價格絕大多數東隆員工及原股東並不認同，因此認購率只有</w:t>
      </w:r>
      <w:r>
        <w:rPr>
          <w:rFonts w:eastAsia="標楷體"/>
        </w:rPr>
        <w:t>3.46%</w:t>
      </w:r>
      <w:r>
        <w:rPr>
          <w:rFonts w:eastAsia="標楷體" w:hAnsi="標楷體"/>
        </w:rPr>
        <w:t>。而此次現增後，外資持股比率約</w:t>
      </w:r>
      <w:r>
        <w:rPr>
          <w:rFonts w:eastAsia="標楷體"/>
        </w:rPr>
        <w:t>60.04%</w:t>
      </w:r>
      <w:r>
        <w:rPr>
          <w:rFonts w:eastAsia="標楷體" w:hAnsi="標楷體"/>
        </w:rPr>
        <w:t>，成為最大股東。中租迪和、新勝合計持有</w:t>
      </w:r>
      <w:r>
        <w:rPr>
          <w:rFonts w:eastAsia="標楷體"/>
        </w:rPr>
        <w:t>23.59%</w:t>
      </w:r>
      <w:r>
        <w:rPr>
          <w:rFonts w:eastAsia="標楷體" w:hAnsi="標楷體"/>
        </w:rPr>
        <w:t>，原股東持股比率降為</w:t>
      </w:r>
      <w:r>
        <w:rPr>
          <w:rFonts w:eastAsia="標楷體"/>
        </w:rPr>
        <w:t>16.47%</w:t>
      </w:r>
      <w:r>
        <w:rPr>
          <w:rFonts w:eastAsia="標楷體" w:hAnsi="標楷體"/>
        </w:rPr>
        <w:t>。歷經減資與增資後，股本為</w:t>
      </w:r>
      <w:r>
        <w:rPr>
          <w:rFonts w:eastAsia="標楷體"/>
        </w:rPr>
        <w:t>15.02</w:t>
      </w:r>
      <w:r>
        <w:rPr>
          <w:rFonts w:eastAsia="標楷體" w:hAnsi="標楷體"/>
        </w:rPr>
        <w:t>億元，股東人數</w:t>
      </w:r>
      <w:r>
        <w:rPr>
          <w:rFonts w:eastAsia="標楷體"/>
        </w:rPr>
        <w:t>2.5</w:t>
      </w:r>
      <w:r>
        <w:rPr>
          <w:rFonts w:eastAsia="標楷體" w:hAnsi="標楷體"/>
        </w:rPr>
        <w:t>萬餘人。而入主東隆五金的外資為香港匯豐集團。在東隆五金召開</w:t>
      </w:r>
      <w:r>
        <w:rPr>
          <w:rFonts w:eastAsia="標楷體"/>
        </w:rPr>
        <w:t>89</w:t>
      </w:r>
      <w:r>
        <w:rPr>
          <w:rFonts w:eastAsia="標楷體" w:hAnsi="標楷體"/>
        </w:rPr>
        <w:t>年第一次股東臨時會時，香港匯豐集團旗下五金物業次集團英屬蓋曼群島、宏偉實業、精確設備、盛業五金、光</w:t>
      </w:r>
      <w:r>
        <w:rPr>
          <w:rFonts w:eastAsia="標楷體" w:hAnsi="標楷體"/>
        </w:rPr>
        <w:t>正工業共取得</w:t>
      </w:r>
      <w:r>
        <w:rPr>
          <w:rFonts w:eastAsia="標楷體"/>
        </w:rPr>
        <w:t>76.9%</w:t>
      </w:r>
      <w:r>
        <w:rPr>
          <w:rFonts w:eastAsia="標楷體" w:hAnsi="標楷體"/>
        </w:rPr>
        <w:t>的股權，因此匯豐集團拿下五席董事，掌控董事會大局，並指派香港匯豐直接投資</w:t>
      </w:r>
      <w:r>
        <w:rPr>
          <w:rFonts w:eastAsia="標楷體"/>
        </w:rPr>
        <w:t>(</w:t>
      </w:r>
      <w:r>
        <w:rPr>
          <w:rFonts w:eastAsia="標楷體" w:hAnsi="標楷體"/>
        </w:rPr>
        <w:t>亞洲</w:t>
      </w:r>
      <w:r>
        <w:rPr>
          <w:rFonts w:eastAsia="標楷體"/>
        </w:rPr>
        <w:t>)</w:t>
      </w:r>
      <w:r>
        <w:rPr>
          <w:rFonts w:eastAsia="標楷體" w:hAnsi="標楷體"/>
        </w:rPr>
        <w:t>有限公司投資董事陳伯昌為董事長兼總經理。在成功募集新資金並引進新的經營階層後，東隆五金的重整計劃也將告結束。</w:t>
      </w:r>
    </w:p>
    <w:p w:rsidR="00000000" w:rsidRDefault="00FD50C0">
      <w:pPr>
        <w:spacing w:beforeLines="50" w:afterLines="50"/>
        <w:jc w:val="both"/>
        <w:outlineLvl w:val="0"/>
        <w:rPr>
          <w:rFonts w:eastAsia="標楷體" w:hint="eastAsia"/>
          <w:b/>
          <w:kern w:val="0"/>
          <w:sz w:val="32"/>
          <w:szCs w:val="28"/>
        </w:rPr>
      </w:pPr>
      <w:bookmarkStart w:id="19" w:name="_Toc42188626"/>
      <w:r>
        <w:rPr>
          <w:rFonts w:eastAsia="標楷體" w:hint="eastAsia"/>
          <w:b/>
          <w:kern w:val="0"/>
          <w:sz w:val="32"/>
          <w:szCs w:val="28"/>
        </w:rPr>
        <w:t>五</w:t>
      </w:r>
      <w:r>
        <w:rPr>
          <w:rFonts w:eastAsia="標楷體"/>
          <w:b/>
          <w:kern w:val="0"/>
          <w:sz w:val="32"/>
          <w:szCs w:val="28"/>
        </w:rPr>
        <w:t>、公司現況</w:t>
      </w:r>
      <w:bookmarkEnd w:id="19"/>
    </w:p>
    <w:p w:rsidR="00000000" w:rsidRDefault="00FD50C0">
      <w:pPr>
        <w:spacing w:beforeLines="50" w:afterLines="50"/>
        <w:ind w:firstLine="480"/>
        <w:jc w:val="both"/>
        <w:rPr>
          <w:rFonts w:ascii="標楷體" w:eastAsia="標楷體" w:hAnsi="標楷體" w:cs="新細明體" w:hint="eastAsia"/>
          <w:kern w:val="0"/>
        </w:rPr>
      </w:pPr>
      <w:r>
        <w:rPr>
          <w:rFonts w:ascii="標楷體" w:eastAsia="標楷體" w:hAnsi="標楷體" w:cs="新細明體"/>
          <w:kern w:val="0"/>
        </w:rPr>
        <w:t>在歷經減資及改善財務結構等過程後，東隆五金</w:t>
      </w:r>
      <w:r>
        <w:rPr>
          <w:rFonts w:ascii="標楷體" w:eastAsia="標楷體" w:hAnsi="標楷體" w:cs="新細明體"/>
          <w:kern w:val="0"/>
        </w:rPr>
        <w:t>200</w:t>
      </w:r>
      <w:r>
        <w:rPr>
          <w:rFonts w:ascii="標楷體" w:eastAsia="標楷體" w:hAnsi="標楷體" w:cs="新細明體" w:hint="eastAsia"/>
          <w:kern w:val="0"/>
        </w:rPr>
        <w:t>6</w:t>
      </w:r>
      <w:r>
        <w:rPr>
          <w:rFonts w:ascii="標楷體" w:eastAsia="標楷體" w:hAnsi="標楷體" w:cs="新細明體"/>
          <w:kern w:val="0"/>
        </w:rPr>
        <w:t>年營收</w:t>
      </w:r>
      <w:r>
        <w:rPr>
          <w:rFonts w:ascii="標楷體" w:eastAsia="標楷體" w:hAnsi="標楷體" w:cs="新細明體" w:hint="eastAsia"/>
          <w:kern w:val="0"/>
        </w:rPr>
        <w:t>已</w:t>
      </w:r>
      <w:r>
        <w:rPr>
          <w:rFonts w:ascii="標楷體" w:eastAsia="標楷體" w:hAnsi="標楷體" w:cs="新細明體"/>
          <w:kern w:val="0"/>
        </w:rPr>
        <w:t>逾</w:t>
      </w:r>
      <w:r>
        <w:rPr>
          <w:rFonts w:ascii="標楷體" w:eastAsia="標楷體" w:hAnsi="標楷體" w:cs="新細明體"/>
          <w:kern w:val="0"/>
        </w:rPr>
        <w:t>2</w:t>
      </w:r>
      <w:r>
        <w:rPr>
          <w:rFonts w:ascii="標楷體" w:eastAsia="標楷體" w:hAnsi="標楷體" w:cs="新細明體" w:hint="eastAsia"/>
          <w:kern w:val="0"/>
        </w:rPr>
        <w:t>8</w:t>
      </w:r>
      <w:r>
        <w:rPr>
          <w:rFonts w:ascii="標楷體" w:eastAsia="標楷體" w:hAnsi="標楷體" w:cs="新細明體"/>
          <w:kern w:val="0"/>
        </w:rPr>
        <w:t>億元，每股淨值</w:t>
      </w:r>
      <w:r>
        <w:rPr>
          <w:rFonts w:ascii="標楷體" w:eastAsia="標楷體" w:hAnsi="標楷體" w:cs="新細明體" w:hint="eastAsia"/>
          <w:kern w:val="0"/>
        </w:rPr>
        <w:t>亦由</w:t>
      </w:r>
      <w:r>
        <w:rPr>
          <w:rFonts w:ascii="標楷體" w:eastAsia="標楷體" w:hAnsi="標楷體" w:cs="新細明體" w:hint="eastAsia"/>
          <w:kern w:val="0"/>
        </w:rPr>
        <w:t>2001</w:t>
      </w:r>
      <w:r>
        <w:rPr>
          <w:rFonts w:ascii="標楷體" w:eastAsia="標楷體" w:hAnsi="標楷體" w:cs="新細明體" w:hint="eastAsia"/>
          <w:kern w:val="0"/>
        </w:rPr>
        <w:t>年之負</w:t>
      </w:r>
      <w:r>
        <w:rPr>
          <w:rFonts w:ascii="標楷體" w:eastAsia="標楷體" w:hAnsi="標楷體" w:cs="新細明體" w:hint="eastAsia"/>
          <w:kern w:val="0"/>
        </w:rPr>
        <w:t>1.19</w:t>
      </w:r>
      <w:r>
        <w:rPr>
          <w:rFonts w:ascii="標楷體" w:eastAsia="標楷體" w:hAnsi="標楷體" w:cs="新細明體" w:hint="eastAsia"/>
          <w:kern w:val="0"/>
        </w:rPr>
        <w:t>提昇至</w:t>
      </w:r>
      <w:r>
        <w:rPr>
          <w:rFonts w:ascii="標楷體" w:eastAsia="標楷體" w:hAnsi="標楷體" w:cs="新細明體" w:hint="eastAsia"/>
          <w:kern w:val="0"/>
        </w:rPr>
        <w:t>2006</w:t>
      </w:r>
      <w:r>
        <w:rPr>
          <w:rFonts w:ascii="標楷體" w:eastAsia="標楷體" w:hAnsi="標楷體" w:cs="新細明體" w:hint="eastAsia"/>
          <w:kern w:val="0"/>
        </w:rPr>
        <w:t>年</w:t>
      </w:r>
      <w:r>
        <w:rPr>
          <w:rFonts w:ascii="標楷體" w:eastAsia="標楷體" w:hAnsi="標楷體" w:cs="新細明體"/>
          <w:kern w:val="0"/>
        </w:rPr>
        <w:t>的</w:t>
      </w:r>
      <w:r>
        <w:rPr>
          <w:rFonts w:ascii="標楷體" w:eastAsia="標楷體" w:hAnsi="標楷體" w:cs="新細明體" w:hint="eastAsia"/>
          <w:kern w:val="0"/>
        </w:rPr>
        <w:t>17.96</w:t>
      </w:r>
      <w:r>
        <w:rPr>
          <w:rFonts w:ascii="標楷體" w:eastAsia="標楷體" w:hAnsi="標楷體" w:cs="新細明體"/>
          <w:kern w:val="0"/>
        </w:rPr>
        <w:t>元。</w:t>
      </w:r>
    </w:p>
    <w:p w:rsidR="00000000" w:rsidRDefault="00FD50C0">
      <w:pPr>
        <w:spacing w:beforeLines="50" w:afterLines="50"/>
        <w:ind w:firstLine="480"/>
        <w:jc w:val="both"/>
        <w:rPr>
          <w:rFonts w:ascii="標楷體" w:eastAsia="標楷體" w:hAnsi="標楷體" w:cs="新細明體" w:hint="eastAsia"/>
          <w:kern w:val="0"/>
        </w:rPr>
      </w:pPr>
    </w:p>
    <w:p w:rsidR="00000000" w:rsidRDefault="00FD50C0">
      <w:pPr>
        <w:spacing w:beforeLines="50" w:afterLines="50"/>
        <w:ind w:firstLine="480"/>
        <w:jc w:val="both"/>
        <w:rPr>
          <w:rFonts w:ascii="標楷體" w:eastAsia="標楷體" w:hAnsi="標楷體" w:cs="新細明體" w:hint="eastAsia"/>
          <w:kern w:val="0"/>
        </w:rPr>
      </w:pPr>
      <w:r>
        <w:rPr>
          <w:rFonts w:ascii="標楷體" w:eastAsia="標楷體" w:hAnsi="標楷體" w:cs="新細明體"/>
          <w:kern w:val="0"/>
        </w:rPr>
        <w:t>東隆五金目前有台灣嘉義、菲律賓蘇比克灣兩地生產中心，其中嘉義廠月產能</w:t>
      </w:r>
      <w:r>
        <w:rPr>
          <w:rFonts w:ascii="標楷體" w:eastAsia="標楷體" w:hAnsi="標楷體" w:cs="新細明體"/>
          <w:kern w:val="0"/>
        </w:rPr>
        <w:t xml:space="preserve"> 150</w:t>
      </w:r>
      <w:r>
        <w:rPr>
          <w:rFonts w:ascii="標楷體" w:eastAsia="標楷體" w:hAnsi="標楷體" w:cs="新細明體"/>
          <w:kern w:val="0"/>
        </w:rPr>
        <w:t>萬組，菲律賓廠月產能</w:t>
      </w:r>
      <w:r>
        <w:rPr>
          <w:rFonts w:ascii="標楷體" w:eastAsia="標楷體" w:hAnsi="標楷體" w:cs="新細明體"/>
          <w:kern w:val="0"/>
        </w:rPr>
        <w:t>30</w:t>
      </w:r>
      <w:r>
        <w:rPr>
          <w:rFonts w:ascii="標楷體" w:eastAsia="標楷體" w:hAnsi="標楷體" w:cs="新細明體"/>
          <w:kern w:val="0"/>
        </w:rPr>
        <w:t>萬組。過去東隆五金主要在嘉義廠生產，為因應大陸</w:t>
      </w:r>
      <w:r>
        <w:rPr>
          <w:rFonts w:ascii="標楷體" w:eastAsia="標楷體" w:hAnsi="標楷體" w:cs="新細明體"/>
          <w:kern w:val="0"/>
        </w:rPr>
        <w:t>同業低價競爭，</w:t>
      </w:r>
      <w:r>
        <w:rPr>
          <w:rFonts w:ascii="標楷體" w:eastAsia="標楷體" w:hAnsi="標楷體" w:cs="新細明體" w:hint="eastAsia"/>
          <w:kern w:val="0"/>
        </w:rPr>
        <w:t>亦開始</w:t>
      </w:r>
      <w:r>
        <w:rPr>
          <w:rFonts w:ascii="標楷體" w:eastAsia="標楷體" w:hAnsi="標楷體" w:cs="新細明體"/>
          <w:kern w:val="0"/>
        </w:rPr>
        <w:t>啟動菲律賓廠生產線；東隆五金將嘉義廠定位為</w:t>
      </w:r>
      <w:r>
        <w:rPr>
          <w:rFonts w:ascii="標楷體" w:eastAsia="標楷體" w:hAnsi="標楷體" w:cs="新細明體"/>
          <w:kern w:val="0"/>
        </w:rPr>
        <w:t>1</w:t>
      </w:r>
      <w:r>
        <w:rPr>
          <w:rFonts w:ascii="標楷體" w:eastAsia="標楷體" w:hAnsi="標楷體" w:cs="新細明體"/>
          <w:kern w:val="0"/>
        </w:rPr>
        <w:t>、</w:t>
      </w:r>
      <w:r>
        <w:rPr>
          <w:rFonts w:ascii="標楷體" w:eastAsia="標楷體" w:hAnsi="標楷體" w:cs="新細明體"/>
          <w:kern w:val="0"/>
        </w:rPr>
        <w:t>2</w:t>
      </w:r>
      <w:r>
        <w:rPr>
          <w:rFonts w:ascii="標楷體" w:eastAsia="標楷體" w:hAnsi="標楷體" w:cs="新細明體"/>
          <w:kern w:val="0"/>
        </w:rPr>
        <w:t>級高級鎖製造中心與研發中心，菲律賓廠以</w:t>
      </w:r>
      <w:r>
        <w:rPr>
          <w:rFonts w:ascii="標楷體" w:eastAsia="標楷體" w:hAnsi="標楷體" w:cs="新細明體"/>
          <w:kern w:val="0"/>
        </w:rPr>
        <w:t>2</w:t>
      </w:r>
      <w:r>
        <w:rPr>
          <w:rFonts w:ascii="標楷體" w:eastAsia="標楷體" w:hAnsi="標楷體" w:cs="新細明體"/>
          <w:kern w:val="0"/>
        </w:rPr>
        <w:t>、</w:t>
      </w:r>
      <w:r>
        <w:rPr>
          <w:rFonts w:ascii="標楷體" w:eastAsia="標楷體" w:hAnsi="標楷體" w:cs="新細明體"/>
          <w:kern w:val="0"/>
        </w:rPr>
        <w:t>3</w:t>
      </w:r>
      <w:r>
        <w:rPr>
          <w:rFonts w:ascii="標楷體" w:eastAsia="標楷體" w:hAnsi="標楷體" w:cs="新細明體"/>
          <w:kern w:val="0"/>
        </w:rPr>
        <w:t>級等低階及組裝生產線為主。</w:t>
      </w:r>
      <w:r>
        <w:rPr>
          <w:rFonts w:ascii="標楷體" w:eastAsia="標楷體" w:hAnsi="標楷體" w:cs="新細明體"/>
          <w:kern w:val="0"/>
        </w:rPr>
        <w:t xml:space="preserve"> </w:t>
      </w:r>
    </w:p>
    <w:p w:rsidR="00000000" w:rsidRDefault="00FD50C0">
      <w:pPr>
        <w:spacing w:beforeLines="50" w:afterLines="50"/>
        <w:ind w:firstLine="480"/>
        <w:jc w:val="both"/>
        <w:rPr>
          <w:rFonts w:ascii="標楷體" w:eastAsia="標楷體" w:hAnsi="標楷體" w:cs="新細明體" w:hint="eastAsia"/>
          <w:kern w:val="0"/>
        </w:rPr>
      </w:pPr>
      <w:r>
        <w:rPr>
          <w:rFonts w:ascii="標楷體" w:eastAsia="標楷體" w:hAnsi="標楷體" w:cs="新細明體" w:hint="eastAsia"/>
          <w:kern w:val="0"/>
        </w:rPr>
        <w:t>由於</w:t>
      </w:r>
      <w:r>
        <w:rPr>
          <w:rFonts w:ascii="標楷體" w:eastAsia="標楷體" w:hAnsi="標楷體" w:cs="新細明體"/>
          <w:kern w:val="0"/>
        </w:rPr>
        <w:t>東隆五金擁有逾百項的製鎖專利技術，</w:t>
      </w:r>
      <w:r>
        <w:rPr>
          <w:rFonts w:ascii="標楷體" w:eastAsia="標楷體" w:hAnsi="標楷體" w:cs="新細明體" w:hint="eastAsia"/>
          <w:kern w:val="0"/>
        </w:rPr>
        <w:t>加上</w:t>
      </w:r>
      <w:r>
        <w:rPr>
          <w:rFonts w:ascii="標楷體" w:eastAsia="標楷體" w:hAnsi="標楷體" w:cs="新細明體"/>
          <w:kern w:val="0"/>
        </w:rPr>
        <w:t>多年</w:t>
      </w:r>
      <w:r>
        <w:rPr>
          <w:rFonts w:ascii="標楷體" w:eastAsia="標楷體" w:hAnsi="標楷體" w:cs="新細明體" w:hint="eastAsia"/>
          <w:kern w:val="0"/>
        </w:rPr>
        <w:t>來打下的良好</w:t>
      </w:r>
      <w:r>
        <w:rPr>
          <w:rFonts w:ascii="標楷體" w:eastAsia="標楷體" w:hAnsi="標楷體" w:cs="新細明體"/>
          <w:kern w:val="0"/>
        </w:rPr>
        <w:t>品牌形象，</w:t>
      </w:r>
      <w:r>
        <w:rPr>
          <w:rFonts w:ascii="標楷體" w:eastAsia="標楷體" w:hAnsi="標楷體" w:cs="新細明體" w:hint="eastAsia"/>
          <w:kern w:val="0"/>
        </w:rPr>
        <w:t>在重整成功後，即受到特力集團青睞，並於</w:t>
      </w:r>
      <w:r>
        <w:rPr>
          <w:rFonts w:ascii="標楷體" w:eastAsia="標楷體" w:hAnsi="標楷體" w:cs="新細明體" w:hint="eastAsia"/>
          <w:kern w:val="0"/>
        </w:rPr>
        <w:t>95</w:t>
      </w:r>
      <w:r>
        <w:rPr>
          <w:rFonts w:ascii="標楷體" w:eastAsia="標楷體" w:hAnsi="標楷體" w:cs="新細明體" w:hint="eastAsia"/>
          <w:kern w:val="0"/>
        </w:rPr>
        <w:t>年透過子公司入主東隆五金，取得東隆五金</w:t>
      </w:r>
      <w:r>
        <w:rPr>
          <w:rFonts w:ascii="標楷體" w:eastAsia="標楷體" w:hAnsi="標楷體" w:cs="新細明體" w:hint="eastAsia"/>
          <w:kern w:val="0"/>
        </w:rPr>
        <w:t>68%</w:t>
      </w:r>
      <w:r>
        <w:rPr>
          <w:rFonts w:ascii="標楷體" w:eastAsia="標楷體" w:hAnsi="標楷體" w:cs="新細明體" w:hint="eastAsia"/>
          <w:kern w:val="0"/>
        </w:rPr>
        <w:t>之股權。透過特力全球銷售管道、客戶服務及運籌中心，可望進一步擴大東隆五金門鎖產品在全球之知名度與銷售量。</w:t>
      </w:r>
    </w:p>
    <w:p w:rsidR="00000000" w:rsidRDefault="00FD50C0">
      <w:pPr>
        <w:spacing w:before="180" w:after="180"/>
        <w:jc w:val="both"/>
        <w:rPr>
          <w:rFonts w:ascii="標楷體" w:eastAsia="標楷體" w:hAnsi="標楷體" w:hint="eastAsia"/>
          <w:b/>
          <w:bCs/>
          <w:sz w:val="32"/>
          <w:szCs w:val="28"/>
        </w:rPr>
      </w:pPr>
      <w:bookmarkStart w:id="20" w:name="_Toc42188628"/>
      <w:r>
        <w:rPr>
          <w:rFonts w:ascii="標楷體" w:eastAsia="標楷體" w:hAnsi="標楷體" w:hint="eastAsia"/>
          <w:b/>
          <w:bCs/>
          <w:sz w:val="32"/>
          <w:szCs w:val="28"/>
        </w:rPr>
        <w:t>六、結論與省思</w:t>
      </w:r>
      <w:bookmarkEnd w:id="20"/>
    </w:p>
    <w:p w:rsidR="00000000" w:rsidRDefault="00FD50C0">
      <w:pPr>
        <w:spacing w:before="180" w:after="180"/>
        <w:jc w:val="both"/>
        <w:rPr>
          <w:rFonts w:ascii="標楷體" w:eastAsia="標楷體" w:hAnsi="標楷體" w:hint="eastAsia"/>
          <w:bCs/>
        </w:rPr>
      </w:pPr>
      <w:r>
        <w:rPr>
          <w:rFonts w:ascii="標楷體" w:eastAsia="標楷體" w:hAnsi="標楷體" w:hint="eastAsia"/>
          <w:bCs/>
        </w:rPr>
        <w:t xml:space="preserve">    </w:t>
      </w:r>
      <w:r>
        <w:rPr>
          <w:rFonts w:ascii="標楷體" w:eastAsia="標楷體" w:hAnsi="標楷體" w:hint="eastAsia"/>
          <w:bCs/>
        </w:rPr>
        <w:t>由於公司法中重整的規定，公司在遇到危機時候將可暫時免去債務的強制清償，可避免公司淪落到</w:t>
      </w:r>
      <w:r>
        <w:rPr>
          <w:rFonts w:ascii="標楷體" w:eastAsia="標楷體" w:hAnsi="標楷體" w:hint="eastAsia"/>
          <w:bCs/>
        </w:rPr>
        <w:t>破產的階段，因為破產後所有的利害關係人都將受害。公司的重整，就像是將重病病患推入急診室，並立起『閒人勿擾』的標誌，讓生病的人可以免去外界對他的打擾，好好地休息養病，在逐漸轉好的過程中在加給予營養劑，就如最後的資金注入般，讓公司重獲新生，並有力量繼續經營下去。</w:t>
      </w:r>
    </w:p>
    <w:sectPr w:rsidR="00000000">
      <w:footerReference w:type="even" r:id="rId33"/>
      <w:footerReference w:type="default" r:id="rId34"/>
      <w:pgSz w:w="11906" w:h="16838"/>
      <w:pgMar w:top="1258"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D50C0">
      <w:r>
        <w:separator/>
      </w:r>
    </w:p>
  </w:endnote>
  <w:endnote w:type="continuationSeparator" w:id="0">
    <w:p w:rsidR="00000000" w:rsidRDefault="00FD5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50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FD50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50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FD50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D50C0">
      <w:r>
        <w:separator/>
      </w:r>
    </w:p>
  </w:footnote>
  <w:footnote w:type="continuationSeparator" w:id="0">
    <w:p w:rsidR="00000000" w:rsidRDefault="00FD50C0">
      <w:r>
        <w:continuationSeparator/>
      </w:r>
    </w:p>
  </w:footnote>
  <w:footnote w:id="1">
    <w:p w:rsidR="00000000" w:rsidRDefault="00FD50C0">
      <w:pPr>
        <w:pStyle w:val="a7"/>
        <w:rPr>
          <w:rFonts w:eastAsia="標楷體"/>
        </w:rPr>
      </w:pPr>
      <w:r>
        <w:rPr>
          <w:rStyle w:val="a8"/>
          <w:rFonts w:eastAsia="標楷體"/>
        </w:rPr>
        <w:footnoteRef/>
      </w:r>
      <w:r>
        <w:rPr>
          <w:rFonts w:eastAsia="標楷體"/>
        </w:rPr>
        <w:t xml:space="preserve"> </w:t>
      </w:r>
      <w:r>
        <w:rPr>
          <w:rFonts w:eastAsia="標楷體" w:hAnsi="標楷體"/>
        </w:rPr>
        <w:t>重整計畫出自於東隆五金公司董事長王鍾渝政大商學院演講內容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clip_image001"/>
      </v:shape>
    </w:pict>
  </w:numPicBullet>
  <w:numPicBullet w:numPicBulletId="1">
    <w:pict>
      <v:shape id="_x0000_i1026" type="#_x0000_t75" style="width:11.25pt;height:11.25pt" o:bullet="t">
        <v:imagedata r:id="rId2" o:title="clip_image002"/>
      </v:shape>
    </w:pict>
  </w:numPicBullet>
  <w:abstractNum w:abstractNumId="0">
    <w:nsid w:val="FFFFFFFE"/>
    <w:multiLevelType w:val="singleLevel"/>
    <w:tmpl w:val="862CBCC6"/>
    <w:lvl w:ilvl="0">
      <w:numFmt w:val="bullet"/>
      <w:lvlText w:val="*"/>
      <w:lvlJc w:val="left"/>
    </w:lvl>
  </w:abstractNum>
  <w:abstractNum w:abstractNumId="1">
    <w:nsid w:val="00EE4C48"/>
    <w:multiLevelType w:val="hybridMultilevel"/>
    <w:tmpl w:val="EF9CF7A8"/>
    <w:lvl w:ilvl="0" w:tplc="6BC4DD2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281843"/>
    <w:multiLevelType w:val="hybridMultilevel"/>
    <w:tmpl w:val="DF5692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AF6744"/>
    <w:multiLevelType w:val="hybridMultilevel"/>
    <w:tmpl w:val="CA36FEC8"/>
    <w:lvl w:ilvl="0" w:tplc="92E4A4E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07033590"/>
    <w:multiLevelType w:val="hybridMultilevel"/>
    <w:tmpl w:val="9C0E3A4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724135B"/>
    <w:multiLevelType w:val="hybridMultilevel"/>
    <w:tmpl w:val="198A16AE"/>
    <w:lvl w:ilvl="0" w:tplc="109EDF46">
      <w:start w:val="1"/>
      <w:numFmt w:val="decimal"/>
      <w:lvlText w:val="(%1)"/>
      <w:lvlJc w:val="left"/>
      <w:pPr>
        <w:tabs>
          <w:tab w:val="num" w:pos="1308"/>
        </w:tabs>
        <w:ind w:left="1308" w:hanging="408"/>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0AB91293"/>
    <w:multiLevelType w:val="multilevel"/>
    <w:tmpl w:val="6DCC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171AB4"/>
    <w:multiLevelType w:val="hybridMultilevel"/>
    <w:tmpl w:val="2DF8CA80"/>
    <w:lvl w:ilvl="0" w:tplc="4D7E4A50">
      <w:start w:val="1"/>
      <w:numFmt w:val="bullet"/>
      <w:lvlText w:val="•"/>
      <w:lvlJc w:val="left"/>
      <w:pPr>
        <w:tabs>
          <w:tab w:val="num" w:pos="720"/>
        </w:tabs>
        <w:ind w:left="720" w:hanging="360"/>
      </w:pPr>
      <w:rPr>
        <w:rFonts w:ascii="Garamond" w:hAnsi="Garamond" w:hint="default"/>
      </w:rPr>
    </w:lvl>
    <w:lvl w:ilvl="1" w:tplc="6E32FE10" w:tentative="1">
      <w:start w:val="1"/>
      <w:numFmt w:val="bullet"/>
      <w:lvlText w:val="•"/>
      <w:lvlJc w:val="left"/>
      <w:pPr>
        <w:tabs>
          <w:tab w:val="num" w:pos="1440"/>
        </w:tabs>
        <w:ind w:left="1440" w:hanging="360"/>
      </w:pPr>
      <w:rPr>
        <w:rFonts w:ascii="Garamond" w:hAnsi="Garamond" w:hint="default"/>
      </w:rPr>
    </w:lvl>
    <w:lvl w:ilvl="2" w:tplc="7472BF5A" w:tentative="1">
      <w:start w:val="1"/>
      <w:numFmt w:val="bullet"/>
      <w:lvlText w:val="•"/>
      <w:lvlJc w:val="left"/>
      <w:pPr>
        <w:tabs>
          <w:tab w:val="num" w:pos="2160"/>
        </w:tabs>
        <w:ind w:left="2160" w:hanging="360"/>
      </w:pPr>
      <w:rPr>
        <w:rFonts w:ascii="Garamond" w:hAnsi="Garamond" w:hint="default"/>
      </w:rPr>
    </w:lvl>
    <w:lvl w:ilvl="3" w:tplc="83049D00" w:tentative="1">
      <w:start w:val="1"/>
      <w:numFmt w:val="bullet"/>
      <w:lvlText w:val="•"/>
      <w:lvlJc w:val="left"/>
      <w:pPr>
        <w:tabs>
          <w:tab w:val="num" w:pos="2880"/>
        </w:tabs>
        <w:ind w:left="2880" w:hanging="360"/>
      </w:pPr>
      <w:rPr>
        <w:rFonts w:ascii="Garamond" w:hAnsi="Garamond" w:hint="default"/>
      </w:rPr>
    </w:lvl>
    <w:lvl w:ilvl="4" w:tplc="935E26C6" w:tentative="1">
      <w:start w:val="1"/>
      <w:numFmt w:val="bullet"/>
      <w:lvlText w:val="•"/>
      <w:lvlJc w:val="left"/>
      <w:pPr>
        <w:tabs>
          <w:tab w:val="num" w:pos="3600"/>
        </w:tabs>
        <w:ind w:left="3600" w:hanging="360"/>
      </w:pPr>
      <w:rPr>
        <w:rFonts w:ascii="Garamond" w:hAnsi="Garamond" w:hint="default"/>
      </w:rPr>
    </w:lvl>
    <w:lvl w:ilvl="5" w:tplc="C75207F8" w:tentative="1">
      <w:start w:val="1"/>
      <w:numFmt w:val="bullet"/>
      <w:lvlText w:val="•"/>
      <w:lvlJc w:val="left"/>
      <w:pPr>
        <w:tabs>
          <w:tab w:val="num" w:pos="4320"/>
        </w:tabs>
        <w:ind w:left="4320" w:hanging="360"/>
      </w:pPr>
      <w:rPr>
        <w:rFonts w:ascii="Garamond" w:hAnsi="Garamond" w:hint="default"/>
      </w:rPr>
    </w:lvl>
    <w:lvl w:ilvl="6" w:tplc="1EBC64F0" w:tentative="1">
      <w:start w:val="1"/>
      <w:numFmt w:val="bullet"/>
      <w:lvlText w:val="•"/>
      <w:lvlJc w:val="left"/>
      <w:pPr>
        <w:tabs>
          <w:tab w:val="num" w:pos="5040"/>
        </w:tabs>
        <w:ind w:left="5040" w:hanging="360"/>
      </w:pPr>
      <w:rPr>
        <w:rFonts w:ascii="Garamond" w:hAnsi="Garamond" w:hint="default"/>
      </w:rPr>
    </w:lvl>
    <w:lvl w:ilvl="7" w:tplc="CA861886" w:tentative="1">
      <w:start w:val="1"/>
      <w:numFmt w:val="bullet"/>
      <w:lvlText w:val="•"/>
      <w:lvlJc w:val="left"/>
      <w:pPr>
        <w:tabs>
          <w:tab w:val="num" w:pos="5760"/>
        </w:tabs>
        <w:ind w:left="5760" w:hanging="360"/>
      </w:pPr>
      <w:rPr>
        <w:rFonts w:ascii="Garamond" w:hAnsi="Garamond" w:hint="default"/>
      </w:rPr>
    </w:lvl>
    <w:lvl w:ilvl="8" w:tplc="42C2A056" w:tentative="1">
      <w:start w:val="1"/>
      <w:numFmt w:val="bullet"/>
      <w:lvlText w:val="•"/>
      <w:lvlJc w:val="left"/>
      <w:pPr>
        <w:tabs>
          <w:tab w:val="num" w:pos="6480"/>
        </w:tabs>
        <w:ind w:left="6480" w:hanging="360"/>
      </w:pPr>
      <w:rPr>
        <w:rFonts w:ascii="Garamond" w:hAnsi="Garamond" w:hint="default"/>
      </w:rPr>
    </w:lvl>
  </w:abstractNum>
  <w:abstractNum w:abstractNumId="8">
    <w:nsid w:val="0EDA72EE"/>
    <w:multiLevelType w:val="hybridMultilevel"/>
    <w:tmpl w:val="9350E852"/>
    <w:lvl w:ilvl="0" w:tplc="909AEE4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10827820"/>
    <w:multiLevelType w:val="hybridMultilevel"/>
    <w:tmpl w:val="936AB996"/>
    <w:lvl w:ilvl="0" w:tplc="1E5E73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CD2D5B"/>
    <w:multiLevelType w:val="hybridMultilevel"/>
    <w:tmpl w:val="7EAC3266"/>
    <w:lvl w:ilvl="0" w:tplc="EFF08C56">
      <w:start w:val="1"/>
      <w:numFmt w:val="bullet"/>
      <w:lvlText w:val=""/>
      <w:lvlPicBulletId w:val="0"/>
      <w:lvlJc w:val="left"/>
      <w:pPr>
        <w:tabs>
          <w:tab w:val="num" w:pos="720"/>
        </w:tabs>
        <w:ind w:left="720" w:hanging="360"/>
      </w:pPr>
      <w:rPr>
        <w:rFonts w:ascii="Symbol" w:hAnsi="Symbol" w:hint="default"/>
      </w:rPr>
    </w:lvl>
    <w:lvl w:ilvl="1" w:tplc="343C6518" w:tentative="1">
      <w:start w:val="1"/>
      <w:numFmt w:val="bullet"/>
      <w:lvlText w:val=""/>
      <w:lvlPicBulletId w:val="0"/>
      <w:lvlJc w:val="left"/>
      <w:pPr>
        <w:tabs>
          <w:tab w:val="num" w:pos="1440"/>
        </w:tabs>
        <w:ind w:left="1440" w:hanging="360"/>
      </w:pPr>
      <w:rPr>
        <w:rFonts w:ascii="Symbol" w:hAnsi="Symbol" w:hint="default"/>
      </w:rPr>
    </w:lvl>
    <w:lvl w:ilvl="2" w:tplc="D54674DE" w:tentative="1">
      <w:start w:val="1"/>
      <w:numFmt w:val="bullet"/>
      <w:lvlText w:val=""/>
      <w:lvlPicBulletId w:val="0"/>
      <w:lvlJc w:val="left"/>
      <w:pPr>
        <w:tabs>
          <w:tab w:val="num" w:pos="2160"/>
        </w:tabs>
        <w:ind w:left="2160" w:hanging="360"/>
      </w:pPr>
      <w:rPr>
        <w:rFonts w:ascii="Symbol" w:hAnsi="Symbol" w:hint="default"/>
      </w:rPr>
    </w:lvl>
    <w:lvl w:ilvl="3" w:tplc="D8F81F88" w:tentative="1">
      <w:start w:val="1"/>
      <w:numFmt w:val="bullet"/>
      <w:lvlText w:val=""/>
      <w:lvlPicBulletId w:val="0"/>
      <w:lvlJc w:val="left"/>
      <w:pPr>
        <w:tabs>
          <w:tab w:val="num" w:pos="2880"/>
        </w:tabs>
        <w:ind w:left="2880" w:hanging="360"/>
      </w:pPr>
      <w:rPr>
        <w:rFonts w:ascii="Symbol" w:hAnsi="Symbol" w:hint="default"/>
      </w:rPr>
    </w:lvl>
    <w:lvl w:ilvl="4" w:tplc="1EDC44F0" w:tentative="1">
      <w:start w:val="1"/>
      <w:numFmt w:val="bullet"/>
      <w:lvlText w:val=""/>
      <w:lvlPicBulletId w:val="0"/>
      <w:lvlJc w:val="left"/>
      <w:pPr>
        <w:tabs>
          <w:tab w:val="num" w:pos="3600"/>
        </w:tabs>
        <w:ind w:left="3600" w:hanging="360"/>
      </w:pPr>
      <w:rPr>
        <w:rFonts w:ascii="Symbol" w:hAnsi="Symbol" w:hint="default"/>
      </w:rPr>
    </w:lvl>
    <w:lvl w:ilvl="5" w:tplc="F6B8B0F4" w:tentative="1">
      <w:start w:val="1"/>
      <w:numFmt w:val="bullet"/>
      <w:lvlText w:val=""/>
      <w:lvlPicBulletId w:val="0"/>
      <w:lvlJc w:val="left"/>
      <w:pPr>
        <w:tabs>
          <w:tab w:val="num" w:pos="4320"/>
        </w:tabs>
        <w:ind w:left="4320" w:hanging="360"/>
      </w:pPr>
      <w:rPr>
        <w:rFonts w:ascii="Symbol" w:hAnsi="Symbol" w:hint="default"/>
      </w:rPr>
    </w:lvl>
    <w:lvl w:ilvl="6" w:tplc="1E8C3922" w:tentative="1">
      <w:start w:val="1"/>
      <w:numFmt w:val="bullet"/>
      <w:lvlText w:val=""/>
      <w:lvlPicBulletId w:val="0"/>
      <w:lvlJc w:val="left"/>
      <w:pPr>
        <w:tabs>
          <w:tab w:val="num" w:pos="5040"/>
        </w:tabs>
        <w:ind w:left="5040" w:hanging="360"/>
      </w:pPr>
      <w:rPr>
        <w:rFonts w:ascii="Symbol" w:hAnsi="Symbol" w:hint="default"/>
      </w:rPr>
    </w:lvl>
    <w:lvl w:ilvl="7" w:tplc="2D36E3B2" w:tentative="1">
      <w:start w:val="1"/>
      <w:numFmt w:val="bullet"/>
      <w:lvlText w:val=""/>
      <w:lvlPicBulletId w:val="0"/>
      <w:lvlJc w:val="left"/>
      <w:pPr>
        <w:tabs>
          <w:tab w:val="num" w:pos="5760"/>
        </w:tabs>
        <w:ind w:left="5760" w:hanging="360"/>
      </w:pPr>
      <w:rPr>
        <w:rFonts w:ascii="Symbol" w:hAnsi="Symbol" w:hint="default"/>
      </w:rPr>
    </w:lvl>
    <w:lvl w:ilvl="8" w:tplc="D060700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96022FB"/>
    <w:multiLevelType w:val="hybridMultilevel"/>
    <w:tmpl w:val="5C1875F2"/>
    <w:lvl w:ilvl="0" w:tplc="4D3081A8">
      <w:start w:val="1"/>
      <w:numFmt w:val="bullet"/>
      <w:lvlText w:val=""/>
      <w:lvlPicBulletId w:val="0"/>
      <w:lvlJc w:val="left"/>
      <w:pPr>
        <w:tabs>
          <w:tab w:val="num" w:pos="720"/>
        </w:tabs>
        <w:ind w:left="720" w:hanging="360"/>
      </w:pPr>
      <w:rPr>
        <w:rFonts w:ascii="Symbol" w:hAnsi="Symbol" w:hint="default"/>
      </w:rPr>
    </w:lvl>
    <w:lvl w:ilvl="1" w:tplc="B136005C">
      <w:start w:val="181"/>
      <w:numFmt w:val="bullet"/>
      <w:lvlText w:val=""/>
      <w:lvlPicBulletId w:val="1"/>
      <w:lvlJc w:val="left"/>
      <w:pPr>
        <w:tabs>
          <w:tab w:val="num" w:pos="1440"/>
        </w:tabs>
        <w:ind w:left="1440" w:hanging="360"/>
      </w:pPr>
      <w:rPr>
        <w:rFonts w:ascii="Symbol" w:hAnsi="Symbol" w:hint="default"/>
      </w:rPr>
    </w:lvl>
    <w:lvl w:ilvl="2" w:tplc="3104D9F4" w:tentative="1">
      <w:start w:val="1"/>
      <w:numFmt w:val="bullet"/>
      <w:lvlText w:val=""/>
      <w:lvlPicBulletId w:val="0"/>
      <w:lvlJc w:val="left"/>
      <w:pPr>
        <w:tabs>
          <w:tab w:val="num" w:pos="2160"/>
        </w:tabs>
        <w:ind w:left="2160" w:hanging="360"/>
      </w:pPr>
      <w:rPr>
        <w:rFonts w:ascii="Symbol" w:hAnsi="Symbol" w:hint="default"/>
      </w:rPr>
    </w:lvl>
    <w:lvl w:ilvl="3" w:tplc="F5FA1108" w:tentative="1">
      <w:start w:val="1"/>
      <w:numFmt w:val="bullet"/>
      <w:lvlText w:val=""/>
      <w:lvlPicBulletId w:val="0"/>
      <w:lvlJc w:val="left"/>
      <w:pPr>
        <w:tabs>
          <w:tab w:val="num" w:pos="2880"/>
        </w:tabs>
        <w:ind w:left="2880" w:hanging="360"/>
      </w:pPr>
      <w:rPr>
        <w:rFonts w:ascii="Symbol" w:hAnsi="Symbol" w:hint="default"/>
      </w:rPr>
    </w:lvl>
    <w:lvl w:ilvl="4" w:tplc="AC9089DA" w:tentative="1">
      <w:start w:val="1"/>
      <w:numFmt w:val="bullet"/>
      <w:lvlText w:val=""/>
      <w:lvlPicBulletId w:val="0"/>
      <w:lvlJc w:val="left"/>
      <w:pPr>
        <w:tabs>
          <w:tab w:val="num" w:pos="3600"/>
        </w:tabs>
        <w:ind w:left="3600" w:hanging="360"/>
      </w:pPr>
      <w:rPr>
        <w:rFonts w:ascii="Symbol" w:hAnsi="Symbol" w:hint="default"/>
      </w:rPr>
    </w:lvl>
    <w:lvl w:ilvl="5" w:tplc="117E5ABA" w:tentative="1">
      <w:start w:val="1"/>
      <w:numFmt w:val="bullet"/>
      <w:lvlText w:val=""/>
      <w:lvlPicBulletId w:val="0"/>
      <w:lvlJc w:val="left"/>
      <w:pPr>
        <w:tabs>
          <w:tab w:val="num" w:pos="4320"/>
        </w:tabs>
        <w:ind w:left="4320" w:hanging="360"/>
      </w:pPr>
      <w:rPr>
        <w:rFonts w:ascii="Symbol" w:hAnsi="Symbol" w:hint="default"/>
      </w:rPr>
    </w:lvl>
    <w:lvl w:ilvl="6" w:tplc="0068E6EE" w:tentative="1">
      <w:start w:val="1"/>
      <w:numFmt w:val="bullet"/>
      <w:lvlText w:val=""/>
      <w:lvlPicBulletId w:val="0"/>
      <w:lvlJc w:val="left"/>
      <w:pPr>
        <w:tabs>
          <w:tab w:val="num" w:pos="5040"/>
        </w:tabs>
        <w:ind w:left="5040" w:hanging="360"/>
      </w:pPr>
      <w:rPr>
        <w:rFonts w:ascii="Symbol" w:hAnsi="Symbol" w:hint="default"/>
      </w:rPr>
    </w:lvl>
    <w:lvl w:ilvl="7" w:tplc="E77C45BE" w:tentative="1">
      <w:start w:val="1"/>
      <w:numFmt w:val="bullet"/>
      <w:lvlText w:val=""/>
      <w:lvlPicBulletId w:val="0"/>
      <w:lvlJc w:val="left"/>
      <w:pPr>
        <w:tabs>
          <w:tab w:val="num" w:pos="5760"/>
        </w:tabs>
        <w:ind w:left="5760" w:hanging="360"/>
      </w:pPr>
      <w:rPr>
        <w:rFonts w:ascii="Symbol" w:hAnsi="Symbol" w:hint="default"/>
      </w:rPr>
    </w:lvl>
    <w:lvl w:ilvl="8" w:tplc="0B96B8E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E5847CA"/>
    <w:multiLevelType w:val="hybridMultilevel"/>
    <w:tmpl w:val="42320D94"/>
    <w:lvl w:ilvl="0" w:tplc="70F2785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0E65979"/>
    <w:multiLevelType w:val="hybridMultilevel"/>
    <w:tmpl w:val="A29A819A"/>
    <w:lvl w:ilvl="0" w:tplc="500C644E">
      <w:start w:val="1"/>
      <w:numFmt w:val="decimal"/>
      <w:lvlText w:val="%1."/>
      <w:lvlJc w:val="left"/>
      <w:pPr>
        <w:tabs>
          <w:tab w:val="num" w:pos="360"/>
        </w:tabs>
        <w:ind w:left="360" w:hanging="360"/>
      </w:pPr>
      <w:rPr>
        <w:rFonts w:hint="eastAsia"/>
      </w:rPr>
    </w:lvl>
    <w:lvl w:ilvl="1" w:tplc="6F4C21EC">
      <w:start w:val="1"/>
      <w:numFmt w:val="decimal"/>
      <w:lvlText w:val="(%2)"/>
      <w:lvlJc w:val="left"/>
      <w:pPr>
        <w:tabs>
          <w:tab w:val="num" w:pos="888"/>
        </w:tabs>
        <w:ind w:left="888" w:hanging="40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175040"/>
    <w:multiLevelType w:val="hybridMultilevel"/>
    <w:tmpl w:val="66D2190C"/>
    <w:lvl w:ilvl="0" w:tplc="30C8FA0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2B341EDB"/>
    <w:multiLevelType w:val="hybridMultilevel"/>
    <w:tmpl w:val="F6AE38CC"/>
    <w:lvl w:ilvl="0" w:tplc="F180860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2BA50148"/>
    <w:multiLevelType w:val="hybridMultilevel"/>
    <w:tmpl w:val="85663066"/>
    <w:lvl w:ilvl="0" w:tplc="4358E1B2">
      <w:start w:val="1"/>
      <w:numFmt w:val="bullet"/>
      <w:lvlText w:val="•"/>
      <w:lvlJc w:val="left"/>
      <w:pPr>
        <w:tabs>
          <w:tab w:val="num" w:pos="720"/>
        </w:tabs>
        <w:ind w:left="720" w:hanging="360"/>
      </w:pPr>
      <w:rPr>
        <w:rFonts w:ascii="Garamond" w:hAnsi="Garamond" w:hint="default"/>
      </w:rPr>
    </w:lvl>
    <w:lvl w:ilvl="1" w:tplc="FCD88E1C" w:tentative="1">
      <w:start w:val="1"/>
      <w:numFmt w:val="bullet"/>
      <w:lvlText w:val="•"/>
      <w:lvlJc w:val="left"/>
      <w:pPr>
        <w:tabs>
          <w:tab w:val="num" w:pos="1440"/>
        </w:tabs>
        <w:ind w:left="1440" w:hanging="360"/>
      </w:pPr>
      <w:rPr>
        <w:rFonts w:ascii="Garamond" w:hAnsi="Garamond" w:hint="default"/>
      </w:rPr>
    </w:lvl>
    <w:lvl w:ilvl="2" w:tplc="55CA8016" w:tentative="1">
      <w:start w:val="1"/>
      <w:numFmt w:val="bullet"/>
      <w:lvlText w:val="•"/>
      <w:lvlJc w:val="left"/>
      <w:pPr>
        <w:tabs>
          <w:tab w:val="num" w:pos="2160"/>
        </w:tabs>
        <w:ind w:left="2160" w:hanging="360"/>
      </w:pPr>
      <w:rPr>
        <w:rFonts w:ascii="Garamond" w:hAnsi="Garamond" w:hint="default"/>
      </w:rPr>
    </w:lvl>
    <w:lvl w:ilvl="3" w:tplc="38BE5F2E" w:tentative="1">
      <w:start w:val="1"/>
      <w:numFmt w:val="bullet"/>
      <w:lvlText w:val="•"/>
      <w:lvlJc w:val="left"/>
      <w:pPr>
        <w:tabs>
          <w:tab w:val="num" w:pos="2880"/>
        </w:tabs>
        <w:ind w:left="2880" w:hanging="360"/>
      </w:pPr>
      <w:rPr>
        <w:rFonts w:ascii="Garamond" w:hAnsi="Garamond" w:hint="default"/>
      </w:rPr>
    </w:lvl>
    <w:lvl w:ilvl="4" w:tplc="C79AD698" w:tentative="1">
      <w:start w:val="1"/>
      <w:numFmt w:val="bullet"/>
      <w:lvlText w:val="•"/>
      <w:lvlJc w:val="left"/>
      <w:pPr>
        <w:tabs>
          <w:tab w:val="num" w:pos="3600"/>
        </w:tabs>
        <w:ind w:left="3600" w:hanging="360"/>
      </w:pPr>
      <w:rPr>
        <w:rFonts w:ascii="Garamond" w:hAnsi="Garamond" w:hint="default"/>
      </w:rPr>
    </w:lvl>
    <w:lvl w:ilvl="5" w:tplc="4496B516" w:tentative="1">
      <w:start w:val="1"/>
      <w:numFmt w:val="bullet"/>
      <w:lvlText w:val="•"/>
      <w:lvlJc w:val="left"/>
      <w:pPr>
        <w:tabs>
          <w:tab w:val="num" w:pos="4320"/>
        </w:tabs>
        <w:ind w:left="4320" w:hanging="360"/>
      </w:pPr>
      <w:rPr>
        <w:rFonts w:ascii="Garamond" w:hAnsi="Garamond" w:hint="default"/>
      </w:rPr>
    </w:lvl>
    <w:lvl w:ilvl="6" w:tplc="819802C2" w:tentative="1">
      <w:start w:val="1"/>
      <w:numFmt w:val="bullet"/>
      <w:lvlText w:val="•"/>
      <w:lvlJc w:val="left"/>
      <w:pPr>
        <w:tabs>
          <w:tab w:val="num" w:pos="5040"/>
        </w:tabs>
        <w:ind w:left="5040" w:hanging="360"/>
      </w:pPr>
      <w:rPr>
        <w:rFonts w:ascii="Garamond" w:hAnsi="Garamond" w:hint="default"/>
      </w:rPr>
    </w:lvl>
    <w:lvl w:ilvl="7" w:tplc="31CE1F36" w:tentative="1">
      <w:start w:val="1"/>
      <w:numFmt w:val="bullet"/>
      <w:lvlText w:val="•"/>
      <w:lvlJc w:val="left"/>
      <w:pPr>
        <w:tabs>
          <w:tab w:val="num" w:pos="5760"/>
        </w:tabs>
        <w:ind w:left="5760" w:hanging="360"/>
      </w:pPr>
      <w:rPr>
        <w:rFonts w:ascii="Garamond" w:hAnsi="Garamond" w:hint="default"/>
      </w:rPr>
    </w:lvl>
    <w:lvl w:ilvl="8" w:tplc="A16C32F2" w:tentative="1">
      <w:start w:val="1"/>
      <w:numFmt w:val="bullet"/>
      <w:lvlText w:val="•"/>
      <w:lvlJc w:val="left"/>
      <w:pPr>
        <w:tabs>
          <w:tab w:val="num" w:pos="6480"/>
        </w:tabs>
        <w:ind w:left="6480" w:hanging="360"/>
      </w:pPr>
      <w:rPr>
        <w:rFonts w:ascii="Garamond" w:hAnsi="Garamond" w:hint="default"/>
      </w:rPr>
    </w:lvl>
  </w:abstractNum>
  <w:abstractNum w:abstractNumId="17">
    <w:nsid w:val="2EB80B09"/>
    <w:multiLevelType w:val="hybridMultilevel"/>
    <w:tmpl w:val="4DAAC1E0"/>
    <w:lvl w:ilvl="0" w:tplc="973685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0A14018"/>
    <w:multiLevelType w:val="hybridMultilevel"/>
    <w:tmpl w:val="8ACC55D6"/>
    <w:lvl w:ilvl="0" w:tplc="15022B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1A3D9F"/>
    <w:multiLevelType w:val="hybridMultilevel"/>
    <w:tmpl w:val="38601DA0"/>
    <w:lvl w:ilvl="0" w:tplc="35D811A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6F76D62"/>
    <w:multiLevelType w:val="hybridMultilevel"/>
    <w:tmpl w:val="1212B04A"/>
    <w:lvl w:ilvl="0" w:tplc="FC0E69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A132726"/>
    <w:multiLevelType w:val="hybridMultilevel"/>
    <w:tmpl w:val="80A0128C"/>
    <w:lvl w:ilvl="0" w:tplc="16D2E5A8">
      <w:start w:val="1"/>
      <w:numFmt w:val="decimal"/>
      <w:lvlText w:val="%1."/>
      <w:lvlJc w:val="left"/>
      <w:pPr>
        <w:tabs>
          <w:tab w:val="num" w:pos="360"/>
        </w:tabs>
        <w:ind w:left="360" w:hanging="360"/>
      </w:pPr>
      <w:rPr>
        <w:rFonts w:hint="eastAsia"/>
      </w:rPr>
    </w:lvl>
    <w:lvl w:ilvl="1" w:tplc="D4A09E6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ADF3A3D"/>
    <w:multiLevelType w:val="hybridMultilevel"/>
    <w:tmpl w:val="975C1BB4"/>
    <w:lvl w:ilvl="0" w:tplc="EBFA83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F9871F0"/>
    <w:multiLevelType w:val="hybridMultilevel"/>
    <w:tmpl w:val="11EAC0A8"/>
    <w:lvl w:ilvl="0" w:tplc="04090005">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0E55376"/>
    <w:multiLevelType w:val="hybridMultilevel"/>
    <w:tmpl w:val="1A06B32A"/>
    <w:lvl w:ilvl="0" w:tplc="08D889E4">
      <w:start w:val="1"/>
      <w:numFmt w:val="bullet"/>
      <w:lvlText w:val=""/>
      <w:lvlPicBulletId w:val="0"/>
      <w:lvlJc w:val="left"/>
      <w:pPr>
        <w:tabs>
          <w:tab w:val="num" w:pos="720"/>
        </w:tabs>
        <w:ind w:left="720" w:hanging="360"/>
      </w:pPr>
      <w:rPr>
        <w:rFonts w:ascii="Symbol" w:hAnsi="Symbol" w:hint="default"/>
      </w:rPr>
    </w:lvl>
    <w:lvl w:ilvl="1" w:tplc="53844300" w:tentative="1">
      <w:start w:val="1"/>
      <w:numFmt w:val="bullet"/>
      <w:lvlText w:val=""/>
      <w:lvlPicBulletId w:val="0"/>
      <w:lvlJc w:val="left"/>
      <w:pPr>
        <w:tabs>
          <w:tab w:val="num" w:pos="1440"/>
        </w:tabs>
        <w:ind w:left="1440" w:hanging="360"/>
      </w:pPr>
      <w:rPr>
        <w:rFonts w:ascii="Symbol" w:hAnsi="Symbol" w:hint="default"/>
      </w:rPr>
    </w:lvl>
    <w:lvl w:ilvl="2" w:tplc="B3F43722" w:tentative="1">
      <w:start w:val="1"/>
      <w:numFmt w:val="bullet"/>
      <w:lvlText w:val=""/>
      <w:lvlPicBulletId w:val="0"/>
      <w:lvlJc w:val="left"/>
      <w:pPr>
        <w:tabs>
          <w:tab w:val="num" w:pos="2160"/>
        </w:tabs>
        <w:ind w:left="2160" w:hanging="360"/>
      </w:pPr>
      <w:rPr>
        <w:rFonts w:ascii="Symbol" w:hAnsi="Symbol" w:hint="default"/>
      </w:rPr>
    </w:lvl>
    <w:lvl w:ilvl="3" w:tplc="65A24EB8" w:tentative="1">
      <w:start w:val="1"/>
      <w:numFmt w:val="bullet"/>
      <w:lvlText w:val=""/>
      <w:lvlPicBulletId w:val="0"/>
      <w:lvlJc w:val="left"/>
      <w:pPr>
        <w:tabs>
          <w:tab w:val="num" w:pos="2880"/>
        </w:tabs>
        <w:ind w:left="2880" w:hanging="360"/>
      </w:pPr>
      <w:rPr>
        <w:rFonts w:ascii="Symbol" w:hAnsi="Symbol" w:hint="default"/>
      </w:rPr>
    </w:lvl>
    <w:lvl w:ilvl="4" w:tplc="42483CE4" w:tentative="1">
      <w:start w:val="1"/>
      <w:numFmt w:val="bullet"/>
      <w:lvlText w:val=""/>
      <w:lvlPicBulletId w:val="0"/>
      <w:lvlJc w:val="left"/>
      <w:pPr>
        <w:tabs>
          <w:tab w:val="num" w:pos="3600"/>
        </w:tabs>
        <w:ind w:left="3600" w:hanging="360"/>
      </w:pPr>
      <w:rPr>
        <w:rFonts w:ascii="Symbol" w:hAnsi="Symbol" w:hint="default"/>
      </w:rPr>
    </w:lvl>
    <w:lvl w:ilvl="5" w:tplc="4E765EFC" w:tentative="1">
      <w:start w:val="1"/>
      <w:numFmt w:val="bullet"/>
      <w:lvlText w:val=""/>
      <w:lvlPicBulletId w:val="0"/>
      <w:lvlJc w:val="left"/>
      <w:pPr>
        <w:tabs>
          <w:tab w:val="num" w:pos="4320"/>
        </w:tabs>
        <w:ind w:left="4320" w:hanging="360"/>
      </w:pPr>
      <w:rPr>
        <w:rFonts w:ascii="Symbol" w:hAnsi="Symbol" w:hint="default"/>
      </w:rPr>
    </w:lvl>
    <w:lvl w:ilvl="6" w:tplc="4C32A846" w:tentative="1">
      <w:start w:val="1"/>
      <w:numFmt w:val="bullet"/>
      <w:lvlText w:val=""/>
      <w:lvlPicBulletId w:val="0"/>
      <w:lvlJc w:val="left"/>
      <w:pPr>
        <w:tabs>
          <w:tab w:val="num" w:pos="5040"/>
        </w:tabs>
        <w:ind w:left="5040" w:hanging="360"/>
      </w:pPr>
      <w:rPr>
        <w:rFonts w:ascii="Symbol" w:hAnsi="Symbol" w:hint="default"/>
      </w:rPr>
    </w:lvl>
    <w:lvl w:ilvl="7" w:tplc="2F32048A" w:tentative="1">
      <w:start w:val="1"/>
      <w:numFmt w:val="bullet"/>
      <w:lvlText w:val=""/>
      <w:lvlPicBulletId w:val="0"/>
      <w:lvlJc w:val="left"/>
      <w:pPr>
        <w:tabs>
          <w:tab w:val="num" w:pos="5760"/>
        </w:tabs>
        <w:ind w:left="5760" w:hanging="360"/>
      </w:pPr>
      <w:rPr>
        <w:rFonts w:ascii="Symbol" w:hAnsi="Symbol" w:hint="default"/>
      </w:rPr>
    </w:lvl>
    <w:lvl w:ilvl="8" w:tplc="61BAB5DC"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D3122F5"/>
    <w:multiLevelType w:val="hybridMultilevel"/>
    <w:tmpl w:val="A964ED18"/>
    <w:lvl w:ilvl="0" w:tplc="2580E7AA">
      <w:start w:val="1"/>
      <w:numFmt w:val="decimal"/>
      <w:lvlText w:val="%1."/>
      <w:lvlJc w:val="left"/>
      <w:pPr>
        <w:tabs>
          <w:tab w:val="num" w:pos="360"/>
        </w:tabs>
        <w:ind w:left="360" w:hanging="360"/>
      </w:pPr>
      <w:rPr>
        <w:rFonts w:hint="eastAsia"/>
      </w:rPr>
    </w:lvl>
    <w:lvl w:ilvl="1" w:tplc="DD48B380">
      <w:start w:val="1"/>
      <w:numFmt w:val="taiwaneseCountingThousand"/>
      <w:lvlText w:val="（%2）"/>
      <w:lvlJc w:val="left"/>
      <w:pPr>
        <w:tabs>
          <w:tab w:val="num" w:pos="1200"/>
        </w:tabs>
        <w:ind w:left="1200" w:hanging="720"/>
      </w:pPr>
      <w:rPr>
        <w:rFonts w:hint="eastAsia"/>
      </w:rPr>
    </w:lvl>
    <w:lvl w:ilvl="2" w:tplc="58E81B1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EFD7756"/>
    <w:multiLevelType w:val="hybridMultilevel"/>
    <w:tmpl w:val="AF5832FE"/>
    <w:lvl w:ilvl="0" w:tplc="2AF8FA32">
      <w:start w:val="1"/>
      <w:numFmt w:val="taiwaneseCountingThousand"/>
      <w:lvlText w:val="%1、"/>
      <w:lvlJc w:val="left"/>
      <w:pPr>
        <w:tabs>
          <w:tab w:val="num" w:pos="960"/>
        </w:tabs>
        <w:ind w:left="960" w:hanging="600"/>
      </w:pPr>
      <w:rPr>
        <w:rFonts w:hint="eastAsia"/>
      </w:rPr>
    </w:lvl>
    <w:lvl w:ilvl="1" w:tplc="A67A486E">
      <w:start w:val="1"/>
      <w:numFmt w:val="decimal"/>
      <w:lvlText w:val="(%2)"/>
      <w:lvlJc w:val="left"/>
      <w:pPr>
        <w:tabs>
          <w:tab w:val="num" w:pos="1248"/>
        </w:tabs>
        <w:ind w:left="1248" w:hanging="408"/>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533E3DE2"/>
    <w:multiLevelType w:val="hybridMultilevel"/>
    <w:tmpl w:val="E8D49630"/>
    <w:lvl w:ilvl="0" w:tplc="5AC0F2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0310FCE"/>
    <w:multiLevelType w:val="hybridMultilevel"/>
    <w:tmpl w:val="17DCB214"/>
    <w:lvl w:ilvl="0" w:tplc="5888F1D6">
      <w:start w:val="1"/>
      <w:numFmt w:val="bullet"/>
      <w:lvlText w:val=""/>
      <w:lvlPicBulletId w:val="0"/>
      <w:lvlJc w:val="left"/>
      <w:pPr>
        <w:tabs>
          <w:tab w:val="num" w:pos="720"/>
        </w:tabs>
        <w:ind w:left="720" w:hanging="360"/>
      </w:pPr>
      <w:rPr>
        <w:rFonts w:ascii="Symbol" w:hAnsi="Symbol" w:hint="default"/>
      </w:rPr>
    </w:lvl>
    <w:lvl w:ilvl="1" w:tplc="2682B116" w:tentative="1">
      <w:start w:val="1"/>
      <w:numFmt w:val="bullet"/>
      <w:lvlText w:val=""/>
      <w:lvlPicBulletId w:val="0"/>
      <w:lvlJc w:val="left"/>
      <w:pPr>
        <w:tabs>
          <w:tab w:val="num" w:pos="1440"/>
        </w:tabs>
        <w:ind w:left="1440" w:hanging="360"/>
      </w:pPr>
      <w:rPr>
        <w:rFonts w:ascii="Symbol" w:hAnsi="Symbol" w:hint="default"/>
      </w:rPr>
    </w:lvl>
    <w:lvl w:ilvl="2" w:tplc="4530CC50" w:tentative="1">
      <w:start w:val="1"/>
      <w:numFmt w:val="bullet"/>
      <w:lvlText w:val=""/>
      <w:lvlPicBulletId w:val="0"/>
      <w:lvlJc w:val="left"/>
      <w:pPr>
        <w:tabs>
          <w:tab w:val="num" w:pos="2160"/>
        </w:tabs>
        <w:ind w:left="2160" w:hanging="360"/>
      </w:pPr>
      <w:rPr>
        <w:rFonts w:ascii="Symbol" w:hAnsi="Symbol" w:hint="default"/>
      </w:rPr>
    </w:lvl>
    <w:lvl w:ilvl="3" w:tplc="ABD6D490" w:tentative="1">
      <w:start w:val="1"/>
      <w:numFmt w:val="bullet"/>
      <w:lvlText w:val=""/>
      <w:lvlPicBulletId w:val="0"/>
      <w:lvlJc w:val="left"/>
      <w:pPr>
        <w:tabs>
          <w:tab w:val="num" w:pos="2880"/>
        </w:tabs>
        <w:ind w:left="2880" w:hanging="360"/>
      </w:pPr>
      <w:rPr>
        <w:rFonts w:ascii="Symbol" w:hAnsi="Symbol" w:hint="default"/>
      </w:rPr>
    </w:lvl>
    <w:lvl w:ilvl="4" w:tplc="55AC3906" w:tentative="1">
      <w:start w:val="1"/>
      <w:numFmt w:val="bullet"/>
      <w:lvlText w:val=""/>
      <w:lvlPicBulletId w:val="0"/>
      <w:lvlJc w:val="left"/>
      <w:pPr>
        <w:tabs>
          <w:tab w:val="num" w:pos="3600"/>
        </w:tabs>
        <w:ind w:left="3600" w:hanging="360"/>
      </w:pPr>
      <w:rPr>
        <w:rFonts w:ascii="Symbol" w:hAnsi="Symbol" w:hint="default"/>
      </w:rPr>
    </w:lvl>
    <w:lvl w:ilvl="5" w:tplc="F9783930" w:tentative="1">
      <w:start w:val="1"/>
      <w:numFmt w:val="bullet"/>
      <w:lvlText w:val=""/>
      <w:lvlPicBulletId w:val="0"/>
      <w:lvlJc w:val="left"/>
      <w:pPr>
        <w:tabs>
          <w:tab w:val="num" w:pos="4320"/>
        </w:tabs>
        <w:ind w:left="4320" w:hanging="360"/>
      </w:pPr>
      <w:rPr>
        <w:rFonts w:ascii="Symbol" w:hAnsi="Symbol" w:hint="default"/>
      </w:rPr>
    </w:lvl>
    <w:lvl w:ilvl="6" w:tplc="50227690" w:tentative="1">
      <w:start w:val="1"/>
      <w:numFmt w:val="bullet"/>
      <w:lvlText w:val=""/>
      <w:lvlPicBulletId w:val="0"/>
      <w:lvlJc w:val="left"/>
      <w:pPr>
        <w:tabs>
          <w:tab w:val="num" w:pos="5040"/>
        </w:tabs>
        <w:ind w:left="5040" w:hanging="360"/>
      </w:pPr>
      <w:rPr>
        <w:rFonts w:ascii="Symbol" w:hAnsi="Symbol" w:hint="default"/>
      </w:rPr>
    </w:lvl>
    <w:lvl w:ilvl="7" w:tplc="FC98F672" w:tentative="1">
      <w:start w:val="1"/>
      <w:numFmt w:val="bullet"/>
      <w:lvlText w:val=""/>
      <w:lvlPicBulletId w:val="0"/>
      <w:lvlJc w:val="left"/>
      <w:pPr>
        <w:tabs>
          <w:tab w:val="num" w:pos="5760"/>
        </w:tabs>
        <w:ind w:left="5760" w:hanging="360"/>
      </w:pPr>
      <w:rPr>
        <w:rFonts w:ascii="Symbol" w:hAnsi="Symbol" w:hint="default"/>
      </w:rPr>
    </w:lvl>
    <w:lvl w:ilvl="8" w:tplc="3440E45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3950F9D"/>
    <w:multiLevelType w:val="hybridMultilevel"/>
    <w:tmpl w:val="3D52DA9A"/>
    <w:lvl w:ilvl="0" w:tplc="1CC2AEF4">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4A72276"/>
    <w:multiLevelType w:val="multilevel"/>
    <w:tmpl w:val="809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AA7EF2"/>
    <w:multiLevelType w:val="hybridMultilevel"/>
    <w:tmpl w:val="B1C66D68"/>
    <w:lvl w:ilvl="0" w:tplc="528894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9F40E64"/>
    <w:multiLevelType w:val="hybridMultilevel"/>
    <w:tmpl w:val="B6B25022"/>
    <w:lvl w:ilvl="0" w:tplc="CE622130">
      <w:start w:val="1"/>
      <w:numFmt w:val="taiwaneseCountingThousand"/>
      <w:lvlText w:val="(%1)"/>
      <w:lvlJc w:val="left"/>
      <w:pPr>
        <w:tabs>
          <w:tab w:val="num" w:pos="1068"/>
        </w:tabs>
        <w:ind w:left="1068" w:hanging="528"/>
      </w:pPr>
      <w:rPr>
        <w:rFonts w:hint="eastAsia"/>
      </w:rPr>
    </w:lvl>
    <w:lvl w:ilvl="1" w:tplc="9E7C93CC">
      <w:start w:val="1"/>
      <w:numFmt w:val="decimal"/>
      <w:lvlText w:val="(%2)"/>
      <w:lvlJc w:val="left"/>
      <w:pPr>
        <w:tabs>
          <w:tab w:val="num" w:pos="1428"/>
        </w:tabs>
        <w:ind w:left="1428" w:hanging="408"/>
      </w:pPr>
      <w:rPr>
        <w:rFonts w:hint="eastAsia"/>
      </w:r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nsid w:val="6E672B97"/>
    <w:multiLevelType w:val="hybridMultilevel"/>
    <w:tmpl w:val="1608723A"/>
    <w:lvl w:ilvl="0" w:tplc="CCF2EC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1BF0F42"/>
    <w:multiLevelType w:val="hybridMultilevel"/>
    <w:tmpl w:val="137A6C1A"/>
    <w:lvl w:ilvl="0" w:tplc="B7A0018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307203A"/>
    <w:multiLevelType w:val="hybridMultilevel"/>
    <w:tmpl w:val="0DBEAAE8"/>
    <w:lvl w:ilvl="0" w:tplc="92DEF29C">
      <w:start w:val="1"/>
      <w:numFmt w:val="taiwaneseCountingThousand"/>
      <w:lvlText w:val="(%1)"/>
      <w:lvlJc w:val="left"/>
      <w:pPr>
        <w:tabs>
          <w:tab w:val="num" w:pos="1008"/>
        </w:tabs>
        <w:ind w:left="1008" w:hanging="528"/>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7A2123F8"/>
    <w:multiLevelType w:val="hybridMultilevel"/>
    <w:tmpl w:val="53EA9F28"/>
    <w:lvl w:ilvl="0" w:tplc="70E6C4E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7C214040"/>
    <w:multiLevelType w:val="hybridMultilevel"/>
    <w:tmpl w:val="EE40A47E"/>
    <w:lvl w:ilvl="0" w:tplc="73FC2204">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CA811F3"/>
    <w:multiLevelType w:val="hybridMultilevel"/>
    <w:tmpl w:val="9620F77C"/>
    <w:lvl w:ilvl="0" w:tplc="F2CE72E0">
      <w:start w:val="1"/>
      <w:numFmt w:val="decimal"/>
      <w:lvlText w:val="%1."/>
      <w:lvlJc w:val="left"/>
      <w:pPr>
        <w:tabs>
          <w:tab w:val="num" w:pos="720"/>
        </w:tabs>
        <w:ind w:left="720" w:hanging="360"/>
      </w:pPr>
    </w:lvl>
    <w:lvl w:ilvl="1" w:tplc="86CCA9DC" w:tentative="1">
      <w:start w:val="1"/>
      <w:numFmt w:val="decimal"/>
      <w:lvlText w:val="%2."/>
      <w:lvlJc w:val="left"/>
      <w:pPr>
        <w:tabs>
          <w:tab w:val="num" w:pos="1440"/>
        </w:tabs>
        <w:ind w:left="1440" w:hanging="360"/>
      </w:pPr>
    </w:lvl>
    <w:lvl w:ilvl="2" w:tplc="E7E00108" w:tentative="1">
      <w:start w:val="1"/>
      <w:numFmt w:val="decimal"/>
      <w:lvlText w:val="%3."/>
      <w:lvlJc w:val="left"/>
      <w:pPr>
        <w:tabs>
          <w:tab w:val="num" w:pos="2160"/>
        </w:tabs>
        <w:ind w:left="2160" w:hanging="360"/>
      </w:pPr>
    </w:lvl>
    <w:lvl w:ilvl="3" w:tplc="043024F0" w:tentative="1">
      <w:start w:val="1"/>
      <w:numFmt w:val="decimal"/>
      <w:lvlText w:val="%4."/>
      <w:lvlJc w:val="left"/>
      <w:pPr>
        <w:tabs>
          <w:tab w:val="num" w:pos="2880"/>
        </w:tabs>
        <w:ind w:left="2880" w:hanging="360"/>
      </w:pPr>
    </w:lvl>
    <w:lvl w:ilvl="4" w:tplc="559EF27C" w:tentative="1">
      <w:start w:val="1"/>
      <w:numFmt w:val="decimal"/>
      <w:lvlText w:val="%5."/>
      <w:lvlJc w:val="left"/>
      <w:pPr>
        <w:tabs>
          <w:tab w:val="num" w:pos="3600"/>
        </w:tabs>
        <w:ind w:left="3600" w:hanging="360"/>
      </w:pPr>
    </w:lvl>
    <w:lvl w:ilvl="5" w:tplc="02B8CD80" w:tentative="1">
      <w:start w:val="1"/>
      <w:numFmt w:val="decimal"/>
      <w:lvlText w:val="%6."/>
      <w:lvlJc w:val="left"/>
      <w:pPr>
        <w:tabs>
          <w:tab w:val="num" w:pos="4320"/>
        </w:tabs>
        <w:ind w:left="4320" w:hanging="360"/>
      </w:pPr>
    </w:lvl>
    <w:lvl w:ilvl="6" w:tplc="3AE0F3A8" w:tentative="1">
      <w:start w:val="1"/>
      <w:numFmt w:val="decimal"/>
      <w:lvlText w:val="%7."/>
      <w:lvlJc w:val="left"/>
      <w:pPr>
        <w:tabs>
          <w:tab w:val="num" w:pos="5040"/>
        </w:tabs>
        <w:ind w:left="5040" w:hanging="360"/>
      </w:pPr>
    </w:lvl>
    <w:lvl w:ilvl="7" w:tplc="F99209FE" w:tentative="1">
      <w:start w:val="1"/>
      <w:numFmt w:val="decimal"/>
      <w:lvlText w:val="%8."/>
      <w:lvlJc w:val="left"/>
      <w:pPr>
        <w:tabs>
          <w:tab w:val="num" w:pos="5760"/>
        </w:tabs>
        <w:ind w:left="5760" w:hanging="360"/>
      </w:pPr>
    </w:lvl>
    <w:lvl w:ilvl="8" w:tplc="BA4C652C" w:tentative="1">
      <w:start w:val="1"/>
      <w:numFmt w:val="decimal"/>
      <w:lvlText w:val="%9."/>
      <w:lvlJc w:val="left"/>
      <w:pPr>
        <w:tabs>
          <w:tab w:val="num" w:pos="6480"/>
        </w:tabs>
        <w:ind w:left="6480" w:hanging="360"/>
      </w:pPr>
    </w:lvl>
  </w:abstractNum>
  <w:num w:numId="1">
    <w:abstractNumId w:val="26"/>
  </w:num>
  <w:num w:numId="2">
    <w:abstractNumId w:val="5"/>
  </w:num>
  <w:num w:numId="3">
    <w:abstractNumId w:val="32"/>
  </w:num>
  <w:num w:numId="4">
    <w:abstractNumId w:val="35"/>
  </w:num>
  <w:num w:numId="5">
    <w:abstractNumId w:val="1"/>
  </w:num>
  <w:num w:numId="6">
    <w:abstractNumId w:val="20"/>
  </w:num>
  <w:num w:numId="7">
    <w:abstractNumId w:val="27"/>
  </w:num>
  <w:num w:numId="8">
    <w:abstractNumId w:val="8"/>
  </w:num>
  <w:num w:numId="9">
    <w:abstractNumId w:val="13"/>
  </w:num>
  <w:num w:numId="10">
    <w:abstractNumId w:val="3"/>
  </w:num>
  <w:num w:numId="11">
    <w:abstractNumId w:val="36"/>
  </w:num>
  <w:num w:numId="12">
    <w:abstractNumId w:val="34"/>
  </w:num>
  <w:num w:numId="13">
    <w:abstractNumId w:val="17"/>
  </w:num>
  <w:num w:numId="14">
    <w:abstractNumId w:val="14"/>
  </w:num>
  <w:num w:numId="15">
    <w:abstractNumId w:val="19"/>
  </w:num>
  <w:num w:numId="16">
    <w:abstractNumId w:val="33"/>
  </w:num>
  <w:num w:numId="17">
    <w:abstractNumId w:val="25"/>
  </w:num>
  <w:num w:numId="18">
    <w:abstractNumId w:val="12"/>
  </w:num>
  <w:num w:numId="19">
    <w:abstractNumId w:val="15"/>
  </w:num>
  <w:num w:numId="20">
    <w:abstractNumId w:val="21"/>
  </w:num>
  <w:num w:numId="21">
    <w:abstractNumId w:val="18"/>
  </w:num>
  <w:num w:numId="22">
    <w:abstractNumId w:val="29"/>
  </w:num>
  <w:num w:numId="23">
    <w:abstractNumId w:val="31"/>
  </w:num>
  <w:num w:numId="24">
    <w:abstractNumId w:val="23"/>
  </w:num>
  <w:num w:numId="25">
    <w:abstractNumId w:val="38"/>
  </w:num>
  <w:num w:numId="26">
    <w:abstractNumId w:val="7"/>
  </w:num>
  <w:num w:numId="27">
    <w:abstractNumId w:val="16"/>
  </w:num>
  <w:num w:numId="28">
    <w:abstractNumId w:val="0"/>
    <w:lvlOverride w:ilvl="0">
      <w:lvl w:ilvl="0">
        <w:numFmt w:val="bullet"/>
        <w:lvlText w:val="•"/>
        <w:legacy w:legacy="1" w:legacySpace="0" w:legacyIndent="0"/>
        <w:lvlJc w:val="left"/>
        <w:rPr>
          <w:rFonts w:ascii="Garamond" w:hAnsi="Garamond" w:hint="default"/>
          <w:sz w:val="32"/>
        </w:rPr>
      </w:lvl>
    </w:lvlOverride>
  </w:num>
  <w:num w:numId="29">
    <w:abstractNumId w:val="0"/>
    <w:lvlOverride w:ilvl="0">
      <w:lvl w:ilvl="0">
        <w:numFmt w:val="bullet"/>
        <w:lvlText w:val=""/>
        <w:legacy w:legacy="1" w:legacySpace="0" w:legacyIndent="0"/>
        <w:lvlJc w:val="left"/>
        <w:rPr>
          <w:rFonts w:ascii="Wingdings" w:hAnsi="Wingdings" w:hint="default"/>
          <w:sz w:val="24"/>
        </w:rPr>
      </w:lvl>
    </w:lvlOverride>
  </w:num>
  <w:num w:numId="30">
    <w:abstractNumId w:val="24"/>
  </w:num>
  <w:num w:numId="31">
    <w:abstractNumId w:val="28"/>
  </w:num>
  <w:num w:numId="32">
    <w:abstractNumId w:val="10"/>
  </w:num>
  <w:num w:numId="33">
    <w:abstractNumId w:val="4"/>
  </w:num>
  <w:num w:numId="34">
    <w:abstractNumId w:val="37"/>
  </w:num>
  <w:num w:numId="35">
    <w:abstractNumId w:val="11"/>
  </w:num>
  <w:num w:numId="36">
    <w:abstractNumId w:val="9"/>
  </w:num>
  <w:num w:numId="37">
    <w:abstractNumId w:val="6"/>
  </w:num>
  <w:num w:numId="38">
    <w:abstractNumId w:val="30"/>
  </w:num>
  <w:num w:numId="39">
    <w:abstractNumId w:val="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0C0"/>
    <w:rsid w:val="00FD50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5">
          <o:proxy start="" idref="#_x0000_s1032" connectloc="1"/>
          <o:proxy end="" idref="#_x0000_s1032" connectloc="1"/>
        </o:r>
        <o:r id="V:Rule2" type="connector" idref="#_x0000_s1066"/>
        <o:r id="V:Rule3" type="connector" idref="#_x0000_s1068"/>
        <o:r id="V:Rule4" type="connector" idref="#_x0000_s1069"/>
        <o:r id="V:Rule5" type="connector" idref="#_x0000_s1070"/>
        <o:r id="V:Rule6" type="connector" idref="#_x0000_s1071"/>
        <o:r id="V:Rule7" type="connector" idref="#_x0000_s1072"/>
        <o:r id="V:Rule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styleId="a3">
    <w:name w:val="FollowedHyperlink"/>
    <w:basedOn w:val="a0"/>
    <w:semiHidden/>
    <w:rPr>
      <w:color w:val="800080"/>
      <w:u w:val="single"/>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caption"/>
    <w:basedOn w:val="a"/>
    <w:next w:val="a"/>
    <w:qFormat/>
    <w:rPr>
      <w:sz w:val="20"/>
      <w:szCs w:val="20"/>
    </w:rPr>
  </w:style>
  <w:style w:type="paragraph" w:styleId="a7">
    <w:name w:val="footnote text"/>
    <w:basedOn w:val="a"/>
    <w:semiHidden/>
    <w:pPr>
      <w:snapToGrid w:val="0"/>
    </w:pPr>
    <w:rPr>
      <w:sz w:val="20"/>
      <w:szCs w:val="20"/>
    </w:rPr>
  </w:style>
  <w:style w:type="character" w:styleId="a8">
    <w:name w:val="footnote reference"/>
    <w:basedOn w:val="a0"/>
    <w:semiHidden/>
    <w:rPr>
      <w:vertAlign w:val="superscript"/>
    </w:rPr>
  </w:style>
  <w:style w:type="paragraph" w:styleId="1">
    <w:name w:val="toc 1"/>
    <w:basedOn w:val="a"/>
    <w:next w:val="a"/>
    <w:autoRedefine/>
    <w:semiHidden/>
    <w:pPr>
      <w:spacing w:line="360" w:lineRule="auto"/>
      <w:outlineLvl w:val="0"/>
    </w:pPr>
    <w:rPr>
      <w:rFonts w:ascii="標楷體" w:eastAsia="標楷體" w:hAnsi="標楷體"/>
      <w:b/>
      <w:bCs/>
      <w:sz w:val="32"/>
      <w:szCs w:val="28"/>
    </w:rPr>
  </w:style>
  <w:style w:type="paragraph" w:styleId="2">
    <w:name w:val="toc 2"/>
    <w:basedOn w:val="a"/>
    <w:next w:val="a"/>
    <w:autoRedefine/>
    <w:semiHidden/>
    <w:pPr>
      <w:tabs>
        <w:tab w:val="right" w:leader="dot" w:pos="8302"/>
      </w:tabs>
    </w:pPr>
    <w:rPr>
      <w:rFonts w:ascii="標楷體" w:eastAsia="標楷體" w:hAnsi="標楷體"/>
      <w:b/>
      <w:bCs/>
      <w:noProof/>
      <w:sz w:val="28"/>
    </w:rPr>
  </w:style>
  <w:style w:type="character" w:styleId="a9">
    <w:name w:val="Hyperlink"/>
    <w:basedOn w:val="a0"/>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ree.twpat.com/Webpat/freeZone/patentContent.aspx?pnid=258336&amp;from=patsearch" TargetMode="External"/><Relationship Id="rId18" Type="http://schemas.openxmlformats.org/officeDocument/2006/relationships/hyperlink" Target="http://free.twpat.com/Webpat/freeZone/patentContent.aspx?pnid=251579&amp;from=patsearch" TargetMode="Externa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free.twpat.com/Webpat/freeZone/patentContent.aspx?pnid=244096&amp;from=patsearch"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free.twpat.com/Webpat/freeZone/patentContent.aspx?pnid=218135&amp;from=patsearch" TargetMode="External"/><Relationship Id="rId17" Type="http://schemas.openxmlformats.org/officeDocument/2006/relationships/hyperlink" Target="http://free.twpat.com/Webpat/freeZone/patentContent.aspx?pnid=252385&amp;from=patsearch" TargetMode="External"/><Relationship Id="rId25" Type="http://schemas.openxmlformats.org/officeDocument/2006/relationships/image" Target="media/image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ree.twpat.com/Webpat/freeZone/patentContent.aspx?pnid=256076&amp;from=patsearch" TargetMode="External"/><Relationship Id="rId20" Type="http://schemas.openxmlformats.org/officeDocument/2006/relationships/hyperlink" Target="http://free.twpat.com/Webpat/freeZone/patentContent.aspx?pnid=244950&amp;from=patsearch"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ee.twpat.com/Webpat/freeZone/patentContent.aspx?pnid=219416&amp;from=patsearch"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5" Type="http://schemas.openxmlformats.org/officeDocument/2006/relationships/styles" Target="styles.xml"/><Relationship Id="rId15" Type="http://schemas.openxmlformats.org/officeDocument/2006/relationships/hyperlink" Target="http://free.twpat.com/Webpat/freeZone/patentContent.aspx?pnid=257843&amp;from=patsearch" TargetMode="External"/><Relationship Id="rId23" Type="http://schemas.openxmlformats.org/officeDocument/2006/relationships/image" Target="media/image4.emf"/><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hyperlink" Target="http://free.twpat.com/Webpat/freeZone/patentContent.aspx?pnid=219432&amp;from=patsearch" TargetMode="External"/><Relationship Id="rId19" Type="http://schemas.openxmlformats.org/officeDocument/2006/relationships/hyperlink" Target="http://free.twpat.com/Webpat/freeZone/patentContent.aspx?pnid=247093&amp;from=patsearch" TargetMode="External"/><Relationship Id="rId31" Type="http://schemas.openxmlformats.org/officeDocument/2006/relationships/image" Target="media/image8.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ee.twpat.com/Webpat/freeZone/patentContent.aspx?pnid=257847&amp;from=patsearch" TargetMode="External"/><Relationship Id="rId22" Type="http://schemas.openxmlformats.org/officeDocument/2006/relationships/image" Target="media/image3.jpeg"/><Relationship Id="rId27" Type="http://schemas.openxmlformats.org/officeDocument/2006/relationships/image" Target="media/image6.emf"/><Relationship Id="rId30" Type="http://schemas.openxmlformats.org/officeDocument/2006/relationships/oleObject" Target="embeddings/oleObject4.bin"/><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CF525F23A9802943ADB32CFAF6FA00B3" ma:contentTypeVersion="1" ma:contentTypeDescription="建立新的文件。" ma:contentTypeScope="" ma:versionID="aa108e1b8e9d9cbf7172e1b91e1f3914">
  <xsd:schema xmlns:xsd="http://www.w3.org/2001/XMLSchema" xmlns:p="http://schemas.microsoft.com/office/2006/metadata/properties" xmlns:ns2="a0dfa6de-8257-4f3f-917c-0e7b5d6abe95" targetNamespace="http://schemas.microsoft.com/office/2006/metadata/properties" ma:root="true" ma:fieldsID="007202a58ba3a111cca4993fd9628596" ns2:_="">
    <xsd:import namespace="a0dfa6de-8257-4f3f-917c-0e7b5d6abe95"/>
    <xsd:element name="properties">
      <xsd:complexType>
        <xsd:sequence>
          <xsd:element name="documentManagement">
            <xsd:complexType>
              <xsd:all>
                <xsd:element ref="ns2:_x9805__x6b21_" minOccurs="0"/>
              </xsd:all>
            </xsd:complexType>
          </xsd:element>
        </xsd:sequence>
      </xsd:complexType>
    </xsd:element>
  </xsd:schema>
  <xsd:schema xmlns:xsd="http://www.w3.org/2001/XMLSchema" xmlns:dms="http://schemas.microsoft.com/office/2006/documentManagement/types" targetNamespace="a0dfa6de-8257-4f3f-917c-0e7b5d6abe95" elementFormDefault="qualified">
    <xsd:import namespace="http://schemas.microsoft.com/office/2006/documentManagement/types"/>
    <xsd:element name="_x9805__x6b21_" ma:index="8" nillable="true" ma:displayName="項次" ma:decimals="0" ma:internalName="_x9805__x6b21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9805__x6b21_ xmlns="a0dfa6de-8257-4f3f-917c-0e7b5d6abe95" xsi:nil="true"/>
  </documentManagement>
</p:properties>
</file>

<file path=customXml/itemProps1.xml><?xml version="1.0" encoding="utf-8"?>
<ds:datastoreItem xmlns:ds="http://schemas.openxmlformats.org/officeDocument/2006/customXml" ds:itemID="{7129C355-FC0D-48F1-8B1E-4F8A5874AF6E}">
  <ds:schemaRefs>
    <ds:schemaRef ds:uri="http://schemas.microsoft.com/sharepoint/v3/contenttype/forms"/>
  </ds:schemaRefs>
</ds:datastoreItem>
</file>

<file path=customXml/itemProps2.xml><?xml version="1.0" encoding="utf-8"?>
<ds:datastoreItem xmlns:ds="http://schemas.openxmlformats.org/officeDocument/2006/customXml" ds:itemID="{8C44F99E-7652-496A-B763-E62F818B5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fa6de-8257-4f3f-917c-0e7b5d6abe9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C0F24C-07BD-4591-952E-4A77C6E6BF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23110</Words>
  <Characters>3388</Characters>
  <Application>Microsoft Office Word</Application>
  <DocSecurity>0</DocSecurity>
  <Lines>28</Lines>
  <Paragraphs>52</Paragraphs>
  <ScaleCrop>false</ScaleCrop>
  <HeadingPairs>
    <vt:vector size="2" baseType="variant">
      <vt:variant>
        <vt:lpstr>標題</vt:lpstr>
      </vt:variant>
      <vt:variant>
        <vt:i4>1</vt:i4>
      </vt:variant>
    </vt:vector>
  </HeadingPairs>
  <TitlesOfParts>
    <vt:vector size="1" baseType="lpstr">
      <vt:lpstr>壹、重整：公司法之介紹（公282 ~ 314）</vt:lpstr>
    </vt:vector>
  </TitlesOfParts>
  <Company>nccu</Company>
  <LinksUpToDate>false</LinksUpToDate>
  <CharactersWithSpaces>26446</CharactersWithSpaces>
  <SharedDoc>false</SharedDoc>
  <HLinks>
    <vt:vector size="84" baseType="variant">
      <vt:variant>
        <vt:i4>3473505</vt:i4>
      </vt:variant>
      <vt:variant>
        <vt:i4>39</vt:i4>
      </vt:variant>
      <vt:variant>
        <vt:i4>0</vt:i4>
      </vt:variant>
      <vt:variant>
        <vt:i4>5</vt:i4>
      </vt:variant>
      <vt:variant>
        <vt:lpwstr>http://free.twpat.com/Webpat/freeZone/patentContent.aspx?pnid=244096&amp;from=patsearch</vt:lpwstr>
      </vt:variant>
      <vt:variant>
        <vt:lpwstr/>
      </vt:variant>
      <vt:variant>
        <vt:i4>3801197</vt:i4>
      </vt:variant>
      <vt:variant>
        <vt:i4>36</vt:i4>
      </vt:variant>
      <vt:variant>
        <vt:i4>0</vt:i4>
      </vt:variant>
      <vt:variant>
        <vt:i4>5</vt:i4>
      </vt:variant>
      <vt:variant>
        <vt:lpwstr>http://free.twpat.com/Webpat/freeZone/patentContent.aspx?pnid=244950&amp;from=patsearch</vt:lpwstr>
      </vt:variant>
      <vt:variant>
        <vt:lpwstr/>
      </vt:variant>
      <vt:variant>
        <vt:i4>3145826</vt:i4>
      </vt:variant>
      <vt:variant>
        <vt:i4>33</vt:i4>
      </vt:variant>
      <vt:variant>
        <vt:i4>0</vt:i4>
      </vt:variant>
      <vt:variant>
        <vt:i4>5</vt:i4>
      </vt:variant>
      <vt:variant>
        <vt:lpwstr>http://free.twpat.com/Webpat/freeZone/patentContent.aspx?pnid=247093&amp;from=patsearch</vt:lpwstr>
      </vt:variant>
      <vt:variant>
        <vt:lpwstr/>
      </vt:variant>
      <vt:variant>
        <vt:i4>4063338</vt:i4>
      </vt:variant>
      <vt:variant>
        <vt:i4>30</vt:i4>
      </vt:variant>
      <vt:variant>
        <vt:i4>0</vt:i4>
      </vt:variant>
      <vt:variant>
        <vt:i4>5</vt:i4>
      </vt:variant>
      <vt:variant>
        <vt:lpwstr>http://free.twpat.com/Webpat/freeZone/patentContent.aspx?pnid=251579&amp;from=patsearch</vt:lpwstr>
      </vt:variant>
      <vt:variant>
        <vt:lpwstr/>
      </vt:variant>
      <vt:variant>
        <vt:i4>3407974</vt:i4>
      </vt:variant>
      <vt:variant>
        <vt:i4>27</vt:i4>
      </vt:variant>
      <vt:variant>
        <vt:i4>0</vt:i4>
      </vt:variant>
      <vt:variant>
        <vt:i4>5</vt:i4>
      </vt:variant>
      <vt:variant>
        <vt:lpwstr>http://free.twpat.com/Webpat/freeZone/patentContent.aspx?pnid=252385&amp;from=patsearch</vt:lpwstr>
      </vt:variant>
      <vt:variant>
        <vt:lpwstr/>
      </vt:variant>
      <vt:variant>
        <vt:i4>3407981</vt:i4>
      </vt:variant>
      <vt:variant>
        <vt:i4>24</vt:i4>
      </vt:variant>
      <vt:variant>
        <vt:i4>0</vt:i4>
      </vt:variant>
      <vt:variant>
        <vt:i4>5</vt:i4>
      </vt:variant>
      <vt:variant>
        <vt:lpwstr>http://free.twpat.com/Webpat/freeZone/patentContent.aspx?pnid=256076&amp;from=patsearch</vt:lpwstr>
      </vt:variant>
      <vt:variant>
        <vt:lpwstr/>
      </vt:variant>
      <vt:variant>
        <vt:i4>3735663</vt:i4>
      </vt:variant>
      <vt:variant>
        <vt:i4>21</vt:i4>
      </vt:variant>
      <vt:variant>
        <vt:i4>0</vt:i4>
      </vt:variant>
      <vt:variant>
        <vt:i4>5</vt:i4>
      </vt:variant>
      <vt:variant>
        <vt:lpwstr>http://free.twpat.com/Webpat/freeZone/patentContent.aspx?pnid=257843&amp;from=patsearch</vt:lpwstr>
      </vt:variant>
      <vt:variant>
        <vt:lpwstr/>
      </vt:variant>
      <vt:variant>
        <vt:i4>3997807</vt:i4>
      </vt:variant>
      <vt:variant>
        <vt:i4>18</vt:i4>
      </vt:variant>
      <vt:variant>
        <vt:i4>0</vt:i4>
      </vt:variant>
      <vt:variant>
        <vt:i4>5</vt:i4>
      </vt:variant>
      <vt:variant>
        <vt:lpwstr>http://free.twpat.com/Webpat/freeZone/patentContent.aspx?pnid=257847&amp;from=patsearch</vt:lpwstr>
      </vt:variant>
      <vt:variant>
        <vt:lpwstr/>
      </vt:variant>
      <vt:variant>
        <vt:i4>3604583</vt:i4>
      </vt:variant>
      <vt:variant>
        <vt:i4>15</vt:i4>
      </vt:variant>
      <vt:variant>
        <vt:i4>0</vt:i4>
      </vt:variant>
      <vt:variant>
        <vt:i4>5</vt:i4>
      </vt:variant>
      <vt:variant>
        <vt:lpwstr>http://free.twpat.com/Webpat/freeZone/patentContent.aspx?pnid=258336&amp;from=patsearch</vt:lpwstr>
      </vt:variant>
      <vt:variant>
        <vt:lpwstr/>
      </vt:variant>
      <vt:variant>
        <vt:i4>3276903</vt:i4>
      </vt:variant>
      <vt:variant>
        <vt:i4>12</vt:i4>
      </vt:variant>
      <vt:variant>
        <vt:i4>0</vt:i4>
      </vt:variant>
      <vt:variant>
        <vt:i4>5</vt:i4>
      </vt:variant>
      <vt:variant>
        <vt:lpwstr>http://free.twpat.com/Webpat/freeZone/patentContent.aspx?pnid=218135&amp;from=patsearch</vt:lpwstr>
      </vt:variant>
      <vt:variant>
        <vt:lpwstr/>
      </vt:variant>
      <vt:variant>
        <vt:i4>3407972</vt:i4>
      </vt:variant>
      <vt:variant>
        <vt:i4>9</vt:i4>
      </vt:variant>
      <vt:variant>
        <vt:i4>0</vt:i4>
      </vt:variant>
      <vt:variant>
        <vt:i4>5</vt:i4>
      </vt:variant>
      <vt:variant>
        <vt:lpwstr>http://free.twpat.com/Webpat/freeZone/patentContent.aspx?pnid=219416&amp;from=patsearch</vt:lpwstr>
      </vt:variant>
      <vt:variant>
        <vt:lpwstr/>
      </vt:variant>
      <vt:variant>
        <vt:i4>3145830</vt:i4>
      </vt:variant>
      <vt:variant>
        <vt:i4>6</vt:i4>
      </vt:variant>
      <vt:variant>
        <vt:i4>0</vt:i4>
      </vt:variant>
      <vt:variant>
        <vt:i4>5</vt:i4>
      </vt:variant>
      <vt:variant>
        <vt:lpwstr>http://free.twpat.com/Webpat/freeZone/patentContent.aspx?pnid=219432&amp;from=patsearch</vt:lpwstr>
      </vt:variant>
      <vt:variant>
        <vt:lpwstr/>
      </vt:variant>
      <vt:variant>
        <vt:i4>4259951</vt:i4>
      </vt:variant>
      <vt:variant>
        <vt:i4>54018</vt:i4>
      </vt:variant>
      <vt:variant>
        <vt:i4>1025</vt:i4>
      </vt:variant>
      <vt:variant>
        <vt:i4>1</vt:i4>
      </vt:variant>
      <vt:variant>
        <vt:lpwstr>clip_image001</vt:lpwstr>
      </vt:variant>
      <vt:variant>
        <vt:lpwstr/>
      </vt:variant>
      <vt:variant>
        <vt:i4>4259951</vt:i4>
      </vt:variant>
      <vt:variant>
        <vt:i4>54020</vt:i4>
      </vt:variant>
      <vt:variant>
        <vt:i4>1026</vt:i4>
      </vt:variant>
      <vt:variant>
        <vt:i4>1</vt:i4>
      </vt:variant>
      <vt:variant>
        <vt:lpwstr>clip_image002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壹、重整：公司法之介紹（公282 ~ 314）</dc:title>
  <dc:subject/>
  <dc:creator>esther</dc:creator>
  <cp:keywords/>
  <dc:description/>
  <cp:lastModifiedBy>LENOVO USER</cp:lastModifiedBy>
  <cp:revision>2</cp:revision>
  <cp:lastPrinted>2007-12-05T03:08:00Z</cp:lastPrinted>
  <dcterms:created xsi:type="dcterms:W3CDTF">2011-02-10T06:38:00Z</dcterms:created>
  <dcterms:modified xsi:type="dcterms:W3CDTF">2011-02-10T06:38:00Z</dcterms:modified>
</cp:coreProperties>
</file>