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1B7A" w:rsidRDefault="001A1B7A" w:rsidP="001A1B7A">
      <w:pPr>
        <w:jc w:val="center"/>
        <w:rPr>
          <w:rFonts w:eastAsia="標楷體"/>
          <w:b/>
          <w:bCs/>
          <w:sz w:val="32"/>
          <w:bdr w:val="single" w:sz="4" w:space="0" w:color="auto"/>
        </w:rPr>
      </w:pPr>
      <w:r>
        <w:rPr>
          <w:rFonts w:eastAsia="標楷體" w:hint="eastAsia"/>
          <w:b/>
          <w:bCs/>
          <w:sz w:val="32"/>
          <w:bdr w:val="single" w:sz="4" w:space="0" w:color="auto"/>
        </w:rPr>
        <w:t>國際債券上櫃公司應向本中心辦理事項一覽表</w:t>
      </w:r>
      <w:r>
        <w:rPr>
          <w:rFonts w:eastAsia="標楷體" w:hint="eastAsia"/>
          <w:b/>
          <w:bCs/>
          <w:sz w:val="32"/>
          <w:bdr w:val="single" w:sz="4" w:space="0" w:color="auto"/>
        </w:rPr>
        <w:t>(</w:t>
      </w:r>
      <w:r w:rsidRPr="00CC4B98">
        <w:rPr>
          <w:rFonts w:eastAsia="標楷體" w:hint="eastAsia"/>
          <w:b/>
          <w:bCs/>
          <w:sz w:val="32"/>
          <w:bdr w:val="single" w:sz="4" w:space="0" w:color="auto"/>
        </w:rPr>
        <w:t>股票或存託憑證未於我國掛牌交易之外國發行人</w:t>
      </w:r>
      <w:r>
        <w:rPr>
          <w:rFonts w:eastAsia="標楷體" w:hint="eastAsia"/>
          <w:b/>
          <w:bCs/>
          <w:sz w:val="32"/>
          <w:bdr w:val="single" w:sz="4" w:space="0" w:color="auto"/>
        </w:rPr>
        <w:t>適用</w:t>
      </w:r>
      <w:r>
        <w:rPr>
          <w:rFonts w:eastAsia="標楷體" w:hint="eastAsia"/>
          <w:b/>
          <w:bCs/>
          <w:sz w:val="32"/>
          <w:bdr w:val="single" w:sz="4" w:space="0" w:color="auto"/>
        </w:rPr>
        <w:t>)</w:t>
      </w:r>
    </w:p>
    <w:p w:rsidR="001A1B7A" w:rsidRDefault="001A1B7A" w:rsidP="001A1B7A">
      <w:pPr>
        <w:jc w:val="center"/>
        <w:rPr>
          <w:rFonts w:ascii="標楷體" w:eastAsia="標楷體" w:hAnsi="標楷體"/>
          <w:color w:val="000000"/>
        </w:rPr>
      </w:pPr>
    </w:p>
    <w:p w:rsidR="001A1B7A" w:rsidRDefault="001A1B7A" w:rsidP="001A1B7A">
      <w:pPr>
        <w:ind w:left="425" w:hangingChars="177" w:hanging="425"/>
        <w:rPr>
          <w:rFonts w:ascii="標楷體" w:eastAsia="標楷體" w:hAnsi="標楷體"/>
          <w:color w:val="000000"/>
        </w:rPr>
      </w:pPr>
      <w:r>
        <w:rPr>
          <w:rFonts w:ascii="新細明體" w:hAnsi="新細明體" w:hint="eastAsia"/>
          <w:color w:val="000000"/>
        </w:rPr>
        <w:t xml:space="preserve">■ </w:t>
      </w:r>
      <w:r w:rsidRPr="006431F6">
        <w:rPr>
          <w:rFonts w:ascii="標楷體" w:eastAsia="標楷體" w:hAnsi="標楷體" w:hint="eastAsia"/>
          <w:color w:val="000000"/>
        </w:rPr>
        <w:t>股票或存託憑證未於我國掛牌交易</w:t>
      </w:r>
      <w:r w:rsidR="00870B6C">
        <w:rPr>
          <w:rFonts w:ascii="標楷體" w:eastAsia="標楷體" w:hAnsi="標楷體" w:hint="eastAsia"/>
          <w:color w:val="000000"/>
        </w:rPr>
        <w:t>之外國發</w:t>
      </w:r>
      <w:bookmarkStart w:id="0" w:name="_GoBack"/>
      <w:bookmarkEnd w:id="0"/>
      <w:r w:rsidR="00870B6C">
        <w:rPr>
          <w:rFonts w:ascii="標楷體" w:eastAsia="標楷體" w:hAnsi="標楷體" w:hint="eastAsia"/>
          <w:color w:val="000000"/>
        </w:rPr>
        <w:t>行人辦理資訊申報作業係依據「外幣計價國際債券管理規則」</w:t>
      </w:r>
      <w:r w:rsidRPr="006431F6">
        <w:rPr>
          <w:rFonts w:ascii="標楷體" w:eastAsia="標楷體" w:hAnsi="標楷體" w:hint="eastAsia"/>
          <w:color w:val="000000"/>
        </w:rPr>
        <w:t>第35條至第40條</w:t>
      </w:r>
      <w:r w:rsidR="00870B6C">
        <w:rPr>
          <w:rFonts w:ascii="標楷體" w:eastAsia="標楷體" w:hAnsi="標楷體" w:hint="eastAsia"/>
          <w:color w:val="000000"/>
        </w:rPr>
        <w:t>之</w:t>
      </w:r>
      <w:r w:rsidRPr="006431F6">
        <w:rPr>
          <w:rFonts w:ascii="標楷體" w:eastAsia="標楷體" w:hAnsi="標楷體" w:hint="eastAsia"/>
          <w:color w:val="000000"/>
        </w:rPr>
        <w:t>規定，可參考此一覽表</w:t>
      </w:r>
      <w:r>
        <w:rPr>
          <w:rFonts w:ascii="標楷體" w:eastAsia="標楷體" w:hAnsi="標楷體"/>
          <w:color w:val="000000"/>
        </w:rPr>
        <w:t>，</w:t>
      </w:r>
      <w:r>
        <w:rPr>
          <w:rFonts w:ascii="標楷體" w:eastAsia="標楷體" w:hAnsi="標楷體" w:hint="eastAsia"/>
          <w:color w:val="000000"/>
        </w:rPr>
        <w:t>發行人並得委託於中華民國境內之</w:t>
      </w:r>
      <w:r>
        <w:rPr>
          <w:rFonts w:ascii="標楷體" w:eastAsia="標楷體" w:hAnsi="標楷體"/>
          <w:color w:val="000000"/>
        </w:rPr>
        <w:t>代理機構辦理。</w:t>
      </w:r>
    </w:p>
    <w:p w:rsidR="001A1B7A" w:rsidRDefault="001A1B7A" w:rsidP="001A1B7A">
      <w:pPr>
        <w:ind w:left="425" w:hangingChars="177" w:hanging="425"/>
        <w:rPr>
          <w:rFonts w:ascii="新細明體" w:hAnsi="新細明體"/>
          <w:color w:val="000000"/>
        </w:rPr>
      </w:pPr>
      <w:r>
        <w:rPr>
          <w:rFonts w:ascii="新細明體" w:hAnsi="新細明體" w:hint="eastAsia"/>
          <w:color w:val="000000"/>
        </w:rPr>
        <w:t xml:space="preserve">■ </w:t>
      </w:r>
      <w:r w:rsidRPr="006431F6">
        <w:rPr>
          <w:rFonts w:ascii="標楷體" w:eastAsia="標楷體" w:hAnsi="標楷體" w:hint="eastAsia"/>
          <w:color w:val="000000"/>
        </w:rPr>
        <w:t>本國發行人與第一、二上市(櫃)公司之外國發行人辦理資訊申報作業除依據「外幣計價國際債券管理規則」之第35條至第40條規定外，尚需準用本中心資訊申報作業辦法第3-1條規定辦理(與國內企業規定一致)，故請另行參考本中心上櫃債券之「普通公司債/金融債/轉交換附認股權公司債債券發行人應辦事項一覽表」。</w:t>
      </w:r>
    </w:p>
    <w:p w:rsidR="001A1B7A" w:rsidRPr="00CC4B98" w:rsidRDefault="001A1B7A" w:rsidP="001A1B7A">
      <w:pPr>
        <w:rPr>
          <w:rFonts w:ascii="標楷體" w:eastAsia="標楷體" w:hAnsi="標楷體"/>
          <w:color w:val="000000"/>
        </w:rPr>
      </w:pPr>
    </w:p>
    <w:p w:rsidR="001A1B7A" w:rsidRDefault="001A1B7A" w:rsidP="001A1B7A">
      <w:pPr>
        <w:ind w:leftChars="100" w:left="240"/>
        <w:rPr>
          <w:b/>
          <w:bCs/>
        </w:rPr>
      </w:pPr>
      <w:r>
        <w:rPr>
          <w:rFonts w:eastAsia="標楷體" w:hint="eastAsia"/>
          <w:b/>
          <w:bCs/>
        </w:rPr>
        <w:t>一、定期辦理事項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119"/>
        <w:gridCol w:w="1741"/>
        <w:gridCol w:w="4372"/>
        <w:gridCol w:w="1530"/>
      </w:tblGrid>
      <w:tr w:rsidR="001A1B7A" w:rsidTr="001F5D38">
        <w:trPr>
          <w:trHeight w:val="360"/>
        </w:trPr>
        <w:tc>
          <w:tcPr>
            <w:tcW w:w="1449" w:type="pct"/>
            <w:shd w:val="clear" w:color="auto" w:fill="FFCC99"/>
          </w:tcPr>
          <w:p w:rsidR="001A1B7A" w:rsidRDefault="001A1B7A" w:rsidP="001F5D38">
            <w:pPr>
              <w:jc w:val="center"/>
              <w:rPr>
                <w:rFonts w:ascii="標楷體" w:eastAsia="標楷體" w:hAnsi="標楷體"/>
                <w:b/>
                <w:bCs/>
              </w:rPr>
            </w:pPr>
            <w:r>
              <w:rPr>
                <w:rFonts w:ascii="標楷體" w:eastAsia="標楷體" w:hAnsi="標楷體" w:hint="eastAsia"/>
                <w:b/>
                <w:bCs/>
              </w:rPr>
              <w:t>有關事項</w:t>
            </w:r>
          </w:p>
        </w:tc>
        <w:tc>
          <w:tcPr>
            <w:tcW w:w="809" w:type="pct"/>
            <w:shd w:val="clear" w:color="auto" w:fill="FFCC99"/>
          </w:tcPr>
          <w:p w:rsidR="001A1B7A" w:rsidRDefault="001A1B7A" w:rsidP="001F5D38">
            <w:pPr>
              <w:jc w:val="center"/>
              <w:rPr>
                <w:rFonts w:ascii="標楷體" w:eastAsia="標楷體" w:hAnsi="標楷體"/>
                <w:b/>
                <w:bCs/>
              </w:rPr>
            </w:pPr>
            <w:r>
              <w:rPr>
                <w:rFonts w:ascii="標楷體" w:eastAsia="標楷體" w:hAnsi="標楷體" w:hint="eastAsia"/>
                <w:b/>
                <w:bCs/>
              </w:rPr>
              <w:t>申報時間</w:t>
            </w:r>
          </w:p>
        </w:tc>
        <w:tc>
          <w:tcPr>
            <w:tcW w:w="2031" w:type="pct"/>
            <w:shd w:val="clear" w:color="auto" w:fill="FFCC99"/>
          </w:tcPr>
          <w:p w:rsidR="001A1B7A" w:rsidRDefault="001A1B7A" w:rsidP="001F5D38">
            <w:pPr>
              <w:jc w:val="center"/>
              <w:rPr>
                <w:rFonts w:ascii="標楷體" w:eastAsia="標楷體" w:hAnsi="標楷體"/>
                <w:b/>
                <w:bCs/>
              </w:rPr>
            </w:pPr>
            <w:r>
              <w:rPr>
                <w:rFonts w:ascii="標楷體" w:eastAsia="標楷體" w:hAnsi="標楷體" w:hint="eastAsia"/>
                <w:b/>
                <w:bCs/>
              </w:rPr>
              <w:t>應辦方式或輸入網址</w:t>
            </w:r>
          </w:p>
        </w:tc>
        <w:tc>
          <w:tcPr>
            <w:tcW w:w="711" w:type="pct"/>
            <w:shd w:val="clear" w:color="auto" w:fill="FFCC99"/>
          </w:tcPr>
          <w:p w:rsidR="001A1B7A" w:rsidRDefault="001A1B7A" w:rsidP="001F5D38">
            <w:pPr>
              <w:jc w:val="center"/>
              <w:rPr>
                <w:rFonts w:ascii="標楷體" w:eastAsia="標楷體" w:hAnsi="標楷體"/>
                <w:b/>
                <w:bCs/>
              </w:rPr>
            </w:pPr>
            <w:r>
              <w:rPr>
                <w:rFonts w:ascii="標楷體" w:eastAsia="標楷體" w:hAnsi="標楷體" w:hint="eastAsia"/>
                <w:b/>
                <w:bCs/>
              </w:rPr>
              <w:t>法令依據</w:t>
            </w:r>
          </w:p>
        </w:tc>
      </w:tr>
      <w:tr w:rsidR="001A1B7A" w:rsidTr="001F5D38">
        <w:trPr>
          <w:trHeight w:val="705"/>
        </w:trPr>
        <w:tc>
          <w:tcPr>
            <w:tcW w:w="1449" w:type="pct"/>
          </w:tcPr>
          <w:p w:rsidR="001A1B7A" w:rsidRDefault="001A1B7A" w:rsidP="001F5D38">
            <w:pPr>
              <w:ind w:left="720" w:hangingChars="300" w:hanging="720"/>
              <w:rPr>
                <w:rFonts w:ascii="標楷體" w:eastAsia="標楷體" w:hAnsi="標楷體"/>
              </w:rPr>
            </w:pPr>
            <w:r>
              <w:rPr>
                <w:rFonts w:ascii="標楷體" w:eastAsia="標楷體" w:hAnsi="標楷體" w:hint="eastAsia"/>
              </w:rPr>
              <w:t>（一）繳納國際債券櫃檯買賣費用</w:t>
            </w:r>
          </w:p>
        </w:tc>
        <w:tc>
          <w:tcPr>
            <w:tcW w:w="809" w:type="pct"/>
          </w:tcPr>
          <w:p w:rsidR="001A1B7A" w:rsidRDefault="001A1B7A" w:rsidP="001F5D38">
            <w:pPr>
              <w:pStyle w:val="11"/>
              <w:widowControl/>
              <w:snapToGrid/>
              <w:spacing w:line="240" w:lineRule="auto"/>
              <w:rPr>
                <w:rFonts w:ascii="標楷體" w:hAnsi="標楷體"/>
              </w:rPr>
            </w:pPr>
            <w:r>
              <w:rPr>
                <w:rFonts w:ascii="標楷體" w:hAnsi="標楷體" w:hint="eastAsia"/>
              </w:rPr>
              <w:t>初次上櫃前及其後每年一月</w:t>
            </w:r>
          </w:p>
        </w:tc>
        <w:tc>
          <w:tcPr>
            <w:tcW w:w="2031" w:type="pct"/>
          </w:tcPr>
          <w:p w:rsidR="001A1B7A" w:rsidRDefault="001A1B7A" w:rsidP="001F5D38">
            <w:pPr>
              <w:widowControl/>
              <w:rPr>
                <w:rFonts w:ascii="標楷體" w:eastAsia="標楷體" w:hAnsi="標楷體"/>
              </w:rPr>
            </w:pPr>
            <w:r>
              <w:rPr>
                <w:rFonts w:ascii="標楷體" w:eastAsia="標楷體" w:hAnsi="標楷體" w:hint="eastAsia"/>
              </w:rPr>
              <w:t>逕洽本中心管理部出納繳付</w:t>
            </w:r>
          </w:p>
          <w:p w:rsidR="001A1B7A" w:rsidRDefault="001A1B7A" w:rsidP="001F5D38">
            <w:pPr>
              <w:rPr>
                <w:rFonts w:ascii="標楷體" w:eastAsia="標楷體" w:hAnsi="標楷體"/>
              </w:rPr>
            </w:pPr>
          </w:p>
        </w:tc>
        <w:tc>
          <w:tcPr>
            <w:tcW w:w="711" w:type="pct"/>
          </w:tcPr>
          <w:p w:rsidR="001A1B7A" w:rsidRDefault="001A1B7A" w:rsidP="001F5D38">
            <w:pPr>
              <w:widowControl/>
              <w:rPr>
                <w:rFonts w:ascii="標楷體" w:eastAsia="標楷體" w:hAnsi="標楷體"/>
              </w:rPr>
            </w:pPr>
            <w:r>
              <w:rPr>
                <w:rFonts w:ascii="標楷體" w:eastAsia="標楷體" w:hAnsi="標楷體" w:hint="eastAsia"/>
              </w:rPr>
              <w:t>本中心外幣計價國際債券管理規則</w:t>
            </w:r>
          </w:p>
          <w:p w:rsidR="001A1B7A" w:rsidRDefault="001A1B7A" w:rsidP="001F5D38">
            <w:pPr>
              <w:rPr>
                <w:rFonts w:ascii="標楷體" w:eastAsia="標楷體" w:hAnsi="標楷體"/>
              </w:rPr>
            </w:pPr>
            <w:r>
              <w:rPr>
                <w:rFonts w:ascii="標楷體" w:eastAsia="標楷體" w:hAnsi="標楷體" w:hint="eastAsia"/>
              </w:rPr>
              <w:t>第8條</w:t>
            </w:r>
          </w:p>
        </w:tc>
      </w:tr>
      <w:tr w:rsidR="001A1B7A" w:rsidTr="001F5D38">
        <w:trPr>
          <w:trHeight w:val="690"/>
        </w:trPr>
        <w:tc>
          <w:tcPr>
            <w:tcW w:w="1449" w:type="pct"/>
          </w:tcPr>
          <w:p w:rsidR="001A1B7A" w:rsidRDefault="001A1B7A" w:rsidP="001F5D38">
            <w:pPr>
              <w:ind w:left="720" w:hangingChars="300" w:hanging="720"/>
              <w:rPr>
                <w:rFonts w:ascii="標楷體" w:eastAsia="標楷體" w:hAnsi="標楷體"/>
              </w:rPr>
            </w:pPr>
            <w:r>
              <w:rPr>
                <w:rFonts w:ascii="標楷體" w:eastAsia="標楷體" w:hAnsi="標楷體" w:hint="eastAsia"/>
              </w:rPr>
              <w:t>（二）申報國際債券發行人及債券發行資料</w:t>
            </w:r>
          </w:p>
        </w:tc>
        <w:tc>
          <w:tcPr>
            <w:tcW w:w="809" w:type="pct"/>
          </w:tcPr>
          <w:p w:rsidR="001A1B7A" w:rsidRDefault="001A1B7A" w:rsidP="001F5D38">
            <w:pPr>
              <w:widowControl/>
              <w:rPr>
                <w:rFonts w:ascii="標楷體" w:eastAsia="標楷體" w:hAnsi="標楷體"/>
              </w:rPr>
            </w:pPr>
            <w:r>
              <w:rPr>
                <w:rFonts w:ascii="標楷體" w:eastAsia="標楷體" w:hAnsi="標楷體" w:hint="eastAsia"/>
              </w:rPr>
              <w:t>櫃檯買賣開始日前，及發行期間每月結束後十日內</w:t>
            </w:r>
          </w:p>
          <w:p w:rsidR="001A1B7A" w:rsidRDefault="001A1B7A" w:rsidP="001F5D38">
            <w:pPr>
              <w:pStyle w:val="11"/>
              <w:snapToGrid/>
              <w:spacing w:line="240" w:lineRule="auto"/>
              <w:rPr>
                <w:rFonts w:ascii="標楷體" w:hAnsi="標楷體"/>
              </w:rPr>
            </w:pPr>
          </w:p>
        </w:tc>
        <w:tc>
          <w:tcPr>
            <w:tcW w:w="2031" w:type="pct"/>
          </w:tcPr>
          <w:p w:rsidR="001A1B7A" w:rsidRDefault="001A1B7A" w:rsidP="001F5D38">
            <w:pPr>
              <w:widowControl/>
              <w:rPr>
                <w:rFonts w:ascii="標楷體" w:eastAsia="標楷體" w:hAnsi="標楷體"/>
              </w:rPr>
            </w:pPr>
            <w:r>
              <w:rPr>
                <w:rFonts w:ascii="標楷體" w:eastAsia="標楷體" w:hAnsi="標楷體" w:hint="eastAsia"/>
              </w:rPr>
              <w:t>請至「公開資訊觀測站」－「</w:t>
            </w:r>
            <w:r w:rsidRPr="00617E09">
              <w:rPr>
                <w:rFonts w:ascii="標楷體" w:eastAsia="標楷體" w:hAnsi="標楷體" w:hint="eastAsia"/>
              </w:rPr>
              <w:t>外國發行公司債券申報系統(在我國未公開發行股權商品者適用)</w:t>
            </w:r>
            <w:r>
              <w:rPr>
                <w:rFonts w:ascii="標楷體" w:eastAsia="標楷體" w:hAnsi="標楷體" w:hint="eastAsia"/>
              </w:rPr>
              <w:t>」申報系統</w:t>
            </w:r>
          </w:p>
          <w:p w:rsidR="001A1B7A" w:rsidRDefault="001A1B7A" w:rsidP="001F5D38">
            <w:pPr>
              <w:widowControl/>
              <w:rPr>
                <w:rFonts w:ascii="標楷體" w:eastAsia="標楷體" w:hAnsi="標楷體"/>
                <w:color w:val="000000"/>
                <w:kern w:val="0"/>
              </w:rPr>
            </w:pPr>
            <w:r w:rsidRPr="00617E09">
              <w:rPr>
                <w:rFonts w:ascii="標楷體" w:eastAsia="標楷體" w:hAnsi="標楷體"/>
                <w:color w:val="000000"/>
                <w:kern w:val="0"/>
              </w:rPr>
              <w:t>http://siis.twse.com.tw/e_bond.htm</w:t>
            </w:r>
          </w:p>
          <w:p w:rsidR="001A1B7A" w:rsidRDefault="001A1B7A" w:rsidP="001F5D38">
            <w:pPr>
              <w:widowControl/>
              <w:rPr>
                <w:rFonts w:ascii="標楷體" w:eastAsia="標楷體" w:hAnsi="標楷體"/>
              </w:rPr>
            </w:pPr>
            <w:r w:rsidRPr="00617E09">
              <w:rPr>
                <w:rFonts w:ascii="標楷體" w:eastAsia="標楷體" w:hAnsi="標楷體" w:hint="eastAsia"/>
                <w:u w:val="single"/>
              </w:rPr>
              <w:t>外幣計價國際債券及新台幣計價外國債券發行公司基本資料申報系統</w:t>
            </w:r>
            <w:r>
              <w:rPr>
                <w:rFonts w:ascii="標楷體" w:eastAsia="標楷體" w:hAnsi="標楷體" w:hint="eastAsia"/>
              </w:rPr>
              <w:t>、</w:t>
            </w:r>
            <w:r w:rsidRPr="00617E09">
              <w:rPr>
                <w:rFonts w:ascii="標楷體" w:eastAsia="標楷體" w:hAnsi="標楷體" w:hint="eastAsia"/>
                <w:u w:val="single"/>
              </w:rPr>
              <w:t>外幣計價國際債券及新台幣計價外國債券資料申報作業系統</w:t>
            </w:r>
            <w:r>
              <w:rPr>
                <w:rFonts w:ascii="標楷體" w:eastAsia="標楷體" w:hAnsi="標楷體" w:hint="eastAsia"/>
              </w:rPr>
              <w:t>：依規定格式申報發行人及發行資料</w:t>
            </w:r>
          </w:p>
          <w:p w:rsidR="001A1B7A" w:rsidRDefault="001A1B7A" w:rsidP="001F5D38">
            <w:pPr>
              <w:widowControl/>
              <w:rPr>
                <w:rFonts w:ascii="標楷體" w:eastAsia="標楷體" w:hAnsi="標楷體"/>
              </w:rPr>
            </w:pPr>
          </w:p>
          <w:p w:rsidR="001A1B7A" w:rsidRDefault="001A1B7A" w:rsidP="001F5D38">
            <w:pPr>
              <w:widowControl/>
              <w:rPr>
                <w:rFonts w:ascii="標楷體" w:eastAsia="標楷體" w:hAnsi="標楷體"/>
              </w:rPr>
            </w:pPr>
            <w:r>
              <w:rPr>
                <w:rFonts w:ascii="標楷體" w:eastAsia="標楷體" w:hAnsi="標楷體" w:hint="eastAsia"/>
              </w:rPr>
              <w:t>轉換公司債/海外轉換公司債另申報：</w:t>
            </w:r>
          </w:p>
          <w:p w:rsidR="001A1B7A" w:rsidRDefault="001A1B7A" w:rsidP="001F5D38">
            <w:pPr>
              <w:widowControl/>
              <w:rPr>
                <w:rFonts w:ascii="標楷體" w:eastAsia="標楷體" w:hAnsi="標楷體"/>
              </w:rPr>
            </w:pPr>
            <w:r>
              <w:rPr>
                <w:rFonts w:ascii="標楷體" w:eastAsia="標楷體" w:hAnsi="標楷體" w:hint="eastAsia"/>
              </w:rPr>
              <w:t>「公開資訊觀測站」：國內海外有價證券轉換/交換情形申報作業</w:t>
            </w:r>
          </w:p>
        </w:tc>
        <w:tc>
          <w:tcPr>
            <w:tcW w:w="711" w:type="pct"/>
          </w:tcPr>
          <w:p w:rsidR="001A1B7A" w:rsidRPr="00036799" w:rsidRDefault="00347DC9" w:rsidP="001F5D38">
            <w:pPr>
              <w:widowControl/>
              <w:rPr>
                <w:rFonts w:ascii="標楷體" w:eastAsia="標楷體" w:hAnsi="標楷體"/>
              </w:rPr>
            </w:pPr>
            <w:r>
              <w:rPr>
                <w:rFonts w:ascii="標楷體" w:eastAsia="標楷體" w:hAnsi="標楷體" w:hint="eastAsia"/>
              </w:rPr>
              <w:t>本中心外幣計價國際債券管理規則</w:t>
            </w:r>
            <w:r w:rsidR="001A1B7A">
              <w:rPr>
                <w:rFonts w:ascii="標楷體" w:eastAsia="標楷體" w:hAnsi="標楷體" w:hint="eastAsia"/>
              </w:rPr>
              <w:t>第10條</w:t>
            </w:r>
            <w:r w:rsidR="00036799">
              <w:rPr>
                <w:rFonts w:ascii="標楷體" w:eastAsia="標楷體" w:hAnsi="標楷體" w:hint="eastAsia"/>
              </w:rPr>
              <w:t>、第35條</w:t>
            </w:r>
          </w:p>
          <w:p w:rsidR="001A1B7A" w:rsidRDefault="001A1B7A" w:rsidP="001F5D38">
            <w:pPr>
              <w:widowControl/>
              <w:rPr>
                <w:rFonts w:ascii="標楷體" w:eastAsia="標楷體" w:hAnsi="標楷體"/>
              </w:rPr>
            </w:pPr>
          </w:p>
          <w:p w:rsidR="001A1B7A" w:rsidRDefault="001A1B7A" w:rsidP="001F5D38">
            <w:pPr>
              <w:widowControl/>
              <w:rPr>
                <w:rFonts w:ascii="標楷體" w:eastAsia="標楷體" w:hAnsi="標楷體"/>
              </w:rPr>
            </w:pPr>
          </w:p>
          <w:p w:rsidR="001A1B7A" w:rsidRDefault="001A1B7A" w:rsidP="001F5D38">
            <w:pPr>
              <w:widowControl/>
              <w:rPr>
                <w:rFonts w:ascii="標楷體" w:eastAsia="標楷體" w:hAnsi="標楷體"/>
              </w:rPr>
            </w:pPr>
          </w:p>
          <w:p w:rsidR="001A1B7A" w:rsidRDefault="001A1B7A" w:rsidP="001F5D38">
            <w:pPr>
              <w:widowControl/>
              <w:rPr>
                <w:rFonts w:ascii="標楷體" w:eastAsia="標楷體" w:hAnsi="標楷體"/>
              </w:rPr>
            </w:pPr>
          </w:p>
          <w:p w:rsidR="001A1B7A" w:rsidRDefault="001A1B7A" w:rsidP="001F5D38">
            <w:pPr>
              <w:widowControl/>
              <w:rPr>
                <w:rFonts w:ascii="標楷體" w:eastAsia="標楷體" w:hAnsi="標楷體"/>
              </w:rPr>
            </w:pPr>
          </w:p>
          <w:p w:rsidR="001A1B7A" w:rsidRDefault="001A1B7A" w:rsidP="001F5D38">
            <w:pPr>
              <w:widowControl/>
              <w:rPr>
                <w:rFonts w:ascii="標楷體" w:eastAsia="標楷體" w:hAnsi="標楷體"/>
              </w:rPr>
            </w:pPr>
          </w:p>
          <w:p w:rsidR="001A1B7A" w:rsidRDefault="001A1B7A" w:rsidP="001F5D38">
            <w:pPr>
              <w:widowControl/>
              <w:rPr>
                <w:rFonts w:ascii="標楷體" w:eastAsia="標楷體" w:hAnsi="標楷體"/>
              </w:rPr>
            </w:pPr>
          </w:p>
          <w:p w:rsidR="001A1B7A" w:rsidRDefault="001A1B7A" w:rsidP="001F5D38">
            <w:pPr>
              <w:rPr>
                <w:rFonts w:ascii="標楷體" w:eastAsia="標楷體" w:hAnsi="標楷體"/>
              </w:rPr>
            </w:pPr>
          </w:p>
        </w:tc>
      </w:tr>
      <w:tr w:rsidR="001A1B7A" w:rsidTr="001F5D38">
        <w:trPr>
          <w:trHeight w:val="690"/>
        </w:trPr>
        <w:tc>
          <w:tcPr>
            <w:tcW w:w="1449" w:type="pct"/>
          </w:tcPr>
          <w:p w:rsidR="001A1B7A" w:rsidRDefault="001A1B7A" w:rsidP="001F5D38">
            <w:pPr>
              <w:rPr>
                <w:rFonts w:ascii="標楷體" w:eastAsia="標楷體" w:hAnsi="標楷體"/>
              </w:rPr>
            </w:pPr>
            <w:r>
              <w:rPr>
                <w:rFonts w:ascii="標楷體" w:eastAsia="標楷體" w:hAnsi="標楷體" w:hint="eastAsia"/>
              </w:rPr>
              <w:t>（三）申報年報</w:t>
            </w:r>
          </w:p>
          <w:p w:rsidR="001A1B7A" w:rsidRDefault="001A1B7A" w:rsidP="001F5D38">
            <w:pPr>
              <w:rPr>
                <w:rFonts w:ascii="標楷體" w:eastAsia="標楷體" w:hAnsi="標楷體"/>
              </w:rPr>
            </w:pPr>
          </w:p>
        </w:tc>
        <w:tc>
          <w:tcPr>
            <w:tcW w:w="809" w:type="pct"/>
          </w:tcPr>
          <w:p w:rsidR="001A1B7A" w:rsidRDefault="00036799" w:rsidP="001F5D38">
            <w:pPr>
              <w:widowControl/>
              <w:rPr>
                <w:rFonts w:ascii="標楷體" w:eastAsia="標楷體" w:hAnsi="標楷體"/>
              </w:rPr>
            </w:pPr>
            <w:r>
              <w:rPr>
                <w:rFonts w:ascii="標楷體" w:eastAsia="標楷體" w:hAnsi="標楷體" w:hint="eastAsia"/>
              </w:rPr>
              <w:t>年報完成日或刊印日後</w:t>
            </w:r>
            <w:r w:rsidR="001A1B7A">
              <w:rPr>
                <w:rFonts w:ascii="標楷體" w:eastAsia="標楷體" w:hAnsi="標楷體" w:hint="eastAsia"/>
              </w:rPr>
              <w:t>二十日內</w:t>
            </w:r>
          </w:p>
          <w:p w:rsidR="001A1B7A" w:rsidRDefault="001A1B7A" w:rsidP="001F5D38">
            <w:pPr>
              <w:rPr>
                <w:rFonts w:ascii="標楷體" w:eastAsia="標楷體" w:hAnsi="標楷體"/>
              </w:rPr>
            </w:pPr>
          </w:p>
        </w:tc>
        <w:tc>
          <w:tcPr>
            <w:tcW w:w="2031" w:type="pct"/>
          </w:tcPr>
          <w:p w:rsidR="001A1B7A" w:rsidRPr="00617E09" w:rsidRDefault="001A1B7A" w:rsidP="001F5D38">
            <w:pPr>
              <w:widowControl/>
              <w:rPr>
                <w:rFonts w:ascii="標楷體" w:eastAsia="標楷體" w:hAnsi="標楷體"/>
              </w:rPr>
            </w:pPr>
            <w:r>
              <w:rPr>
                <w:rFonts w:ascii="標楷體" w:eastAsia="標楷體" w:hAnsi="標楷體" w:hint="eastAsia"/>
              </w:rPr>
              <w:t>請至「公開資訊觀測站」－</w:t>
            </w:r>
            <w:r w:rsidRPr="00617E09">
              <w:rPr>
                <w:rFonts w:ascii="標楷體" w:eastAsia="標楷體" w:hAnsi="標楷體" w:hint="eastAsia"/>
              </w:rPr>
              <w:t>「外國發行公司債券申報系統(在我國未公開發行股權商品者適用)」申報系統</w:t>
            </w:r>
          </w:p>
          <w:p w:rsidR="001A1B7A" w:rsidRDefault="001A1B7A" w:rsidP="001F5D38">
            <w:pPr>
              <w:widowControl/>
              <w:rPr>
                <w:rFonts w:ascii="標楷體" w:eastAsia="標楷體" w:hAnsi="標楷體"/>
                <w:color w:val="000000"/>
                <w:kern w:val="0"/>
              </w:rPr>
            </w:pPr>
            <w:r w:rsidRPr="00617E09">
              <w:rPr>
                <w:rFonts w:ascii="標楷體" w:eastAsia="標楷體" w:hAnsi="標楷體"/>
              </w:rPr>
              <w:t>http://siis.twse.com.tw/e_bond.htm</w:t>
            </w:r>
          </w:p>
          <w:p w:rsidR="001A1B7A" w:rsidRDefault="001A1B7A" w:rsidP="001F5D38">
            <w:pPr>
              <w:widowControl/>
              <w:rPr>
                <w:rFonts w:ascii="標楷體" w:eastAsia="標楷體" w:hAnsi="標楷體"/>
              </w:rPr>
            </w:pPr>
            <w:r w:rsidRPr="009D5F59">
              <w:rPr>
                <w:rFonts w:ascii="標楷體" w:eastAsia="標楷體" w:hAnsi="標楷體" w:hint="eastAsia"/>
                <w:u w:val="single"/>
              </w:rPr>
              <w:t>年報電子書申報作業系統</w:t>
            </w:r>
            <w:r>
              <w:rPr>
                <w:rFonts w:ascii="標楷體" w:eastAsia="標楷體" w:hAnsi="標楷體" w:hint="eastAsia"/>
              </w:rPr>
              <w:t>：依規定格式上傳年報</w:t>
            </w:r>
          </w:p>
        </w:tc>
        <w:tc>
          <w:tcPr>
            <w:tcW w:w="711" w:type="pct"/>
          </w:tcPr>
          <w:p w:rsidR="001A1B7A" w:rsidRDefault="00347DC9" w:rsidP="001F5D38">
            <w:pPr>
              <w:widowControl/>
              <w:rPr>
                <w:rFonts w:ascii="標楷體" w:eastAsia="標楷體" w:hAnsi="標楷體"/>
              </w:rPr>
            </w:pPr>
            <w:r>
              <w:rPr>
                <w:rFonts w:ascii="標楷體" w:eastAsia="標楷體" w:hAnsi="標楷體" w:hint="eastAsia"/>
              </w:rPr>
              <w:t>本中心外幣計價國際債券管理規則</w:t>
            </w:r>
            <w:r w:rsidR="001A1B7A">
              <w:rPr>
                <w:rFonts w:ascii="標楷體" w:eastAsia="標楷體" w:hAnsi="標楷體" w:hint="eastAsia"/>
              </w:rPr>
              <w:t>第35條</w:t>
            </w:r>
          </w:p>
          <w:p w:rsidR="001A1B7A" w:rsidRDefault="001A1B7A" w:rsidP="001F5D38">
            <w:pPr>
              <w:rPr>
                <w:rFonts w:ascii="標楷體" w:eastAsia="標楷體" w:hAnsi="標楷體"/>
              </w:rPr>
            </w:pPr>
          </w:p>
        </w:tc>
      </w:tr>
    </w:tbl>
    <w:p w:rsidR="001A1B7A" w:rsidRDefault="001A1B7A" w:rsidP="001A1B7A">
      <w:pPr>
        <w:ind w:firstLineChars="100" w:firstLine="240"/>
      </w:pPr>
      <w:r>
        <w:rPr>
          <w:rFonts w:eastAsia="標楷體" w:hint="eastAsia"/>
          <w:b/>
          <w:bCs/>
        </w:rPr>
        <w:t>二、不定期辦理事項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119"/>
        <w:gridCol w:w="1741"/>
        <w:gridCol w:w="4372"/>
        <w:gridCol w:w="1530"/>
      </w:tblGrid>
      <w:tr w:rsidR="001A1B7A" w:rsidTr="001F5D38">
        <w:trPr>
          <w:trHeight w:val="360"/>
        </w:trPr>
        <w:tc>
          <w:tcPr>
            <w:tcW w:w="1449" w:type="pct"/>
            <w:shd w:val="clear" w:color="auto" w:fill="FFCC99"/>
          </w:tcPr>
          <w:p w:rsidR="001A1B7A" w:rsidRDefault="001A1B7A" w:rsidP="001F5D38">
            <w:pPr>
              <w:jc w:val="center"/>
              <w:rPr>
                <w:rFonts w:ascii="標楷體" w:eastAsia="標楷體" w:hAnsi="標楷體"/>
                <w:b/>
                <w:bCs/>
              </w:rPr>
            </w:pPr>
            <w:r>
              <w:rPr>
                <w:rFonts w:ascii="標楷體" w:eastAsia="標楷體" w:hAnsi="標楷體" w:hint="eastAsia"/>
                <w:b/>
                <w:bCs/>
              </w:rPr>
              <w:t>有關事項</w:t>
            </w:r>
          </w:p>
        </w:tc>
        <w:tc>
          <w:tcPr>
            <w:tcW w:w="809" w:type="pct"/>
            <w:shd w:val="clear" w:color="auto" w:fill="FFCC99"/>
          </w:tcPr>
          <w:p w:rsidR="001A1B7A" w:rsidRDefault="001A1B7A" w:rsidP="001F5D38">
            <w:pPr>
              <w:jc w:val="center"/>
              <w:rPr>
                <w:rFonts w:ascii="標楷體" w:eastAsia="標楷體" w:hAnsi="標楷體"/>
                <w:b/>
                <w:bCs/>
              </w:rPr>
            </w:pPr>
            <w:r>
              <w:rPr>
                <w:rFonts w:ascii="標楷體" w:eastAsia="標楷體" w:hAnsi="標楷體" w:hint="eastAsia"/>
                <w:b/>
                <w:bCs/>
              </w:rPr>
              <w:t>申報時間</w:t>
            </w:r>
          </w:p>
        </w:tc>
        <w:tc>
          <w:tcPr>
            <w:tcW w:w="2031" w:type="pct"/>
            <w:shd w:val="clear" w:color="auto" w:fill="FFCC99"/>
          </w:tcPr>
          <w:p w:rsidR="001A1B7A" w:rsidRDefault="001A1B7A" w:rsidP="001F5D38">
            <w:pPr>
              <w:jc w:val="center"/>
              <w:rPr>
                <w:rFonts w:ascii="標楷體" w:eastAsia="標楷體" w:hAnsi="標楷體"/>
                <w:b/>
                <w:bCs/>
              </w:rPr>
            </w:pPr>
            <w:r>
              <w:rPr>
                <w:rFonts w:ascii="標楷體" w:eastAsia="標楷體" w:hAnsi="標楷體" w:hint="eastAsia"/>
                <w:b/>
                <w:bCs/>
              </w:rPr>
              <w:t>應辦方式或輸入網址</w:t>
            </w:r>
          </w:p>
        </w:tc>
        <w:tc>
          <w:tcPr>
            <w:tcW w:w="711" w:type="pct"/>
            <w:shd w:val="clear" w:color="auto" w:fill="FFCC99"/>
          </w:tcPr>
          <w:p w:rsidR="001A1B7A" w:rsidRDefault="001A1B7A" w:rsidP="001F5D38">
            <w:pPr>
              <w:jc w:val="center"/>
              <w:rPr>
                <w:rFonts w:ascii="標楷體" w:eastAsia="標楷體" w:hAnsi="標楷體"/>
                <w:b/>
                <w:bCs/>
              </w:rPr>
            </w:pPr>
            <w:r>
              <w:rPr>
                <w:rFonts w:ascii="標楷體" w:eastAsia="標楷體" w:hAnsi="標楷體" w:hint="eastAsia"/>
                <w:b/>
                <w:bCs/>
              </w:rPr>
              <w:t>法令依據</w:t>
            </w:r>
          </w:p>
        </w:tc>
      </w:tr>
      <w:tr w:rsidR="001A1B7A" w:rsidTr="001F5D38">
        <w:trPr>
          <w:trHeight w:val="705"/>
        </w:trPr>
        <w:tc>
          <w:tcPr>
            <w:tcW w:w="1449" w:type="pct"/>
          </w:tcPr>
          <w:p w:rsidR="001A1B7A" w:rsidRDefault="001A1B7A" w:rsidP="00CE70F7">
            <w:pPr>
              <w:numPr>
                <w:ilvl w:val="0"/>
                <w:numId w:val="12"/>
              </w:numPr>
              <w:tabs>
                <w:tab w:val="clear" w:pos="1021"/>
                <w:tab w:val="num" w:pos="426"/>
              </w:tabs>
              <w:snapToGrid w:val="0"/>
              <w:ind w:left="709" w:hanging="709"/>
              <w:jc w:val="both"/>
              <w:rPr>
                <w:rFonts w:ascii="標楷體" w:eastAsia="標楷體" w:hAnsi="標楷體"/>
              </w:rPr>
            </w:pPr>
            <w:r>
              <w:rPr>
                <w:rFonts w:ascii="標楷體" w:eastAsia="標楷體" w:hAnsi="標楷體"/>
              </w:rPr>
              <w:t>發行人依</w:t>
            </w:r>
            <w:r>
              <w:rPr>
                <w:rFonts w:ascii="標楷體" w:eastAsia="標楷體" w:hAnsi="標楷體" w:hint="eastAsia"/>
              </w:rPr>
              <w:t>其所屬</w:t>
            </w:r>
            <w:r>
              <w:rPr>
                <w:rFonts w:ascii="標楷體" w:eastAsia="標楷體" w:hAnsi="標楷體"/>
              </w:rPr>
              <w:t>國</w:t>
            </w:r>
            <w:r>
              <w:rPr>
                <w:rFonts w:ascii="標楷體" w:eastAsia="標楷體" w:hAnsi="標楷體" w:hint="eastAsia"/>
              </w:rPr>
              <w:t>及股票交易地</w:t>
            </w:r>
            <w:r>
              <w:rPr>
                <w:rFonts w:ascii="標楷體" w:eastAsia="標楷體" w:hAnsi="標楷體"/>
              </w:rPr>
              <w:t>法令規定</w:t>
            </w:r>
            <w:r>
              <w:rPr>
                <w:rFonts w:ascii="標楷體" w:eastAsia="標楷體" w:hAnsi="標楷體" w:hint="eastAsia"/>
              </w:rPr>
              <w:t>，</w:t>
            </w:r>
            <w:r>
              <w:rPr>
                <w:rFonts w:ascii="標楷體" w:eastAsia="標楷體" w:hAnsi="標楷體"/>
              </w:rPr>
              <w:t>應即時申報</w:t>
            </w:r>
            <w:r>
              <w:rPr>
                <w:rFonts w:ascii="標楷體" w:eastAsia="標楷體" w:hAnsi="標楷體" w:hint="eastAsia"/>
              </w:rPr>
              <w:t>之重大</w:t>
            </w:r>
            <w:r>
              <w:rPr>
                <w:rFonts w:ascii="標楷體" w:eastAsia="標楷體" w:hAnsi="標楷體" w:hint="eastAsia"/>
              </w:rPr>
              <w:lastRenderedPageBreak/>
              <w:t>訊息；</w:t>
            </w:r>
            <w:r w:rsidR="00CE70F7">
              <w:rPr>
                <w:rFonts w:ascii="標楷體" w:eastAsia="標楷體" w:hAnsi="標楷體" w:hint="eastAsia"/>
              </w:rPr>
              <w:t>發行人屬</w:t>
            </w:r>
            <w:r w:rsidR="00CE70F7" w:rsidRPr="00CE70F7">
              <w:rPr>
                <w:rFonts w:ascii="標楷體" w:eastAsia="標楷體" w:hAnsi="標楷體" w:hint="eastAsia"/>
              </w:rPr>
              <w:t>外國金融機構分支機構或他公司之從屬公司</w:t>
            </w:r>
            <w:r w:rsidR="00CE70F7">
              <w:rPr>
                <w:rFonts w:ascii="標楷體" w:eastAsia="標楷體" w:hAnsi="標楷體" w:hint="eastAsia"/>
              </w:rPr>
              <w:t>者</w:t>
            </w:r>
            <w:r>
              <w:rPr>
                <w:rFonts w:ascii="標楷體" w:eastAsia="標楷體" w:hAnsi="標楷體" w:hint="eastAsia"/>
              </w:rPr>
              <w:t>，另包含其總機構或他公司所屬</w:t>
            </w:r>
            <w:r>
              <w:rPr>
                <w:rFonts w:ascii="標楷體" w:eastAsia="標楷體" w:hAnsi="標楷體"/>
              </w:rPr>
              <w:t>國</w:t>
            </w:r>
            <w:r>
              <w:rPr>
                <w:rFonts w:ascii="標楷體" w:eastAsia="標楷體" w:hAnsi="標楷體" w:hint="eastAsia"/>
              </w:rPr>
              <w:t>及股票交易地法令規定，應即時申報之重大訊息。</w:t>
            </w:r>
          </w:p>
          <w:p w:rsidR="001A1B7A" w:rsidRDefault="001A1B7A" w:rsidP="001F5D38">
            <w:pPr>
              <w:numPr>
                <w:ilvl w:val="0"/>
                <w:numId w:val="12"/>
              </w:numPr>
              <w:tabs>
                <w:tab w:val="num" w:pos="720"/>
              </w:tabs>
              <w:snapToGrid w:val="0"/>
              <w:ind w:left="720" w:hanging="720"/>
              <w:jc w:val="both"/>
              <w:rPr>
                <w:rFonts w:ascii="標楷體" w:eastAsia="標楷體" w:hAnsi="標楷體"/>
              </w:rPr>
            </w:pPr>
            <w:r>
              <w:rPr>
                <w:rFonts w:ascii="標楷體" w:eastAsia="標楷體" w:hAnsi="標楷體"/>
              </w:rPr>
              <w:t>債</w:t>
            </w:r>
            <w:r>
              <w:rPr>
                <w:rFonts w:ascii="標楷體" w:eastAsia="標楷體" w:hAnsi="標楷體" w:hint="eastAsia"/>
              </w:rPr>
              <w:t>券</w:t>
            </w:r>
            <w:r w:rsidR="005E1A99">
              <w:rPr>
                <w:rFonts w:ascii="標楷體" w:eastAsia="標楷體" w:hAnsi="標楷體"/>
              </w:rPr>
              <w:t>之發行、期滿</w:t>
            </w:r>
            <w:r>
              <w:rPr>
                <w:rFonts w:ascii="標楷體" w:eastAsia="標楷體" w:hAnsi="標楷體" w:hint="eastAsia"/>
              </w:rPr>
              <w:t>或有</w:t>
            </w:r>
            <w:r>
              <w:rPr>
                <w:rFonts w:ascii="標楷體" w:eastAsia="標楷體" w:hAnsi="標楷體"/>
              </w:rPr>
              <w:t>依規定核給股份之情事者。</w:t>
            </w:r>
          </w:p>
          <w:p w:rsidR="001A1B7A" w:rsidRDefault="001A1B7A" w:rsidP="001F5D38">
            <w:pPr>
              <w:numPr>
                <w:ilvl w:val="0"/>
                <w:numId w:val="12"/>
              </w:numPr>
              <w:tabs>
                <w:tab w:val="num" w:pos="720"/>
              </w:tabs>
              <w:snapToGrid w:val="0"/>
              <w:ind w:left="720" w:hanging="720"/>
              <w:jc w:val="both"/>
              <w:rPr>
                <w:rFonts w:ascii="標楷體" w:eastAsia="標楷體" w:hAnsi="標楷體"/>
              </w:rPr>
            </w:pPr>
            <w:r>
              <w:rPr>
                <w:rFonts w:ascii="標楷體" w:eastAsia="標楷體" w:hAnsi="標楷體" w:hint="eastAsia"/>
              </w:rPr>
              <w:t>發行人或</w:t>
            </w:r>
            <w:r>
              <w:rPr>
                <w:rFonts w:ascii="標楷體" w:eastAsia="標楷體" w:hAnsi="標楷體"/>
              </w:rPr>
              <w:t>債券信用評</w:t>
            </w:r>
            <w:r>
              <w:rPr>
                <w:rFonts w:ascii="標楷體" w:eastAsia="標楷體" w:hAnsi="標楷體" w:hint="eastAsia"/>
              </w:rPr>
              <w:t>等有</w:t>
            </w:r>
            <w:r>
              <w:rPr>
                <w:rFonts w:ascii="標楷體" w:eastAsia="標楷體" w:hAnsi="標楷體"/>
              </w:rPr>
              <w:t>所變動者。</w:t>
            </w:r>
          </w:p>
          <w:p w:rsidR="001A1B7A" w:rsidRDefault="001A1B7A" w:rsidP="001F5D38">
            <w:pPr>
              <w:numPr>
                <w:ilvl w:val="0"/>
                <w:numId w:val="12"/>
              </w:numPr>
              <w:tabs>
                <w:tab w:val="num" w:pos="720"/>
              </w:tabs>
              <w:snapToGrid w:val="0"/>
              <w:ind w:left="720" w:hanging="720"/>
              <w:jc w:val="both"/>
              <w:rPr>
                <w:rFonts w:ascii="標楷體" w:eastAsia="標楷體" w:hAnsi="標楷體"/>
              </w:rPr>
            </w:pPr>
            <w:r>
              <w:rPr>
                <w:rFonts w:ascii="標楷體" w:eastAsia="標楷體" w:hAnsi="標楷體" w:hint="eastAsia"/>
              </w:rPr>
              <w:t>其他對債券之價格或價值有重大影響之情事。</w:t>
            </w:r>
          </w:p>
        </w:tc>
        <w:tc>
          <w:tcPr>
            <w:tcW w:w="809" w:type="pct"/>
          </w:tcPr>
          <w:p w:rsidR="001A1B7A" w:rsidRDefault="001A1B7A" w:rsidP="001F5D38">
            <w:pPr>
              <w:widowControl/>
              <w:rPr>
                <w:rFonts w:ascii="標楷體" w:eastAsia="標楷體" w:hAnsi="標楷體"/>
              </w:rPr>
            </w:pPr>
            <w:r>
              <w:rPr>
                <w:rFonts w:ascii="標楷體" w:eastAsia="標楷體" w:hAnsi="標楷體" w:hint="eastAsia"/>
              </w:rPr>
              <w:lastRenderedPageBreak/>
              <w:t>事實發生日之次營業日交易時間開始前公告</w:t>
            </w:r>
            <w:r>
              <w:rPr>
                <w:rFonts w:ascii="標楷體" w:eastAsia="標楷體" w:hAnsi="標楷體"/>
              </w:rPr>
              <w:t xml:space="preserve"> </w:t>
            </w:r>
          </w:p>
          <w:p w:rsidR="001A1B7A" w:rsidRDefault="001A1B7A" w:rsidP="001F5D38">
            <w:pPr>
              <w:pStyle w:val="11"/>
              <w:widowControl/>
              <w:snapToGrid/>
              <w:spacing w:line="240" w:lineRule="auto"/>
              <w:rPr>
                <w:rFonts w:ascii="標楷體" w:hAnsi="標楷體"/>
              </w:rPr>
            </w:pPr>
          </w:p>
        </w:tc>
        <w:tc>
          <w:tcPr>
            <w:tcW w:w="2031" w:type="pct"/>
          </w:tcPr>
          <w:p w:rsidR="001A1B7A" w:rsidRDefault="001A1B7A" w:rsidP="001F5D38">
            <w:pPr>
              <w:widowControl/>
              <w:rPr>
                <w:rFonts w:ascii="標楷體" w:eastAsia="標楷體" w:hAnsi="標楷體"/>
              </w:rPr>
            </w:pPr>
            <w:r>
              <w:rPr>
                <w:rFonts w:ascii="標楷體" w:eastAsia="標楷體" w:hAnsi="標楷體" w:hint="eastAsia"/>
              </w:rPr>
              <w:lastRenderedPageBreak/>
              <w:t>請至「公開資訊觀測站」－「</w:t>
            </w:r>
            <w:r w:rsidRPr="00617E09">
              <w:rPr>
                <w:rFonts w:ascii="標楷體" w:eastAsia="標楷體" w:hAnsi="標楷體" w:hint="eastAsia"/>
              </w:rPr>
              <w:t>外國發行公司債券申報系統(在我國未公開發行股權商品者適用)</w:t>
            </w:r>
            <w:r>
              <w:rPr>
                <w:rFonts w:ascii="標楷體" w:eastAsia="標楷體" w:hAnsi="標楷體" w:hint="eastAsia"/>
              </w:rPr>
              <w:t>」申報系統</w:t>
            </w:r>
          </w:p>
          <w:p w:rsidR="001A1B7A" w:rsidRPr="00D15E8B" w:rsidRDefault="001A1B7A" w:rsidP="001F5D38">
            <w:pPr>
              <w:widowControl/>
              <w:rPr>
                <w:rFonts w:ascii="標楷體" w:eastAsia="標楷體" w:hAnsi="標楷體"/>
                <w:color w:val="000000"/>
                <w:kern w:val="0"/>
              </w:rPr>
            </w:pPr>
            <w:r w:rsidRPr="00617E09">
              <w:rPr>
                <w:rFonts w:ascii="標楷體" w:eastAsia="標楷體" w:hAnsi="標楷體"/>
                <w:color w:val="000000"/>
                <w:kern w:val="0"/>
              </w:rPr>
              <w:lastRenderedPageBreak/>
              <w:t>http://siis.twse.com.tw/e_bond.htm</w:t>
            </w:r>
          </w:p>
          <w:p w:rsidR="001A1B7A" w:rsidRDefault="001A1B7A" w:rsidP="001F5D38">
            <w:pPr>
              <w:widowControl/>
              <w:rPr>
                <w:rFonts w:ascii="標楷體" w:eastAsia="標楷體" w:hAnsi="標楷體"/>
              </w:rPr>
            </w:pPr>
            <w:r w:rsidRPr="009D5F59">
              <w:rPr>
                <w:rFonts w:ascii="標楷體" w:eastAsia="標楷體" w:hAnsi="標楷體" w:hint="eastAsia"/>
                <w:u w:val="single"/>
              </w:rPr>
              <w:t>債券重大訊息申報作業系統</w:t>
            </w:r>
            <w:r>
              <w:rPr>
                <w:rFonts w:ascii="標楷體" w:eastAsia="標楷體" w:hAnsi="標楷體" w:hint="eastAsia"/>
              </w:rPr>
              <w:t>：依規定格式申報資料</w:t>
            </w:r>
          </w:p>
          <w:p w:rsidR="001A1B7A" w:rsidRDefault="001A1B7A" w:rsidP="001F5D38">
            <w:pPr>
              <w:rPr>
                <w:rFonts w:ascii="標楷體" w:eastAsia="標楷體" w:hAnsi="標楷體"/>
              </w:rPr>
            </w:pPr>
          </w:p>
        </w:tc>
        <w:tc>
          <w:tcPr>
            <w:tcW w:w="711" w:type="pct"/>
          </w:tcPr>
          <w:p w:rsidR="001A1B7A" w:rsidRDefault="00347DC9" w:rsidP="00347DC9">
            <w:pPr>
              <w:widowControl/>
              <w:rPr>
                <w:rFonts w:ascii="標楷體" w:eastAsia="標楷體" w:hAnsi="標楷體"/>
              </w:rPr>
            </w:pPr>
            <w:r>
              <w:rPr>
                <w:rFonts w:ascii="標楷體" w:eastAsia="標楷體" w:hAnsi="標楷體" w:hint="eastAsia"/>
              </w:rPr>
              <w:lastRenderedPageBreak/>
              <w:t>本中心外幣計價國際債券管</w:t>
            </w:r>
            <w:r>
              <w:rPr>
                <w:rFonts w:ascii="標楷體" w:eastAsia="標楷體" w:hAnsi="標楷體" w:hint="eastAsia"/>
              </w:rPr>
              <w:lastRenderedPageBreak/>
              <w:t>理規則</w:t>
            </w:r>
            <w:r w:rsidR="001A1B7A">
              <w:rPr>
                <w:rFonts w:ascii="標楷體" w:eastAsia="標楷體" w:hAnsi="標楷體" w:hint="eastAsia"/>
              </w:rPr>
              <w:t>第36條</w:t>
            </w:r>
          </w:p>
        </w:tc>
      </w:tr>
      <w:tr w:rsidR="00371D4C" w:rsidTr="001F5D38">
        <w:trPr>
          <w:trHeight w:val="705"/>
        </w:trPr>
        <w:tc>
          <w:tcPr>
            <w:tcW w:w="1449" w:type="pct"/>
          </w:tcPr>
          <w:p w:rsidR="00371D4C" w:rsidRDefault="00371D4C" w:rsidP="009C3C13">
            <w:pPr>
              <w:snapToGrid w:val="0"/>
              <w:ind w:leftChars="59" w:left="708" w:hangingChars="236" w:hanging="566"/>
              <w:jc w:val="both"/>
              <w:rPr>
                <w:rFonts w:ascii="標楷體" w:eastAsia="標楷體" w:hAnsi="標楷體"/>
              </w:rPr>
            </w:pPr>
            <w:r>
              <w:rPr>
                <w:rFonts w:ascii="標楷體" w:eastAsia="標楷體" w:hAnsi="標楷體" w:hint="eastAsia"/>
                <w:snapToGrid w:val="0"/>
                <w:kern w:val="0"/>
              </w:rPr>
              <w:lastRenderedPageBreak/>
              <w:t>(五)</w:t>
            </w:r>
            <w:r w:rsidR="004F5029">
              <w:rPr>
                <w:rFonts w:ascii="標楷體" w:eastAsia="標楷體" w:hAnsi="標楷體" w:hint="eastAsia"/>
                <w:snapToGrid w:val="0"/>
                <w:kern w:val="0"/>
              </w:rPr>
              <w:t>到期前提前還本、收回、贖回</w:t>
            </w:r>
            <w:r w:rsidRPr="003E36BB">
              <w:rPr>
                <w:rFonts w:ascii="標楷體" w:eastAsia="標楷體" w:hAnsi="標楷體" w:hint="eastAsia"/>
                <w:snapToGrid w:val="0"/>
                <w:kern w:val="0"/>
              </w:rPr>
              <w:t>，或已預知公司債既定發行條件外之發行餘額變動</w:t>
            </w:r>
          </w:p>
        </w:tc>
        <w:tc>
          <w:tcPr>
            <w:tcW w:w="809" w:type="pct"/>
          </w:tcPr>
          <w:p w:rsidR="00371D4C" w:rsidRPr="009C3C13" w:rsidRDefault="004F5029" w:rsidP="009C3C13">
            <w:pPr>
              <w:widowControl/>
              <w:adjustRightInd w:val="0"/>
              <w:jc w:val="both"/>
              <w:rPr>
                <w:rFonts w:ascii="標楷體" w:eastAsia="標楷體" w:hAnsi="標楷體"/>
                <w:snapToGrid w:val="0"/>
                <w:kern w:val="0"/>
              </w:rPr>
            </w:pPr>
            <w:r w:rsidRPr="004F5029">
              <w:rPr>
                <w:rFonts w:ascii="標楷體" w:eastAsia="標楷體" w:hAnsi="標楷體" w:hint="eastAsia"/>
                <w:snapToGrid w:val="0"/>
                <w:kern w:val="0"/>
              </w:rPr>
              <w:t>應依發行辦法所定期限內申報;發</w:t>
            </w:r>
            <w:r>
              <w:rPr>
                <w:rFonts w:ascii="標楷體" w:eastAsia="標楷體" w:hAnsi="標楷體" w:hint="eastAsia"/>
                <w:snapToGrid w:val="0"/>
                <w:kern w:val="0"/>
              </w:rPr>
              <w:t>行辦法未定相關期限者，</w:t>
            </w:r>
            <w:r w:rsidR="00371D4C" w:rsidRPr="003E36BB">
              <w:rPr>
                <w:rFonts w:ascii="標楷體" w:eastAsia="標楷體" w:hAnsi="標楷體" w:hint="eastAsia"/>
                <w:snapToGrid w:val="0"/>
                <w:kern w:val="0"/>
              </w:rPr>
              <w:t xml:space="preserve">應於發行餘額變動前七個營業日申報。 </w:t>
            </w:r>
          </w:p>
        </w:tc>
        <w:tc>
          <w:tcPr>
            <w:tcW w:w="2031" w:type="pct"/>
          </w:tcPr>
          <w:p w:rsidR="004F5029" w:rsidRDefault="004F5029" w:rsidP="004F5029">
            <w:pPr>
              <w:pStyle w:val="ab"/>
              <w:numPr>
                <w:ilvl w:val="0"/>
                <w:numId w:val="18"/>
              </w:numPr>
              <w:tabs>
                <w:tab w:val="left" w:pos="240"/>
              </w:tabs>
              <w:kinsoku w:val="0"/>
              <w:overflowPunct w:val="0"/>
              <w:adjustRightInd w:val="0"/>
              <w:ind w:leftChars="0"/>
              <w:jc w:val="both"/>
              <w:textAlignment w:val="center"/>
              <w:rPr>
                <w:rFonts w:ascii="Times New Roman" w:eastAsia="標楷體" w:hAnsi="Times New Roman"/>
                <w:snapToGrid w:val="0"/>
                <w:kern w:val="0"/>
                <w:szCs w:val="40"/>
              </w:rPr>
            </w:pPr>
            <w:r w:rsidRPr="004F5029">
              <w:rPr>
                <w:rFonts w:ascii="Times New Roman" w:eastAsia="標楷體" w:hAnsi="Times New Roman" w:hint="eastAsia"/>
                <w:snapToGrid w:val="0"/>
                <w:kern w:val="0"/>
                <w:szCs w:val="40"/>
              </w:rPr>
              <w:t>請至「公開資訊觀測站」－「外國發行公司債券申報系統</w:t>
            </w:r>
            <w:r w:rsidRPr="004F5029">
              <w:rPr>
                <w:rFonts w:ascii="Times New Roman" w:eastAsia="標楷體" w:hAnsi="Times New Roman" w:hint="eastAsia"/>
                <w:snapToGrid w:val="0"/>
                <w:kern w:val="0"/>
                <w:szCs w:val="40"/>
              </w:rPr>
              <w:t>(</w:t>
            </w:r>
            <w:r w:rsidRPr="004F5029">
              <w:rPr>
                <w:rFonts w:ascii="Times New Roman" w:eastAsia="標楷體" w:hAnsi="Times New Roman" w:hint="eastAsia"/>
                <w:snapToGrid w:val="0"/>
                <w:kern w:val="0"/>
                <w:szCs w:val="40"/>
              </w:rPr>
              <w:t>在我國未公開發行股權商品者適用</w:t>
            </w:r>
            <w:r w:rsidRPr="004F5029">
              <w:rPr>
                <w:rFonts w:ascii="Times New Roman" w:eastAsia="標楷體" w:hAnsi="Times New Roman" w:hint="eastAsia"/>
                <w:snapToGrid w:val="0"/>
                <w:kern w:val="0"/>
                <w:szCs w:val="40"/>
              </w:rPr>
              <w:t>)</w:t>
            </w:r>
            <w:r w:rsidRPr="004F5029">
              <w:rPr>
                <w:rFonts w:ascii="Times New Roman" w:eastAsia="標楷體" w:hAnsi="Times New Roman" w:hint="eastAsia"/>
                <w:snapToGrid w:val="0"/>
                <w:kern w:val="0"/>
                <w:szCs w:val="40"/>
              </w:rPr>
              <w:t>」申報系統</w:t>
            </w:r>
            <w:r w:rsidRPr="004F5029">
              <w:rPr>
                <w:rFonts w:ascii="Times New Roman" w:eastAsia="標楷體" w:hAnsi="Times New Roman" w:hint="eastAsia"/>
                <w:snapToGrid w:val="0"/>
                <w:kern w:val="0"/>
                <w:szCs w:val="40"/>
              </w:rPr>
              <w:t>http://siis.twse.com.tw/e_bond.htm</w:t>
            </w:r>
            <w:r w:rsidRPr="004F5029">
              <w:rPr>
                <w:rFonts w:ascii="Times New Roman" w:eastAsia="標楷體" w:hAnsi="Times New Roman" w:hint="eastAsia"/>
                <w:snapToGrid w:val="0"/>
                <w:kern w:val="0"/>
                <w:szCs w:val="40"/>
              </w:rPr>
              <w:t>到期前餘額變動申報作業：申報</w:t>
            </w:r>
            <w:r>
              <w:rPr>
                <w:rFonts w:ascii="Times New Roman" w:eastAsia="標楷體" w:hAnsi="Times New Roman" w:hint="eastAsia"/>
                <w:snapToGrid w:val="0"/>
                <w:kern w:val="0"/>
                <w:szCs w:val="40"/>
              </w:rPr>
              <w:t>「</w:t>
            </w:r>
            <w:r w:rsidRPr="004F5029">
              <w:rPr>
                <w:rFonts w:ascii="Times New Roman" w:eastAsia="標楷體" w:hAnsi="Times New Roman" w:hint="eastAsia"/>
                <w:snapToGrid w:val="0"/>
                <w:kern w:val="0"/>
                <w:szCs w:val="40"/>
              </w:rPr>
              <w:t>非既定之餘額變動公告</w:t>
            </w:r>
            <w:r w:rsidRPr="004F5029">
              <w:rPr>
                <w:rFonts w:ascii="Times New Roman" w:eastAsia="標楷體" w:hAnsi="Times New Roman" w:hint="eastAsia"/>
                <w:snapToGrid w:val="0"/>
                <w:kern w:val="0"/>
                <w:szCs w:val="40"/>
              </w:rPr>
              <w:t>(</w:t>
            </w:r>
            <w:r w:rsidRPr="004F5029">
              <w:rPr>
                <w:rFonts w:ascii="Times New Roman" w:eastAsia="標楷體" w:hAnsi="Times New Roman" w:hint="eastAsia"/>
                <w:snapToGrid w:val="0"/>
                <w:kern w:val="0"/>
                <w:szCs w:val="40"/>
              </w:rPr>
              <w:t>已知悉時</w:t>
            </w:r>
            <w:r w:rsidRPr="004F5029">
              <w:rPr>
                <w:rFonts w:ascii="Times New Roman" w:eastAsia="標楷體" w:hAnsi="Times New Roman" w:hint="eastAsia"/>
                <w:snapToGrid w:val="0"/>
                <w:kern w:val="0"/>
                <w:szCs w:val="40"/>
              </w:rPr>
              <w:t>-</w:t>
            </w:r>
            <w:r w:rsidRPr="004F5029">
              <w:rPr>
                <w:rFonts w:ascii="Times New Roman" w:eastAsia="標楷體" w:hAnsi="Times New Roman" w:hint="eastAsia"/>
                <w:snapToGrid w:val="0"/>
                <w:kern w:val="0"/>
                <w:szCs w:val="40"/>
              </w:rPr>
              <w:t>餘額未變動公告</w:t>
            </w:r>
            <w:r>
              <w:rPr>
                <w:rFonts w:ascii="Times New Roman" w:eastAsia="標楷體" w:hAnsi="Times New Roman" w:hint="eastAsia"/>
                <w:snapToGrid w:val="0"/>
                <w:kern w:val="0"/>
                <w:szCs w:val="40"/>
              </w:rPr>
              <w:t>)</w:t>
            </w:r>
            <w:r>
              <w:rPr>
                <w:rFonts w:ascii="Times New Roman" w:eastAsia="標楷體" w:hAnsi="Times New Roman" w:hint="eastAsia"/>
                <w:snapToGrid w:val="0"/>
                <w:kern w:val="0"/>
                <w:szCs w:val="40"/>
              </w:rPr>
              <w:t>」</w:t>
            </w:r>
            <w:r w:rsidR="00867229" w:rsidRPr="00023843">
              <w:rPr>
                <w:rFonts w:ascii="Times New Roman" w:eastAsia="標楷體" w:hAnsi="Times New Roman" w:hint="eastAsia"/>
                <w:snapToGrid w:val="0"/>
                <w:kern w:val="0"/>
                <w:szCs w:val="40"/>
              </w:rPr>
              <w:t>。</w:t>
            </w:r>
          </w:p>
          <w:p w:rsidR="00371D4C" w:rsidRPr="009C3C13" w:rsidRDefault="004F5029" w:rsidP="009C3C13">
            <w:pPr>
              <w:pStyle w:val="ab"/>
              <w:numPr>
                <w:ilvl w:val="0"/>
                <w:numId w:val="18"/>
              </w:numPr>
              <w:tabs>
                <w:tab w:val="left" w:pos="240"/>
              </w:tabs>
              <w:kinsoku w:val="0"/>
              <w:overflowPunct w:val="0"/>
              <w:adjustRightInd w:val="0"/>
              <w:ind w:leftChars="0"/>
              <w:jc w:val="both"/>
              <w:textAlignment w:val="center"/>
              <w:rPr>
                <w:rFonts w:ascii="Times New Roman" w:eastAsia="標楷體" w:hAnsi="Times New Roman"/>
                <w:snapToGrid w:val="0"/>
                <w:kern w:val="0"/>
                <w:szCs w:val="40"/>
              </w:rPr>
            </w:pPr>
            <w:r w:rsidRPr="004F5029">
              <w:rPr>
                <w:rFonts w:ascii="Times New Roman" w:eastAsia="標楷體" w:hAnsi="Times New Roman" w:hint="eastAsia"/>
                <w:snapToGrid w:val="0"/>
                <w:kern w:val="0"/>
                <w:szCs w:val="40"/>
              </w:rPr>
              <w:t>完成前項公告時，以</w:t>
            </w:r>
            <w:r w:rsidRPr="004F5029">
              <w:rPr>
                <w:rFonts w:ascii="Times New Roman" w:eastAsia="標楷體" w:hAnsi="Times New Roman" w:hint="eastAsia"/>
                <w:snapToGrid w:val="0"/>
                <w:kern w:val="0"/>
                <w:szCs w:val="40"/>
              </w:rPr>
              <w:t>Email</w:t>
            </w:r>
            <w:r>
              <w:rPr>
                <w:rFonts w:ascii="Times New Roman" w:eastAsia="標楷體" w:hAnsi="Times New Roman" w:hint="eastAsia"/>
                <w:snapToGrid w:val="0"/>
                <w:kern w:val="0"/>
                <w:szCs w:val="40"/>
              </w:rPr>
              <w:t>通知本中心</w:t>
            </w:r>
            <w:r w:rsidR="00371D4C" w:rsidRPr="009C3C13">
              <w:rPr>
                <w:rFonts w:ascii="Times New Roman" w:eastAsia="標楷體" w:hAnsi="Times New Roman" w:hint="eastAsia"/>
                <w:snapToGrid w:val="0"/>
                <w:kern w:val="0"/>
                <w:szCs w:val="40"/>
              </w:rPr>
              <w:t>。</w:t>
            </w:r>
          </w:p>
        </w:tc>
        <w:tc>
          <w:tcPr>
            <w:tcW w:w="711" w:type="pct"/>
          </w:tcPr>
          <w:p w:rsidR="00371D4C" w:rsidRDefault="004F5029" w:rsidP="00371D4C">
            <w:pPr>
              <w:widowControl/>
              <w:rPr>
                <w:rFonts w:ascii="標楷體" w:eastAsia="標楷體" w:hAnsi="標楷體"/>
              </w:rPr>
            </w:pPr>
            <w:r w:rsidRPr="004F5029">
              <w:rPr>
                <w:rFonts w:ascii="標楷體" w:eastAsia="標楷體" w:hAnsi="標楷體" w:hint="eastAsia"/>
              </w:rPr>
              <w:t>本中心外幣計價國際債券管理規則第36條</w:t>
            </w:r>
          </w:p>
        </w:tc>
      </w:tr>
      <w:tr w:rsidR="00371D4C" w:rsidTr="001F5D38">
        <w:trPr>
          <w:trHeight w:val="705"/>
        </w:trPr>
        <w:tc>
          <w:tcPr>
            <w:tcW w:w="1449" w:type="pct"/>
          </w:tcPr>
          <w:p w:rsidR="00371D4C" w:rsidRDefault="004F5029" w:rsidP="009C3C13">
            <w:pPr>
              <w:snapToGrid w:val="0"/>
              <w:ind w:leftChars="59" w:left="567" w:hangingChars="177" w:hanging="425"/>
              <w:jc w:val="both"/>
              <w:rPr>
                <w:rFonts w:ascii="標楷體" w:eastAsia="標楷體" w:hAnsi="標楷體"/>
              </w:rPr>
            </w:pPr>
            <w:r>
              <w:rPr>
                <w:rFonts w:ascii="標楷體" w:eastAsia="標楷體" w:hAnsi="標楷體" w:hint="eastAsia"/>
                <w:snapToGrid w:val="0"/>
                <w:kern w:val="0"/>
              </w:rPr>
              <w:t>(六)</w:t>
            </w:r>
            <w:r w:rsidR="00371D4C" w:rsidRPr="003E36BB">
              <w:rPr>
                <w:rFonts w:ascii="標楷體" w:eastAsia="標楷體" w:hAnsi="標楷體" w:hint="eastAsia"/>
                <w:snapToGrid w:val="0"/>
                <w:kern w:val="0"/>
              </w:rPr>
              <w:t>依前款發行餘額之實際變動情形(</w:t>
            </w:r>
            <w:r w:rsidR="00371D4C" w:rsidRPr="003E36BB">
              <w:rPr>
                <w:rFonts w:eastAsia="標楷體" w:hint="eastAsia"/>
                <w:snapToGrid w:val="0"/>
                <w:kern w:val="0"/>
              </w:rPr>
              <w:t>變動後仍有餘額時適用</w:t>
            </w:r>
            <w:r w:rsidR="00371D4C" w:rsidRPr="003E36BB">
              <w:rPr>
                <w:rFonts w:eastAsia="標楷體" w:hint="eastAsia"/>
                <w:snapToGrid w:val="0"/>
                <w:kern w:val="0"/>
              </w:rPr>
              <w:t>)</w:t>
            </w:r>
          </w:p>
        </w:tc>
        <w:tc>
          <w:tcPr>
            <w:tcW w:w="809" w:type="pct"/>
          </w:tcPr>
          <w:p w:rsidR="00371D4C" w:rsidRDefault="00371D4C" w:rsidP="00371D4C">
            <w:pPr>
              <w:widowControl/>
              <w:rPr>
                <w:rFonts w:ascii="標楷體" w:eastAsia="標楷體" w:hAnsi="標楷體"/>
              </w:rPr>
            </w:pPr>
            <w:r w:rsidRPr="003E36BB">
              <w:rPr>
                <w:rFonts w:ascii="標楷體" w:eastAsia="標楷體" w:hAnsi="標楷體" w:hint="eastAsia"/>
                <w:snapToGrid w:val="0"/>
                <w:kern w:val="0"/>
              </w:rPr>
              <w:t>應於發行餘額實際變動後一個營業日內申報。</w:t>
            </w:r>
          </w:p>
        </w:tc>
        <w:tc>
          <w:tcPr>
            <w:tcW w:w="2031" w:type="pct"/>
          </w:tcPr>
          <w:p w:rsidR="00AA3CE6" w:rsidRPr="00AA3CE6" w:rsidRDefault="00AA3CE6" w:rsidP="009C3C13">
            <w:pPr>
              <w:numPr>
                <w:ilvl w:val="0"/>
                <w:numId w:val="19"/>
              </w:numPr>
              <w:rPr>
                <w:rFonts w:eastAsia="標楷體"/>
                <w:snapToGrid w:val="0"/>
                <w:kern w:val="0"/>
                <w:szCs w:val="40"/>
              </w:rPr>
            </w:pPr>
            <w:r w:rsidRPr="00AA3CE6">
              <w:rPr>
                <w:rFonts w:eastAsia="標楷體" w:hint="eastAsia"/>
                <w:snapToGrid w:val="0"/>
                <w:kern w:val="0"/>
                <w:szCs w:val="40"/>
              </w:rPr>
              <w:t>請至「公開資訊觀測站」－「外國發行公司債券申報系統</w:t>
            </w:r>
            <w:r w:rsidRPr="00AA3CE6">
              <w:rPr>
                <w:rFonts w:eastAsia="標楷體" w:hint="eastAsia"/>
                <w:snapToGrid w:val="0"/>
                <w:kern w:val="0"/>
                <w:szCs w:val="40"/>
              </w:rPr>
              <w:t>(</w:t>
            </w:r>
            <w:r w:rsidRPr="00AA3CE6">
              <w:rPr>
                <w:rFonts w:eastAsia="標楷體" w:hint="eastAsia"/>
                <w:snapToGrid w:val="0"/>
                <w:kern w:val="0"/>
                <w:szCs w:val="40"/>
              </w:rPr>
              <w:t>在我國未公開發行股權商品者適用</w:t>
            </w:r>
            <w:r w:rsidRPr="00AA3CE6">
              <w:rPr>
                <w:rFonts w:eastAsia="標楷體" w:hint="eastAsia"/>
                <w:snapToGrid w:val="0"/>
                <w:kern w:val="0"/>
                <w:szCs w:val="40"/>
              </w:rPr>
              <w:t>)</w:t>
            </w:r>
            <w:r w:rsidRPr="00AA3CE6">
              <w:rPr>
                <w:rFonts w:eastAsia="標楷體" w:hint="eastAsia"/>
                <w:snapToGrid w:val="0"/>
                <w:kern w:val="0"/>
                <w:szCs w:val="40"/>
              </w:rPr>
              <w:t>」申報系統</w:t>
            </w:r>
            <w:r w:rsidRPr="00AA3CE6">
              <w:rPr>
                <w:rFonts w:eastAsia="標楷體" w:hint="eastAsia"/>
                <w:snapToGrid w:val="0"/>
                <w:kern w:val="0"/>
                <w:szCs w:val="40"/>
              </w:rPr>
              <w:t>http://siis.twse.com.tw/e_bond.htm</w:t>
            </w:r>
            <w:r w:rsidRPr="00AA3CE6">
              <w:rPr>
                <w:rFonts w:eastAsia="標楷體" w:hint="eastAsia"/>
                <w:snapToGrid w:val="0"/>
                <w:kern w:val="0"/>
                <w:szCs w:val="40"/>
              </w:rPr>
              <w:t>到期前餘額變動申報作業：申報「非既定之餘額變動公告</w:t>
            </w:r>
            <w:r w:rsidRPr="00AA3CE6">
              <w:rPr>
                <w:rFonts w:eastAsia="標楷體" w:hint="eastAsia"/>
                <w:snapToGrid w:val="0"/>
                <w:kern w:val="0"/>
                <w:szCs w:val="40"/>
              </w:rPr>
              <w:t>(</w:t>
            </w:r>
            <w:r w:rsidRPr="00AA3CE6">
              <w:rPr>
                <w:rFonts w:eastAsia="標楷體" w:hint="eastAsia"/>
                <w:snapToGrid w:val="0"/>
                <w:kern w:val="0"/>
                <w:szCs w:val="40"/>
              </w:rPr>
              <w:t>已實際變動</w:t>
            </w:r>
            <w:r w:rsidRPr="00AA3CE6">
              <w:rPr>
                <w:rFonts w:eastAsia="標楷體" w:hint="eastAsia"/>
                <w:snapToGrid w:val="0"/>
                <w:kern w:val="0"/>
                <w:szCs w:val="40"/>
              </w:rPr>
              <w:t>-</w:t>
            </w:r>
            <w:r w:rsidRPr="00AA3CE6">
              <w:rPr>
                <w:rFonts w:eastAsia="標楷體" w:hint="eastAsia"/>
                <w:snapToGrid w:val="0"/>
                <w:kern w:val="0"/>
                <w:szCs w:val="40"/>
              </w:rPr>
              <w:t>但變動後仍有餘額</w:t>
            </w:r>
            <w:r>
              <w:rPr>
                <w:rFonts w:eastAsia="標楷體" w:hint="eastAsia"/>
                <w:snapToGrid w:val="0"/>
                <w:kern w:val="0"/>
                <w:szCs w:val="40"/>
              </w:rPr>
              <w:t>)</w:t>
            </w:r>
            <w:r w:rsidRPr="00AA3CE6">
              <w:rPr>
                <w:rFonts w:eastAsia="標楷體" w:hint="eastAsia"/>
                <w:snapToGrid w:val="0"/>
                <w:kern w:val="0"/>
                <w:szCs w:val="40"/>
              </w:rPr>
              <w:t>」</w:t>
            </w:r>
            <w:r w:rsidR="00867229" w:rsidRPr="00023843">
              <w:rPr>
                <w:rFonts w:eastAsia="標楷體" w:hint="eastAsia"/>
                <w:snapToGrid w:val="0"/>
                <w:kern w:val="0"/>
                <w:szCs w:val="40"/>
              </w:rPr>
              <w:t>。</w:t>
            </w:r>
          </w:p>
          <w:p w:rsidR="00371D4C" w:rsidRDefault="00AA3CE6" w:rsidP="009C3C13">
            <w:pPr>
              <w:widowControl/>
              <w:numPr>
                <w:ilvl w:val="0"/>
                <w:numId w:val="19"/>
              </w:numPr>
              <w:tabs>
                <w:tab w:val="left" w:pos="240"/>
              </w:tabs>
              <w:kinsoku w:val="0"/>
              <w:overflowPunct w:val="0"/>
              <w:adjustRightInd w:val="0"/>
              <w:jc w:val="both"/>
              <w:textAlignment w:val="center"/>
              <w:rPr>
                <w:rFonts w:eastAsia="標楷體"/>
                <w:snapToGrid w:val="0"/>
                <w:kern w:val="0"/>
                <w:szCs w:val="40"/>
              </w:rPr>
            </w:pPr>
            <w:r w:rsidRPr="00AA3CE6">
              <w:rPr>
                <w:rFonts w:eastAsia="標楷體" w:hint="eastAsia"/>
                <w:snapToGrid w:val="0"/>
                <w:kern w:val="0"/>
                <w:szCs w:val="40"/>
              </w:rPr>
              <w:t>請至「公開資訊觀測站」－「外國發行公司債券申報系統</w:t>
            </w:r>
            <w:r w:rsidRPr="00AA3CE6">
              <w:rPr>
                <w:rFonts w:eastAsia="標楷體" w:hint="eastAsia"/>
                <w:snapToGrid w:val="0"/>
                <w:kern w:val="0"/>
                <w:szCs w:val="40"/>
              </w:rPr>
              <w:t>(</w:t>
            </w:r>
            <w:r w:rsidRPr="00AA3CE6">
              <w:rPr>
                <w:rFonts w:eastAsia="標楷體" w:hint="eastAsia"/>
                <w:snapToGrid w:val="0"/>
                <w:kern w:val="0"/>
                <w:szCs w:val="40"/>
              </w:rPr>
              <w:t>在我國未公開發行股權商品者適用</w:t>
            </w:r>
            <w:r w:rsidRPr="00AA3CE6">
              <w:rPr>
                <w:rFonts w:eastAsia="標楷體" w:hint="eastAsia"/>
                <w:snapToGrid w:val="0"/>
                <w:kern w:val="0"/>
                <w:szCs w:val="40"/>
              </w:rPr>
              <w:t>)</w:t>
            </w:r>
            <w:r w:rsidRPr="00AA3CE6">
              <w:rPr>
                <w:rFonts w:eastAsia="標楷體" w:hint="eastAsia"/>
                <w:snapToGrid w:val="0"/>
                <w:kern w:val="0"/>
                <w:szCs w:val="40"/>
              </w:rPr>
              <w:t>」申報系統</w:t>
            </w:r>
            <w:r w:rsidRPr="00AA3CE6">
              <w:rPr>
                <w:rFonts w:eastAsia="標楷體" w:hint="eastAsia"/>
                <w:snapToGrid w:val="0"/>
                <w:kern w:val="0"/>
                <w:szCs w:val="40"/>
              </w:rPr>
              <w:t>http://siis.twse.com.tw/e_bond.htm</w:t>
            </w:r>
            <w:r w:rsidRPr="00AA3CE6">
              <w:rPr>
                <w:rFonts w:eastAsia="標楷體" w:hint="eastAsia"/>
                <w:snapToGrid w:val="0"/>
                <w:kern w:val="0"/>
                <w:szCs w:val="40"/>
              </w:rPr>
              <w:t>外幣計價國際債券及新台幣計價外國債券基本資料：</w:t>
            </w:r>
            <w:r w:rsidR="00371D4C" w:rsidRPr="009C3C13">
              <w:rPr>
                <w:rFonts w:eastAsia="標楷體" w:hint="eastAsia"/>
                <w:snapToGrid w:val="0"/>
                <w:kern w:val="0"/>
                <w:szCs w:val="40"/>
              </w:rPr>
              <w:t>更新債券本</w:t>
            </w:r>
            <w:r w:rsidRPr="009C3C13">
              <w:rPr>
                <w:rFonts w:eastAsia="標楷體" w:hint="eastAsia"/>
                <w:snapToGrid w:val="0"/>
                <w:kern w:val="0"/>
                <w:szCs w:val="40"/>
              </w:rPr>
              <w:t>月月底發行餘額</w:t>
            </w:r>
            <w:r>
              <w:rPr>
                <w:rFonts w:eastAsia="標楷體" w:hint="eastAsia"/>
                <w:snapToGrid w:val="0"/>
                <w:kern w:val="0"/>
                <w:szCs w:val="40"/>
              </w:rPr>
              <w:t>，並於備註欄位說明變動原因</w:t>
            </w:r>
            <w:r w:rsidR="00371D4C" w:rsidRPr="009C3C13">
              <w:rPr>
                <w:rFonts w:eastAsia="標楷體" w:hint="eastAsia"/>
                <w:snapToGrid w:val="0"/>
                <w:kern w:val="0"/>
                <w:szCs w:val="40"/>
              </w:rPr>
              <w:t>。</w:t>
            </w:r>
          </w:p>
          <w:p w:rsidR="00371D4C" w:rsidRDefault="00AA3CE6" w:rsidP="009C3C13">
            <w:pPr>
              <w:widowControl/>
              <w:numPr>
                <w:ilvl w:val="0"/>
                <w:numId w:val="19"/>
              </w:numPr>
              <w:tabs>
                <w:tab w:val="left" w:pos="240"/>
              </w:tabs>
              <w:kinsoku w:val="0"/>
              <w:overflowPunct w:val="0"/>
              <w:adjustRightInd w:val="0"/>
              <w:jc w:val="both"/>
              <w:textAlignment w:val="center"/>
              <w:rPr>
                <w:rFonts w:ascii="標楷體" w:eastAsia="標楷體" w:hAnsi="標楷體"/>
              </w:rPr>
            </w:pPr>
            <w:r w:rsidRPr="00AA3CE6">
              <w:rPr>
                <w:rFonts w:ascii="標楷體" w:eastAsia="標楷體" w:hAnsi="標楷體" w:hint="eastAsia"/>
              </w:rPr>
              <w:t>完成前項公告時，以Email通知本中心。</w:t>
            </w:r>
          </w:p>
        </w:tc>
        <w:tc>
          <w:tcPr>
            <w:tcW w:w="711" w:type="pct"/>
          </w:tcPr>
          <w:p w:rsidR="00371D4C" w:rsidRDefault="00AA3CE6" w:rsidP="00371D4C">
            <w:pPr>
              <w:widowControl/>
              <w:rPr>
                <w:rFonts w:ascii="標楷體" w:eastAsia="標楷體" w:hAnsi="標楷體"/>
              </w:rPr>
            </w:pPr>
            <w:r w:rsidRPr="00AA3CE6">
              <w:rPr>
                <w:rFonts w:ascii="標楷體" w:eastAsia="標楷體" w:hAnsi="標楷體" w:hint="eastAsia"/>
              </w:rPr>
              <w:t>本中心外幣計價國際債券管理規則第36條</w:t>
            </w:r>
          </w:p>
        </w:tc>
      </w:tr>
      <w:tr w:rsidR="005E1A99" w:rsidTr="001F5D38">
        <w:trPr>
          <w:trHeight w:val="705"/>
        </w:trPr>
        <w:tc>
          <w:tcPr>
            <w:tcW w:w="1449" w:type="pct"/>
          </w:tcPr>
          <w:p w:rsidR="005E1A99" w:rsidRDefault="00534B3E" w:rsidP="009C3C13">
            <w:pPr>
              <w:snapToGrid w:val="0"/>
              <w:ind w:leftChars="59" w:left="708" w:hangingChars="236" w:hanging="566"/>
              <w:jc w:val="both"/>
              <w:rPr>
                <w:rFonts w:ascii="標楷體" w:eastAsia="標楷體" w:hAnsi="標楷體"/>
              </w:rPr>
            </w:pPr>
            <w:r>
              <w:rPr>
                <w:rFonts w:ascii="標楷體" w:eastAsia="標楷體" w:hAnsi="標楷體" w:hint="eastAsia"/>
              </w:rPr>
              <w:t>(七)</w:t>
            </w:r>
            <w:r>
              <w:rPr>
                <w:rFonts w:hint="eastAsia"/>
              </w:rPr>
              <w:t xml:space="preserve"> </w:t>
            </w:r>
            <w:r>
              <w:rPr>
                <w:rFonts w:ascii="標楷體" w:eastAsia="標楷體" w:hAnsi="標楷體" w:hint="eastAsia"/>
              </w:rPr>
              <w:t>因到期前全數買回、全部強制贖回</w:t>
            </w:r>
            <w:r w:rsidRPr="00534B3E">
              <w:rPr>
                <w:rFonts w:ascii="標楷體" w:eastAsia="標楷體" w:hAnsi="標楷體" w:hint="eastAsia"/>
              </w:rPr>
              <w:t>或其他因素還清本金並終止櫃檯買賣者</w:t>
            </w:r>
          </w:p>
        </w:tc>
        <w:tc>
          <w:tcPr>
            <w:tcW w:w="809" w:type="pct"/>
          </w:tcPr>
          <w:p w:rsidR="005E1A99" w:rsidRDefault="005E1A99" w:rsidP="001F5D38">
            <w:pPr>
              <w:widowControl/>
              <w:rPr>
                <w:rFonts w:ascii="標楷體" w:eastAsia="標楷體" w:hAnsi="標楷體"/>
              </w:rPr>
            </w:pPr>
            <w:r w:rsidRPr="005E1A99">
              <w:rPr>
                <w:rFonts w:ascii="標楷體" w:eastAsia="標楷體" w:hAnsi="標楷體" w:hint="eastAsia"/>
              </w:rPr>
              <w:t>應依發行辦法所定期限內申報;發行辦法未定相關期限者，應於或發行人決定買</w:t>
            </w:r>
            <w:r w:rsidRPr="005E1A99">
              <w:rPr>
                <w:rFonts w:ascii="標楷體" w:eastAsia="標楷體" w:hAnsi="標楷體" w:hint="eastAsia"/>
              </w:rPr>
              <w:lastRenderedPageBreak/>
              <w:t>回債券之次一營業日內申報。</w:t>
            </w:r>
          </w:p>
        </w:tc>
        <w:tc>
          <w:tcPr>
            <w:tcW w:w="2031" w:type="pct"/>
          </w:tcPr>
          <w:p w:rsidR="005E1A99" w:rsidRPr="00397F74" w:rsidRDefault="005E1A99" w:rsidP="009C3C13">
            <w:pPr>
              <w:widowControl/>
              <w:ind w:leftChars="-8" w:left="353" w:hangingChars="155" w:hanging="372"/>
              <w:jc w:val="both"/>
              <w:rPr>
                <w:rFonts w:ascii="Arial" w:eastAsia="標楷體" w:hAnsi="Arial" w:cs="Arial"/>
                <w:kern w:val="0"/>
              </w:rPr>
            </w:pPr>
            <w:r w:rsidRPr="00397F74">
              <w:rPr>
                <w:rFonts w:ascii="Arial" w:eastAsia="標楷體" w:hAnsi="Arial" w:cs="Arial"/>
                <w:kern w:val="0"/>
              </w:rPr>
              <w:lastRenderedPageBreak/>
              <w:t>1.</w:t>
            </w:r>
            <w:r w:rsidR="006A0CD7" w:rsidRPr="00397F74" w:rsidDel="006A0CD7">
              <w:rPr>
                <w:rFonts w:ascii="Arial" w:eastAsia="標楷體" w:hAnsi="Arial" w:cs="Arial" w:hint="eastAsia"/>
                <w:kern w:val="0"/>
              </w:rPr>
              <w:t xml:space="preserve"> </w:t>
            </w:r>
            <w:r w:rsidR="006A0CD7" w:rsidRPr="006A0CD7">
              <w:rPr>
                <w:rFonts w:ascii="Arial" w:eastAsia="標楷體" w:hAnsi="Arial" w:cs="Arial" w:hint="eastAsia"/>
                <w:kern w:val="0"/>
              </w:rPr>
              <w:t>請至「公開資訊觀測站」－「外國發行公司債券申報系統</w:t>
            </w:r>
            <w:r w:rsidR="006A0CD7" w:rsidRPr="006A0CD7">
              <w:rPr>
                <w:rFonts w:ascii="Arial" w:eastAsia="標楷體" w:hAnsi="Arial" w:cs="Arial" w:hint="eastAsia"/>
                <w:kern w:val="0"/>
              </w:rPr>
              <w:t>(</w:t>
            </w:r>
            <w:r w:rsidR="006A0CD7" w:rsidRPr="006A0CD7">
              <w:rPr>
                <w:rFonts w:ascii="Arial" w:eastAsia="標楷體" w:hAnsi="Arial" w:cs="Arial" w:hint="eastAsia"/>
                <w:kern w:val="0"/>
              </w:rPr>
              <w:t>在我國未公開發行股權商品者適用</w:t>
            </w:r>
            <w:r w:rsidR="006A0CD7" w:rsidRPr="006A0CD7">
              <w:rPr>
                <w:rFonts w:ascii="Arial" w:eastAsia="標楷體" w:hAnsi="Arial" w:cs="Arial" w:hint="eastAsia"/>
                <w:kern w:val="0"/>
              </w:rPr>
              <w:t>)</w:t>
            </w:r>
            <w:r w:rsidR="006A0CD7" w:rsidRPr="006A0CD7">
              <w:rPr>
                <w:rFonts w:ascii="Arial" w:eastAsia="標楷體" w:hAnsi="Arial" w:cs="Arial" w:hint="eastAsia"/>
                <w:kern w:val="0"/>
              </w:rPr>
              <w:t>」申報系統</w:t>
            </w:r>
            <w:r w:rsidR="006A0CD7" w:rsidRPr="006A0CD7">
              <w:rPr>
                <w:rFonts w:ascii="Arial" w:eastAsia="標楷體" w:hAnsi="Arial" w:cs="Arial" w:hint="eastAsia"/>
                <w:kern w:val="0"/>
              </w:rPr>
              <w:t>http://siis.twse.com.tw/e_bond.htm</w:t>
            </w:r>
            <w:r w:rsidR="006A0CD7" w:rsidRPr="006A0CD7">
              <w:rPr>
                <w:rFonts w:ascii="Arial" w:eastAsia="標楷體" w:hAnsi="Arial" w:cs="Arial" w:hint="eastAsia"/>
                <w:kern w:val="0"/>
              </w:rPr>
              <w:t>到期前餘額變動申報作業：申報「因提前</w:t>
            </w:r>
            <w:r w:rsidR="006A0CD7" w:rsidRPr="006A0CD7">
              <w:rPr>
                <w:rFonts w:ascii="Arial" w:eastAsia="標楷體" w:hAnsi="Arial" w:cs="Arial" w:hint="eastAsia"/>
                <w:kern w:val="0"/>
              </w:rPr>
              <w:lastRenderedPageBreak/>
              <w:t>買回、贖回或其他因素提前還清本金並終止櫃檯買賣」</w:t>
            </w:r>
            <w:r w:rsidR="006A0CD7">
              <w:rPr>
                <w:rFonts w:ascii="Arial" w:eastAsia="標楷體" w:hAnsi="Arial" w:cs="Arial" w:hint="eastAsia"/>
                <w:kern w:val="0"/>
              </w:rPr>
              <w:t>公告。</w:t>
            </w:r>
          </w:p>
          <w:p w:rsidR="005E1A99" w:rsidRDefault="005E1A99" w:rsidP="009C3C13">
            <w:pPr>
              <w:widowControl/>
              <w:ind w:leftChars="-8" w:left="353" w:hangingChars="155" w:hanging="372"/>
              <w:jc w:val="both"/>
              <w:rPr>
                <w:rFonts w:ascii="Arial" w:eastAsia="標楷體" w:hAnsi="Arial" w:cs="Arial"/>
                <w:kern w:val="0"/>
              </w:rPr>
            </w:pPr>
            <w:r w:rsidRPr="00397F74">
              <w:rPr>
                <w:rFonts w:ascii="Arial" w:eastAsia="標楷體" w:hAnsi="Arial" w:cs="Arial"/>
                <w:kern w:val="0"/>
              </w:rPr>
              <w:t>2.</w:t>
            </w:r>
            <w:r w:rsidR="00716E7B">
              <w:rPr>
                <w:rFonts w:ascii="Arial" w:eastAsia="標楷體" w:hAnsi="Arial" w:cs="Arial" w:hint="eastAsia"/>
                <w:kern w:val="0"/>
              </w:rPr>
              <w:t xml:space="preserve"> </w:t>
            </w:r>
            <w:r w:rsidRPr="00130B2C">
              <w:rPr>
                <w:rFonts w:ascii="Arial" w:eastAsia="標楷體" w:hAnsi="Arial" w:cs="Arial" w:hint="eastAsia"/>
                <w:kern w:val="0"/>
              </w:rPr>
              <w:t>請至「公開資訊觀測站」－「外國發行公司債券申報系統</w:t>
            </w:r>
            <w:r w:rsidRPr="00130B2C">
              <w:rPr>
                <w:rFonts w:ascii="Arial" w:eastAsia="標楷體" w:hAnsi="Arial" w:cs="Arial" w:hint="eastAsia"/>
                <w:kern w:val="0"/>
              </w:rPr>
              <w:t>(</w:t>
            </w:r>
            <w:r w:rsidRPr="00130B2C">
              <w:rPr>
                <w:rFonts w:ascii="Arial" w:eastAsia="標楷體" w:hAnsi="Arial" w:cs="Arial" w:hint="eastAsia"/>
                <w:kern w:val="0"/>
              </w:rPr>
              <w:t>在我國未公開發行股權商品者適用</w:t>
            </w:r>
            <w:r w:rsidRPr="00130B2C">
              <w:rPr>
                <w:rFonts w:ascii="Arial" w:eastAsia="標楷體" w:hAnsi="Arial" w:cs="Arial" w:hint="eastAsia"/>
                <w:kern w:val="0"/>
              </w:rPr>
              <w:t>)</w:t>
            </w:r>
            <w:r w:rsidRPr="00130B2C">
              <w:rPr>
                <w:rFonts w:ascii="Arial" w:eastAsia="標楷體" w:hAnsi="Arial" w:cs="Arial" w:hint="eastAsia"/>
                <w:kern w:val="0"/>
              </w:rPr>
              <w:t>」申報系統</w:t>
            </w:r>
            <w:r w:rsidRPr="00130B2C">
              <w:rPr>
                <w:rFonts w:ascii="Arial" w:eastAsia="標楷體" w:hAnsi="Arial" w:cs="Arial" w:hint="eastAsia"/>
                <w:kern w:val="0"/>
              </w:rPr>
              <w:t>http://siis.twse.com.tw/e_bond.htm</w:t>
            </w:r>
            <w:r w:rsidRPr="00DC427B">
              <w:rPr>
                <w:rFonts w:ascii="Arial" w:eastAsia="標楷體" w:hAnsi="Arial" w:cs="Arial" w:hint="eastAsia"/>
                <w:kern w:val="0"/>
                <w:u w:val="single"/>
              </w:rPr>
              <w:t>外幣計價國際債券及新台幣計價外國債券基本資料</w:t>
            </w:r>
            <w:r w:rsidRPr="00130B2C">
              <w:rPr>
                <w:rFonts w:ascii="Arial" w:eastAsia="標楷體" w:hAnsi="Arial" w:cs="Arial" w:hint="eastAsia"/>
                <w:kern w:val="0"/>
              </w:rPr>
              <w:t>：</w:t>
            </w:r>
            <w:r>
              <w:rPr>
                <w:rFonts w:ascii="Arial" w:eastAsia="標楷體" w:hAnsi="Arial" w:cs="Arial" w:hint="eastAsia"/>
                <w:kern w:val="0"/>
              </w:rPr>
              <w:t>修改流通在外餘額</w:t>
            </w:r>
            <w:r w:rsidR="006A0CD7">
              <w:rPr>
                <w:rFonts w:ascii="Arial" w:eastAsia="標楷體" w:hAnsi="Arial" w:cs="Arial" w:hint="eastAsia"/>
                <w:kern w:val="0"/>
              </w:rPr>
              <w:t>並</w:t>
            </w:r>
            <w:r>
              <w:rPr>
                <w:rFonts w:ascii="Arial" w:eastAsia="標楷體" w:hAnsi="Arial" w:cs="Arial" w:hint="eastAsia"/>
                <w:kern w:val="0"/>
              </w:rPr>
              <w:t>於備註</w:t>
            </w:r>
            <w:r w:rsidR="006A0CD7">
              <w:rPr>
                <w:rFonts w:ascii="Arial" w:eastAsia="標楷體" w:hAnsi="Arial" w:cs="Arial" w:hint="eastAsia"/>
                <w:kern w:val="0"/>
              </w:rPr>
              <w:t>欄位</w:t>
            </w:r>
            <w:r>
              <w:rPr>
                <w:rFonts w:ascii="Arial" w:eastAsia="標楷體" w:hAnsi="Arial" w:cs="Arial" w:hint="eastAsia"/>
                <w:kern w:val="0"/>
              </w:rPr>
              <w:t>說明於提前買</w:t>
            </w:r>
            <w:r>
              <w:rPr>
                <w:rFonts w:ascii="Arial" w:eastAsia="標楷體" w:hAnsi="Arial" w:cs="Arial" w:hint="eastAsia"/>
                <w:kern w:val="0"/>
              </w:rPr>
              <w:t>(</w:t>
            </w:r>
            <w:r>
              <w:rPr>
                <w:rFonts w:ascii="Arial" w:eastAsia="標楷體" w:hAnsi="Arial" w:cs="Arial" w:hint="eastAsia"/>
                <w:kern w:val="0"/>
              </w:rPr>
              <w:t>贖</w:t>
            </w:r>
            <w:r>
              <w:rPr>
                <w:rFonts w:ascii="Arial" w:eastAsia="標楷體" w:hAnsi="Arial" w:cs="Arial" w:hint="eastAsia"/>
                <w:kern w:val="0"/>
              </w:rPr>
              <w:t>)</w:t>
            </w:r>
            <w:r>
              <w:rPr>
                <w:rFonts w:ascii="Arial" w:eastAsia="標楷體" w:hAnsi="Arial" w:cs="Arial" w:hint="eastAsia"/>
                <w:kern w:val="0"/>
              </w:rPr>
              <w:t>回日執行</w:t>
            </w:r>
            <w:r w:rsidRPr="00130B2C">
              <w:rPr>
                <w:rFonts w:ascii="Arial" w:eastAsia="標楷體" w:hAnsi="Arial" w:cs="Arial" w:hint="eastAsia"/>
                <w:kern w:val="0"/>
              </w:rPr>
              <w:t>買</w:t>
            </w:r>
            <w:r w:rsidRPr="00130B2C">
              <w:rPr>
                <w:rFonts w:ascii="Arial" w:eastAsia="標楷體" w:hAnsi="Arial" w:cs="Arial" w:hint="eastAsia"/>
                <w:kern w:val="0"/>
              </w:rPr>
              <w:t>(</w:t>
            </w:r>
            <w:r w:rsidRPr="00130B2C">
              <w:rPr>
                <w:rFonts w:ascii="Arial" w:eastAsia="標楷體" w:hAnsi="Arial" w:cs="Arial" w:hint="eastAsia"/>
                <w:kern w:val="0"/>
              </w:rPr>
              <w:t>贖</w:t>
            </w:r>
            <w:r w:rsidRPr="00130B2C">
              <w:rPr>
                <w:rFonts w:ascii="Arial" w:eastAsia="標楷體" w:hAnsi="Arial" w:cs="Arial" w:hint="eastAsia"/>
                <w:kern w:val="0"/>
              </w:rPr>
              <w:t>)</w:t>
            </w:r>
            <w:r w:rsidRPr="00130B2C">
              <w:rPr>
                <w:rFonts w:ascii="Arial" w:eastAsia="標楷體" w:hAnsi="Arial" w:cs="Arial" w:hint="eastAsia"/>
                <w:kern w:val="0"/>
              </w:rPr>
              <w:t>回</w:t>
            </w:r>
            <w:r>
              <w:rPr>
                <w:rFonts w:ascii="新細明體" w:hAnsi="新細明體" w:cs="Arial" w:hint="eastAsia"/>
                <w:kern w:val="0"/>
              </w:rPr>
              <w:t>，</w:t>
            </w:r>
            <w:r w:rsidRPr="000F48FF">
              <w:rPr>
                <w:rFonts w:ascii="Arial" w:eastAsia="標楷體" w:hAnsi="Arial" w:cs="Arial" w:hint="eastAsia"/>
                <w:kern w:val="0"/>
              </w:rPr>
              <w:t>若全數買</w:t>
            </w:r>
            <w:r w:rsidRPr="000F48FF">
              <w:rPr>
                <w:rFonts w:ascii="Arial" w:eastAsia="標楷體" w:hAnsi="Arial" w:cs="Arial" w:hint="eastAsia"/>
                <w:kern w:val="0"/>
              </w:rPr>
              <w:t>(</w:t>
            </w:r>
            <w:r w:rsidRPr="000F48FF">
              <w:rPr>
                <w:rFonts w:ascii="Arial" w:eastAsia="標楷體" w:hAnsi="Arial" w:cs="Arial" w:hint="eastAsia"/>
                <w:kern w:val="0"/>
              </w:rPr>
              <w:t>贖</w:t>
            </w:r>
            <w:r w:rsidRPr="000F48FF">
              <w:rPr>
                <w:rFonts w:ascii="Arial" w:eastAsia="標楷體" w:hAnsi="Arial" w:cs="Arial" w:hint="eastAsia"/>
                <w:kern w:val="0"/>
              </w:rPr>
              <w:t>)</w:t>
            </w:r>
            <w:r w:rsidRPr="000F48FF">
              <w:rPr>
                <w:rFonts w:ascii="Arial" w:eastAsia="標楷體" w:hAnsi="Arial" w:cs="Arial" w:hint="eastAsia"/>
                <w:kern w:val="0"/>
              </w:rPr>
              <w:t>回者須同時</w:t>
            </w:r>
            <w:r>
              <w:rPr>
                <w:rFonts w:ascii="Arial" w:eastAsia="標楷體" w:hAnsi="Arial" w:cs="Arial" w:hint="eastAsia"/>
                <w:kern w:val="0"/>
              </w:rPr>
              <w:t>揭示</w:t>
            </w:r>
            <w:r w:rsidRPr="000F48FF">
              <w:rPr>
                <w:rFonts w:ascii="Arial" w:eastAsia="標楷體" w:hAnsi="Arial" w:cs="Arial" w:hint="eastAsia"/>
                <w:kern w:val="0"/>
              </w:rPr>
              <w:t>下櫃</w:t>
            </w:r>
            <w:r>
              <w:rPr>
                <w:rFonts w:ascii="Arial" w:eastAsia="標楷體" w:hAnsi="Arial" w:cs="Arial" w:hint="eastAsia"/>
                <w:kern w:val="0"/>
              </w:rPr>
              <w:t>日期</w:t>
            </w:r>
            <w:r w:rsidRPr="00130B2C">
              <w:rPr>
                <w:rFonts w:ascii="Arial" w:eastAsia="標楷體" w:hAnsi="Arial" w:cs="Arial" w:hint="eastAsia"/>
                <w:kern w:val="0"/>
              </w:rPr>
              <w:t>。</w:t>
            </w:r>
          </w:p>
          <w:p w:rsidR="005E1A99" w:rsidRDefault="005E1A99" w:rsidP="009C3C13">
            <w:pPr>
              <w:widowControl/>
              <w:ind w:leftChars="30" w:left="353" w:hangingChars="117" w:hanging="281"/>
              <w:rPr>
                <w:rFonts w:ascii="標楷體" w:eastAsia="標楷體" w:hAnsi="標楷體"/>
              </w:rPr>
            </w:pPr>
            <w:r>
              <w:rPr>
                <w:rFonts w:ascii="Arial" w:eastAsia="標楷體" w:hAnsi="Arial" w:cs="Arial" w:hint="eastAsia"/>
                <w:kern w:val="0"/>
              </w:rPr>
              <w:t>3.</w:t>
            </w:r>
            <w:r w:rsidRPr="00397F74">
              <w:rPr>
                <w:rFonts w:ascii="Arial" w:eastAsia="標楷體" w:hAnsi="Arial" w:cs="Arial"/>
                <w:kern w:val="0"/>
              </w:rPr>
              <w:t>完成前項公告時，以</w:t>
            </w:r>
            <w:r>
              <w:rPr>
                <w:rFonts w:ascii="Arial" w:eastAsia="標楷體" w:hAnsi="Arial" w:cs="Arial" w:hint="eastAsia"/>
                <w:kern w:val="0"/>
              </w:rPr>
              <w:t>E</w:t>
            </w:r>
            <w:r>
              <w:rPr>
                <w:rFonts w:ascii="Arial" w:eastAsia="標楷體" w:hAnsi="Arial" w:cs="Arial"/>
                <w:kern w:val="0"/>
              </w:rPr>
              <w:t>mail</w:t>
            </w:r>
            <w:r w:rsidRPr="00397F74">
              <w:rPr>
                <w:rFonts w:ascii="Arial" w:eastAsia="標楷體" w:hAnsi="Arial" w:cs="Arial"/>
                <w:kern w:val="0"/>
              </w:rPr>
              <w:t>通知本中心。</w:t>
            </w:r>
          </w:p>
        </w:tc>
        <w:tc>
          <w:tcPr>
            <w:tcW w:w="711" w:type="pct"/>
          </w:tcPr>
          <w:p w:rsidR="005E1A99" w:rsidRDefault="005E1A99" w:rsidP="00347DC9">
            <w:pPr>
              <w:widowControl/>
              <w:rPr>
                <w:rFonts w:ascii="標楷體" w:eastAsia="標楷體" w:hAnsi="標楷體"/>
              </w:rPr>
            </w:pPr>
            <w:r w:rsidRPr="005E1A99">
              <w:rPr>
                <w:rFonts w:ascii="標楷體" w:eastAsia="標楷體" w:hAnsi="標楷體" w:hint="eastAsia"/>
              </w:rPr>
              <w:lastRenderedPageBreak/>
              <w:t>本中心外幣計價國際債券管理規則第36條</w:t>
            </w:r>
          </w:p>
        </w:tc>
      </w:tr>
    </w:tbl>
    <w:p w:rsidR="001A1B7A" w:rsidRDefault="001A1B7A" w:rsidP="001A1B7A"/>
    <w:p w:rsidR="001F5D38" w:rsidRDefault="001F5D38"/>
    <w:p w:rsidR="001A1B7A" w:rsidRDefault="001A1B7A"/>
    <w:p w:rsidR="00B84E31" w:rsidRDefault="00B84E31" w:rsidP="00B84E31">
      <w:pPr>
        <w:jc w:val="center"/>
        <w:rPr>
          <w:rFonts w:eastAsia="標楷體"/>
          <w:b/>
          <w:bCs/>
          <w:sz w:val="32"/>
          <w:bdr w:val="single" w:sz="4" w:space="0" w:color="auto"/>
        </w:rPr>
      </w:pPr>
      <w:r>
        <w:rPr>
          <w:rFonts w:eastAsia="標楷體" w:hint="eastAsia"/>
          <w:b/>
          <w:bCs/>
          <w:sz w:val="32"/>
          <w:bdr w:val="single" w:sz="4" w:space="0" w:color="auto"/>
        </w:rPr>
        <w:t>新台幣計價外國債券上櫃公司應向本中心辦理事項一覽表</w:t>
      </w:r>
      <w:r>
        <w:rPr>
          <w:rFonts w:eastAsia="標楷體" w:hint="eastAsia"/>
          <w:b/>
          <w:bCs/>
          <w:sz w:val="32"/>
          <w:bdr w:val="single" w:sz="4" w:space="0" w:color="auto"/>
        </w:rPr>
        <w:t>(</w:t>
      </w:r>
      <w:r w:rsidRPr="00CC4B98">
        <w:rPr>
          <w:rFonts w:eastAsia="標楷體" w:hint="eastAsia"/>
          <w:b/>
          <w:bCs/>
          <w:sz w:val="32"/>
          <w:bdr w:val="single" w:sz="4" w:space="0" w:color="auto"/>
        </w:rPr>
        <w:t>股票或存託憑證未於我國掛牌交易之外國發行人</w:t>
      </w:r>
      <w:r>
        <w:rPr>
          <w:rFonts w:eastAsia="標楷體" w:hint="eastAsia"/>
          <w:b/>
          <w:bCs/>
          <w:sz w:val="32"/>
          <w:bdr w:val="single" w:sz="4" w:space="0" w:color="auto"/>
        </w:rPr>
        <w:t>適用</w:t>
      </w:r>
      <w:r>
        <w:rPr>
          <w:rFonts w:eastAsia="標楷體" w:hint="eastAsia"/>
          <w:b/>
          <w:bCs/>
          <w:sz w:val="32"/>
          <w:bdr w:val="single" w:sz="4" w:space="0" w:color="auto"/>
        </w:rPr>
        <w:t>)</w:t>
      </w:r>
    </w:p>
    <w:p w:rsidR="001A1B7A" w:rsidRDefault="001A1B7A"/>
    <w:p w:rsidR="00B84E31" w:rsidRDefault="00B84E31" w:rsidP="00B84E31">
      <w:pPr>
        <w:ind w:left="425" w:hangingChars="177" w:hanging="425"/>
        <w:rPr>
          <w:rFonts w:ascii="標楷體" w:eastAsia="標楷體" w:hAnsi="標楷體"/>
          <w:color w:val="000000"/>
        </w:rPr>
      </w:pPr>
      <w:r>
        <w:rPr>
          <w:rFonts w:ascii="新細明體" w:hAnsi="新細明體" w:hint="eastAsia"/>
          <w:color w:val="000000"/>
        </w:rPr>
        <w:t xml:space="preserve">■ </w:t>
      </w:r>
      <w:r w:rsidRPr="006431F6">
        <w:rPr>
          <w:rFonts w:ascii="標楷體" w:eastAsia="標楷體" w:hAnsi="標楷體" w:hint="eastAsia"/>
          <w:color w:val="000000"/>
        </w:rPr>
        <w:t>股票或存託憑證未於我國掛牌交易之外國發行人辦理資訊申報作業係依據</w:t>
      </w:r>
      <w:r w:rsidR="00870B6C">
        <w:rPr>
          <w:rFonts w:ascii="標楷體" w:eastAsia="標楷體" w:hAnsi="標楷體" w:hint="eastAsia"/>
          <w:color w:val="000000"/>
        </w:rPr>
        <w:t>本</w:t>
      </w:r>
      <w:r w:rsidR="00870B6C" w:rsidRPr="00870B6C">
        <w:rPr>
          <w:rFonts w:ascii="標楷體" w:eastAsia="標楷體" w:hAnsi="標楷體" w:hint="eastAsia"/>
          <w:color w:val="000000"/>
        </w:rPr>
        <w:t>中心</w:t>
      </w:r>
      <w:r w:rsidR="00870B6C">
        <w:rPr>
          <w:rFonts w:ascii="標楷體" w:eastAsia="標楷體" w:hAnsi="標楷體" w:hint="eastAsia"/>
          <w:color w:val="000000"/>
        </w:rPr>
        <w:t>「</w:t>
      </w:r>
      <w:r w:rsidR="00870B6C" w:rsidRPr="00870B6C">
        <w:rPr>
          <w:rFonts w:ascii="標楷體" w:eastAsia="標楷體" w:hAnsi="標楷體" w:hint="eastAsia"/>
          <w:color w:val="000000"/>
        </w:rPr>
        <w:t>對有價證券上櫃公司資訊申報作業辦法</w:t>
      </w:r>
      <w:r w:rsidR="00870B6C">
        <w:rPr>
          <w:rFonts w:ascii="標楷體" w:eastAsia="標楷體" w:hAnsi="標楷體" w:hint="eastAsia"/>
          <w:color w:val="000000"/>
        </w:rPr>
        <w:t>」第3-4條規定，而準用「外幣計價國際債券管理規則」</w:t>
      </w:r>
      <w:r w:rsidRPr="006431F6">
        <w:rPr>
          <w:rFonts w:ascii="標楷體" w:eastAsia="標楷體" w:hAnsi="標楷體" w:hint="eastAsia"/>
          <w:color w:val="000000"/>
        </w:rPr>
        <w:t>第35條至第40條</w:t>
      </w:r>
      <w:r w:rsidR="00870B6C">
        <w:rPr>
          <w:rFonts w:ascii="標楷體" w:eastAsia="標楷體" w:hAnsi="標楷體" w:hint="eastAsia"/>
          <w:color w:val="000000"/>
        </w:rPr>
        <w:t>之</w:t>
      </w:r>
      <w:r w:rsidRPr="006431F6">
        <w:rPr>
          <w:rFonts w:ascii="標楷體" w:eastAsia="標楷體" w:hAnsi="標楷體" w:hint="eastAsia"/>
          <w:color w:val="000000"/>
        </w:rPr>
        <w:t>規定</w:t>
      </w:r>
      <w:r w:rsidR="00870B6C">
        <w:rPr>
          <w:rFonts w:ascii="標楷體" w:eastAsia="標楷體" w:hAnsi="標楷體" w:hint="eastAsia"/>
          <w:color w:val="000000"/>
        </w:rPr>
        <w:t>辦理</w:t>
      </w:r>
      <w:r w:rsidRPr="006431F6">
        <w:rPr>
          <w:rFonts w:ascii="標楷體" w:eastAsia="標楷體" w:hAnsi="標楷體" w:hint="eastAsia"/>
          <w:color w:val="000000"/>
        </w:rPr>
        <w:t>，可參考此一覽表</w:t>
      </w:r>
      <w:r>
        <w:rPr>
          <w:rFonts w:ascii="標楷體" w:eastAsia="標楷體" w:hAnsi="標楷體"/>
          <w:color w:val="000000"/>
        </w:rPr>
        <w:t>，</w:t>
      </w:r>
      <w:r>
        <w:rPr>
          <w:rFonts w:ascii="標楷體" w:eastAsia="標楷體" w:hAnsi="標楷體" w:hint="eastAsia"/>
          <w:color w:val="000000"/>
        </w:rPr>
        <w:t>發行人並得委託於中華民國境內之</w:t>
      </w:r>
      <w:r>
        <w:rPr>
          <w:rFonts w:ascii="標楷體" w:eastAsia="標楷體" w:hAnsi="標楷體"/>
          <w:color w:val="000000"/>
        </w:rPr>
        <w:t>代理機構辦理。</w:t>
      </w:r>
    </w:p>
    <w:p w:rsidR="00B84E31" w:rsidRDefault="00B84E31" w:rsidP="00B84E31">
      <w:pPr>
        <w:ind w:left="425" w:hangingChars="177" w:hanging="425"/>
        <w:rPr>
          <w:rFonts w:ascii="新細明體" w:hAnsi="新細明體"/>
          <w:color w:val="000000"/>
        </w:rPr>
      </w:pPr>
      <w:r>
        <w:rPr>
          <w:rFonts w:ascii="新細明體" w:hAnsi="新細明體" w:hint="eastAsia"/>
          <w:color w:val="000000"/>
        </w:rPr>
        <w:t xml:space="preserve">■ </w:t>
      </w:r>
      <w:r w:rsidRPr="006431F6">
        <w:rPr>
          <w:rFonts w:ascii="標楷體" w:eastAsia="標楷體" w:hAnsi="標楷體" w:hint="eastAsia"/>
          <w:color w:val="000000"/>
        </w:rPr>
        <w:t>第一、二上市(櫃)公司之外國發行人辦理資訊申報作業</w:t>
      </w:r>
      <w:r w:rsidR="004A5B9D" w:rsidRPr="006431F6">
        <w:rPr>
          <w:rFonts w:ascii="標楷體" w:eastAsia="標楷體" w:hAnsi="標楷體" w:hint="eastAsia"/>
          <w:color w:val="000000"/>
        </w:rPr>
        <w:t>係依據</w:t>
      </w:r>
      <w:r w:rsidR="004A5B9D">
        <w:rPr>
          <w:rFonts w:ascii="標楷體" w:eastAsia="標楷體" w:hAnsi="標楷體" w:hint="eastAsia"/>
          <w:color w:val="000000"/>
        </w:rPr>
        <w:t>本</w:t>
      </w:r>
      <w:r w:rsidR="004A5B9D" w:rsidRPr="00870B6C">
        <w:rPr>
          <w:rFonts w:ascii="標楷體" w:eastAsia="標楷體" w:hAnsi="標楷體" w:hint="eastAsia"/>
          <w:color w:val="000000"/>
        </w:rPr>
        <w:t>中心</w:t>
      </w:r>
      <w:r w:rsidR="004A5B9D">
        <w:rPr>
          <w:rFonts w:ascii="標楷體" w:eastAsia="標楷體" w:hAnsi="標楷體" w:hint="eastAsia"/>
          <w:color w:val="000000"/>
        </w:rPr>
        <w:t>「</w:t>
      </w:r>
      <w:r w:rsidR="004A5B9D" w:rsidRPr="00870B6C">
        <w:rPr>
          <w:rFonts w:ascii="標楷體" w:eastAsia="標楷體" w:hAnsi="標楷體" w:hint="eastAsia"/>
          <w:color w:val="000000"/>
        </w:rPr>
        <w:t>對有價證券上櫃公司資訊申報作業辦法</w:t>
      </w:r>
      <w:r w:rsidR="004A5B9D">
        <w:rPr>
          <w:rFonts w:ascii="標楷體" w:eastAsia="標楷體" w:hAnsi="標楷體" w:hint="eastAsia"/>
          <w:color w:val="000000"/>
        </w:rPr>
        <w:t>」第3-4條規定，而準用</w:t>
      </w:r>
      <w:r w:rsidR="009A6953">
        <w:rPr>
          <w:rFonts w:ascii="標楷體" w:eastAsia="標楷體" w:hAnsi="標楷體" w:hint="eastAsia"/>
          <w:color w:val="000000"/>
        </w:rPr>
        <w:t>第3-1條</w:t>
      </w:r>
      <w:r w:rsidR="004A5B9D">
        <w:rPr>
          <w:rFonts w:ascii="標楷體" w:eastAsia="標楷體" w:hAnsi="標楷體" w:hint="eastAsia"/>
          <w:color w:val="000000"/>
        </w:rPr>
        <w:t>之</w:t>
      </w:r>
      <w:r w:rsidR="009A6953">
        <w:rPr>
          <w:rFonts w:ascii="標楷體" w:eastAsia="標楷體" w:hAnsi="標楷體" w:hint="eastAsia"/>
          <w:color w:val="000000"/>
        </w:rPr>
        <w:t>規定</w:t>
      </w:r>
      <w:r w:rsidR="004A5B9D">
        <w:rPr>
          <w:rFonts w:ascii="標楷體" w:eastAsia="標楷體" w:hAnsi="標楷體" w:hint="eastAsia"/>
          <w:color w:val="000000"/>
        </w:rPr>
        <w:t>辦理</w:t>
      </w:r>
      <w:r w:rsidRPr="006431F6">
        <w:rPr>
          <w:rFonts w:ascii="標楷體" w:eastAsia="標楷體" w:hAnsi="標楷體" w:hint="eastAsia"/>
          <w:color w:val="000000"/>
        </w:rPr>
        <w:t>，故請另行參考本中心上櫃債券之「普通公司債/金融債/轉交換附認股權公司債債券發行人應辦事項一覽表」。</w:t>
      </w:r>
    </w:p>
    <w:p w:rsidR="00B84E31" w:rsidRPr="00B84E31" w:rsidRDefault="00B84E31"/>
    <w:p w:rsidR="001F5D38" w:rsidRDefault="001F5D38">
      <w:pPr>
        <w:ind w:leftChars="100" w:left="240"/>
        <w:rPr>
          <w:b/>
          <w:bCs/>
        </w:rPr>
      </w:pPr>
      <w:r>
        <w:rPr>
          <w:rFonts w:eastAsia="標楷體" w:hint="eastAsia"/>
          <w:b/>
          <w:bCs/>
        </w:rPr>
        <w:t>一、定期辦理事項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119"/>
        <w:gridCol w:w="1741"/>
        <w:gridCol w:w="4372"/>
        <w:gridCol w:w="1530"/>
      </w:tblGrid>
      <w:tr w:rsidR="001F5D38">
        <w:trPr>
          <w:trHeight w:val="360"/>
        </w:trPr>
        <w:tc>
          <w:tcPr>
            <w:tcW w:w="1449" w:type="pct"/>
            <w:shd w:val="clear" w:color="auto" w:fill="FFCC99"/>
          </w:tcPr>
          <w:p w:rsidR="001F5D38" w:rsidRDefault="001F5D38">
            <w:pPr>
              <w:jc w:val="center"/>
              <w:rPr>
                <w:rFonts w:ascii="標楷體" w:eastAsia="標楷體" w:hAnsi="標楷體"/>
                <w:b/>
                <w:bCs/>
              </w:rPr>
            </w:pPr>
            <w:r>
              <w:rPr>
                <w:rFonts w:ascii="標楷體" w:eastAsia="標楷體" w:hAnsi="標楷體" w:hint="eastAsia"/>
                <w:b/>
                <w:bCs/>
              </w:rPr>
              <w:t>有關事項</w:t>
            </w:r>
          </w:p>
        </w:tc>
        <w:tc>
          <w:tcPr>
            <w:tcW w:w="809" w:type="pct"/>
            <w:shd w:val="clear" w:color="auto" w:fill="FFCC99"/>
          </w:tcPr>
          <w:p w:rsidR="001F5D38" w:rsidRDefault="001F5D38">
            <w:pPr>
              <w:jc w:val="center"/>
              <w:rPr>
                <w:rFonts w:ascii="標楷體" w:eastAsia="標楷體" w:hAnsi="標楷體"/>
                <w:b/>
                <w:bCs/>
              </w:rPr>
            </w:pPr>
            <w:r>
              <w:rPr>
                <w:rFonts w:ascii="標楷體" w:eastAsia="標楷體" w:hAnsi="標楷體" w:hint="eastAsia"/>
                <w:b/>
                <w:bCs/>
              </w:rPr>
              <w:t>申報時間</w:t>
            </w:r>
          </w:p>
        </w:tc>
        <w:tc>
          <w:tcPr>
            <w:tcW w:w="2031" w:type="pct"/>
            <w:shd w:val="clear" w:color="auto" w:fill="FFCC99"/>
          </w:tcPr>
          <w:p w:rsidR="001F5D38" w:rsidRDefault="001F5D38">
            <w:pPr>
              <w:jc w:val="center"/>
              <w:rPr>
                <w:rFonts w:ascii="標楷體" w:eastAsia="標楷體" w:hAnsi="標楷體"/>
                <w:b/>
                <w:bCs/>
              </w:rPr>
            </w:pPr>
            <w:r>
              <w:rPr>
                <w:rFonts w:ascii="標楷體" w:eastAsia="標楷體" w:hAnsi="標楷體" w:hint="eastAsia"/>
                <w:b/>
                <w:bCs/>
              </w:rPr>
              <w:t>應辦方式或輸入網址</w:t>
            </w:r>
          </w:p>
        </w:tc>
        <w:tc>
          <w:tcPr>
            <w:tcW w:w="711" w:type="pct"/>
            <w:shd w:val="clear" w:color="auto" w:fill="FFCC99"/>
          </w:tcPr>
          <w:p w:rsidR="001F5D38" w:rsidRDefault="001F5D38">
            <w:pPr>
              <w:jc w:val="center"/>
              <w:rPr>
                <w:rFonts w:ascii="標楷體" w:eastAsia="標楷體" w:hAnsi="標楷體"/>
                <w:b/>
                <w:bCs/>
              </w:rPr>
            </w:pPr>
            <w:r>
              <w:rPr>
                <w:rFonts w:ascii="標楷體" w:eastAsia="標楷體" w:hAnsi="標楷體" w:hint="eastAsia"/>
                <w:b/>
                <w:bCs/>
              </w:rPr>
              <w:t>法令依據</w:t>
            </w:r>
          </w:p>
        </w:tc>
      </w:tr>
      <w:tr w:rsidR="001F5D38">
        <w:trPr>
          <w:trHeight w:val="705"/>
        </w:trPr>
        <w:tc>
          <w:tcPr>
            <w:tcW w:w="1449" w:type="pct"/>
          </w:tcPr>
          <w:p w:rsidR="001F5D38" w:rsidRDefault="001F5D38">
            <w:pPr>
              <w:ind w:left="720" w:hangingChars="300" w:hanging="720"/>
              <w:rPr>
                <w:rFonts w:ascii="標楷體" w:eastAsia="標楷體" w:hAnsi="標楷體"/>
              </w:rPr>
            </w:pPr>
            <w:r>
              <w:rPr>
                <w:rFonts w:ascii="標楷體" w:eastAsia="標楷體" w:hAnsi="標楷體" w:hint="eastAsia"/>
              </w:rPr>
              <w:t>（一）繳納外國債券櫃檯買賣費用</w:t>
            </w:r>
          </w:p>
        </w:tc>
        <w:tc>
          <w:tcPr>
            <w:tcW w:w="809" w:type="pct"/>
          </w:tcPr>
          <w:p w:rsidR="001F5D38" w:rsidRDefault="001F5D38">
            <w:pPr>
              <w:pStyle w:val="11"/>
              <w:widowControl/>
              <w:snapToGrid/>
              <w:spacing w:line="240" w:lineRule="auto"/>
              <w:rPr>
                <w:rFonts w:ascii="標楷體" w:hAnsi="標楷體"/>
              </w:rPr>
            </w:pPr>
            <w:r>
              <w:rPr>
                <w:rFonts w:ascii="標楷體" w:hAnsi="標楷體" w:hint="eastAsia"/>
              </w:rPr>
              <w:t>初次上櫃前及其後每年一月</w:t>
            </w:r>
          </w:p>
        </w:tc>
        <w:tc>
          <w:tcPr>
            <w:tcW w:w="2031" w:type="pct"/>
          </w:tcPr>
          <w:p w:rsidR="001F5D38" w:rsidRDefault="001F5D38">
            <w:pPr>
              <w:widowControl/>
              <w:rPr>
                <w:rFonts w:ascii="標楷體" w:eastAsia="標楷體" w:hAnsi="標楷體"/>
              </w:rPr>
            </w:pPr>
            <w:r>
              <w:rPr>
                <w:rFonts w:ascii="標楷體" w:eastAsia="標楷體" w:hAnsi="標楷體" w:hint="eastAsia"/>
              </w:rPr>
              <w:t>逕洽本中心管理部出納繳付</w:t>
            </w:r>
          </w:p>
          <w:p w:rsidR="001F5D38" w:rsidRDefault="001F5D38">
            <w:pPr>
              <w:rPr>
                <w:rFonts w:ascii="標楷體" w:eastAsia="標楷體" w:hAnsi="標楷體"/>
              </w:rPr>
            </w:pPr>
          </w:p>
        </w:tc>
        <w:tc>
          <w:tcPr>
            <w:tcW w:w="711" w:type="pct"/>
          </w:tcPr>
          <w:p w:rsidR="001F5D38" w:rsidRDefault="001F5D38">
            <w:pPr>
              <w:jc w:val="both"/>
              <w:rPr>
                <w:rFonts w:ascii="標楷體" w:eastAsia="標楷體" w:hAnsi="標楷體"/>
              </w:rPr>
            </w:pPr>
            <w:r>
              <w:rPr>
                <w:rFonts w:ascii="標楷體" w:eastAsia="標楷體" w:hAnsi="標楷體" w:hint="eastAsia"/>
              </w:rPr>
              <w:t>本</w:t>
            </w:r>
            <w:r>
              <w:rPr>
                <w:rFonts w:ascii="標楷體" w:eastAsia="標楷體" w:hAnsi="標楷體"/>
              </w:rPr>
              <w:t>中心有價證券上櫃費費率標準</w:t>
            </w:r>
          </w:p>
        </w:tc>
      </w:tr>
      <w:tr w:rsidR="001F5D38">
        <w:trPr>
          <w:trHeight w:val="690"/>
        </w:trPr>
        <w:tc>
          <w:tcPr>
            <w:tcW w:w="1449" w:type="pct"/>
          </w:tcPr>
          <w:p w:rsidR="001F5D38" w:rsidRDefault="001F5D38">
            <w:pPr>
              <w:ind w:left="720" w:hangingChars="300" w:hanging="720"/>
              <w:rPr>
                <w:rFonts w:ascii="標楷體" w:eastAsia="標楷體" w:hAnsi="標楷體"/>
              </w:rPr>
            </w:pPr>
            <w:r>
              <w:rPr>
                <w:rFonts w:ascii="標楷體" w:eastAsia="標楷體" w:hAnsi="標楷體" w:hint="eastAsia"/>
              </w:rPr>
              <w:t>（二）申報外國債券發行人及債券發行資料</w:t>
            </w:r>
          </w:p>
        </w:tc>
        <w:tc>
          <w:tcPr>
            <w:tcW w:w="809" w:type="pct"/>
          </w:tcPr>
          <w:p w:rsidR="001F5D38" w:rsidRDefault="001F5D38">
            <w:pPr>
              <w:widowControl/>
              <w:rPr>
                <w:rFonts w:ascii="標楷體" w:eastAsia="標楷體" w:hAnsi="標楷體"/>
              </w:rPr>
            </w:pPr>
            <w:r>
              <w:rPr>
                <w:rFonts w:ascii="標楷體" w:eastAsia="標楷體" w:hAnsi="標楷體" w:hint="eastAsia"/>
              </w:rPr>
              <w:t>櫃檯買賣開始日前，及發行期間每月結束後十日內</w:t>
            </w:r>
          </w:p>
          <w:p w:rsidR="001F5D38" w:rsidRDefault="001F5D38">
            <w:pPr>
              <w:pStyle w:val="11"/>
              <w:snapToGrid/>
              <w:spacing w:line="240" w:lineRule="auto"/>
              <w:rPr>
                <w:rFonts w:ascii="標楷體" w:hAnsi="標楷體"/>
              </w:rPr>
            </w:pPr>
          </w:p>
        </w:tc>
        <w:tc>
          <w:tcPr>
            <w:tcW w:w="2031" w:type="pct"/>
          </w:tcPr>
          <w:p w:rsidR="00F32C5A" w:rsidRDefault="00F32C5A" w:rsidP="00F32C5A">
            <w:pPr>
              <w:widowControl/>
              <w:rPr>
                <w:rFonts w:ascii="標楷體" w:eastAsia="標楷體" w:hAnsi="標楷體"/>
              </w:rPr>
            </w:pPr>
            <w:r>
              <w:rPr>
                <w:rFonts w:ascii="標楷體" w:eastAsia="標楷體" w:hAnsi="標楷體" w:hint="eastAsia"/>
              </w:rPr>
              <w:t>請至「公開資訊觀測站」－「</w:t>
            </w:r>
            <w:r w:rsidRPr="00617E09">
              <w:rPr>
                <w:rFonts w:ascii="標楷體" w:eastAsia="標楷體" w:hAnsi="標楷體" w:hint="eastAsia"/>
              </w:rPr>
              <w:t>外國發行公司債券申報系統(在我國未公開發行股權商品者適用)</w:t>
            </w:r>
            <w:r>
              <w:rPr>
                <w:rFonts w:ascii="標楷體" w:eastAsia="標楷體" w:hAnsi="標楷體" w:hint="eastAsia"/>
              </w:rPr>
              <w:t>」申報系統</w:t>
            </w:r>
          </w:p>
          <w:p w:rsidR="00F32C5A" w:rsidRDefault="00F32C5A" w:rsidP="00F32C5A">
            <w:pPr>
              <w:widowControl/>
              <w:rPr>
                <w:rFonts w:ascii="標楷體" w:eastAsia="標楷體" w:hAnsi="標楷體"/>
                <w:color w:val="000000"/>
                <w:kern w:val="0"/>
              </w:rPr>
            </w:pPr>
            <w:r w:rsidRPr="00617E09">
              <w:rPr>
                <w:rFonts w:ascii="標楷體" w:eastAsia="標楷體" w:hAnsi="標楷體"/>
                <w:color w:val="000000"/>
                <w:kern w:val="0"/>
              </w:rPr>
              <w:t>http://siis.twse.com.tw/e_bond.htm</w:t>
            </w:r>
          </w:p>
          <w:p w:rsidR="00F32C5A" w:rsidRDefault="00F32C5A" w:rsidP="00F32C5A">
            <w:pPr>
              <w:widowControl/>
              <w:rPr>
                <w:rFonts w:ascii="標楷體" w:eastAsia="標楷體" w:hAnsi="標楷體"/>
              </w:rPr>
            </w:pPr>
            <w:r w:rsidRPr="00617E09">
              <w:rPr>
                <w:rFonts w:ascii="標楷體" w:eastAsia="標楷體" w:hAnsi="標楷體" w:hint="eastAsia"/>
                <w:u w:val="single"/>
              </w:rPr>
              <w:t>外幣計價國際債券及新台幣計價外國債券發行公司基本資料申報系統</w:t>
            </w:r>
            <w:r>
              <w:rPr>
                <w:rFonts w:ascii="標楷體" w:eastAsia="標楷體" w:hAnsi="標楷體" w:hint="eastAsia"/>
              </w:rPr>
              <w:t>、</w:t>
            </w:r>
            <w:r w:rsidRPr="00617E09">
              <w:rPr>
                <w:rFonts w:ascii="標楷體" w:eastAsia="標楷體" w:hAnsi="標楷體" w:hint="eastAsia"/>
                <w:u w:val="single"/>
              </w:rPr>
              <w:t>外幣計價國際債券及新台幣計價外國債券資料申報作業系統</w:t>
            </w:r>
            <w:r>
              <w:rPr>
                <w:rFonts w:ascii="標楷體" w:eastAsia="標楷體" w:hAnsi="標楷體" w:hint="eastAsia"/>
              </w:rPr>
              <w:t>：依規定格式申報發行人及發行資料</w:t>
            </w:r>
          </w:p>
          <w:p w:rsidR="00F32C5A" w:rsidRDefault="00F32C5A" w:rsidP="00F32C5A">
            <w:pPr>
              <w:widowControl/>
              <w:rPr>
                <w:rFonts w:ascii="標楷體" w:eastAsia="標楷體" w:hAnsi="標楷體"/>
              </w:rPr>
            </w:pPr>
          </w:p>
          <w:p w:rsidR="00F32C5A" w:rsidRDefault="00F32C5A" w:rsidP="00F32C5A">
            <w:pPr>
              <w:widowControl/>
              <w:rPr>
                <w:rFonts w:ascii="標楷體" w:eastAsia="標楷體" w:hAnsi="標楷體"/>
              </w:rPr>
            </w:pPr>
            <w:r>
              <w:rPr>
                <w:rFonts w:ascii="標楷體" w:eastAsia="標楷體" w:hAnsi="標楷體" w:hint="eastAsia"/>
              </w:rPr>
              <w:lastRenderedPageBreak/>
              <w:t>轉換公司債/海外轉換公司債另申報：</w:t>
            </w:r>
          </w:p>
          <w:p w:rsidR="001F5D38" w:rsidRDefault="00F32C5A" w:rsidP="00F32C5A">
            <w:pPr>
              <w:widowControl/>
              <w:rPr>
                <w:rFonts w:ascii="標楷體" w:eastAsia="標楷體" w:hAnsi="標楷體"/>
              </w:rPr>
            </w:pPr>
            <w:r>
              <w:rPr>
                <w:rFonts w:ascii="標楷體" w:eastAsia="標楷體" w:hAnsi="標楷體" w:hint="eastAsia"/>
              </w:rPr>
              <w:t>「公開資訊觀測站」：國內海外有價證券轉換/交換情形申報作業</w:t>
            </w:r>
          </w:p>
        </w:tc>
        <w:tc>
          <w:tcPr>
            <w:tcW w:w="711" w:type="pct"/>
          </w:tcPr>
          <w:p w:rsidR="001F5D38" w:rsidRDefault="001F5D38">
            <w:pPr>
              <w:widowControl/>
              <w:jc w:val="both"/>
              <w:rPr>
                <w:rFonts w:ascii="標楷體" w:eastAsia="標楷體" w:hAnsi="標楷體"/>
              </w:rPr>
            </w:pPr>
            <w:r>
              <w:rPr>
                <w:rFonts w:ascii="標楷體" w:eastAsia="標楷體" w:hAnsi="標楷體" w:hint="eastAsia"/>
              </w:rPr>
              <w:lastRenderedPageBreak/>
              <w:t>準用本中心外幣計價國際債券管理規則</w:t>
            </w:r>
          </w:p>
          <w:p w:rsidR="001F5D38" w:rsidRDefault="001F5D38">
            <w:pPr>
              <w:widowControl/>
              <w:jc w:val="both"/>
              <w:rPr>
                <w:rFonts w:ascii="標楷體" w:eastAsia="標楷體" w:hAnsi="標楷體"/>
              </w:rPr>
            </w:pPr>
            <w:r>
              <w:rPr>
                <w:rFonts w:ascii="標楷體" w:eastAsia="標楷體" w:hAnsi="標楷體" w:hint="eastAsia"/>
              </w:rPr>
              <w:t>第10條</w:t>
            </w:r>
            <w:r w:rsidR="00036799">
              <w:rPr>
                <w:rFonts w:ascii="標楷體" w:eastAsia="標楷體" w:hAnsi="標楷體" w:hint="eastAsia"/>
              </w:rPr>
              <w:t>、第35條</w:t>
            </w:r>
          </w:p>
          <w:p w:rsidR="001F5D38" w:rsidRDefault="001F5D38">
            <w:pPr>
              <w:widowControl/>
              <w:jc w:val="both"/>
              <w:rPr>
                <w:rFonts w:ascii="標楷體" w:eastAsia="標楷體" w:hAnsi="標楷體"/>
              </w:rPr>
            </w:pPr>
          </w:p>
          <w:p w:rsidR="001F5D38" w:rsidRDefault="001F5D38">
            <w:pPr>
              <w:widowControl/>
              <w:jc w:val="both"/>
              <w:rPr>
                <w:rFonts w:ascii="標楷體" w:eastAsia="標楷體" w:hAnsi="標楷體"/>
              </w:rPr>
            </w:pPr>
          </w:p>
          <w:p w:rsidR="001F5D38" w:rsidRDefault="001F5D38">
            <w:pPr>
              <w:widowControl/>
              <w:jc w:val="both"/>
              <w:rPr>
                <w:rFonts w:ascii="標楷體" w:eastAsia="標楷體" w:hAnsi="標楷體"/>
              </w:rPr>
            </w:pPr>
          </w:p>
          <w:p w:rsidR="001F5D38" w:rsidRDefault="001F5D38">
            <w:pPr>
              <w:widowControl/>
              <w:jc w:val="both"/>
              <w:rPr>
                <w:rFonts w:ascii="標楷體" w:eastAsia="標楷體" w:hAnsi="標楷體"/>
              </w:rPr>
            </w:pPr>
          </w:p>
          <w:p w:rsidR="001F5D38" w:rsidRDefault="001F5D38">
            <w:pPr>
              <w:jc w:val="both"/>
              <w:rPr>
                <w:rFonts w:ascii="標楷體" w:eastAsia="標楷體" w:hAnsi="標楷體"/>
              </w:rPr>
            </w:pPr>
          </w:p>
        </w:tc>
      </w:tr>
      <w:tr w:rsidR="001F5D38">
        <w:trPr>
          <w:trHeight w:val="690"/>
        </w:trPr>
        <w:tc>
          <w:tcPr>
            <w:tcW w:w="1449" w:type="pct"/>
          </w:tcPr>
          <w:p w:rsidR="001F5D38" w:rsidRDefault="001F5D38">
            <w:pPr>
              <w:rPr>
                <w:rFonts w:ascii="標楷體" w:eastAsia="標楷體" w:hAnsi="標楷體"/>
              </w:rPr>
            </w:pPr>
            <w:r>
              <w:rPr>
                <w:rFonts w:ascii="標楷體" w:eastAsia="標楷體" w:hAnsi="標楷體" w:hint="eastAsia"/>
              </w:rPr>
              <w:t>（三）申報年報</w:t>
            </w:r>
          </w:p>
          <w:p w:rsidR="001F5D38" w:rsidRDefault="001F5D38">
            <w:pPr>
              <w:rPr>
                <w:rFonts w:ascii="標楷體" w:eastAsia="標楷體" w:hAnsi="標楷體"/>
              </w:rPr>
            </w:pPr>
          </w:p>
        </w:tc>
        <w:tc>
          <w:tcPr>
            <w:tcW w:w="809" w:type="pct"/>
          </w:tcPr>
          <w:p w:rsidR="001F5D38" w:rsidRDefault="00036799">
            <w:pPr>
              <w:widowControl/>
              <w:rPr>
                <w:rFonts w:ascii="標楷體" w:eastAsia="標楷體" w:hAnsi="標楷體"/>
              </w:rPr>
            </w:pPr>
            <w:r>
              <w:rPr>
                <w:rFonts w:ascii="標楷體" w:eastAsia="標楷體" w:hAnsi="標楷體" w:hint="eastAsia"/>
              </w:rPr>
              <w:t>年報完成日或刊印日後</w:t>
            </w:r>
            <w:r w:rsidR="001F5D38">
              <w:rPr>
                <w:rFonts w:ascii="標楷體" w:eastAsia="標楷體" w:hAnsi="標楷體" w:hint="eastAsia"/>
              </w:rPr>
              <w:t>二十日內</w:t>
            </w:r>
          </w:p>
          <w:p w:rsidR="001F5D38" w:rsidRDefault="001F5D38">
            <w:pPr>
              <w:rPr>
                <w:rFonts w:ascii="標楷體" w:eastAsia="標楷體" w:hAnsi="標楷體"/>
              </w:rPr>
            </w:pPr>
          </w:p>
        </w:tc>
        <w:tc>
          <w:tcPr>
            <w:tcW w:w="2031" w:type="pct"/>
          </w:tcPr>
          <w:p w:rsidR="00F32C5A" w:rsidRPr="00617E09" w:rsidRDefault="00F32C5A" w:rsidP="00F32C5A">
            <w:pPr>
              <w:widowControl/>
              <w:rPr>
                <w:rFonts w:ascii="標楷體" w:eastAsia="標楷體" w:hAnsi="標楷體"/>
              </w:rPr>
            </w:pPr>
            <w:r>
              <w:rPr>
                <w:rFonts w:ascii="標楷體" w:eastAsia="標楷體" w:hAnsi="標楷體" w:hint="eastAsia"/>
              </w:rPr>
              <w:t>請至「公開資訊觀測站」－</w:t>
            </w:r>
            <w:r w:rsidRPr="00617E09">
              <w:rPr>
                <w:rFonts w:ascii="標楷體" w:eastAsia="標楷體" w:hAnsi="標楷體" w:hint="eastAsia"/>
              </w:rPr>
              <w:t>「外國發行公司債券申報系統(在我國未公開發行股權商品者適用)」申報系統</w:t>
            </w:r>
          </w:p>
          <w:p w:rsidR="00F32C5A" w:rsidRDefault="00F32C5A" w:rsidP="00F32C5A">
            <w:pPr>
              <w:widowControl/>
              <w:rPr>
                <w:rFonts w:ascii="標楷體" w:eastAsia="標楷體" w:hAnsi="標楷體"/>
                <w:color w:val="000000"/>
                <w:kern w:val="0"/>
              </w:rPr>
            </w:pPr>
            <w:r w:rsidRPr="00617E09">
              <w:rPr>
                <w:rFonts w:ascii="標楷體" w:eastAsia="標楷體" w:hAnsi="標楷體"/>
              </w:rPr>
              <w:t>http://siis.twse.com.tw/e_bond.htm</w:t>
            </w:r>
          </w:p>
          <w:p w:rsidR="001F5D38" w:rsidRDefault="00F32C5A" w:rsidP="00F32C5A">
            <w:pPr>
              <w:widowControl/>
              <w:rPr>
                <w:rFonts w:ascii="標楷體" w:eastAsia="標楷體" w:hAnsi="標楷體"/>
              </w:rPr>
            </w:pPr>
            <w:r w:rsidRPr="009D5F59">
              <w:rPr>
                <w:rFonts w:ascii="標楷體" w:eastAsia="標楷體" w:hAnsi="標楷體" w:hint="eastAsia"/>
                <w:u w:val="single"/>
              </w:rPr>
              <w:t>年報電子書申報作業系統</w:t>
            </w:r>
            <w:r>
              <w:rPr>
                <w:rFonts w:ascii="標楷體" w:eastAsia="標楷體" w:hAnsi="標楷體" w:hint="eastAsia"/>
              </w:rPr>
              <w:t>：依規定格式上傳年報</w:t>
            </w:r>
          </w:p>
        </w:tc>
        <w:tc>
          <w:tcPr>
            <w:tcW w:w="711" w:type="pct"/>
          </w:tcPr>
          <w:p w:rsidR="001F5D38" w:rsidRDefault="001F5D38">
            <w:pPr>
              <w:widowControl/>
              <w:rPr>
                <w:rFonts w:ascii="標楷體" w:eastAsia="標楷體" w:hAnsi="標楷體"/>
              </w:rPr>
            </w:pPr>
            <w:r>
              <w:rPr>
                <w:rFonts w:ascii="標楷體" w:eastAsia="標楷體" w:hAnsi="標楷體" w:hint="eastAsia"/>
              </w:rPr>
              <w:t>準用本中心外幣計價國際債券管理規則第35條</w:t>
            </w:r>
          </w:p>
          <w:p w:rsidR="001F5D38" w:rsidRDefault="001F5D38">
            <w:pPr>
              <w:rPr>
                <w:rFonts w:ascii="標楷體" w:eastAsia="標楷體" w:hAnsi="標楷體"/>
              </w:rPr>
            </w:pPr>
          </w:p>
        </w:tc>
      </w:tr>
    </w:tbl>
    <w:p w:rsidR="001F5D38" w:rsidRDefault="001F5D38">
      <w:pPr>
        <w:ind w:firstLineChars="100" w:firstLine="240"/>
      </w:pPr>
      <w:r>
        <w:rPr>
          <w:rFonts w:eastAsia="標楷體" w:hint="eastAsia"/>
          <w:b/>
          <w:bCs/>
        </w:rPr>
        <w:t>二、不定期辦理事項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119"/>
        <w:gridCol w:w="1741"/>
        <w:gridCol w:w="4372"/>
        <w:gridCol w:w="1530"/>
      </w:tblGrid>
      <w:tr w:rsidR="001F5D38">
        <w:trPr>
          <w:trHeight w:val="360"/>
        </w:trPr>
        <w:tc>
          <w:tcPr>
            <w:tcW w:w="1449" w:type="pct"/>
            <w:shd w:val="clear" w:color="auto" w:fill="FFCC99"/>
          </w:tcPr>
          <w:p w:rsidR="001F5D38" w:rsidRDefault="001F5D38">
            <w:pPr>
              <w:jc w:val="center"/>
              <w:rPr>
                <w:rFonts w:ascii="標楷體" w:eastAsia="標楷體" w:hAnsi="標楷體"/>
                <w:b/>
                <w:bCs/>
              </w:rPr>
            </w:pPr>
            <w:r>
              <w:rPr>
                <w:rFonts w:ascii="標楷體" w:eastAsia="標楷體" w:hAnsi="標楷體" w:hint="eastAsia"/>
                <w:b/>
                <w:bCs/>
              </w:rPr>
              <w:t>有關事項</w:t>
            </w:r>
          </w:p>
        </w:tc>
        <w:tc>
          <w:tcPr>
            <w:tcW w:w="809" w:type="pct"/>
            <w:shd w:val="clear" w:color="auto" w:fill="FFCC99"/>
          </w:tcPr>
          <w:p w:rsidR="001F5D38" w:rsidRDefault="001F5D38">
            <w:pPr>
              <w:jc w:val="center"/>
              <w:rPr>
                <w:rFonts w:ascii="標楷體" w:eastAsia="標楷體" w:hAnsi="標楷體"/>
                <w:b/>
                <w:bCs/>
              </w:rPr>
            </w:pPr>
            <w:r>
              <w:rPr>
                <w:rFonts w:ascii="標楷體" w:eastAsia="標楷體" w:hAnsi="標楷體" w:hint="eastAsia"/>
                <w:b/>
                <w:bCs/>
              </w:rPr>
              <w:t>申報時間</w:t>
            </w:r>
          </w:p>
        </w:tc>
        <w:tc>
          <w:tcPr>
            <w:tcW w:w="2031" w:type="pct"/>
            <w:shd w:val="clear" w:color="auto" w:fill="FFCC99"/>
          </w:tcPr>
          <w:p w:rsidR="001F5D38" w:rsidRDefault="001F5D38">
            <w:pPr>
              <w:jc w:val="center"/>
              <w:rPr>
                <w:rFonts w:ascii="標楷體" w:eastAsia="標楷體" w:hAnsi="標楷體"/>
                <w:b/>
                <w:bCs/>
              </w:rPr>
            </w:pPr>
            <w:r>
              <w:rPr>
                <w:rFonts w:ascii="標楷體" w:eastAsia="標楷體" w:hAnsi="標楷體" w:hint="eastAsia"/>
                <w:b/>
                <w:bCs/>
              </w:rPr>
              <w:t>應辦方式或輸入網址</w:t>
            </w:r>
          </w:p>
        </w:tc>
        <w:tc>
          <w:tcPr>
            <w:tcW w:w="711" w:type="pct"/>
            <w:shd w:val="clear" w:color="auto" w:fill="FFCC99"/>
          </w:tcPr>
          <w:p w:rsidR="001F5D38" w:rsidRDefault="001F5D38">
            <w:pPr>
              <w:jc w:val="center"/>
              <w:rPr>
                <w:rFonts w:ascii="標楷體" w:eastAsia="標楷體" w:hAnsi="標楷體"/>
                <w:b/>
                <w:bCs/>
              </w:rPr>
            </w:pPr>
            <w:r>
              <w:rPr>
                <w:rFonts w:ascii="標楷體" w:eastAsia="標楷體" w:hAnsi="標楷體" w:hint="eastAsia"/>
                <w:b/>
                <w:bCs/>
              </w:rPr>
              <w:t>法令依據</w:t>
            </w:r>
          </w:p>
        </w:tc>
      </w:tr>
      <w:tr w:rsidR="001F5D38">
        <w:trPr>
          <w:trHeight w:val="705"/>
        </w:trPr>
        <w:tc>
          <w:tcPr>
            <w:tcW w:w="1449" w:type="pct"/>
          </w:tcPr>
          <w:p w:rsidR="00554C55" w:rsidRDefault="00554C55" w:rsidP="00554C55">
            <w:pPr>
              <w:snapToGrid w:val="0"/>
              <w:ind w:left="425" w:hangingChars="177" w:hanging="425"/>
              <w:jc w:val="both"/>
              <w:rPr>
                <w:rFonts w:ascii="標楷體" w:eastAsia="標楷體" w:hAnsi="標楷體"/>
              </w:rPr>
            </w:pPr>
            <w:r>
              <w:rPr>
                <w:rFonts w:ascii="標楷體" w:eastAsia="標楷體" w:hAnsi="標楷體" w:hint="eastAsia"/>
              </w:rPr>
              <w:t>(</w:t>
            </w:r>
            <w:r w:rsidR="004F7B2D">
              <w:rPr>
                <w:rFonts w:ascii="標楷體" w:eastAsia="標楷體" w:hAnsi="標楷體" w:hint="eastAsia"/>
              </w:rPr>
              <w:t>ㄧ</w:t>
            </w:r>
            <w:r>
              <w:rPr>
                <w:rFonts w:ascii="標楷體" w:eastAsia="標楷體" w:hAnsi="標楷體" w:hint="eastAsia"/>
              </w:rPr>
              <w:t>)</w:t>
            </w:r>
            <w:r w:rsidR="001F5D38">
              <w:rPr>
                <w:rFonts w:ascii="標楷體" w:eastAsia="標楷體" w:hAnsi="標楷體"/>
              </w:rPr>
              <w:t>發行人依</w:t>
            </w:r>
            <w:r w:rsidR="001F5D38">
              <w:rPr>
                <w:rFonts w:ascii="標楷體" w:eastAsia="標楷體" w:hAnsi="標楷體" w:hint="eastAsia"/>
              </w:rPr>
              <w:t>其所屬</w:t>
            </w:r>
            <w:r w:rsidR="001F5D38">
              <w:rPr>
                <w:rFonts w:ascii="標楷體" w:eastAsia="標楷體" w:hAnsi="標楷體"/>
              </w:rPr>
              <w:t>國</w:t>
            </w:r>
            <w:r w:rsidR="001F5D38">
              <w:rPr>
                <w:rFonts w:ascii="標楷體" w:eastAsia="標楷體" w:hAnsi="標楷體" w:hint="eastAsia"/>
              </w:rPr>
              <w:t>及股票交易地</w:t>
            </w:r>
            <w:r w:rsidR="001F5D38">
              <w:rPr>
                <w:rFonts w:ascii="標楷體" w:eastAsia="標楷體" w:hAnsi="標楷體"/>
              </w:rPr>
              <w:t>法令規定</w:t>
            </w:r>
            <w:r w:rsidR="001F5D38">
              <w:rPr>
                <w:rFonts w:ascii="標楷體" w:eastAsia="標楷體" w:hAnsi="標楷體" w:hint="eastAsia"/>
              </w:rPr>
              <w:t>，</w:t>
            </w:r>
            <w:r w:rsidR="001F5D38">
              <w:rPr>
                <w:rFonts w:ascii="標楷體" w:eastAsia="標楷體" w:hAnsi="標楷體"/>
              </w:rPr>
              <w:t>應即時申報</w:t>
            </w:r>
            <w:r w:rsidR="001F5D38">
              <w:rPr>
                <w:rFonts w:ascii="標楷體" w:eastAsia="標楷體" w:hAnsi="標楷體" w:hint="eastAsia"/>
              </w:rPr>
              <w:t>之重大訊息；</w:t>
            </w:r>
            <w:r w:rsidR="00CE70F7" w:rsidRPr="00CE70F7">
              <w:rPr>
                <w:rFonts w:ascii="標楷體" w:eastAsia="標楷體" w:hAnsi="標楷體" w:hint="eastAsia"/>
              </w:rPr>
              <w:t>發行人屬外國金融機構分支機構或他公司之從屬公司者</w:t>
            </w:r>
            <w:r w:rsidR="001F5D38">
              <w:rPr>
                <w:rFonts w:ascii="標楷體" w:eastAsia="標楷體" w:hAnsi="標楷體" w:hint="eastAsia"/>
              </w:rPr>
              <w:t>，另包含其總機構或他公司所屬</w:t>
            </w:r>
            <w:r w:rsidR="001F5D38">
              <w:rPr>
                <w:rFonts w:ascii="標楷體" w:eastAsia="標楷體" w:hAnsi="標楷體"/>
              </w:rPr>
              <w:t>國</w:t>
            </w:r>
            <w:r w:rsidR="001F5D38">
              <w:rPr>
                <w:rFonts w:ascii="標楷體" w:eastAsia="標楷體" w:hAnsi="標楷體" w:hint="eastAsia"/>
              </w:rPr>
              <w:t>及股票交易地法令規定，應即時申報之重大訊息。</w:t>
            </w:r>
          </w:p>
          <w:p w:rsidR="001F5D38" w:rsidRDefault="00554C55" w:rsidP="00554C55">
            <w:pPr>
              <w:snapToGrid w:val="0"/>
              <w:ind w:left="425" w:hangingChars="177" w:hanging="425"/>
              <w:jc w:val="both"/>
              <w:rPr>
                <w:rFonts w:ascii="標楷體" w:eastAsia="標楷體" w:hAnsi="標楷體"/>
              </w:rPr>
            </w:pPr>
            <w:r>
              <w:rPr>
                <w:rFonts w:ascii="標楷體" w:eastAsia="標楷體" w:hAnsi="標楷體" w:hint="eastAsia"/>
              </w:rPr>
              <w:t>(二)</w:t>
            </w:r>
            <w:r w:rsidR="001F5D38">
              <w:rPr>
                <w:rFonts w:ascii="標楷體" w:eastAsia="標楷體" w:hAnsi="標楷體"/>
              </w:rPr>
              <w:t>債</w:t>
            </w:r>
            <w:r w:rsidR="001F5D38">
              <w:rPr>
                <w:rFonts w:ascii="標楷體" w:eastAsia="標楷體" w:hAnsi="標楷體" w:hint="eastAsia"/>
              </w:rPr>
              <w:t>券</w:t>
            </w:r>
            <w:r w:rsidR="00AA3818">
              <w:rPr>
                <w:rFonts w:ascii="標楷體" w:eastAsia="標楷體" w:hAnsi="標楷體"/>
              </w:rPr>
              <w:t>之發行、期滿</w:t>
            </w:r>
            <w:r w:rsidR="001F5D38">
              <w:rPr>
                <w:rFonts w:ascii="標楷體" w:eastAsia="標楷體" w:hAnsi="標楷體" w:hint="eastAsia"/>
              </w:rPr>
              <w:t>或有</w:t>
            </w:r>
            <w:r w:rsidR="001F5D38">
              <w:rPr>
                <w:rFonts w:ascii="標楷體" w:eastAsia="標楷體" w:hAnsi="標楷體"/>
              </w:rPr>
              <w:t>依規定核給股份之情事者。</w:t>
            </w:r>
          </w:p>
          <w:p w:rsidR="001F5D38" w:rsidRDefault="00554C55" w:rsidP="00554C55">
            <w:pPr>
              <w:snapToGrid w:val="0"/>
              <w:ind w:left="425" w:hangingChars="177" w:hanging="425"/>
              <w:jc w:val="both"/>
              <w:rPr>
                <w:rFonts w:ascii="標楷體" w:eastAsia="標楷體" w:hAnsi="標楷體"/>
              </w:rPr>
            </w:pPr>
            <w:r>
              <w:rPr>
                <w:rFonts w:ascii="標楷體" w:eastAsia="標楷體" w:hAnsi="標楷體" w:hint="eastAsia"/>
              </w:rPr>
              <w:t>(三)</w:t>
            </w:r>
            <w:r w:rsidR="001F5D38">
              <w:rPr>
                <w:rFonts w:ascii="標楷體" w:eastAsia="標楷體" w:hAnsi="標楷體" w:hint="eastAsia"/>
              </w:rPr>
              <w:t>發行人或</w:t>
            </w:r>
            <w:r w:rsidR="001F5D38">
              <w:rPr>
                <w:rFonts w:ascii="標楷體" w:eastAsia="標楷體" w:hAnsi="標楷體"/>
              </w:rPr>
              <w:t>債券信用評</w:t>
            </w:r>
            <w:r w:rsidR="001F5D38">
              <w:rPr>
                <w:rFonts w:ascii="標楷體" w:eastAsia="標楷體" w:hAnsi="標楷體" w:hint="eastAsia"/>
              </w:rPr>
              <w:t>等有</w:t>
            </w:r>
            <w:r w:rsidR="001F5D38">
              <w:rPr>
                <w:rFonts w:ascii="標楷體" w:eastAsia="標楷體" w:hAnsi="標楷體"/>
              </w:rPr>
              <w:t>所變動者。</w:t>
            </w:r>
          </w:p>
          <w:p w:rsidR="001F5D38" w:rsidRDefault="00554C55" w:rsidP="00554C55">
            <w:pPr>
              <w:snapToGrid w:val="0"/>
              <w:ind w:left="425" w:hangingChars="177" w:hanging="425"/>
              <w:jc w:val="both"/>
              <w:rPr>
                <w:rFonts w:ascii="標楷體" w:eastAsia="標楷體" w:hAnsi="標楷體"/>
              </w:rPr>
            </w:pPr>
            <w:r>
              <w:rPr>
                <w:rFonts w:ascii="標楷體" w:eastAsia="標楷體" w:hAnsi="標楷體" w:hint="eastAsia"/>
              </w:rPr>
              <w:t>(四)</w:t>
            </w:r>
            <w:r w:rsidR="001F5D38">
              <w:rPr>
                <w:rFonts w:ascii="標楷體" w:eastAsia="標楷體" w:hAnsi="標楷體" w:hint="eastAsia"/>
              </w:rPr>
              <w:t>其他對債券之價格或價值有重大影響之情事。</w:t>
            </w:r>
          </w:p>
        </w:tc>
        <w:tc>
          <w:tcPr>
            <w:tcW w:w="809" w:type="pct"/>
          </w:tcPr>
          <w:p w:rsidR="001F5D38" w:rsidRDefault="001F5D38">
            <w:pPr>
              <w:widowControl/>
              <w:rPr>
                <w:rFonts w:ascii="標楷體" w:eastAsia="標楷體" w:hAnsi="標楷體"/>
              </w:rPr>
            </w:pPr>
            <w:r>
              <w:rPr>
                <w:rFonts w:ascii="標楷體" w:eastAsia="標楷體" w:hAnsi="標楷體" w:hint="eastAsia"/>
              </w:rPr>
              <w:t>事實發生日之次營業日交易時間開始前公告</w:t>
            </w:r>
            <w:r>
              <w:rPr>
                <w:rFonts w:ascii="標楷體" w:eastAsia="標楷體" w:hAnsi="標楷體"/>
              </w:rPr>
              <w:t xml:space="preserve"> </w:t>
            </w:r>
          </w:p>
          <w:p w:rsidR="001F5D38" w:rsidRDefault="001F5D38">
            <w:pPr>
              <w:pStyle w:val="11"/>
              <w:widowControl/>
              <w:snapToGrid/>
              <w:spacing w:line="240" w:lineRule="auto"/>
              <w:rPr>
                <w:rFonts w:ascii="標楷體" w:hAnsi="標楷體"/>
              </w:rPr>
            </w:pPr>
          </w:p>
        </w:tc>
        <w:tc>
          <w:tcPr>
            <w:tcW w:w="2031" w:type="pct"/>
          </w:tcPr>
          <w:p w:rsidR="00A615FB" w:rsidRDefault="00A615FB" w:rsidP="00A615FB">
            <w:pPr>
              <w:widowControl/>
              <w:rPr>
                <w:rFonts w:ascii="標楷體" w:eastAsia="標楷體" w:hAnsi="標楷體"/>
              </w:rPr>
            </w:pPr>
            <w:r>
              <w:rPr>
                <w:rFonts w:ascii="標楷體" w:eastAsia="標楷體" w:hAnsi="標楷體" w:hint="eastAsia"/>
              </w:rPr>
              <w:t>請至「公開資訊觀測站」－「</w:t>
            </w:r>
            <w:r w:rsidRPr="00617E09">
              <w:rPr>
                <w:rFonts w:ascii="標楷體" w:eastAsia="標楷體" w:hAnsi="標楷體" w:hint="eastAsia"/>
              </w:rPr>
              <w:t>外國發行公司債券申報系統(在我國未公開發行股權商品者適用)</w:t>
            </w:r>
            <w:r>
              <w:rPr>
                <w:rFonts w:ascii="標楷體" w:eastAsia="標楷體" w:hAnsi="標楷體" w:hint="eastAsia"/>
              </w:rPr>
              <w:t>」申報系統</w:t>
            </w:r>
          </w:p>
          <w:p w:rsidR="00A615FB" w:rsidRPr="00D15E8B" w:rsidRDefault="00A615FB" w:rsidP="00A615FB">
            <w:pPr>
              <w:widowControl/>
              <w:rPr>
                <w:rFonts w:ascii="標楷體" w:eastAsia="標楷體" w:hAnsi="標楷體"/>
                <w:color w:val="000000"/>
                <w:kern w:val="0"/>
              </w:rPr>
            </w:pPr>
            <w:r w:rsidRPr="00617E09">
              <w:rPr>
                <w:rFonts w:ascii="標楷體" w:eastAsia="標楷體" w:hAnsi="標楷體"/>
                <w:color w:val="000000"/>
                <w:kern w:val="0"/>
              </w:rPr>
              <w:t>http://siis.twse.com.tw/e_bond.htm</w:t>
            </w:r>
          </w:p>
          <w:p w:rsidR="00A615FB" w:rsidRDefault="00A615FB" w:rsidP="00A615FB">
            <w:pPr>
              <w:widowControl/>
              <w:rPr>
                <w:rFonts w:ascii="標楷體" w:eastAsia="標楷體" w:hAnsi="標楷體"/>
              </w:rPr>
            </w:pPr>
            <w:r w:rsidRPr="009D5F59">
              <w:rPr>
                <w:rFonts w:ascii="標楷體" w:eastAsia="標楷體" w:hAnsi="標楷體" w:hint="eastAsia"/>
                <w:u w:val="single"/>
              </w:rPr>
              <w:t>債券重大訊息申報作業系統</w:t>
            </w:r>
            <w:r>
              <w:rPr>
                <w:rFonts w:ascii="標楷體" w:eastAsia="標楷體" w:hAnsi="標楷體" w:hint="eastAsia"/>
              </w:rPr>
              <w:t>：依規定格式申報資料</w:t>
            </w:r>
          </w:p>
          <w:p w:rsidR="001F5D38" w:rsidRPr="00A615FB" w:rsidRDefault="001F5D38">
            <w:pPr>
              <w:rPr>
                <w:rFonts w:ascii="標楷體" w:eastAsia="標楷體" w:hAnsi="標楷體"/>
              </w:rPr>
            </w:pPr>
          </w:p>
        </w:tc>
        <w:tc>
          <w:tcPr>
            <w:tcW w:w="711" w:type="pct"/>
          </w:tcPr>
          <w:p w:rsidR="001F5D38" w:rsidRDefault="001F5D38">
            <w:pPr>
              <w:rPr>
                <w:rFonts w:ascii="標楷體" w:eastAsia="標楷體" w:hAnsi="標楷體"/>
              </w:rPr>
            </w:pPr>
            <w:r>
              <w:rPr>
                <w:rFonts w:ascii="標楷體" w:eastAsia="標楷體" w:hAnsi="標楷體" w:hint="eastAsia"/>
              </w:rPr>
              <w:t>準用本中心外幣計價國際債券管理規則第36條</w:t>
            </w:r>
          </w:p>
        </w:tc>
      </w:tr>
      <w:tr w:rsidR="00F35944">
        <w:trPr>
          <w:trHeight w:val="705"/>
        </w:trPr>
        <w:tc>
          <w:tcPr>
            <w:tcW w:w="1449" w:type="pct"/>
          </w:tcPr>
          <w:p w:rsidR="00F35944" w:rsidRDefault="00F35944" w:rsidP="00F35944">
            <w:pPr>
              <w:snapToGrid w:val="0"/>
              <w:ind w:left="425" w:hangingChars="177" w:hanging="425"/>
              <w:jc w:val="both"/>
              <w:rPr>
                <w:rFonts w:ascii="標楷體" w:eastAsia="標楷體" w:hAnsi="標楷體"/>
              </w:rPr>
            </w:pPr>
            <w:r>
              <w:rPr>
                <w:rFonts w:ascii="標楷體" w:eastAsia="標楷體" w:hAnsi="標楷體" w:hint="eastAsia"/>
                <w:snapToGrid w:val="0"/>
                <w:kern w:val="0"/>
              </w:rPr>
              <w:t>(五)到期前提前還本、收回、贖回</w:t>
            </w:r>
            <w:r w:rsidRPr="003E36BB">
              <w:rPr>
                <w:rFonts w:ascii="標楷體" w:eastAsia="標楷體" w:hAnsi="標楷體" w:hint="eastAsia"/>
                <w:snapToGrid w:val="0"/>
                <w:kern w:val="0"/>
              </w:rPr>
              <w:t>，或已預知公司債既定發行條件外之發行餘額變動</w:t>
            </w:r>
          </w:p>
        </w:tc>
        <w:tc>
          <w:tcPr>
            <w:tcW w:w="809" w:type="pct"/>
          </w:tcPr>
          <w:p w:rsidR="00F35944" w:rsidRDefault="00F35944" w:rsidP="00F35944">
            <w:pPr>
              <w:widowControl/>
              <w:rPr>
                <w:rFonts w:ascii="標楷體" w:eastAsia="標楷體" w:hAnsi="標楷體"/>
              </w:rPr>
            </w:pPr>
            <w:r w:rsidRPr="004F5029">
              <w:rPr>
                <w:rFonts w:ascii="標楷體" w:eastAsia="標楷體" w:hAnsi="標楷體" w:hint="eastAsia"/>
                <w:snapToGrid w:val="0"/>
                <w:kern w:val="0"/>
              </w:rPr>
              <w:t>應依發行辦法所定期限內申報;發</w:t>
            </w:r>
            <w:r>
              <w:rPr>
                <w:rFonts w:ascii="標楷體" w:eastAsia="標楷體" w:hAnsi="標楷體" w:hint="eastAsia"/>
                <w:snapToGrid w:val="0"/>
                <w:kern w:val="0"/>
              </w:rPr>
              <w:t>行辦法未定相關期限者，</w:t>
            </w:r>
            <w:r w:rsidRPr="003E36BB">
              <w:rPr>
                <w:rFonts w:ascii="標楷體" w:eastAsia="標楷體" w:hAnsi="標楷體" w:hint="eastAsia"/>
                <w:snapToGrid w:val="0"/>
                <w:kern w:val="0"/>
              </w:rPr>
              <w:t xml:space="preserve">應於發行餘額變動前七個營業日申報。 </w:t>
            </w:r>
          </w:p>
        </w:tc>
        <w:tc>
          <w:tcPr>
            <w:tcW w:w="2031" w:type="pct"/>
          </w:tcPr>
          <w:p w:rsidR="00F35944" w:rsidRDefault="00F35944" w:rsidP="009C3C13">
            <w:pPr>
              <w:pStyle w:val="ab"/>
              <w:tabs>
                <w:tab w:val="left" w:pos="240"/>
              </w:tabs>
              <w:kinsoku w:val="0"/>
              <w:overflowPunct w:val="0"/>
              <w:adjustRightInd w:val="0"/>
              <w:ind w:leftChars="0" w:left="211" w:hangingChars="88" w:hanging="211"/>
              <w:jc w:val="both"/>
              <w:textAlignment w:val="center"/>
              <w:rPr>
                <w:rFonts w:ascii="Times New Roman" w:eastAsia="標楷體" w:hAnsi="Times New Roman"/>
                <w:snapToGrid w:val="0"/>
                <w:kern w:val="0"/>
                <w:szCs w:val="40"/>
              </w:rPr>
            </w:pPr>
            <w:r>
              <w:rPr>
                <w:rFonts w:ascii="Times New Roman" w:eastAsia="標楷體" w:hAnsi="Times New Roman" w:hint="eastAsia"/>
                <w:snapToGrid w:val="0"/>
                <w:kern w:val="0"/>
                <w:szCs w:val="40"/>
              </w:rPr>
              <w:t>1.</w:t>
            </w:r>
            <w:r w:rsidRPr="004F5029">
              <w:rPr>
                <w:rFonts w:ascii="Times New Roman" w:eastAsia="標楷體" w:hAnsi="Times New Roman" w:hint="eastAsia"/>
                <w:snapToGrid w:val="0"/>
                <w:kern w:val="0"/>
                <w:szCs w:val="40"/>
              </w:rPr>
              <w:t>請至「公開資訊觀測站」－「外國發行公司債券申報系統</w:t>
            </w:r>
            <w:r w:rsidRPr="004F5029">
              <w:rPr>
                <w:rFonts w:ascii="Times New Roman" w:eastAsia="標楷體" w:hAnsi="Times New Roman" w:hint="eastAsia"/>
                <w:snapToGrid w:val="0"/>
                <w:kern w:val="0"/>
                <w:szCs w:val="40"/>
              </w:rPr>
              <w:t>(</w:t>
            </w:r>
            <w:r w:rsidRPr="004F5029">
              <w:rPr>
                <w:rFonts w:ascii="Times New Roman" w:eastAsia="標楷體" w:hAnsi="Times New Roman" w:hint="eastAsia"/>
                <w:snapToGrid w:val="0"/>
                <w:kern w:val="0"/>
                <w:szCs w:val="40"/>
              </w:rPr>
              <w:t>在我國未公開發行股權商品者適用</w:t>
            </w:r>
            <w:r w:rsidRPr="004F5029">
              <w:rPr>
                <w:rFonts w:ascii="Times New Roman" w:eastAsia="標楷體" w:hAnsi="Times New Roman" w:hint="eastAsia"/>
                <w:snapToGrid w:val="0"/>
                <w:kern w:val="0"/>
                <w:szCs w:val="40"/>
              </w:rPr>
              <w:t>)</w:t>
            </w:r>
            <w:r w:rsidRPr="004F5029">
              <w:rPr>
                <w:rFonts w:ascii="Times New Roman" w:eastAsia="標楷體" w:hAnsi="Times New Roman" w:hint="eastAsia"/>
                <w:snapToGrid w:val="0"/>
                <w:kern w:val="0"/>
                <w:szCs w:val="40"/>
              </w:rPr>
              <w:t>」申報系統</w:t>
            </w:r>
            <w:r w:rsidRPr="004F5029">
              <w:rPr>
                <w:rFonts w:ascii="Times New Roman" w:eastAsia="標楷體" w:hAnsi="Times New Roman" w:hint="eastAsia"/>
                <w:snapToGrid w:val="0"/>
                <w:kern w:val="0"/>
                <w:szCs w:val="40"/>
              </w:rPr>
              <w:t>http://siis.twse.com.tw/e_bond.htm</w:t>
            </w:r>
            <w:r w:rsidRPr="004F5029">
              <w:rPr>
                <w:rFonts w:ascii="Times New Roman" w:eastAsia="標楷體" w:hAnsi="Times New Roman" w:hint="eastAsia"/>
                <w:snapToGrid w:val="0"/>
                <w:kern w:val="0"/>
                <w:szCs w:val="40"/>
              </w:rPr>
              <w:t>到期前餘額變動申報作業：申報</w:t>
            </w:r>
            <w:r>
              <w:rPr>
                <w:rFonts w:ascii="Times New Roman" w:eastAsia="標楷體" w:hAnsi="Times New Roman" w:hint="eastAsia"/>
                <w:snapToGrid w:val="0"/>
                <w:kern w:val="0"/>
                <w:szCs w:val="40"/>
              </w:rPr>
              <w:t>「</w:t>
            </w:r>
            <w:r w:rsidRPr="004F5029">
              <w:rPr>
                <w:rFonts w:ascii="Times New Roman" w:eastAsia="標楷體" w:hAnsi="Times New Roman" w:hint="eastAsia"/>
                <w:snapToGrid w:val="0"/>
                <w:kern w:val="0"/>
                <w:szCs w:val="40"/>
              </w:rPr>
              <w:t>非既定之餘額變動公告</w:t>
            </w:r>
            <w:r w:rsidRPr="004F5029">
              <w:rPr>
                <w:rFonts w:ascii="Times New Roman" w:eastAsia="標楷體" w:hAnsi="Times New Roman" w:hint="eastAsia"/>
                <w:snapToGrid w:val="0"/>
                <w:kern w:val="0"/>
                <w:szCs w:val="40"/>
              </w:rPr>
              <w:t>(</w:t>
            </w:r>
            <w:r w:rsidRPr="004F5029">
              <w:rPr>
                <w:rFonts w:ascii="Times New Roman" w:eastAsia="標楷體" w:hAnsi="Times New Roman" w:hint="eastAsia"/>
                <w:snapToGrid w:val="0"/>
                <w:kern w:val="0"/>
                <w:szCs w:val="40"/>
              </w:rPr>
              <w:t>已知悉時</w:t>
            </w:r>
            <w:r w:rsidRPr="004F5029">
              <w:rPr>
                <w:rFonts w:ascii="Times New Roman" w:eastAsia="標楷體" w:hAnsi="Times New Roman" w:hint="eastAsia"/>
                <w:snapToGrid w:val="0"/>
                <w:kern w:val="0"/>
                <w:szCs w:val="40"/>
              </w:rPr>
              <w:t>-</w:t>
            </w:r>
            <w:r w:rsidRPr="004F5029">
              <w:rPr>
                <w:rFonts w:ascii="Times New Roman" w:eastAsia="標楷體" w:hAnsi="Times New Roman" w:hint="eastAsia"/>
                <w:snapToGrid w:val="0"/>
                <w:kern w:val="0"/>
                <w:szCs w:val="40"/>
              </w:rPr>
              <w:t>餘額未變動公告</w:t>
            </w:r>
            <w:r>
              <w:rPr>
                <w:rFonts w:ascii="Times New Roman" w:eastAsia="標楷體" w:hAnsi="Times New Roman" w:hint="eastAsia"/>
                <w:snapToGrid w:val="0"/>
                <w:kern w:val="0"/>
                <w:szCs w:val="40"/>
              </w:rPr>
              <w:t>)</w:t>
            </w:r>
            <w:r>
              <w:rPr>
                <w:rFonts w:ascii="Times New Roman" w:eastAsia="標楷體" w:hAnsi="Times New Roman" w:hint="eastAsia"/>
                <w:snapToGrid w:val="0"/>
                <w:kern w:val="0"/>
                <w:szCs w:val="40"/>
              </w:rPr>
              <w:t>」</w:t>
            </w:r>
            <w:r w:rsidR="00267E18" w:rsidRPr="00023843">
              <w:rPr>
                <w:rFonts w:ascii="Times New Roman" w:eastAsia="標楷體" w:hAnsi="Times New Roman" w:hint="eastAsia"/>
                <w:snapToGrid w:val="0"/>
                <w:kern w:val="0"/>
                <w:szCs w:val="40"/>
              </w:rPr>
              <w:t>。</w:t>
            </w:r>
          </w:p>
          <w:p w:rsidR="00F35944" w:rsidRDefault="00F35944" w:rsidP="00F35944">
            <w:pPr>
              <w:widowControl/>
              <w:rPr>
                <w:rFonts w:ascii="標楷體" w:eastAsia="標楷體" w:hAnsi="標楷體"/>
              </w:rPr>
            </w:pPr>
            <w:r>
              <w:rPr>
                <w:rFonts w:eastAsia="標楷體" w:hint="eastAsia"/>
                <w:snapToGrid w:val="0"/>
                <w:kern w:val="0"/>
                <w:szCs w:val="40"/>
              </w:rPr>
              <w:t>2.</w:t>
            </w:r>
            <w:r w:rsidRPr="004F5029">
              <w:rPr>
                <w:rFonts w:eastAsia="標楷體" w:hint="eastAsia"/>
                <w:snapToGrid w:val="0"/>
                <w:kern w:val="0"/>
                <w:szCs w:val="40"/>
              </w:rPr>
              <w:t>完成前項公告時，以</w:t>
            </w:r>
            <w:r w:rsidRPr="004F5029">
              <w:rPr>
                <w:rFonts w:eastAsia="標楷體" w:hint="eastAsia"/>
                <w:snapToGrid w:val="0"/>
                <w:kern w:val="0"/>
                <w:szCs w:val="40"/>
              </w:rPr>
              <w:t>Email</w:t>
            </w:r>
            <w:r>
              <w:rPr>
                <w:rFonts w:eastAsia="標楷體" w:hint="eastAsia"/>
                <w:snapToGrid w:val="0"/>
                <w:kern w:val="0"/>
                <w:szCs w:val="40"/>
              </w:rPr>
              <w:t>通知本中心</w:t>
            </w:r>
            <w:r w:rsidRPr="00023843">
              <w:rPr>
                <w:rFonts w:eastAsia="標楷體" w:hint="eastAsia"/>
                <w:snapToGrid w:val="0"/>
                <w:kern w:val="0"/>
                <w:szCs w:val="40"/>
              </w:rPr>
              <w:t>。</w:t>
            </w:r>
          </w:p>
        </w:tc>
        <w:tc>
          <w:tcPr>
            <w:tcW w:w="711" w:type="pct"/>
          </w:tcPr>
          <w:p w:rsidR="00F35944" w:rsidRDefault="00F35944" w:rsidP="00F35944">
            <w:pPr>
              <w:rPr>
                <w:rFonts w:ascii="標楷體" w:eastAsia="標楷體" w:hAnsi="標楷體"/>
              </w:rPr>
            </w:pPr>
            <w:r w:rsidRPr="00F35944">
              <w:rPr>
                <w:rFonts w:ascii="標楷體" w:eastAsia="標楷體" w:hAnsi="標楷體" w:hint="eastAsia"/>
              </w:rPr>
              <w:t>準用本中心外幣計價國際債券管理規則第36條</w:t>
            </w:r>
          </w:p>
        </w:tc>
      </w:tr>
      <w:tr w:rsidR="00F35944">
        <w:trPr>
          <w:trHeight w:val="705"/>
        </w:trPr>
        <w:tc>
          <w:tcPr>
            <w:tcW w:w="1449" w:type="pct"/>
          </w:tcPr>
          <w:p w:rsidR="00F35944" w:rsidRDefault="00F35944" w:rsidP="00F35944">
            <w:pPr>
              <w:snapToGrid w:val="0"/>
              <w:ind w:left="425" w:hangingChars="177" w:hanging="425"/>
              <w:jc w:val="both"/>
              <w:rPr>
                <w:rFonts w:ascii="標楷體" w:eastAsia="標楷體" w:hAnsi="標楷體"/>
              </w:rPr>
            </w:pPr>
            <w:r>
              <w:rPr>
                <w:rFonts w:ascii="標楷體" w:eastAsia="標楷體" w:hAnsi="標楷體" w:hint="eastAsia"/>
                <w:snapToGrid w:val="0"/>
                <w:kern w:val="0"/>
              </w:rPr>
              <w:t>(六)</w:t>
            </w:r>
            <w:r w:rsidRPr="003E36BB">
              <w:rPr>
                <w:rFonts w:ascii="標楷體" w:eastAsia="標楷體" w:hAnsi="標楷體" w:hint="eastAsia"/>
                <w:snapToGrid w:val="0"/>
                <w:kern w:val="0"/>
              </w:rPr>
              <w:t>依前款發行餘額之實際變動情形(</w:t>
            </w:r>
            <w:r w:rsidRPr="003E36BB">
              <w:rPr>
                <w:rFonts w:eastAsia="標楷體" w:hint="eastAsia"/>
                <w:snapToGrid w:val="0"/>
                <w:kern w:val="0"/>
              </w:rPr>
              <w:t>變動後仍有餘額時適用</w:t>
            </w:r>
            <w:r w:rsidRPr="003E36BB">
              <w:rPr>
                <w:rFonts w:eastAsia="標楷體" w:hint="eastAsia"/>
                <w:snapToGrid w:val="0"/>
                <w:kern w:val="0"/>
              </w:rPr>
              <w:t>)</w:t>
            </w:r>
          </w:p>
        </w:tc>
        <w:tc>
          <w:tcPr>
            <w:tcW w:w="809" w:type="pct"/>
          </w:tcPr>
          <w:p w:rsidR="00F35944" w:rsidRDefault="00F35944" w:rsidP="00F35944">
            <w:pPr>
              <w:widowControl/>
              <w:rPr>
                <w:rFonts w:ascii="標楷體" w:eastAsia="標楷體" w:hAnsi="標楷體"/>
              </w:rPr>
            </w:pPr>
            <w:r w:rsidRPr="003E36BB">
              <w:rPr>
                <w:rFonts w:ascii="標楷體" w:eastAsia="標楷體" w:hAnsi="標楷體" w:hint="eastAsia"/>
                <w:snapToGrid w:val="0"/>
                <w:kern w:val="0"/>
              </w:rPr>
              <w:t>應於發行餘額實際變動後一個營業日內申報。</w:t>
            </w:r>
          </w:p>
        </w:tc>
        <w:tc>
          <w:tcPr>
            <w:tcW w:w="2031" w:type="pct"/>
          </w:tcPr>
          <w:p w:rsidR="00F35944" w:rsidRPr="00AA3CE6" w:rsidRDefault="00F35944" w:rsidP="009C3C13">
            <w:pPr>
              <w:ind w:left="211" w:hangingChars="88" w:hanging="211"/>
              <w:rPr>
                <w:rFonts w:eastAsia="標楷體"/>
                <w:snapToGrid w:val="0"/>
                <w:kern w:val="0"/>
                <w:szCs w:val="40"/>
              </w:rPr>
            </w:pPr>
            <w:r>
              <w:rPr>
                <w:rFonts w:eastAsia="標楷體" w:hint="eastAsia"/>
                <w:snapToGrid w:val="0"/>
                <w:kern w:val="0"/>
                <w:szCs w:val="40"/>
              </w:rPr>
              <w:t>1.</w:t>
            </w:r>
            <w:r w:rsidRPr="00AA3CE6">
              <w:rPr>
                <w:rFonts w:eastAsia="標楷體" w:hint="eastAsia"/>
                <w:snapToGrid w:val="0"/>
                <w:kern w:val="0"/>
                <w:szCs w:val="40"/>
              </w:rPr>
              <w:t>請至「公開資訊觀測站」－「外國發行公司債券申報系統</w:t>
            </w:r>
            <w:r w:rsidRPr="00AA3CE6">
              <w:rPr>
                <w:rFonts w:eastAsia="標楷體" w:hint="eastAsia"/>
                <w:snapToGrid w:val="0"/>
                <w:kern w:val="0"/>
                <w:szCs w:val="40"/>
              </w:rPr>
              <w:t>(</w:t>
            </w:r>
            <w:r w:rsidRPr="00AA3CE6">
              <w:rPr>
                <w:rFonts w:eastAsia="標楷體" w:hint="eastAsia"/>
                <w:snapToGrid w:val="0"/>
                <w:kern w:val="0"/>
                <w:szCs w:val="40"/>
              </w:rPr>
              <w:t>在我國未公開發行股權商品者適用</w:t>
            </w:r>
            <w:r w:rsidRPr="00AA3CE6">
              <w:rPr>
                <w:rFonts w:eastAsia="標楷體" w:hint="eastAsia"/>
                <w:snapToGrid w:val="0"/>
                <w:kern w:val="0"/>
                <w:szCs w:val="40"/>
              </w:rPr>
              <w:t>)</w:t>
            </w:r>
            <w:r w:rsidRPr="00AA3CE6">
              <w:rPr>
                <w:rFonts w:eastAsia="標楷體" w:hint="eastAsia"/>
                <w:snapToGrid w:val="0"/>
                <w:kern w:val="0"/>
                <w:szCs w:val="40"/>
              </w:rPr>
              <w:t>」申報系統</w:t>
            </w:r>
            <w:r w:rsidRPr="00AA3CE6">
              <w:rPr>
                <w:rFonts w:eastAsia="標楷體" w:hint="eastAsia"/>
                <w:snapToGrid w:val="0"/>
                <w:kern w:val="0"/>
                <w:szCs w:val="40"/>
              </w:rPr>
              <w:t>http://siis.twse.com.tw/e_bond.htm</w:t>
            </w:r>
            <w:r w:rsidRPr="00AA3CE6">
              <w:rPr>
                <w:rFonts w:eastAsia="標楷體" w:hint="eastAsia"/>
                <w:snapToGrid w:val="0"/>
                <w:kern w:val="0"/>
                <w:szCs w:val="40"/>
              </w:rPr>
              <w:t>到期前餘額變動申報作業：申報「非既定之餘額變動公告</w:t>
            </w:r>
            <w:r w:rsidRPr="00AA3CE6">
              <w:rPr>
                <w:rFonts w:eastAsia="標楷體" w:hint="eastAsia"/>
                <w:snapToGrid w:val="0"/>
                <w:kern w:val="0"/>
                <w:szCs w:val="40"/>
              </w:rPr>
              <w:t>(</w:t>
            </w:r>
            <w:r w:rsidRPr="00AA3CE6">
              <w:rPr>
                <w:rFonts w:eastAsia="標楷體" w:hint="eastAsia"/>
                <w:snapToGrid w:val="0"/>
                <w:kern w:val="0"/>
                <w:szCs w:val="40"/>
              </w:rPr>
              <w:t>已實際變動</w:t>
            </w:r>
            <w:r w:rsidRPr="00AA3CE6">
              <w:rPr>
                <w:rFonts w:eastAsia="標楷體" w:hint="eastAsia"/>
                <w:snapToGrid w:val="0"/>
                <w:kern w:val="0"/>
                <w:szCs w:val="40"/>
              </w:rPr>
              <w:t>-</w:t>
            </w:r>
            <w:r w:rsidRPr="00AA3CE6">
              <w:rPr>
                <w:rFonts w:eastAsia="標楷體" w:hint="eastAsia"/>
                <w:snapToGrid w:val="0"/>
                <w:kern w:val="0"/>
                <w:szCs w:val="40"/>
              </w:rPr>
              <w:t>但變動後仍有餘額</w:t>
            </w:r>
            <w:r>
              <w:rPr>
                <w:rFonts w:eastAsia="標楷體" w:hint="eastAsia"/>
                <w:snapToGrid w:val="0"/>
                <w:kern w:val="0"/>
                <w:szCs w:val="40"/>
              </w:rPr>
              <w:t>)</w:t>
            </w:r>
            <w:r w:rsidRPr="00AA3CE6">
              <w:rPr>
                <w:rFonts w:eastAsia="標楷體" w:hint="eastAsia"/>
                <w:snapToGrid w:val="0"/>
                <w:kern w:val="0"/>
                <w:szCs w:val="40"/>
              </w:rPr>
              <w:t>」</w:t>
            </w:r>
            <w:r w:rsidR="00267E18" w:rsidRPr="00023843">
              <w:rPr>
                <w:rFonts w:eastAsia="標楷體" w:hint="eastAsia"/>
                <w:snapToGrid w:val="0"/>
                <w:kern w:val="0"/>
                <w:szCs w:val="40"/>
              </w:rPr>
              <w:t>。</w:t>
            </w:r>
          </w:p>
          <w:p w:rsidR="00F35944" w:rsidRDefault="00F35944" w:rsidP="009C3C13">
            <w:pPr>
              <w:widowControl/>
              <w:tabs>
                <w:tab w:val="left" w:pos="240"/>
              </w:tabs>
              <w:kinsoku w:val="0"/>
              <w:overflowPunct w:val="0"/>
              <w:adjustRightInd w:val="0"/>
              <w:ind w:left="211" w:hangingChars="88" w:hanging="211"/>
              <w:jc w:val="both"/>
              <w:textAlignment w:val="center"/>
              <w:rPr>
                <w:rFonts w:eastAsia="標楷體"/>
                <w:snapToGrid w:val="0"/>
                <w:kern w:val="0"/>
                <w:szCs w:val="40"/>
              </w:rPr>
            </w:pPr>
            <w:r>
              <w:rPr>
                <w:rFonts w:eastAsia="標楷體" w:hint="eastAsia"/>
                <w:snapToGrid w:val="0"/>
                <w:kern w:val="0"/>
                <w:szCs w:val="40"/>
              </w:rPr>
              <w:t>2.</w:t>
            </w:r>
            <w:r w:rsidRPr="00AA3CE6">
              <w:rPr>
                <w:rFonts w:eastAsia="標楷體" w:hint="eastAsia"/>
                <w:snapToGrid w:val="0"/>
                <w:kern w:val="0"/>
                <w:szCs w:val="40"/>
              </w:rPr>
              <w:t>請至「公開資訊觀測站」－「外國發行公司債券申報系統</w:t>
            </w:r>
            <w:r w:rsidRPr="00AA3CE6">
              <w:rPr>
                <w:rFonts w:eastAsia="標楷體" w:hint="eastAsia"/>
                <w:snapToGrid w:val="0"/>
                <w:kern w:val="0"/>
                <w:szCs w:val="40"/>
              </w:rPr>
              <w:t>(</w:t>
            </w:r>
            <w:r w:rsidRPr="00AA3CE6">
              <w:rPr>
                <w:rFonts w:eastAsia="標楷體" w:hint="eastAsia"/>
                <w:snapToGrid w:val="0"/>
                <w:kern w:val="0"/>
                <w:szCs w:val="40"/>
              </w:rPr>
              <w:t>在我國未公開發行股權商品者適用</w:t>
            </w:r>
            <w:r w:rsidRPr="00AA3CE6">
              <w:rPr>
                <w:rFonts w:eastAsia="標楷體" w:hint="eastAsia"/>
                <w:snapToGrid w:val="0"/>
                <w:kern w:val="0"/>
                <w:szCs w:val="40"/>
              </w:rPr>
              <w:t>)</w:t>
            </w:r>
            <w:r w:rsidRPr="00AA3CE6">
              <w:rPr>
                <w:rFonts w:eastAsia="標楷體" w:hint="eastAsia"/>
                <w:snapToGrid w:val="0"/>
                <w:kern w:val="0"/>
                <w:szCs w:val="40"/>
              </w:rPr>
              <w:t>」申報系統</w:t>
            </w:r>
            <w:r w:rsidRPr="00AA3CE6">
              <w:rPr>
                <w:rFonts w:eastAsia="標楷體" w:hint="eastAsia"/>
                <w:snapToGrid w:val="0"/>
                <w:kern w:val="0"/>
                <w:szCs w:val="40"/>
              </w:rPr>
              <w:lastRenderedPageBreak/>
              <w:t>http://siis.twse.com.tw/e_bond.htm</w:t>
            </w:r>
            <w:r w:rsidRPr="00AA3CE6">
              <w:rPr>
                <w:rFonts w:eastAsia="標楷體" w:hint="eastAsia"/>
                <w:snapToGrid w:val="0"/>
                <w:kern w:val="0"/>
                <w:szCs w:val="40"/>
              </w:rPr>
              <w:t>外幣計價國際債券及新台幣計價外國債券基本資料：</w:t>
            </w:r>
            <w:r w:rsidRPr="00023843">
              <w:rPr>
                <w:rFonts w:eastAsia="標楷體" w:hint="eastAsia"/>
                <w:snapToGrid w:val="0"/>
                <w:kern w:val="0"/>
                <w:szCs w:val="40"/>
              </w:rPr>
              <w:t>更新債券本月月底發行餘額</w:t>
            </w:r>
            <w:r>
              <w:rPr>
                <w:rFonts w:eastAsia="標楷體" w:hint="eastAsia"/>
                <w:snapToGrid w:val="0"/>
                <w:kern w:val="0"/>
                <w:szCs w:val="40"/>
              </w:rPr>
              <w:t>，並於備註欄位說明變動原因</w:t>
            </w:r>
            <w:r w:rsidRPr="00023843">
              <w:rPr>
                <w:rFonts w:eastAsia="標楷體" w:hint="eastAsia"/>
                <w:snapToGrid w:val="0"/>
                <w:kern w:val="0"/>
                <w:szCs w:val="40"/>
              </w:rPr>
              <w:t>。</w:t>
            </w:r>
          </w:p>
          <w:p w:rsidR="00F35944" w:rsidRDefault="00F35944" w:rsidP="00F35944">
            <w:pPr>
              <w:widowControl/>
              <w:rPr>
                <w:rFonts w:ascii="標楷體" w:eastAsia="標楷體" w:hAnsi="標楷體"/>
              </w:rPr>
            </w:pPr>
            <w:r>
              <w:rPr>
                <w:rFonts w:ascii="標楷體" w:eastAsia="標楷體" w:hAnsi="標楷體" w:hint="eastAsia"/>
              </w:rPr>
              <w:t>3.</w:t>
            </w:r>
            <w:r w:rsidRPr="00AA3CE6">
              <w:rPr>
                <w:rFonts w:ascii="標楷體" w:eastAsia="標楷體" w:hAnsi="標楷體" w:hint="eastAsia"/>
              </w:rPr>
              <w:t>完成前項公告時，以Email通知本中心。</w:t>
            </w:r>
          </w:p>
        </w:tc>
        <w:tc>
          <w:tcPr>
            <w:tcW w:w="711" w:type="pct"/>
          </w:tcPr>
          <w:p w:rsidR="00F35944" w:rsidRDefault="00F35944" w:rsidP="00F35944">
            <w:pPr>
              <w:rPr>
                <w:rFonts w:ascii="標楷體" w:eastAsia="標楷體" w:hAnsi="標楷體"/>
              </w:rPr>
            </w:pPr>
            <w:r w:rsidRPr="00F35944">
              <w:rPr>
                <w:rFonts w:ascii="標楷體" w:eastAsia="標楷體" w:hAnsi="標楷體" w:hint="eastAsia"/>
              </w:rPr>
              <w:lastRenderedPageBreak/>
              <w:t>準用本中心外幣計價國際債券管理規則第36條</w:t>
            </w:r>
          </w:p>
        </w:tc>
      </w:tr>
      <w:tr w:rsidR="00F35944">
        <w:trPr>
          <w:trHeight w:val="705"/>
        </w:trPr>
        <w:tc>
          <w:tcPr>
            <w:tcW w:w="1449" w:type="pct"/>
          </w:tcPr>
          <w:p w:rsidR="00F35944" w:rsidRPr="009C3C13" w:rsidRDefault="00F35944" w:rsidP="00F35944">
            <w:pPr>
              <w:tabs>
                <w:tab w:val="num" w:pos="720"/>
              </w:tabs>
              <w:snapToGrid w:val="0"/>
              <w:ind w:left="425" w:hangingChars="177" w:hanging="425"/>
              <w:jc w:val="both"/>
              <w:rPr>
                <w:rFonts w:ascii="標楷體" w:eastAsia="標楷體" w:hAnsi="標楷體"/>
                <w:b/>
              </w:rPr>
            </w:pPr>
            <w:r>
              <w:rPr>
                <w:rFonts w:ascii="標楷體" w:eastAsia="標楷體" w:hAnsi="標楷體" w:hint="eastAsia"/>
              </w:rPr>
              <w:t>(七)</w:t>
            </w:r>
            <w:r>
              <w:rPr>
                <w:rFonts w:hint="eastAsia"/>
              </w:rPr>
              <w:t xml:space="preserve"> </w:t>
            </w:r>
            <w:r>
              <w:rPr>
                <w:rFonts w:ascii="標楷體" w:eastAsia="標楷體" w:hAnsi="標楷體" w:hint="eastAsia"/>
              </w:rPr>
              <w:t>因到期前全數買回、全部強制贖回</w:t>
            </w:r>
            <w:r w:rsidRPr="00534B3E">
              <w:rPr>
                <w:rFonts w:ascii="標楷體" w:eastAsia="標楷體" w:hAnsi="標楷體" w:hint="eastAsia"/>
              </w:rPr>
              <w:t>或其他因素還清本金並終止櫃檯買賣者</w:t>
            </w:r>
          </w:p>
        </w:tc>
        <w:tc>
          <w:tcPr>
            <w:tcW w:w="809" w:type="pct"/>
          </w:tcPr>
          <w:p w:rsidR="00F35944" w:rsidRPr="009C3C13" w:rsidRDefault="00F35944" w:rsidP="00F35944">
            <w:pPr>
              <w:widowControl/>
              <w:rPr>
                <w:rFonts w:ascii="標楷體" w:eastAsia="標楷體" w:hAnsi="標楷體"/>
                <w:b/>
              </w:rPr>
            </w:pPr>
            <w:r w:rsidRPr="005E1A99">
              <w:rPr>
                <w:rFonts w:ascii="標楷體" w:eastAsia="標楷體" w:hAnsi="標楷體" w:hint="eastAsia"/>
              </w:rPr>
              <w:t>應依發行辦法所定期限內申報;發行辦法未定相關期限者，應於或發行人決定買回債券之次一營業日內申報。</w:t>
            </w:r>
          </w:p>
        </w:tc>
        <w:tc>
          <w:tcPr>
            <w:tcW w:w="2031" w:type="pct"/>
          </w:tcPr>
          <w:p w:rsidR="00F35944" w:rsidRPr="00397F74" w:rsidRDefault="00F35944" w:rsidP="00F35944">
            <w:pPr>
              <w:widowControl/>
              <w:ind w:leftChars="-7" w:left="175" w:hangingChars="80" w:hanging="192"/>
              <w:jc w:val="both"/>
              <w:rPr>
                <w:rFonts w:ascii="Arial" w:eastAsia="標楷體" w:hAnsi="Arial" w:cs="Arial"/>
                <w:kern w:val="0"/>
              </w:rPr>
            </w:pPr>
            <w:r w:rsidRPr="00397F74">
              <w:rPr>
                <w:rFonts w:ascii="Arial" w:eastAsia="標楷體" w:hAnsi="Arial" w:cs="Arial"/>
                <w:kern w:val="0"/>
              </w:rPr>
              <w:t>1.</w:t>
            </w:r>
            <w:r w:rsidRPr="006A0CD7">
              <w:rPr>
                <w:rFonts w:ascii="Arial" w:eastAsia="標楷體" w:hAnsi="Arial" w:cs="Arial" w:hint="eastAsia"/>
                <w:kern w:val="0"/>
              </w:rPr>
              <w:t>請至「公開資訊觀測站」－「外國發行公司債券申報系統</w:t>
            </w:r>
            <w:r w:rsidRPr="006A0CD7">
              <w:rPr>
                <w:rFonts w:ascii="Arial" w:eastAsia="標楷體" w:hAnsi="Arial" w:cs="Arial" w:hint="eastAsia"/>
                <w:kern w:val="0"/>
              </w:rPr>
              <w:t>(</w:t>
            </w:r>
            <w:r w:rsidRPr="006A0CD7">
              <w:rPr>
                <w:rFonts w:ascii="Arial" w:eastAsia="標楷體" w:hAnsi="Arial" w:cs="Arial" w:hint="eastAsia"/>
                <w:kern w:val="0"/>
              </w:rPr>
              <w:t>在我國未公開發行股權商品者適用</w:t>
            </w:r>
            <w:r w:rsidRPr="006A0CD7">
              <w:rPr>
                <w:rFonts w:ascii="Arial" w:eastAsia="標楷體" w:hAnsi="Arial" w:cs="Arial" w:hint="eastAsia"/>
                <w:kern w:val="0"/>
              </w:rPr>
              <w:t>)</w:t>
            </w:r>
            <w:r w:rsidRPr="006A0CD7">
              <w:rPr>
                <w:rFonts w:ascii="Arial" w:eastAsia="標楷體" w:hAnsi="Arial" w:cs="Arial" w:hint="eastAsia"/>
                <w:kern w:val="0"/>
              </w:rPr>
              <w:t>」申報系統</w:t>
            </w:r>
            <w:r w:rsidRPr="006A0CD7">
              <w:rPr>
                <w:rFonts w:ascii="Arial" w:eastAsia="標楷體" w:hAnsi="Arial" w:cs="Arial" w:hint="eastAsia"/>
                <w:kern w:val="0"/>
              </w:rPr>
              <w:t>http://siis.twse.com.tw/e_bond.htm</w:t>
            </w:r>
            <w:r w:rsidRPr="006A0CD7">
              <w:rPr>
                <w:rFonts w:ascii="Arial" w:eastAsia="標楷體" w:hAnsi="Arial" w:cs="Arial" w:hint="eastAsia"/>
                <w:kern w:val="0"/>
              </w:rPr>
              <w:t>到期前餘額變動申報作業：申報「因提前買回、贖回或其他因素提前還清本金並終止櫃檯買賣」</w:t>
            </w:r>
            <w:r>
              <w:rPr>
                <w:rFonts w:ascii="Arial" w:eastAsia="標楷體" w:hAnsi="Arial" w:cs="Arial" w:hint="eastAsia"/>
                <w:kern w:val="0"/>
              </w:rPr>
              <w:t>公告。</w:t>
            </w:r>
          </w:p>
          <w:p w:rsidR="00F35944" w:rsidRDefault="00F35944" w:rsidP="00F35944">
            <w:pPr>
              <w:widowControl/>
              <w:ind w:leftChars="-7" w:left="175" w:hangingChars="80" w:hanging="192"/>
              <w:jc w:val="both"/>
              <w:rPr>
                <w:rFonts w:ascii="Arial" w:eastAsia="標楷體" w:hAnsi="Arial" w:cs="Arial"/>
                <w:kern w:val="0"/>
              </w:rPr>
            </w:pPr>
            <w:r w:rsidRPr="00397F74">
              <w:rPr>
                <w:rFonts w:ascii="Arial" w:eastAsia="標楷體" w:hAnsi="Arial" w:cs="Arial"/>
                <w:kern w:val="0"/>
              </w:rPr>
              <w:t>2.</w:t>
            </w:r>
            <w:r w:rsidRPr="00130B2C">
              <w:rPr>
                <w:rFonts w:ascii="Arial" w:eastAsia="標楷體" w:hAnsi="Arial" w:cs="Arial" w:hint="eastAsia"/>
                <w:kern w:val="0"/>
              </w:rPr>
              <w:t>請至「公開資訊觀測站」－「外國發行公司債券申報系統</w:t>
            </w:r>
            <w:r w:rsidRPr="00130B2C">
              <w:rPr>
                <w:rFonts w:ascii="Arial" w:eastAsia="標楷體" w:hAnsi="Arial" w:cs="Arial" w:hint="eastAsia"/>
                <w:kern w:val="0"/>
              </w:rPr>
              <w:t>(</w:t>
            </w:r>
            <w:r w:rsidRPr="00130B2C">
              <w:rPr>
                <w:rFonts w:ascii="Arial" w:eastAsia="標楷體" w:hAnsi="Arial" w:cs="Arial" w:hint="eastAsia"/>
                <w:kern w:val="0"/>
              </w:rPr>
              <w:t>在我國未公開發行股權商品者適用</w:t>
            </w:r>
            <w:r w:rsidRPr="00130B2C">
              <w:rPr>
                <w:rFonts w:ascii="Arial" w:eastAsia="標楷體" w:hAnsi="Arial" w:cs="Arial" w:hint="eastAsia"/>
                <w:kern w:val="0"/>
              </w:rPr>
              <w:t>)</w:t>
            </w:r>
            <w:r w:rsidRPr="00130B2C">
              <w:rPr>
                <w:rFonts w:ascii="Arial" w:eastAsia="標楷體" w:hAnsi="Arial" w:cs="Arial" w:hint="eastAsia"/>
                <w:kern w:val="0"/>
              </w:rPr>
              <w:t>」申報系統</w:t>
            </w:r>
            <w:r w:rsidRPr="00130B2C">
              <w:rPr>
                <w:rFonts w:ascii="Arial" w:eastAsia="標楷體" w:hAnsi="Arial" w:cs="Arial" w:hint="eastAsia"/>
                <w:kern w:val="0"/>
              </w:rPr>
              <w:t>http://siis.twse.com.tw/e_bond.htm</w:t>
            </w:r>
            <w:r w:rsidRPr="00DC427B">
              <w:rPr>
                <w:rFonts w:ascii="Arial" w:eastAsia="標楷體" w:hAnsi="Arial" w:cs="Arial" w:hint="eastAsia"/>
                <w:kern w:val="0"/>
                <w:u w:val="single"/>
              </w:rPr>
              <w:t>外幣計價國際債券及新台幣計價外國債券基本資料</w:t>
            </w:r>
            <w:r w:rsidRPr="00130B2C">
              <w:rPr>
                <w:rFonts w:ascii="Arial" w:eastAsia="標楷體" w:hAnsi="Arial" w:cs="Arial" w:hint="eastAsia"/>
                <w:kern w:val="0"/>
              </w:rPr>
              <w:t>：</w:t>
            </w:r>
            <w:r>
              <w:rPr>
                <w:rFonts w:ascii="Arial" w:eastAsia="標楷體" w:hAnsi="Arial" w:cs="Arial" w:hint="eastAsia"/>
                <w:kern w:val="0"/>
              </w:rPr>
              <w:t>修改流通在外餘額並於備註欄位說明於提前買</w:t>
            </w:r>
            <w:r>
              <w:rPr>
                <w:rFonts w:ascii="Arial" w:eastAsia="標楷體" w:hAnsi="Arial" w:cs="Arial" w:hint="eastAsia"/>
                <w:kern w:val="0"/>
              </w:rPr>
              <w:t>(</w:t>
            </w:r>
            <w:r>
              <w:rPr>
                <w:rFonts w:ascii="Arial" w:eastAsia="標楷體" w:hAnsi="Arial" w:cs="Arial" w:hint="eastAsia"/>
                <w:kern w:val="0"/>
              </w:rPr>
              <w:t>贖</w:t>
            </w:r>
            <w:r>
              <w:rPr>
                <w:rFonts w:ascii="Arial" w:eastAsia="標楷體" w:hAnsi="Arial" w:cs="Arial" w:hint="eastAsia"/>
                <w:kern w:val="0"/>
              </w:rPr>
              <w:t>)</w:t>
            </w:r>
            <w:r>
              <w:rPr>
                <w:rFonts w:ascii="Arial" w:eastAsia="標楷體" w:hAnsi="Arial" w:cs="Arial" w:hint="eastAsia"/>
                <w:kern w:val="0"/>
              </w:rPr>
              <w:t>回日執行</w:t>
            </w:r>
            <w:r w:rsidRPr="00130B2C">
              <w:rPr>
                <w:rFonts w:ascii="Arial" w:eastAsia="標楷體" w:hAnsi="Arial" w:cs="Arial" w:hint="eastAsia"/>
                <w:kern w:val="0"/>
              </w:rPr>
              <w:t>買</w:t>
            </w:r>
            <w:r w:rsidRPr="00130B2C">
              <w:rPr>
                <w:rFonts w:ascii="Arial" w:eastAsia="標楷體" w:hAnsi="Arial" w:cs="Arial" w:hint="eastAsia"/>
                <w:kern w:val="0"/>
              </w:rPr>
              <w:t>(</w:t>
            </w:r>
            <w:r w:rsidRPr="00130B2C">
              <w:rPr>
                <w:rFonts w:ascii="Arial" w:eastAsia="標楷體" w:hAnsi="Arial" w:cs="Arial" w:hint="eastAsia"/>
                <w:kern w:val="0"/>
              </w:rPr>
              <w:t>贖</w:t>
            </w:r>
            <w:r w:rsidRPr="00130B2C">
              <w:rPr>
                <w:rFonts w:ascii="Arial" w:eastAsia="標楷體" w:hAnsi="Arial" w:cs="Arial" w:hint="eastAsia"/>
                <w:kern w:val="0"/>
              </w:rPr>
              <w:t>)</w:t>
            </w:r>
            <w:r w:rsidRPr="00130B2C">
              <w:rPr>
                <w:rFonts w:ascii="Arial" w:eastAsia="標楷體" w:hAnsi="Arial" w:cs="Arial" w:hint="eastAsia"/>
                <w:kern w:val="0"/>
              </w:rPr>
              <w:t>回</w:t>
            </w:r>
            <w:r>
              <w:rPr>
                <w:rFonts w:ascii="新細明體" w:hAnsi="新細明體" w:cs="Arial" w:hint="eastAsia"/>
                <w:kern w:val="0"/>
              </w:rPr>
              <w:t>，</w:t>
            </w:r>
            <w:r w:rsidRPr="000F48FF">
              <w:rPr>
                <w:rFonts w:ascii="Arial" w:eastAsia="標楷體" w:hAnsi="Arial" w:cs="Arial" w:hint="eastAsia"/>
                <w:kern w:val="0"/>
              </w:rPr>
              <w:t>若全數買</w:t>
            </w:r>
            <w:r w:rsidRPr="000F48FF">
              <w:rPr>
                <w:rFonts w:ascii="Arial" w:eastAsia="標楷體" w:hAnsi="Arial" w:cs="Arial" w:hint="eastAsia"/>
                <w:kern w:val="0"/>
              </w:rPr>
              <w:t>(</w:t>
            </w:r>
            <w:r w:rsidRPr="000F48FF">
              <w:rPr>
                <w:rFonts w:ascii="Arial" w:eastAsia="標楷體" w:hAnsi="Arial" w:cs="Arial" w:hint="eastAsia"/>
                <w:kern w:val="0"/>
              </w:rPr>
              <w:t>贖</w:t>
            </w:r>
            <w:r w:rsidRPr="000F48FF">
              <w:rPr>
                <w:rFonts w:ascii="Arial" w:eastAsia="標楷體" w:hAnsi="Arial" w:cs="Arial" w:hint="eastAsia"/>
                <w:kern w:val="0"/>
              </w:rPr>
              <w:t>)</w:t>
            </w:r>
            <w:r w:rsidRPr="000F48FF">
              <w:rPr>
                <w:rFonts w:ascii="Arial" w:eastAsia="標楷體" w:hAnsi="Arial" w:cs="Arial" w:hint="eastAsia"/>
                <w:kern w:val="0"/>
              </w:rPr>
              <w:t>回者須同時</w:t>
            </w:r>
            <w:r>
              <w:rPr>
                <w:rFonts w:ascii="Arial" w:eastAsia="標楷體" w:hAnsi="Arial" w:cs="Arial" w:hint="eastAsia"/>
                <w:kern w:val="0"/>
              </w:rPr>
              <w:t>揭示</w:t>
            </w:r>
            <w:r w:rsidRPr="000F48FF">
              <w:rPr>
                <w:rFonts w:ascii="Arial" w:eastAsia="標楷體" w:hAnsi="Arial" w:cs="Arial" w:hint="eastAsia"/>
                <w:kern w:val="0"/>
              </w:rPr>
              <w:t>下櫃</w:t>
            </w:r>
            <w:r>
              <w:rPr>
                <w:rFonts w:ascii="Arial" w:eastAsia="標楷體" w:hAnsi="Arial" w:cs="Arial" w:hint="eastAsia"/>
                <w:kern w:val="0"/>
              </w:rPr>
              <w:t>日期</w:t>
            </w:r>
            <w:r w:rsidRPr="00130B2C">
              <w:rPr>
                <w:rFonts w:ascii="Arial" w:eastAsia="標楷體" w:hAnsi="Arial" w:cs="Arial" w:hint="eastAsia"/>
                <w:kern w:val="0"/>
              </w:rPr>
              <w:t>。</w:t>
            </w:r>
          </w:p>
          <w:p w:rsidR="00F35944" w:rsidRDefault="00F35944" w:rsidP="00F35944">
            <w:pPr>
              <w:widowControl/>
              <w:rPr>
                <w:rFonts w:ascii="標楷體" w:eastAsia="標楷體" w:hAnsi="標楷體"/>
              </w:rPr>
            </w:pPr>
            <w:r>
              <w:rPr>
                <w:rFonts w:ascii="Arial" w:eastAsia="標楷體" w:hAnsi="Arial" w:cs="Arial" w:hint="eastAsia"/>
                <w:kern w:val="0"/>
              </w:rPr>
              <w:t>3.</w:t>
            </w:r>
            <w:r w:rsidRPr="00397F74">
              <w:rPr>
                <w:rFonts w:ascii="Arial" w:eastAsia="標楷體" w:hAnsi="Arial" w:cs="Arial"/>
                <w:kern w:val="0"/>
              </w:rPr>
              <w:t>完成前項公告時，以</w:t>
            </w:r>
            <w:r>
              <w:rPr>
                <w:rFonts w:ascii="Arial" w:eastAsia="標楷體" w:hAnsi="Arial" w:cs="Arial" w:hint="eastAsia"/>
                <w:kern w:val="0"/>
              </w:rPr>
              <w:t>E</w:t>
            </w:r>
            <w:r>
              <w:rPr>
                <w:rFonts w:ascii="Arial" w:eastAsia="標楷體" w:hAnsi="Arial" w:cs="Arial"/>
                <w:kern w:val="0"/>
              </w:rPr>
              <w:t>mail</w:t>
            </w:r>
            <w:r w:rsidRPr="00397F74">
              <w:rPr>
                <w:rFonts w:ascii="Arial" w:eastAsia="標楷體" w:hAnsi="Arial" w:cs="Arial"/>
                <w:kern w:val="0"/>
              </w:rPr>
              <w:t>通知本中心。</w:t>
            </w:r>
          </w:p>
        </w:tc>
        <w:tc>
          <w:tcPr>
            <w:tcW w:w="711" w:type="pct"/>
          </w:tcPr>
          <w:p w:rsidR="00F35944" w:rsidRDefault="00F35944" w:rsidP="00F35944">
            <w:pPr>
              <w:widowControl/>
              <w:rPr>
                <w:rFonts w:ascii="標楷體" w:eastAsia="標楷體" w:hAnsi="標楷體"/>
              </w:rPr>
            </w:pPr>
            <w:r w:rsidRPr="00F35944">
              <w:rPr>
                <w:rFonts w:ascii="標楷體" w:eastAsia="標楷體" w:hAnsi="標楷體" w:hint="eastAsia"/>
              </w:rPr>
              <w:t>準用本中心外幣計價國際債券管理規則第36條</w:t>
            </w:r>
          </w:p>
        </w:tc>
      </w:tr>
    </w:tbl>
    <w:p w:rsidR="001F5D38" w:rsidRDefault="001F5D38"/>
    <w:sectPr w:rsidR="001F5D38">
      <w:pgSz w:w="11906" w:h="16838"/>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1776" w:rsidRDefault="007C1776" w:rsidP="006B54ED">
      <w:r>
        <w:separator/>
      </w:r>
    </w:p>
  </w:endnote>
  <w:endnote w:type="continuationSeparator" w:id="0">
    <w:p w:rsidR="007C1776" w:rsidRDefault="007C1776" w:rsidP="006B54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notTrueType/>
    <w:pitch w:val="fixed"/>
    <w:sig w:usb0="00000001" w:usb1="08080000" w:usb2="00000010" w:usb3="00000000" w:csb0="00100000"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1776" w:rsidRDefault="007C1776" w:rsidP="006B54ED">
      <w:r>
        <w:separator/>
      </w:r>
    </w:p>
  </w:footnote>
  <w:footnote w:type="continuationSeparator" w:id="0">
    <w:p w:rsidR="007C1776" w:rsidRDefault="007C1776" w:rsidP="006B54E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32DDA"/>
    <w:multiLevelType w:val="hybridMultilevel"/>
    <w:tmpl w:val="5F78D4B8"/>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3654709"/>
    <w:multiLevelType w:val="hybridMultilevel"/>
    <w:tmpl w:val="AD92536C"/>
    <w:lvl w:ilvl="0" w:tplc="B49E9768">
      <w:start w:val="1"/>
      <w:numFmt w:val="taiwaneseCountingThousand"/>
      <w:lvlText w:val="%1、"/>
      <w:lvlJc w:val="left"/>
      <w:pPr>
        <w:tabs>
          <w:tab w:val="num" w:pos="1200"/>
        </w:tabs>
        <w:ind w:left="1200" w:hanging="720"/>
      </w:pPr>
      <w:rPr>
        <w:rFonts w:eastAsia="標楷體" w:hint="eastAsia"/>
        <w:color w:val="auto"/>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17D0391F"/>
    <w:multiLevelType w:val="hybridMultilevel"/>
    <w:tmpl w:val="36D6015C"/>
    <w:lvl w:ilvl="0" w:tplc="A00A195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203C62E2"/>
    <w:multiLevelType w:val="hybridMultilevel"/>
    <w:tmpl w:val="8F56546A"/>
    <w:lvl w:ilvl="0" w:tplc="72F6A85C">
      <w:start w:val="1"/>
      <w:numFmt w:val="decimal"/>
      <w:lvlText w:val="%1."/>
      <w:lvlJc w:val="left"/>
      <w:pPr>
        <w:tabs>
          <w:tab w:val="num" w:pos="1320"/>
        </w:tabs>
        <w:ind w:left="1320" w:hanging="360"/>
      </w:pPr>
      <w:rPr>
        <w:rFonts w:hint="eastAsia"/>
        <w:sz w:val="24"/>
      </w:rPr>
    </w:lvl>
    <w:lvl w:ilvl="1" w:tplc="04090019">
      <w:start w:val="1"/>
      <w:numFmt w:val="ideographTraditional"/>
      <w:lvlText w:val="%2、"/>
      <w:lvlJc w:val="left"/>
      <w:pPr>
        <w:tabs>
          <w:tab w:val="num" w:pos="1440"/>
        </w:tabs>
        <w:ind w:left="1440" w:hanging="480"/>
      </w:pPr>
    </w:lvl>
    <w:lvl w:ilvl="2" w:tplc="0409001B">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4" w15:restartNumberingAfterBreak="0">
    <w:nsid w:val="2A757B95"/>
    <w:multiLevelType w:val="hybridMultilevel"/>
    <w:tmpl w:val="84EAA57C"/>
    <w:lvl w:ilvl="0" w:tplc="A00A195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2BBA28FC"/>
    <w:multiLevelType w:val="hybridMultilevel"/>
    <w:tmpl w:val="3A44B04E"/>
    <w:lvl w:ilvl="0" w:tplc="B49E9768">
      <w:start w:val="1"/>
      <w:numFmt w:val="taiwaneseCountingThousand"/>
      <w:lvlText w:val="%1、"/>
      <w:lvlJc w:val="left"/>
      <w:pPr>
        <w:tabs>
          <w:tab w:val="num" w:pos="720"/>
        </w:tabs>
        <w:ind w:left="720" w:hanging="720"/>
      </w:pPr>
      <w:rPr>
        <w:rFonts w:eastAsia="標楷體" w:hint="eastAsia"/>
        <w:color w:val="auto"/>
      </w:rPr>
    </w:lvl>
    <w:lvl w:ilvl="1" w:tplc="48CC4BD8">
      <w:start w:val="1"/>
      <w:numFmt w:val="taiwaneseCountingThousand"/>
      <w:lvlText w:val="%2、"/>
      <w:lvlJc w:val="left"/>
      <w:pPr>
        <w:tabs>
          <w:tab w:val="num" w:pos="360"/>
        </w:tabs>
        <w:ind w:left="360" w:hanging="360"/>
      </w:pPr>
      <w:rPr>
        <w:rFonts w:hint="default"/>
      </w:rPr>
    </w:lvl>
    <w:lvl w:ilvl="2" w:tplc="0409001B" w:tentative="1">
      <w:start w:val="1"/>
      <w:numFmt w:val="lowerRoman"/>
      <w:lvlText w:val="%3."/>
      <w:lvlJc w:val="right"/>
      <w:pPr>
        <w:tabs>
          <w:tab w:val="num" w:pos="960"/>
        </w:tabs>
        <w:ind w:left="960" w:hanging="480"/>
      </w:pPr>
    </w:lvl>
    <w:lvl w:ilvl="3" w:tplc="0409000F" w:tentative="1">
      <w:start w:val="1"/>
      <w:numFmt w:val="decimal"/>
      <w:lvlText w:val="%4."/>
      <w:lvlJc w:val="left"/>
      <w:pPr>
        <w:tabs>
          <w:tab w:val="num" w:pos="1440"/>
        </w:tabs>
        <w:ind w:left="1440" w:hanging="480"/>
      </w:pPr>
    </w:lvl>
    <w:lvl w:ilvl="4" w:tplc="04090019" w:tentative="1">
      <w:start w:val="1"/>
      <w:numFmt w:val="ideographTraditional"/>
      <w:lvlText w:val="%5、"/>
      <w:lvlJc w:val="left"/>
      <w:pPr>
        <w:tabs>
          <w:tab w:val="num" w:pos="1920"/>
        </w:tabs>
        <w:ind w:left="1920" w:hanging="480"/>
      </w:pPr>
    </w:lvl>
    <w:lvl w:ilvl="5" w:tplc="0409001B" w:tentative="1">
      <w:start w:val="1"/>
      <w:numFmt w:val="lowerRoman"/>
      <w:lvlText w:val="%6."/>
      <w:lvlJc w:val="right"/>
      <w:pPr>
        <w:tabs>
          <w:tab w:val="num" w:pos="2400"/>
        </w:tabs>
        <w:ind w:left="2400" w:hanging="480"/>
      </w:pPr>
    </w:lvl>
    <w:lvl w:ilvl="6" w:tplc="0409000F" w:tentative="1">
      <w:start w:val="1"/>
      <w:numFmt w:val="decimal"/>
      <w:lvlText w:val="%7."/>
      <w:lvlJc w:val="left"/>
      <w:pPr>
        <w:tabs>
          <w:tab w:val="num" w:pos="2880"/>
        </w:tabs>
        <w:ind w:left="2880" w:hanging="480"/>
      </w:pPr>
    </w:lvl>
    <w:lvl w:ilvl="7" w:tplc="04090019" w:tentative="1">
      <w:start w:val="1"/>
      <w:numFmt w:val="ideographTraditional"/>
      <w:lvlText w:val="%8、"/>
      <w:lvlJc w:val="left"/>
      <w:pPr>
        <w:tabs>
          <w:tab w:val="num" w:pos="3360"/>
        </w:tabs>
        <w:ind w:left="3360" w:hanging="480"/>
      </w:pPr>
    </w:lvl>
    <w:lvl w:ilvl="8" w:tplc="0409001B" w:tentative="1">
      <w:start w:val="1"/>
      <w:numFmt w:val="lowerRoman"/>
      <w:lvlText w:val="%9."/>
      <w:lvlJc w:val="right"/>
      <w:pPr>
        <w:tabs>
          <w:tab w:val="num" w:pos="3840"/>
        </w:tabs>
        <w:ind w:left="3840" w:hanging="480"/>
      </w:pPr>
    </w:lvl>
  </w:abstractNum>
  <w:abstractNum w:abstractNumId="6" w15:restartNumberingAfterBreak="0">
    <w:nsid w:val="2E077402"/>
    <w:multiLevelType w:val="multilevel"/>
    <w:tmpl w:val="2D428C84"/>
    <w:lvl w:ilvl="0">
      <w:start w:val="1"/>
      <w:numFmt w:val="decimal"/>
      <w:lvlText w:val="%1."/>
      <w:lvlJc w:val="left"/>
      <w:pPr>
        <w:tabs>
          <w:tab w:val="num" w:pos="1440"/>
        </w:tabs>
        <w:ind w:left="1440" w:hanging="480"/>
      </w:pPr>
    </w:lvl>
    <w:lvl w:ilvl="1">
      <w:start w:val="1"/>
      <w:numFmt w:val="taiwaneseCountingThousand"/>
      <w:suff w:val="nothing"/>
      <w:lvlText w:val="(%2)"/>
      <w:lvlJc w:val="left"/>
      <w:pPr>
        <w:ind w:left="1935" w:hanging="652"/>
      </w:pPr>
      <w:rPr>
        <w:rFonts w:ascii="標楷體" w:eastAsia="標楷體" w:hint="eastAsia"/>
        <w:b w:val="0"/>
        <w:i w:val="0"/>
        <w:sz w:val="32"/>
      </w:rPr>
    </w:lvl>
    <w:lvl w:ilvl="2">
      <w:start w:val="1"/>
      <w:numFmt w:val="decimalFullWidth"/>
      <w:suff w:val="nothing"/>
      <w:lvlText w:val="%3、"/>
      <w:lvlJc w:val="left"/>
      <w:pPr>
        <w:ind w:left="2253" w:hanging="641"/>
      </w:pPr>
      <w:rPr>
        <w:rFonts w:ascii="標楷體" w:eastAsia="標楷體" w:hint="eastAsia"/>
        <w:b w:val="0"/>
        <w:i w:val="0"/>
        <w:sz w:val="32"/>
      </w:rPr>
    </w:lvl>
    <w:lvl w:ilvl="3">
      <w:start w:val="1"/>
      <w:numFmt w:val="decimalFullWidth"/>
      <w:suff w:val="nothing"/>
      <w:lvlText w:val="(%4)"/>
      <w:lvlJc w:val="left"/>
      <w:pPr>
        <w:ind w:left="2576" w:hanging="641"/>
      </w:pPr>
      <w:rPr>
        <w:rFonts w:ascii="標楷體" w:eastAsia="標楷體" w:hint="eastAsia"/>
        <w:b w:val="0"/>
        <w:i w:val="0"/>
        <w:sz w:val="32"/>
      </w:rPr>
    </w:lvl>
    <w:lvl w:ilvl="4">
      <w:start w:val="1"/>
      <w:numFmt w:val="ideographTraditional"/>
      <w:suff w:val="nothing"/>
      <w:lvlText w:val="%5、"/>
      <w:lvlJc w:val="left"/>
      <w:pPr>
        <w:ind w:left="2888" w:hanging="635"/>
      </w:pPr>
      <w:rPr>
        <w:rFonts w:ascii="標楷體" w:eastAsia="標楷體" w:hint="eastAsia"/>
        <w:b w:val="0"/>
        <w:i w:val="0"/>
        <w:sz w:val="32"/>
      </w:rPr>
    </w:lvl>
    <w:lvl w:ilvl="5">
      <w:start w:val="5"/>
      <w:numFmt w:val="taiwaneseCountingThousand"/>
      <w:lvlText w:val="（%6)、"/>
      <w:lvlJc w:val="left"/>
      <w:pPr>
        <w:tabs>
          <w:tab w:val="num" w:pos="4560"/>
        </w:tabs>
        <w:ind w:left="4560" w:hanging="3061"/>
      </w:pPr>
      <w:rPr>
        <w:rFonts w:hint="eastAsia"/>
      </w:rPr>
    </w:lvl>
    <w:lvl w:ilvl="6">
      <w:start w:val="1"/>
      <w:numFmt w:val="none"/>
      <w:lvlText w:val=""/>
      <w:lvlJc w:val="left"/>
      <w:pPr>
        <w:tabs>
          <w:tab w:val="num" w:pos="4560"/>
        </w:tabs>
        <w:ind w:left="4560" w:hanging="3061"/>
      </w:pPr>
      <w:rPr>
        <w:rFonts w:hint="eastAsia"/>
      </w:rPr>
    </w:lvl>
    <w:lvl w:ilvl="7">
      <w:start w:val="1"/>
      <w:numFmt w:val="none"/>
      <w:lvlText w:val=""/>
      <w:lvlJc w:val="left"/>
      <w:pPr>
        <w:tabs>
          <w:tab w:val="num" w:pos="5042"/>
        </w:tabs>
        <w:ind w:left="5042" w:hanging="1418"/>
      </w:pPr>
      <w:rPr>
        <w:rFonts w:hint="eastAsia"/>
      </w:rPr>
    </w:lvl>
    <w:lvl w:ilvl="8">
      <w:start w:val="1"/>
      <w:numFmt w:val="none"/>
      <w:lvlText w:val=""/>
      <w:lvlJc w:val="left"/>
      <w:pPr>
        <w:tabs>
          <w:tab w:val="num" w:pos="5750"/>
        </w:tabs>
        <w:ind w:left="5750" w:hanging="1700"/>
      </w:pPr>
      <w:rPr>
        <w:rFonts w:hint="eastAsia"/>
      </w:rPr>
    </w:lvl>
  </w:abstractNum>
  <w:abstractNum w:abstractNumId="7" w15:restartNumberingAfterBreak="0">
    <w:nsid w:val="2F96490F"/>
    <w:multiLevelType w:val="hybridMultilevel"/>
    <w:tmpl w:val="D868A718"/>
    <w:lvl w:ilvl="0" w:tplc="0409000F">
      <w:start w:val="1"/>
      <w:numFmt w:val="decimal"/>
      <w:lvlText w:val="%1."/>
      <w:lvlJc w:val="left"/>
      <w:pPr>
        <w:tabs>
          <w:tab w:val="num" w:pos="480"/>
        </w:tabs>
        <w:ind w:left="480" w:hanging="480"/>
      </w:pPr>
    </w:lvl>
    <w:lvl w:ilvl="1" w:tplc="1CA67004">
      <w:start w:val="1"/>
      <w:numFmt w:val="decimal"/>
      <w:lvlText w:val="（%2）"/>
      <w:lvlJc w:val="left"/>
      <w:pPr>
        <w:tabs>
          <w:tab w:val="num" w:pos="1331"/>
        </w:tabs>
        <w:ind w:left="1331" w:hanging="851"/>
      </w:pPr>
      <w:rPr>
        <w:rFonts w:hint="default"/>
      </w:rPr>
    </w:lvl>
    <w:lvl w:ilvl="2" w:tplc="CDA4943A">
      <w:start w:val="2"/>
      <w:numFmt w:val="upperLetter"/>
      <w:lvlText w:val="%3."/>
      <w:lvlJc w:val="left"/>
      <w:pPr>
        <w:tabs>
          <w:tab w:val="num" w:pos="1320"/>
        </w:tabs>
        <w:ind w:left="1320" w:hanging="36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313D3D18"/>
    <w:multiLevelType w:val="hybridMultilevel"/>
    <w:tmpl w:val="7370F9CC"/>
    <w:lvl w:ilvl="0" w:tplc="5366D51E">
      <w:start w:val="1"/>
      <w:numFmt w:val="decimal"/>
      <w:lvlText w:val="%1."/>
      <w:lvlJc w:val="left"/>
      <w:pPr>
        <w:tabs>
          <w:tab w:val="num" w:pos="444"/>
        </w:tabs>
        <w:ind w:left="444" w:hanging="360"/>
      </w:pPr>
      <w:rPr>
        <w:rFonts w:hint="eastAsia"/>
      </w:rPr>
    </w:lvl>
    <w:lvl w:ilvl="1" w:tplc="04090019" w:tentative="1">
      <w:start w:val="1"/>
      <w:numFmt w:val="ideographTraditional"/>
      <w:lvlText w:val="%2、"/>
      <w:lvlJc w:val="left"/>
      <w:pPr>
        <w:tabs>
          <w:tab w:val="num" w:pos="1044"/>
        </w:tabs>
        <w:ind w:left="1044" w:hanging="480"/>
      </w:pPr>
    </w:lvl>
    <w:lvl w:ilvl="2" w:tplc="0409001B" w:tentative="1">
      <w:start w:val="1"/>
      <w:numFmt w:val="lowerRoman"/>
      <w:lvlText w:val="%3."/>
      <w:lvlJc w:val="right"/>
      <w:pPr>
        <w:tabs>
          <w:tab w:val="num" w:pos="1524"/>
        </w:tabs>
        <w:ind w:left="1524" w:hanging="480"/>
      </w:pPr>
    </w:lvl>
    <w:lvl w:ilvl="3" w:tplc="0409000F" w:tentative="1">
      <w:start w:val="1"/>
      <w:numFmt w:val="decimal"/>
      <w:lvlText w:val="%4."/>
      <w:lvlJc w:val="left"/>
      <w:pPr>
        <w:tabs>
          <w:tab w:val="num" w:pos="2004"/>
        </w:tabs>
        <w:ind w:left="2004" w:hanging="480"/>
      </w:pPr>
    </w:lvl>
    <w:lvl w:ilvl="4" w:tplc="04090019" w:tentative="1">
      <w:start w:val="1"/>
      <w:numFmt w:val="ideographTraditional"/>
      <w:lvlText w:val="%5、"/>
      <w:lvlJc w:val="left"/>
      <w:pPr>
        <w:tabs>
          <w:tab w:val="num" w:pos="2484"/>
        </w:tabs>
        <w:ind w:left="2484" w:hanging="480"/>
      </w:pPr>
    </w:lvl>
    <w:lvl w:ilvl="5" w:tplc="0409001B" w:tentative="1">
      <w:start w:val="1"/>
      <w:numFmt w:val="lowerRoman"/>
      <w:lvlText w:val="%6."/>
      <w:lvlJc w:val="right"/>
      <w:pPr>
        <w:tabs>
          <w:tab w:val="num" w:pos="2964"/>
        </w:tabs>
        <w:ind w:left="2964" w:hanging="480"/>
      </w:pPr>
    </w:lvl>
    <w:lvl w:ilvl="6" w:tplc="0409000F" w:tentative="1">
      <w:start w:val="1"/>
      <w:numFmt w:val="decimal"/>
      <w:lvlText w:val="%7."/>
      <w:lvlJc w:val="left"/>
      <w:pPr>
        <w:tabs>
          <w:tab w:val="num" w:pos="3444"/>
        </w:tabs>
        <w:ind w:left="3444" w:hanging="480"/>
      </w:pPr>
    </w:lvl>
    <w:lvl w:ilvl="7" w:tplc="04090019" w:tentative="1">
      <w:start w:val="1"/>
      <w:numFmt w:val="ideographTraditional"/>
      <w:lvlText w:val="%8、"/>
      <w:lvlJc w:val="left"/>
      <w:pPr>
        <w:tabs>
          <w:tab w:val="num" w:pos="3924"/>
        </w:tabs>
        <w:ind w:left="3924" w:hanging="480"/>
      </w:pPr>
    </w:lvl>
    <w:lvl w:ilvl="8" w:tplc="0409001B" w:tentative="1">
      <w:start w:val="1"/>
      <w:numFmt w:val="lowerRoman"/>
      <w:lvlText w:val="%9."/>
      <w:lvlJc w:val="right"/>
      <w:pPr>
        <w:tabs>
          <w:tab w:val="num" w:pos="4404"/>
        </w:tabs>
        <w:ind w:left="4404" w:hanging="480"/>
      </w:pPr>
    </w:lvl>
  </w:abstractNum>
  <w:abstractNum w:abstractNumId="9" w15:restartNumberingAfterBreak="0">
    <w:nsid w:val="33ED4CBB"/>
    <w:multiLevelType w:val="hybridMultilevel"/>
    <w:tmpl w:val="CD12DB6E"/>
    <w:lvl w:ilvl="0" w:tplc="0409000F">
      <w:start w:val="1"/>
      <w:numFmt w:val="decimal"/>
      <w:lvlText w:val="%1."/>
      <w:lvlJc w:val="left"/>
      <w:pPr>
        <w:tabs>
          <w:tab w:val="num" w:pos="480"/>
        </w:tabs>
        <w:ind w:left="480" w:hanging="480"/>
      </w:pPr>
    </w:lvl>
    <w:lvl w:ilvl="1" w:tplc="04090019">
      <w:start w:val="1"/>
      <w:numFmt w:val="ideographTraditional"/>
      <w:lvlText w:val="%2、"/>
      <w:lvlJc w:val="left"/>
      <w:pPr>
        <w:tabs>
          <w:tab w:val="num" w:pos="960"/>
        </w:tabs>
        <w:ind w:left="960" w:hanging="480"/>
      </w:pPr>
    </w:lvl>
    <w:lvl w:ilvl="2" w:tplc="0409000F">
      <w:start w:val="1"/>
      <w:numFmt w:val="decimal"/>
      <w:lvlText w:val="%3."/>
      <w:lvlJc w:val="lef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36580807"/>
    <w:multiLevelType w:val="hybridMultilevel"/>
    <w:tmpl w:val="9492143A"/>
    <w:lvl w:ilvl="0" w:tplc="308E0650">
      <w:start w:val="5"/>
      <w:numFmt w:val="bullet"/>
      <w:lvlText w:val="□"/>
      <w:lvlJc w:val="left"/>
      <w:pPr>
        <w:tabs>
          <w:tab w:val="num" w:pos="372"/>
        </w:tabs>
        <w:ind w:left="372" w:hanging="360"/>
      </w:pPr>
      <w:rPr>
        <w:rFonts w:ascii="Times New Roman" w:eastAsia="標楷體" w:hAnsi="Times New Roman" w:cs="Times New Roman" w:hint="default"/>
      </w:rPr>
    </w:lvl>
    <w:lvl w:ilvl="1" w:tplc="04090003" w:tentative="1">
      <w:start w:val="1"/>
      <w:numFmt w:val="bullet"/>
      <w:lvlText w:val=""/>
      <w:lvlJc w:val="left"/>
      <w:pPr>
        <w:tabs>
          <w:tab w:val="num" w:pos="972"/>
        </w:tabs>
        <w:ind w:left="972" w:hanging="480"/>
      </w:pPr>
      <w:rPr>
        <w:rFonts w:ascii="Wingdings" w:hAnsi="Wingdings" w:hint="default"/>
      </w:rPr>
    </w:lvl>
    <w:lvl w:ilvl="2" w:tplc="04090005" w:tentative="1">
      <w:start w:val="1"/>
      <w:numFmt w:val="bullet"/>
      <w:lvlText w:val=""/>
      <w:lvlJc w:val="left"/>
      <w:pPr>
        <w:tabs>
          <w:tab w:val="num" w:pos="1452"/>
        </w:tabs>
        <w:ind w:left="1452" w:hanging="480"/>
      </w:pPr>
      <w:rPr>
        <w:rFonts w:ascii="Wingdings" w:hAnsi="Wingdings" w:hint="default"/>
      </w:rPr>
    </w:lvl>
    <w:lvl w:ilvl="3" w:tplc="04090001" w:tentative="1">
      <w:start w:val="1"/>
      <w:numFmt w:val="bullet"/>
      <w:lvlText w:val=""/>
      <w:lvlJc w:val="left"/>
      <w:pPr>
        <w:tabs>
          <w:tab w:val="num" w:pos="1932"/>
        </w:tabs>
        <w:ind w:left="1932" w:hanging="480"/>
      </w:pPr>
      <w:rPr>
        <w:rFonts w:ascii="Wingdings" w:hAnsi="Wingdings" w:hint="default"/>
      </w:rPr>
    </w:lvl>
    <w:lvl w:ilvl="4" w:tplc="04090003" w:tentative="1">
      <w:start w:val="1"/>
      <w:numFmt w:val="bullet"/>
      <w:lvlText w:val=""/>
      <w:lvlJc w:val="left"/>
      <w:pPr>
        <w:tabs>
          <w:tab w:val="num" w:pos="2412"/>
        </w:tabs>
        <w:ind w:left="2412" w:hanging="480"/>
      </w:pPr>
      <w:rPr>
        <w:rFonts w:ascii="Wingdings" w:hAnsi="Wingdings" w:hint="default"/>
      </w:rPr>
    </w:lvl>
    <w:lvl w:ilvl="5" w:tplc="04090005" w:tentative="1">
      <w:start w:val="1"/>
      <w:numFmt w:val="bullet"/>
      <w:lvlText w:val=""/>
      <w:lvlJc w:val="left"/>
      <w:pPr>
        <w:tabs>
          <w:tab w:val="num" w:pos="2892"/>
        </w:tabs>
        <w:ind w:left="2892" w:hanging="480"/>
      </w:pPr>
      <w:rPr>
        <w:rFonts w:ascii="Wingdings" w:hAnsi="Wingdings" w:hint="default"/>
      </w:rPr>
    </w:lvl>
    <w:lvl w:ilvl="6" w:tplc="04090001" w:tentative="1">
      <w:start w:val="1"/>
      <w:numFmt w:val="bullet"/>
      <w:lvlText w:val=""/>
      <w:lvlJc w:val="left"/>
      <w:pPr>
        <w:tabs>
          <w:tab w:val="num" w:pos="3372"/>
        </w:tabs>
        <w:ind w:left="3372" w:hanging="480"/>
      </w:pPr>
      <w:rPr>
        <w:rFonts w:ascii="Wingdings" w:hAnsi="Wingdings" w:hint="default"/>
      </w:rPr>
    </w:lvl>
    <w:lvl w:ilvl="7" w:tplc="04090003" w:tentative="1">
      <w:start w:val="1"/>
      <w:numFmt w:val="bullet"/>
      <w:lvlText w:val=""/>
      <w:lvlJc w:val="left"/>
      <w:pPr>
        <w:tabs>
          <w:tab w:val="num" w:pos="3852"/>
        </w:tabs>
        <w:ind w:left="3852" w:hanging="480"/>
      </w:pPr>
      <w:rPr>
        <w:rFonts w:ascii="Wingdings" w:hAnsi="Wingdings" w:hint="default"/>
      </w:rPr>
    </w:lvl>
    <w:lvl w:ilvl="8" w:tplc="04090005" w:tentative="1">
      <w:start w:val="1"/>
      <w:numFmt w:val="bullet"/>
      <w:lvlText w:val=""/>
      <w:lvlJc w:val="left"/>
      <w:pPr>
        <w:tabs>
          <w:tab w:val="num" w:pos="4332"/>
        </w:tabs>
        <w:ind w:left="4332" w:hanging="480"/>
      </w:pPr>
      <w:rPr>
        <w:rFonts w:ascii="Wingdings" w:hAnsi="Wingdings" w:hint="default"/>
      </w:rPr>
    </w:lvl>
  </w:abstractNum>
  <w:abstractNum w:abstractNumId="11" w15:restartNumberingAfterBreak="0">
    <w:nsid w:val="37A72FF6"/>
    <w:multiLevelType w:val="hybridMultilevel"/>
    <w:tmpl w:val="35009830"/>
    <w:lvl w:ilvl="0" w:tplc="2ACAE404">
      <w:start w:val="1"/>
      <w:numFmt w:val="taiwaneseCountingThousand"/>
      <w:lvlText w:val="%1、"/>
      <w:lvlJc w:val="left"/>
      <w:pPr>
        <w:tabs>
          <w:tab w:val="num" w:pos="1104"/>
        </w:tabs>
        <w:ind w:left="1104" w:hanging="624"/>
      </w:pPr>
      <w:rPr>
        <w:rFonts w:hint="eastAsia"/>
        <w:color w:val="auto"/>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2" w15:restartNumberingAfterBreak="0">
    <w:nsid w:val="38850900"/>
    <w:multiLevelType w:val="hybridMultilevel"/>
    <w:tmpl w:val="FA44AA68"/>
    <w:lvl w:ilvl="0" w:tplc="064033AC">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3FDF7FC4"/>
    <w:multiLevelType w:val="hybridMultilevel"/>
    <w:tmpl w:val="9BCA4284"/>
    <w:lvl w:ilvl="0" w:tplc="861A29A0">
      <w:start w:val="1"/>
      <w:numFmt w:val="decimal"/>
      <w:lvlText w:val="（%1）"/>
      <w:lvlJc w:val="left"/>
      <w:pPr>
        <w:tabs>
          <w:tab w:val="num" w:pos="1200"/>
        </w:tabs>
        <w:ind w:left="1200" w:hanging="720"/>
      </w:pPr>
      <w:rPr>
        <w:rFonts w:hint="eastAsia"/>
      </w:rPr>
    </w:lvl>
    <w:lvl w:ilvl="1" w:tplc="E1868C8C">
      <w:start w:val="1"/>
      <w:numFmt w:val="taiwaneseCountingThousand"/>
      <w:lvlText w:val="%2、"/>
      <w:lvlJc w:val="left"/>
      <w:pPr>
        <w:tabs>
          <w:tab w:val="num" w:pos="998"/>
        </w:tabs>
        <w:ind w:left="998" w:hanging="681"/>
      </w:pPr>
      <w:rPr>
        <w:rFonts w:hint="eastAsia"/>
        <w:color w:val="FF0000"/>
      </w:rPr>
    </w:lvl>
    <w:lvl w:ilvl="2" w:tplc="0409000F">
      <w:start w:val="1"/>
      <w:numFmt w:val="decimal"/>
      <w:lvlText w:val="%3."/>
      <w:lvlJc w:val="left"/>
      <w:pPr>
        <w:tabs>
          <w:tab w:val="num" w:pos="1440"/>
        </w:tabs>
        <w:ind w:left="1440" w:hanging="480"/>
      </w:pPr>
    </w:lvl>
    <w:lvl w:ilvl="3" w:tplc="498AAC2C">
      <w:start w:val="1"/>
      <w:numFmt w:val="decimal"/>
      <w:lvlText w:val="%4."/>
      <w:lvlJc w:val="left"/>
      <w:pPr>
        <w:tabs>
          <w:tab w:val="num" w:pos="1800"/>
        </w:tabs>
        <w:ind w:left="1800" w:hanging="360"/>
      </w:pPr>
      <w:rPr>
        <w:rFonts w:hint="eastAsia"/>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47926702"/>
    <w:multiLevelType w:val="hybridMultilevel"/>
    <w:tmpl w:val="51CA0258"/>
    <w:lvl w:ilvl="0" w:tplc="DF0C604A">
      <w:start w:val="1"/>
      <w:numFmt w:val="taiwaneseCountingThousand"/>
      <w:lvlText w:val="（%1）"/>
      <w:lvlJc w:val="left"/>
      <w:pPr>
        <w:tabs>
          <w:tab w:val="num" w:pos="1021"/>
        </w:tabs>
        <w:ind w:left="1021" w:hanging="1021"/>
      </w:pPr>
      <w:rPr>
        <w:rFonts w:hint="eastAsia"/>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54C149AB"/>
    <w:multiLevelType w:val="hybridMultilevel"/>
    <w:tmpl w:val="C836368C"/>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5E5C3EF7"/>
    <w:multiLevelType w:val="multilevel"/>
    <w:tmpl w:val="5DF86C28"/>
    <w:lvl w:ilvl="0">
      <w:start w:val="1"/>
      <w:numFmt w:val="ideographLegalTraditional"/>
      <w:pStyle w:val="1"/>
      <w:lvlText w:val="%1、"/>
      <w:lvlJc w:val="left"/>
      <w:pPr>
        <w:tabs>
          <w:tab w:val="num" w:pos="958"/>
        </w:tabs>
        <w:ind w:left="958" w:hanging="641"/>
      </w:pPr>
      <w:rPr>
        <w:rFonts w:ascii="標楷體" w:eastAsia="標楷體" w:hint="eastAsia"/>
        <w:b/>
        <w:i w:val="0"/>
        <w:caps w:val="0"/>
        <w:smallCaps w:val="0"/>
        <w:strike w:val="0"/>
        <w:dstrike w:val="0"/>
        <w:vanish w:val="0"/>
        <w:color w:val="000000"/>
        <w:position w:val="0"/>
        <w:sz w:val="36"/>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Q%2"/>
      <w:lvlJc w:val="left"/>
      <w:pPr>
        <w:tabs>
          <w:tab w:val="num" w:pos="851"/>
        </w:tabs>
        <w:ind w:left="851" w:hanging="511"/>
      </w:pPr>
      <w:rPr>
        <w:rFonts w:hint="eastAsia"/>
      </w:rPr>
    </w:lvl>
    <w:lvl w:ilvl="2">
      <w:start w:val="1"/>
      <w:numFmt w:val="taiwaneseCountingThousand"/>
      <w:lvlText w:val="(%3)"/>
      <w:lvlJc w:val="left"/>
      <w:pPr>
        <w:tabs>
          <w:tab w:val="num" w:pos="1911"/>
        </w:tabs>
        <w:ind w:left="1911" w:hanging="652"/>
      </w:pPr>
      <w:rPr>
        <w:rFonts w:ascii="標楷體" w:eastAsia="標楷體" w:hint="eastAsia"/>
        <w:b w:val="0"/>
        <w:i w:val="0"/>
        <w:caps w:val="0"/>
        <w:smallCaps w:val="0"/>
        <w:strike w:val="0"/>
        <w:dstrike w:val="0"/>
        <w:vanish w:val="0"/>
        <w:color w:val="000000"/>
        <w:position w:val="0"/>
        <w:sz w:val="3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2546"/>
        </w:tabs>
        <w:ind w:left="2546" w:hanging="970"/>
      </w:pPr>
      <w:rPr>
        <w:rFonts w:ascii="標楷體" w:eastAsia="標楷體" w:hint="eastAsia"/>
        <w:b w:val="0"/>
        <w:i w:val="0"/>
        <w:caps w:val="0"/>
        <w:smallCaps w:val="0"/>
        <w:strike w:val="0"/>
        <w:dstrike w:val="0"/>
        <w:vanish w:val="0"/>
        <w:color w:val="000000"/>
        <w:position w:val="0"/>
        <w:sz w:val="3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2551"/>
        </w:tabs>
        <w:ind w:left="2551" w:hanging="850"/>
      </w:pPr>
      <w:rPr>
        <w:rFonts w:ascii="標楷體" w:eastAsia="標楷體" w:hint="eastAsia"/>
        <w:b w:val="0"/>
        <w:i w:val="0"/>
        <w:caps w:val="0"/>
        <w:smallCaps w:val="0"/>
        <w:strike w:val="0"/>
        <w:dstrike w:val="0"/>
        <w:vanish w:val="0"/>
        <w:color w:val="000000"/>
        <w:position w:val="0"/>
        <w:sz w:val="3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3260"/>
        </w:tabs>
        <w:ind w:left="3260" w:hanging="1134"/>
      </w:pPr>
      <w:rPr>
        <w:rFonts w:ascii="標楷體" w:eastAsia="標楷體" w:hint="eastAsia"/>
        <w:b w:val="0"/>
        <w:i w:val="0"/>
        <w:caps w:val="0"/>
        <w:smallCaps w:val="0"/>
        <w:strike w:val="0"/>
        <w:dstrike w:val="0"/>
        <w:vanish w:val="0"/>
        <w:color w:val="000000"/>
        <w:position w:val="0"/>
        <w:sz w:val="3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tabs>
          <w:tab w:val="num" w:pos="3827"/>
        </w:tabs>
        <w:ind w:left="3827" w:hanging="1276"/>
      </w:pPr>
      <w:rPr>
        <w:rFonts w:ascii="標楷體" w:eastAsia="標楷體" w:hint="eastAsia"/>
        <w:b w:val="0"/>
        <w:i w:val="0"/>
        <w:caps w:val="0"/>
        <w:smallCaps w:val="0"/>
        <w:strike w:val="0"/>
        <w:dstrike w:val="0"/>
        <w:vanish w:val="0"/>
        <w:color w:val="000000"/>
        <w:position w:val="0"/>
        <w:sz w:val="3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4394"/>
        </w:tabs>
        <w:ind w:left="4394" w:hanging="1418"/>
      </w:pPr>
      <w:rPr>
        <w:rFonts w:ascii="標楷體" w:eastAsia="標楷體" w:hint="eastAsia"/>
        <w:b w:val="0"/>
        <w:i w:val="0"/>
        <w:caps w:val="0"/>
        <w:smallCaps w:val="0"/>
        <w:strike w:val="0"/>
        <w:dstrike w:val="0"/>
        <w:vanish w:val="0"/>
        <w:color w:val="000000"/>
        <w:position w:val="0"/>
        <w:sz w:val="3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num" w:pos="5102"/>
        </w:tabs>
        <w:ind w:left="5102" w:hanging="1700"/>
      </w:pPr>
      <w:rPr>
        <w:rFonts w:ascii="標楷體" w:eastAsia="標楷體" w:hint="eastAsia"/>
        <w:b w:val="0"/>
        <w:i w:val="0"/>
        <w:caps w:val="0"/>
        <w:smallCaps w:val="0"/>
        <w:strike w:val="0"/>
        <w:dstrike w:val="0"/>
        <w:vanish w:val="0"/>
        <w:color w:val="000000"/>
        <w:position w:val="0"/>
        <w:sz w:val="32"/>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78FD5348"/>
    <w:multiLevelType w:val="hybridMultilevel"/>
    <w:tmpl w:val="58A667C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795C08B5"/>
    <w:multiLevelType w:val="hybridMultilevel"/>
    <w:tmpl w:val="3CCEFB7A"/>
    <w:lvl w:ilvl="0" w:tplc="8BE096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6"/>
  </w:num>
  <w:num w:numId="2">
    <w:abstractNumId w:val="0"/>
  </w:num>
  <w:num w:numId="3">
    <w:abstractNumId w:val="4"/>
  </w:num>
  <w:num w:numId="4">
    <w:abstractNumId w:val="2"/>
  </w:num>
  <w:num w:numId="5">
    <w:abstractNumId w:val="7"/>
  </w:num>
  <w:num w:numId="6">
    <w:abstractNumId w:val="9"/>
  </w:num>
  <w:num w:numId="7">
    <w:abstractNumId w:val="1"/>
  </w:num>
  <w:num w:numId="8">
    <w:abstractNumId w:val="11"/>
  </w:num>
  <w:num w:numId="9">
    <w:abstractNumId w:val="10"/>
  </w:num>
  <w:num w:numId="10">
    <w:abstractNumId w:val="12"/>
  </w:num>
  <w:num w:numId="11">
    <w:abstractNumId w:val="17"/>
  </w:num>
  <w:num w:numId="12">
    <w:abstractNumId w:val="14"/>
  </w:num>
  <w:num w:numId="13">
    <w:abstractNumId w:val="6"/>
  </w:num>
  <w:num w:numId="14">
    <w:abstractNumId w:val="13"/>
  </w:num>
  <w:num w:numId="15">
    <w:abstractNumId w:val="5"/>
  </w:num>
  <w:num w:numId="16">
    <w:abstractNumId w:val="3"/>
  </w:num>
  <w:num w:numId="17">
    <w:abstractNumId w:val="15"/>
  </w:num>
  <w:num w:numId="18">
    <w:abstractNumId w:val="18"/>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B7A"/>
    <w:rsid w:val="000037AE"/>
    <w:rsid w:val="00026E91"/>
    <w:rsid w:val="00036799"/>
    <w:rsid w:val="000E2A34"/>
    <w:rsid w:val="001A1B7A"/>
    <w:rsid w:val="001F5D38"/>
    <w:rsid w:val="00267E18"/>
    <w:rsid w:val="002734F6"/>
    <w:rsid w:val="0031025C"/>
    <w:rsid w:val="00347DC9"/>
    <w:rsid w:val="00371D4C"/>
    <w:rsid w:val="0040093F"/>
    <w:rsid w:val="004A5B9D"/>
    <w:rsid w:val="004F5029"/>
    <w:rsid w:val="004F7B2D"/>
    <w:rsid w:val="00517B02"/>
    <w:rsid w:val="00533A20"/>
    <w:rsid w:val="00534B3E"/>
    <w:rsid w:val="00554C55"/>
    <w:rsid w:val="005A2C39"/>
    <w:rsid w:val="005E1A99"/>
    <w:rsid w:val="006A0CD7"/>
    <w:rsid w:val="006B54ED"/>
    <w:rsid w:val="00702248"/>
    <w:rsid w:val="00703E62"/>
    <w:rsid w:val="00716E7B"/>
    <w:rsid w:val="007B7527"/>
    <w:rsid w:val="007C1776"/>
    <w:rsid w:val="007F48EA"/>
    <w:rsid w:val="008179D5"/>
    <w:rsid w:val="00867229"/>
    <w:rsid w:val="00870B6C"/>
    <w:rsid w:val="00902D0D"/>
    <w:rsid w:val="00913D36"/>
    <w:rsid w:val="00981DA3"/>
    <w:rsid w:val="009A6953"/>
    <w:rsid w:val="009C3C13"/>
    <w:rsid w:val="00A535BC"/>
    <w:rsid w:val="00A615FB"/>
    <w:rsid w:val="00A84EB8"/>
    <w:rsid w:val="00AA3818"/>
    <w:rsid w:val="00AA3CE6"/>
    <w:rsid w:val="00B374C0"/>
    <w:rsid w:val="00B84E31"/>
    <w:rsid w:val="00C23E17"/>
    <w:rsid w:val="00CE70F7"/>
    <w:rsid w:val="00D82016"/>
    <w:rsid w:val="00DC427B"/>
    <w:rsid w:val="00EA6CF1"/>
    <w:rsid w:val="00EC53B3"/>
    <w:rsid w:val="00F13F00"/>
    <w:rsid w:val="00F32C5A"/>
    <w:rsid w:val="00F35944"/>
    <w:rsid w:val="00F4505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EBD99624-2A57-4F3A-82AD-AB61BB178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paragraph" w:styleId="1">
    <w:name w:val="heading 1"/>
    <w:basedOn w:val="a"/>
    <w:next w:val="a"/>
    <w:qFormat/>
    <w:pPr>
      <w:keepNext/>
      <w:numPr>
        <w:numId w:val="1"/>
      </w:numPr>
      <w:tabs>
        <w:tab w:val="clear" w:pos="958"/>
        <w:tab w:val="num" w:pos="425"/>
      </w:tabs>
      <w:spacing w:before="180" w:after="180" w:line="720" w:lineRule="auto"/>
      <w:ind w:left="425" w:hanging="425"/>
      <w:outlineLvl w:val="0"/>
    </w:pPr>
    <w:rPr>
      <w:rFonts w:ascii="Arial" w:hAnsi="Arial"/>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0000FF"/>
      <w:u w:val="single"/>
    </w:rPr>
  </w:style>
  <w:style w:type="paragraph" w:styleId="a4">
    <w:name w:val="footer"/>
    <w:basedOn w:val="a"/>
    <w:semiHidden/>
    <w:pPr>
      <w:tabs>
        <w:tab w:val="center" w:pos="4153"/>
        <w:tab w:val="right" w:pos="8306"/>
      </w:tabs>
      <w:snapToGrid w:val="0"/>
    </w:pPr>
    <w:rPr>
      <w:sz w:val="20"/>
      <w:szCs w:val="20"/>
    </w:rPr>
  </w:style>
  <w:style w:type="paragraph" w:customStyle="1" w:styleId="10">
    <w:name w:val="內文1"/>
    <w:basedOn w:val="a"/>
    <w:pPr>
      <w:snapToGrid w:val="0"/>
      <w:spacing w:line="300" w:lineRule="auto"/>
    </w:pPr>
    <w:rPr>
      <w:rFonts w:eastAsia="標楷體"/>
      <w:sz w:val="28"/>
    </w:rPr>
  </w:style>
  <w:style w:type="paragraph" w:customStyle="1" w:styleId="a5">
    <w:name w:val="標題一"/>
    <w:basedOn w:val="a"/>
    <w:rPr>
      <w:rFonts w:eastAsia="標楷體"/>
      <w:sz w:val="32"/>
    </w:rPr>
  </w:style>
  <w:style w:type="paragraph" w:customStyle="1" w:styleId="11">
    <w:name w:val="樣式1"/>
    <w:basedOn w:val="10"/>
    <w:rPr>
      <w:sz w:val="24"/>
    </w:rPr>
  </w:style>
  <w:style w:type="paragraph" w:styleId="12">
    <w:name w:val="toc 1"/>
    <w:basedOn w:val="a"/>
    <w:next w:val="a"/>
    <w:semiHidden/>
    <w:rPr>
      <w:rFonts w:ascii="Arial" w:eastAsia="標楷體" w:hAnsi="Arial" w:cs="Arial"/>
      <w:bCs/>
      <w:szCs w:val="20"/>
    </w:rPr>
  </w:style>
  <w:style w:type="paragraph" w:styleId="2">
    <w:name w:val="toc 2"/>
    <w:basedOn w:val="a"/>
    <w:next w:val="a"/>
    <w:autoRedefine/>
    <w:semiHidden/>
    <w:pPr>
      <w:spacing w:before="120"/>
      <w:ind w:left="240"/>
    </w:pPr>
    <w:rPr>
      <w:iCs/>
      <w:sz w:val="20"/>
    </w:rPr>
  </w:style>
  <w:style w:type="paragraph" w:styleId="a6">
    <w:name w:val="Plain Text"/>
    <w:basedOn w:val="a"/>
    <w:semiHidden/>
    <w:rPr>
      <w:rFonts w:ascii="細明體" w:eastAsia="細明體" w:hAnsi="Courier New"/>
      <w:szCs w:val="20"/>
    </w:rPr>
  </w:style>
  <w:style w:type="character" w:styleId="a7">
    <w:name w:val="FollowedHyperlink"/>
    <w:semiHidden/>
    <w:rPr>
      <w:color w:val="800080"/>
      <w:u w:val="single"/>
    </w:rPr>
  </w:style>
  <w:style w:type="paragraph" w:customStyle="1" w:styleId="a8">
    <w:name w:val="分項段落"/>
    <w:basedOn w:val="a"/>
    <w:pPr>
      <w:snapToGrid w:val="0"/>
    </w:pPr>
    <w:rPr>
      <w:rFonts w:eastAsia="標楷體"/>
      <w:sz w:val="32"/>
      <w:szCs w:val="20"/>
    </w:rPr>
  </w:style>
  <w:style w:type="paragraph" w:styleId="a9">
    <w:name w:val="header"/>
    <w:basedOn w:val="a"/>
    <w:link w:val="aa"/>
    <w:uiPriority w:val="99"/>
    <w:unhideWhenUsed/>
    <w:rsid w:val="006B54ED"/>
    <w:pPr>
      <w:tabs>
        <w:tab w:val="center" w:pos="4153"/>
        <w:tab w:val="right" w:pos="8306"/>
      </w:tabs>
      <w:snapToGrid w:val="0"/>
    </w:pPr>
    <w:rPr>
      <w:sz w:val="20"/>
      <w:szCs w:val="20"/>
    </w:rPr>
  </w:style>
  <w:style w:type="character" w:customStyle="1" w:styleId="aa">
    <w:name w:val="頁首 字元"/>
    <w:link w:val="a9"/>
    <w:uiPriority w:val="99"/>
    <w:rsid w:val="006B54ED"/>
    <w:rPr>
      <w:kern w:val="2"/>
    </w:rPr>
  </w:style>
  <w:style w:type="paragraph" w:styleId="ab">
    <w:name w:val="List Paragraph"/>
    <w:basedOn w:val="a"/>
    <w:uiPriority w:val="34"/>
    <w:qFormat/>
    <w:rsid w:val="00371D4C"/>
    <w:pPr>
      <w:ind w:leftChars="200" w:left="48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657</Words>
  <Characters>3750</Characters>
  <Application>Microsoft Office Word</Application>
  <DocSecurity>0</DocSecurity>
  <Lines>31</Lines>
  <Paragraphs>8</Paragraphs>
  <ScaleCrop>false</ScaleCrop>
  <Company>abc</Company>
  <LinksUpToDate>false</LinksUpToDate>
  <CharactersWithSpaces>4399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您好</dc:title>
  <dc:subject/>
  <dc:creator>elsawu</dc:creator>
  <cp:keywords/>
  <dc:description/>
  <cp:lastModifiedBy>曾寶磁</cp:lastModifiedBy>
  <cp:revision>3</cp:revision>
  <dcterms:created xsi:type="dcterms:W3CDTF">2018-08-27T07:41:00Z</dcterms:created>
  <dcterms:modified xsi:type="dcterms:W3CDTF">2018-08-28T06:34:00Z</dcterms:modified>
</cp:coreProperties>
</file>