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BA" w:rsidRPr="00B206A0" w:rsidRDefault="00375B3A" w:rsidP="00375B3A">
      <w:pPr>
        <w:autoSpaceDE w:val="0"/>
        <w:autoSpaceDN w:val="0"/>
        <w:snapToGrid w:val="0"/>
        <w:spacing w:beforeLines="50" w:before="180"/>
        <w:jc w:val="center"/>
        <w:rPr>
          <w:rFonts w:eastAsia="標楷體"/>
        </w:rPr>
      </w:pPr>
      <w:r>
        <w:rPr>
          <w:rFonts w:eastAsia="標楷體" w:hAnsi="標楷體"/>
          <w:b/>
          <w:bCs/>
          <w:noProof/>
        </w:rPr>
        <mc:AlternateContent>
          <mc:Choice Requires="wps">
            <w:drawing>
              <wp:anchor distT="0" distB="0" distL="114300" distR="114300" simplePos="0" relativeHeight="251657728" behindDoc="0" locked="0" layoutInCell="1" allowOverlap="1">
                <wp:simplePos x="0" y="0"/>
                <wp:positionH relativeFrom="column">
                  <wp:posOffset>-193040</wp:posOffset>
                </wp:positionH>
                <wp:positionV relativeFrom="paragraph">
                  <wp:posOffset>-301625</wp:posOffset>
                </wp:positionV>
                <wp:extent cx="678180" cy="312420"/>
                <wp:effectExtent l="6985" t="12700" r="1016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12420"/>
                        </a:xfrm>
                        <a:prstGeom prst="rect">
                          <a:avLst/>
                        </a:prstGeom>
                        <a:solidFill>
                          <a:srgbClr val="FFFFFF"/>
                        </a:solidFill>
                        <a:ln w="9525">
                          <a:solidFill>
                            <a:srgbClr val="000000"/>
                          </a:solidFill>
                          <a:miter lim="800000"/>
                          <a:headEnd/>
                          <a:tailEnd/>
                        </a:ln>
                      </wps:spPr>
                      <wps:txbx>
                        <w:txbxContent>
                          <w:p w:rsidR="00743036" w:rsidRPr="009F33F7" w:rsidRDefault="00743036" w:rsidP="00743036">
                            <w:pPr>
                              <w:rPr>
                                <w:rFonts w:ascii="標楷體" w:eastAsia="標楷體" w:hAnsi="標楷體"/>
                              </w:rPr>
                            </w:pPr>
                            <w:r w:rsidRPr="009F33F7">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pt;margin-top:-23.75pt;width:53.4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">
                <v:textbox>
                  <w:txbxContent>
                    <w:p w:rsidR="00743036" w:rsidRPr="009F33F7" w:rsidRDefault="00743036" w:rsidP="00743036">
                      <w:pPr>
                        <w:rPr>
                          <w:rFonts w:ascii="標楷體" w:eastAsia="標楷體" w:hAnsi="標楷體"/>
                        </w:rPr>
                      </w:pPr>
                      <w:r w:rsidRPr="009F33F7">
                        <w:rPr>
                          <w:rFonts w:ascii="標楷體" w:eastAsia="標楷體" w:hAnsi="標楷體" w:hint="eastAsia"/>
                        </w:rPr>
                        <w:t>附件一</w:t>
                      </w:r>
                    </w:p>
                  </w:txbxContent>
                </v:textbox>
              </v:shape>
            </w:pict>
          </mc:Fallback>
        </mc:AlternateContent>
      </w:r>
      <w:r w:rsidR="006377BA" w:rsidRPr="00B206A0">
        <w:rPr>
          <w:rFonts w:eastAsia="標楷體" w:hAnsi="標楷體" w:hint="eastAsia"/>
          <w:b/>
          <w:bCs/>
        </w:rPr>
        <w:t>伍豐科技股份有限公司</w:t>
      </w:r>
    </w:p>
    <w:p w:rsidR="006377BA" w:rsidRPr="00B206A0" w:rsidRDefault="006377BA" w:rsidP="00375B3A">
      <w:pPr>
        <w:autoSpaceDE w:val="0"/>
        <w:autoSpaceDN w:val="0"/>
        <w:snapToGrid w:val="0"/>
        <w:spacing w:beforeLines="50" w:before="180"/>
        <w:jc w:val="center"/>
        <w:rPr>
          <w:rFonts w:eastAsia="標楷體"/>
          <w:b/>
          <w:bCs/>
        </w:rPr>
      </w:pPr>
      <w:r w:rsidRPr="00B206A0">
        <w:rPr>
          <w:rFonts w:eastAsia="標楷體" w:hAnsi="標楷體" w:hint="eastAsia"/>
          <w:b/>
          <w:bCs/>
        </w:rPr>
        <w:t>國內第三次有擔保轉換公司債發行及轉換辦法</w:t>
      </w:r>
    </w:p>
    <w:p w:rsidR="00434C9E" w:rsidRPr="003107C6" w:rsidRDefault="00434C9E" w:rsidP="00434C9E">
      <w:pPr>
        <w:pStyle w:val="a3"/>
        <w:adjustRightInd/>
        <w:snapToGrid w:val="0"/>
        <w:spacing w:before="120" w:after="120"/>
        <w:rPr>
          <w:rFonts w:ascii="Times New Roman" w:eastAsia="標楷體" w:hAnsi="Times New Roman"/>
          <w:szCs w:val="24"/>
        </w:rPr>
      </w:pPr>
      <w:r w:rsidRPr="003107C6">
        <w:rPr>
          <w:rFonts w:ascii="Times New Roman" w:eastAsia="標楷體" w:hAnsi="標楷體" w:hint="eastAsia"/>
          <w:szCs w:val="24"/>
        </w:rPr>
        <w:t>一、債券名稱</w:t>
      </w:r>
    </w:p>
    <w:p w:rsidR="00434C9E" w:rsidRPr="003107C6" w:rsidRDefault="00434C9E" w:rsidP="00434C9E">
      <w:pPr>
        <w:snapToGrid w:val="0"/>
        <w:spacing w:before="120" w:after="120"/>
        <w:ind w:left="482" w:firstLine="482"/>
        <w:jc w:val="both"/>
        <w:rPr>
          <w:rFonts w:eastAsia="標楷體"/>
        </w:rPr>
      </w:pPr>
      <w:r w:rsidRPr="003107C6">
        <w:rPr>
          <w:rFonts w:eastAsia="標楷體" w:hAnsi="標楷體" w:hint="eastAsia"/>
        </w:rPr>
        <w:t>伍豐科技股份有限公司</w:t>
      </w:r>
      <w:r w:rsidRPr="003107C6">
        <w:rPr>
          <w:rFonts w:eastAsia="標楷體"/>
        </w:rPr>
        <w:t>(</w:t>
      </w:r>
      <w:r w:rsidRPr="003107C6">
        <w:rPr>
          <w:rFonts w:eastAsia="標楷體" w:hAnsi="標楷體" w:hint="eastAsia"/>
        </w:rPr>
        <w:t>以下簡稱「本公司」</w:t>
      </w:r>
      <w:r w:rsidRPr="003107C6">
        <w:rPr>
          <w:rFonts w:eastAsia="標楷體"/>
        </w:rPr>
        <w:t>)</w:t>
      </w:r>
      <w:r w:rsidRPr="003107C6">
        <w:rPr>
          <w:rFonts w:eastAsia="標楷體" w:hAnsi="標楷體" w:hint="eastAsia"/>
        </w:rPr>
        <w:t>國內第三次有擔保轉換公司債</w:t>
      </w:r>
      <w:r w:rsidRPr="003107C6">
        <w:rPr>
          <w:rFonts w:eastAsia="標楷體"/>
        </w:rPr>
        <w:t>(</w:t>
      </w:r>
      <w:r w:rsidRPr="003107C6">
        <w:rPr>
          <w:rFonts w:eastAsia="標楷體" w:hAnsi="標楷體" w:hint="eastAsia"/>
        </w:rPr>
        <w:t>以下簡稱「本轉換公司債」</w:t>
      </w:r>
      <w:r w:rsidRPr="003107C6">
        <w:rPr>
          <w:rFonts w:eastAsia="標楷體"/>
        </w:rPr>
        <w:t>)</w:t>
      </w:r>
      <w:r w:rsidRPr="003107C6">
        <w:rPr>
          <w:rFonts w:eastAsia="標楷體" w:hAnsi="標楷體" w:hint="eastAsia"/>
        </w:rPr>
        <w:t>。</w:t>
      </w:r>
    </w:p>
    <w:p w:rsidR="00434C9E" w:rsidRPr="003107C6" w:rsidRDefault="00434C9E" w:rsidP="00434C9E">
      <w:pPr>
        <w:pStyle w:val="a3"/>
        <w:adjustRightInd/>
        <w:snapToGrid w:val="0"/>
        <w:spacing w:before="120" w:after="120"/>
        <w:rPr>
          <w:rFonts w:ascii="Times New Roman" w:eastAsia="標楷體" w:hAnsi="Times New Roman"/>
          <w:szCs w:val="24"/>
        </w:rPr>
      </w:pPr>
      <w:r w:rsidRPr="003107C6">
        <w:rPr>
          <w:rFonts w:ascii="Times New Roman" w:eastAsia="標楷體" w:hAnsi="標楷體" w:hint="eastAsia"/>
          <w:szCs w:val="24"/>
        </w:rPr>
        <w:t>二、發行日期</w:t>
      </w:r>
    </w:p>
    <w:p w:rsidR="00434C9E" w:rsidRPr="003107C6" w:rsidRDefault="00434C9E" w:rsidP="00434C9E">
      <w:pPr>
        <w:tabs>
          <w:tab w:val="left" w:pos="7245"/>
        </w:tabs>
        <w:snapToGrid w:val="0"/>
        <w:spacing w:before="120" w:after="120"/>
        <w:ind w:left="482" w:firstLine="482"/>
        <w:jc w:val="both"/>
        <w:rPr>
          <w:rFonts w:eastAsia="標楷體"/>
        </w:rPr>
      </w:pPr>
      <w:smartTag w:uri="urn:schemas-microsoft-com:office:smarttags" w:element="chsdate">
        <w:smartTagPr>
          <w:attr w:name="Year" w:val="2012"/>
          <w:attr w:name="Month" w:val="12"/>
          <w:attr w:name="Day" w:val="27"/>
          <w:attr w:name="IsLunarDate" w:val="False"/>
          <w:attr w:name="IsROCDate" w:val="True"/>
        </w:smartTagPr>
        <w:r w:rsidRPr="003107C6">
          <w:rPr>
            <w:rFonts w:eastAsia="標楷體" w:hAnsi="標楷體" w:hint="eastAsia"/>
          </w:rPr>
          <w:t>民國</w:t>
        </w:r>
        <w:r w:rsidRPr="003107C6">
          <w:rPr>
            <w:rFonts w:eastAsia="標楷體"/>
          </w:rPr>
          <w:t>101</w:t>
        </w:r>
        <w:r w:rsidRPr="003107C6">
          <w:rPr>
            <w:rFonts w:eastAsia="標楷體" w:hAnsi="標楷體" w:hint="eastAsia"/>
          </w:rPr>
          <w:t>年</w:t>
        </w:r>
        <w:r w:rsidRPr="003107C6">
          <w:rPr>
            <w:rFonts w:eastAsia="標楷體" w:hAnsi="標楷體" w:hint="eastAsia"/>
          </w:rPr>
          <w:t>12</w:t>
        </w:r>
        <w:r w:rsidRPr="003107C6">
          <w:rPr>
            <w:rFonts w:eastAsia="標楷體" w:hAnsi="標楷體" w:hint="eastAsia"/>
          </w:rPr>
          <w:t>月</w:t>
        </w:r>
        <w:r w:rsidRPr="003107C6">
          <w:rPr>
            <w:rFonts w:eastAsia="標楷體" w:hint="eastAsia"/>
          </w:rPr>
          <w:t>27</w:t>
        </w:r>
        <w:r w:rsidRPr="003107C6">
          <w:rPr>
            <w:rFonts w:eastAsia="標楷體" w:hAnsi="標楷體" w:hint="eastAsia"/>
          </w:rPr>
          <w:t>日</w:t>
        </w:r>
      </w:smartTag>
      <w:r w:rsidRPr="003107C6">
        <w:rPr>
          <w:rFonts w:eastAsia="標楷體"/>
        </w:rPr>
        <w:t>(</w:t>
      </w:r>
      <w:r w:rsidRPr="003107C6">
        <w:rPr>
          <w:rFonts w:eastAsia="標楷體" w:hAnsi="標楷體" w:hint="eastAsia"/>
        </w:rPr>
        <w:t>以下簡稱「發行日」</w:t>
      </w:r>
      <w:r w:rsidRPr="003107C6">
        <w:rPr>
          <w:rFonts w:eastAsia="標楷體"/>
        </w:rPr>
        <w:t>)</w:t>
      </w:r>
      <w:r w:rsidRPr="003107C6">
        <w:rPr>
          <w:rFonts w:eastAsia="標楷體" w:hAnsi="標楷體" w:hint="eastAsia"/>
        </w:rPr>
        <w:t>。</w:t>
      </w:r>
    </w:p>
    <w:p w:rsidR="00434C9E" w:rsidRPr="003107C6" w:rsidRDefault="00434C9E" w:rsidP="00434C9E">
      <w:pPr>
        <w:snapToGrid w:val="0"/>
        <w:spacing w:before="120" w:after="120"/>
        <w:jc w:val="both"/>
        <w:rPr>
          <w:rFonts w:eastAsia="標楷體"/>
        </w:rPr>
      </w:pPr>
      <w:r w:rsidRPr="003107C6">
        <w:rPr>
          <w:rFonts w:eastAsia="標楷體" w:hAnsi="標楷體" w:hint="eastAsia"/>
        </w:rPr>
        <w:t>三、債券面額</w:t>
      </w:r>
    </w:p>
    <w:p w:rsidR="00434C9E" w:rsidRPr="003107C6" w:rsidRDefault="00434C9E" w:rsidP="00434C9E">
      <w:pPr>
        <w:snapToGrid w:val="0"/>
        <w:spacing w:before="120" w:after="120"/>
        <w:ind w:left="482" w:firstLine="482"/>
        <w:jc w:val="both"/>
        <w:rPr>
          <w:rFonts w:eastAsia="標楷體"/>
        </w:rPr>
      </w:pPr>
      <w:r w:rsidRPr="003107C6">
        <w:rPr>
          <w:rFonts w:eastAsia="標楷體" w:hAnsi="標楷體" w:hint="eastAsia"/>
        </w:rPr>
        <w:t>每張面額為新台幣壹拾萬元，依票面金額發行。</w:t>
      </w:r>
    </w:p>
    <w:p w:rsidR="00434C9E" w:rsidRPr="003107C6" w:rsidRDefault="00434C9E" w:rsidP="00434C9E">
      <w:pPr>
        <w:pStyle w:val="a3"/>
        <w:adjustRightInd/>
        <w:snapToGrid w:val="0"/>
        <w:spacing w:before="120" w:after="120"/>
        <w:rPr>
          <w:rFonts w:ascii="Times New Roman" w:eastAsia="標楷體" w:hAnsi="Times New Roman"/>
          <w:kern w:val="2"/>
          <w:szCs w:val="24"/>
          <w:shd w:val="pct15" w:color="auto" w:fill="FFFFFF"/>
        </w:rPr>
      </w:pPr>
      <w:r w:rsidRPr="003107C6">
        <w:rPr>
          <w:rFonts w:ascii="Times New Roman" w:eastAsia="標楷體" w:hAnsi="標楷體" w:hint="eastAsia"/>
          <w:kern w:val="2"/>
          <w:szCs w:val="24"/>
        </w:rPr>
        <w:t>四、發行總額</w:t>
      </w:r>
    </w:p>
    <w:p w:rsidR="00434C9E" w:rsidRPr="003107C6" w:rsidRDefault="00434C9E" w:rsidP="00434C9E">
      <w:pPr>
        <w:snapToGrid w:val="0"/>
        <w:spacing w:before="120" w:after="120"/>
        <w:ind w:left="482" w:firstLine="482"/>
        <w:jc w:val="both"/>
        <w:rPr>
          <w:rFonts w:eastAsia="標楷體"/>
          <w:shd w:val="pct15" w:color="auto" w:fill="FFFFFF"/>
        </w:rPr>
      </w:pPr>
      <w:r w:rsidRPr="003107C6">
        <w:rPr>
          <w:rFonts w:eastAsia="標楷體" w:hAnsi="標楷體" w:hint="eastAsia"/>
        </w:rPr>
        <w:t>新台幣伍億元整。</w:t>
      </w:r>
    </w:p>
    <w:p w:rsidR="00434C9E" w:rsidRPr="003107C6" w:rsidRDefault="00434C9E" w:rsidP="00434C9E">
      <w:pPr>
        <w:pStyle w:val="a3"/>
        <w:adjustRightInd/>
        <w:snapToGrid w:val="0"/>
        <w:spacing w:before="120" w:after="120"/>
        <w:rPr>
          <w:rFonts w:ascii="Times New Roman" w:eastAsia="標楷體" w:hAnsi="Times New Roman"/>
          <w:kern w:val="2"/>
          <w:szCs w:val="24"/>
        </w:rPr>
      </w:pPr>
      <w:r w:rsidRPr="003107C6">
        <w:rPr>
          <w:rFonts w:ascii="Times New Roman" w:eastAsia="標楷體" w:hAnsi="標楷體" w:hint="eastAsia"/>
          <w:kern w:val="2"/>
          <w:szCs w:val="24"/>
        </w:rPr>
        <w:t>五、發行期間</w:t>
      </w:r>
    </w:p>
    <w:p w:rsidR="00434C9E" w:rsidRPr="003107C6" w:rsidRDefault="00434C9E" w:rsidP="00434C9E">
      <w:pPr>
        <w:snapToGrid w:val="0"/>
        <w:spacing w:before="120" w:after="120"/>
        <w:ind w:left="482" w:firstLine="482"/>
        <w:jc w:val="both"/>
        <w:rPr>
          <w:rFonts w:eastAsia="標楷體"/>
        </w:rPr>
      </w:pPr>
      <w:r w:rsidRPr="003107C6">
        <w:rPr>
          <w:rFonts w:eastAsia="標楷體" w:hAnsi="標楷體" w:hint="eastAsia"/>
        </w:rPr>
        <w:t>發行期間三年，自</w:t>
      </w:r>
      <w:smartTag w:uri="urn:schemas-microsoft-com:office:smarttags" w:element="chsdate">
        <w:smartTagPr>
          <w:attr w:name="Year" w:val="2012"/>
          <w:attr w:name="Month" w:val="12"/>
          <w:attr w:name="Day" w:val="27"/>
          <w:attr w:name="IsLunarDate" w:val="False"/>
          <w:attr w:name="IsROCDate" w:val="True"/>
        </w:smartTagPr>
        <w:r w:rsidRPr="003107C6">
          <w:rPr>
            <w:rFonts w:eastAsia="標楷體" w:hAnsi="標楷體" w:hint="eastAsia"/>
          </w:rPr>
          <w:t>民國</w:t>
        </w:r>
        <w:r w:rsidRPr="003107C6">
          <w:rPr>
            <w:rFonts w:eastAsia="標楷體"/>
          </w:rPr>
          <w:t>101</w:t>
        </w:r>
        <w:r w:rsidRPr="003107C6">
          <w:rPr>
            <w:rFonts w:eastAsia="標楷體" w:hAnsi="標楷體" w:hint="eastAsia"/>
          </w:rPr>
          <w:t>年</w:t>
        </w:r>
        <w:r w:rsidRPr="003107C6">
          <w:rPr>
            <w:rFonts w:eastAsia="標楷體" w:hint="eastAsia"/>
          </w:rPr>
          <w:t>12</w:t>
        </w:r>
        <w:r w:rsidRPr="003107C6">
          <w:rPr>
            <w:rFonts w:eastAsia="標楷體" w:hAnsi="標楷體" w:hint="eastAsia"/>
          </w:rPr>
          <w:t>月</w:t>
        </w:r>
        <w:r w:rsidRPr="003107C6">
          <w:rPr>
            <w:rFonts w:eastAsia="標楷體" w:hint="eastAsia"/>
          </w:rPr>
          <w:t>27</w:t>
        </w:r>
        <w:r w:rsidRPr="003107C6">
          <w:rPr>
            <w:rFonts w:eastAsia="標楷體" w:hAnsi="標楷體" w:hint="eastAsia"/>
          </w:rPr>
          <w:t>日</w:t>
        </w:r>
      </w:smartTag>
      <w:r w:rsidRPr="003107C6">
        <w:rPr>
          <w:rFonts w:eastAsia="標楷體" w:hAnsi="標楷體" w:hint="eastAsia"/>
        </w:rPr>
        <w:t>開始發行至</w:t>
      </w:r>
      <w:r w:rsidRPr="003107C6">
        <w:rPr>
          <w:rFonts w:eastAsia="標楷體"/>
        </w:rPr>
        <w:t>104</w:t>
      </w:r>
      <w:r w:rsidRPr="003107C6">
        <w:rPr>
          <w:rFonts w:eastAsia="標楷體" w:hAnsi="標楷體" w:hint="eastAsia"/>
        </w:rPr>
        <w:t>年</w:t>
      </w:r>
      <w:r w:rsidRPr="003107C6">
        <w:rPr>
          <w:rFonts w:eastAsia="標楷體" w:hint="eastAsia"/>
        </w:rPr>
        <w:t>12</w:t>
      </w:r>
      <w:r w:rsidRPr="003107C6">
        <w:rPr>
          <w:rFonts w:eastAsia="標楷體" w:hAnsi="標楷體" w:hint="eastAsia"/>
        </w:rPr>
        <w:t>月</w:t>
      </w:r>
      <w:r w:rsidRPr="003107C6">
        <w:rPr>
          <w:rFonts w:eastAsia="標楷體" w:hint="eastAsia"/>
        </w:rPr>
        <w:t>27</w:t>
      </w:r>
      <w:r w:rsidRPr="003107C6">
        <w:rPr>
          <w:rFonts w:eastAsia="標楷體" w:hAnsi="標楷體" w:hint="eastAsia"/>
        </w:rPr>
        <w:t>日到期</w:t>
      </w:r>
      <w:r w:rsidRPr="003107C6">
        <w:rPr>
          <w:rFonts w:eastAsia="標楷體"/>
        </w:rPr>
        <w:t>(</w:t>
      </w:r>
      <w:r w:rsidRPr="003107C6">
        <w:rPr>
          <w:rFonts w:eastAsia="標楷體" w:hAnsi="標楷體" w:hint="eastAsia"/>
        </w:rPr>
        <w:t>以下簡稱「到期日」</w:t>
      </w:r>
      <w:r w:rsidRPr="003107C6">
        <w:rPr>
          <w:rFonts w:eastAsia="標楷體"/>
        </w:rPr>
        <w:t>)</w:t>
      </w:r>
      <w:r w:rsidRPr="003107C6">
        <w:rPr>
          <w:rFonts w:eastAsia="標楷體" w:hAnsi="標楷體" w:hint="eastAsia"/>
        </w:rPr>
        <w:t>。</w:t>
      </w:r>
    </w:p>
    <w:p w:rsidR="00434C9E" w:rsidRPr="003107C6" w:rsidRDefault="00434C9E" w:rsidP="00375B3A">
      <w:pPr>
        <w:pStyle w:val="a3"/>
        <w:adjustRightInd/>
        <w:snapToGrid w:val="0"/>
        <w:spacing w:beforeLines="25" w:before="90" w:after="120"/>
        <w:rPr>
          <w:rFonts w:ascii="Times New Roman" w:eastAsia="標楷體" w:hAnsi="Times New Roman"/>
          <w:szCs w:val="24"/>
        </w:rPr>
      </w:pPr>
      <w:r w:rsidRPr="003107C6">
        <w:rPr>
          <w:rFonts w:ascii="Times New Roman" w:eastAsia="標楷體" w:hAnsi="標楷體" w:hint="eastAsia"/>
          <w:szCs w:val="24"/>
        </w:rPr>
        <w:t>六、債券票面利率</w:t>
      </w:r>
    </w:p>
    <w:p w:rsidR="00434C9E" w:rsidRPr="003107C6" w:rsidRDefault="00434C9E" w:rsidP="00434C9E">
      <w:pPr>
        <w:snapToGrid w:val="0"/>
        <w:spacing w:before="120" w:after="120"/>
        <w:ind w:left="482" w:firstLine="482"/>
        <w:jc w:val="both"/>
        <w:rPr>
          <w:rFonts w:eastAsia="標楷體"/>
        </w:rPr>
      </w:pPr>
      <w:r w:rsidRPr="003107C6">
        <w:rPr>
          <w:rFonts w:eastAsia="標楷體" w:hAnsi="標楷體" w:hint="eastAsia"/>
        </w:rPr>
        <w:t>票面年利率</w:t>
      </w:r>
      <w:r w:rsidRPr="003107C6">
        <w:rPr>
          <w:rFonts w:eastAsia="標楷體"/>
        </w:rPr>
        <w:t>0%</w:t>
      </w:r>
      <w:r w:rsidRPr="003107C6">
        <w:rPr>
          <w:rFonts w:eastAsia="標楷體" w:hAnsi="標楷體" w:hint="eastAsia"/>
        </w:rPr>
        <w:t>。</w:t>
      </w:r>
    </w:p>
    <w:p w:rsidR="00434C9E" w:rsidRPr="003107C6" w:rsidRDefault="00434C9E" w:rsidP="00375B3A">
      <w:pPr>
        <w:pStyle w:val="a3"/>
        <w:adjustRightInd/>
        <w:snapToGrid w:val="0"/>
        <w:spacing w:beforeLines="25" w:before="90" w:after="120"/>
        <w:rPr>
          <w:rFonts w:ascii="Times New Roman" w:eastAsia="標楷體" w:hAnsi="Times New Roman"/>
          <w:szCs w:val="24"/>
        </w:rPr>
      </w:pPr>
      <w:r w:rsidRPr="003107C6">
        <w:rPr>
          <w:rFonts w:ascii="Times New Roman" w:eastAsia="標楷體" w:hAnsi="標楷體" w:hint="eastAsia"/>
          <w:szCs w:val="24"/>
        </w:rPr>
        <w:t>七、還本日期及方式</w:t>
      </w:r>
    </w:p>
    <w:p w:rsidR="00434C9E" w:rsidRPr="003107C6" w:rsidRDefault="00434C9E" w:rsidP="00434C9E">
      <w:pPr>
        <w:snapToGrid w:val="0"/>
        <w:spacing w:before="120" w:after="120"/>
        <w:ind w:left="482" w:firstLine="482"/>
        <w:jc w:val="both"/>
        <w:rPr>
          <w:rFonts w:eastAsia="標楷體"/>
        </w:rPr>
      </w:pPr>
      <w:r w:rsidRPr="003107C6">
        <w:rPr>
          <w:rFonts w:eastAsia="標楷體" w:hAnsi="標楷體" w:hint="eastAsia"/>
        </w:rPr>
        <w:t>依本辦法第六條規定本轉換債之票面利率為</w:t>
      </w:r>
      <w:r w:rsidRPr="003107C6">
        <w:rPr>
          <w:rFonts w:eastAsia="標楷體"/>
        </w:rPr>
        <w:t>0%</w:t>
      </w:r>
      <w:r w:rsidRPr="003107C6">
        <w:rPr>
          <w:rFonts w:eastAsia="標楷體" w:hAnsi="標楷體" w:hint="eastAsia"/>
        </w:rPr>
        <w:t>，故無需訂定付息日期及方式。除債券持有人依本辦法第十條轉換為本公司普通股或依本辦法第二十條行使賣回權，及本公司依本辦法第十九</w:t>
      </w:r>
      <w:bookmarkStart w:id="0" w:name="_GoBack"/>
      <w:bookmarkEnd w:id="0"/>
      <w:r w:rsidRPr="003107C6">
        <w:rPr>
          <w:rFonts w:eastAsia="標楷體" w:hAnsi="標楷體" w:hint="eastAsia"/>
        </w:rPr>
        <w:t>條提前收回或本公司由證券商營業處所買回註銷者外，到期時依債券面額以現金一次償還。</w:t>
      </w:r>
    </w:p>
    <w:p w:rsidR="00434C9E" w:rsidRPr="003107C6" w:rsidRDefault="00434C9E" w:rsidP="00375B3A">
      <w:pPr>
        <w:pStyle w:val="a3"/>
        <w:adjustRightInd/>
        <w:snapToGrid w:val="0"/>
        <w:spacing w:beforeLines="25" w:before="90" w:after="120"/>
        <w:rPr>
          <w:rFonts w:ascii="Times New Roman" w:eastAsia="標楷體" w:hAnsi="Times New Roman"/>
          <w:szCs w:val="24"/>
        </w:rPr>
      </w:pPr>
      <w:r w:rsidRPr="003107C6">
        <w:rPr>
          <w:rFonts w:ascii="Times New Roman" w:eastAsia="標楷體" w:hAnsi="標楷體" w:hint="eastAsia"/>
          <w:szCs w:val="24"/>
        </w:rPr>
        <w:t>八、擔保情形</w:t>
      </w:r>
    </w:p>
    <w:p w:rsidR="00434C9E" w:rsidRPr="003107C6" w:rsidRDefault="00434C9E" w:rsidP="00434C9E">
      <w:pPr>
        <w:autoSpaceDE w:val="0"/>
        <w:autoSpaceDN w:val="0"/>
        <w:adjustRightInd w:val="0"/>
        <w:ind w:leftChars="168" w:left="806" w:hangingChars="168" w:hanging="403"/>
        <w:jc w:val="both"/>
        <w:rPr>
          <w:rFonts w:eastAsia="標楷體"/>
        </w:rPr>
      </w:pPr>
      <w:r w:rsidRPr="003107C6">
        <w:rPr>
          <w:rFonts w:eastAsia="標楷體"/>
        </w:rPr>
        <w:t>(</w:t>
      </w:r>
      <w:r w:rsidRPr="003107C6">
        <w:rPr>
          <w:rFonts w:eastAsia="標楷體" w:hAnsi="標楷體" w:hint="eastAsia"/>
        </w:rPr>
        <w:t>一</w:t>
      </w:r>
      <w:r w:rsidRPr="003107C6">
        <w:rPr>
          <w:rFonts w:eastAsia="標楷體"/>
        </w:rPr>
        <w:t>)</w:t>
      </w:r>
      <w:r w:rsidRPr="003107C6">
        <w:rPr>
          <w:rFonts w:eastAsia="標楷體" w:hAnsi="標楷體" w:hint="eastAsia"/>
          <w:kern w:val="0"/>
        </w:rPr>
        <w:t>本轉換公司債委託第一商業銀行</w:t>
      </w:r>
      <w:r w:rsidRPr="003107C6">
        <w:rPr>
          <w:rFonts w:eastAsia="標楷體" w:hAnsi="標楷體" w:hint="eastAsia"/>
        </w:rPr>
        <w:t>股份有限公司</w:t>
      </w:r>
      <w:r w:rsidRPr="003107C6">
        <w:rPr>
          <w:rFonts w:eastAsia="標楷體" w:hAnsi="標楷體" w:hint="eastAsia"/>
          <w:kern w:val="0"/>
        </w:rPr>
        <w:t>擔任擔保銀行</w:t>
      </w:r>
      <w:r w:rsidRPr="003107C6">
        <w:rPr>
          <w:rFonts w:eastAsia="標楷體"/>
          <w:kern w:val="0"/>
        </w:rPr>
        <w:t>(</w:t>
      </w:r>
      <w:r w:rsidRPr="003107C6">
        <w:rPr>
          <w:rFonts w:eastAsia="標楷體" w:hAnsi="標楷體" w:hint="eastAsia"/>
          <w:kern w:val="0"/>
        </w:rPr>
        <w:t>以下簡稱「保證銀行」</w:t>
      </w:r>
      <w:r w:rsidRPr="003107C6">
        <w:rPr>
          <w:rFonts w:eastAsia="標楷體"/>
          <w:kern w:val="0"/>
        </w:rPr>
        <w:t>)</w:t>
      </w:r>
      <w:r w:rsidRPr="003107C6">
        <w:rPr>
          <w:rFonts w:eastAsia="標楷體" w:hAnsi="標楷體" w:hint="eastAsia"/>
          <w:kern w:val="0"/>
        </w:rPr>
        <w:t>。保證期間自本轉換公司債債款收足之日起至本轉換公司債依本辦法所應付本金及利息補償金債務完全清償為止，保證範圍為本轉換公司債未清償本金加計應付利息補償金等從屬於主債務之負債。</w:t>
      </w:r>
    </w:p>
    <w:p w:rsidR="00434C9E" w:rsidRPr="003107C6" w:rsidRDefault="00434C9E" w:rsidP="00434C9E">
      <w:pPr>
        <w:autoSpaceDE w:val="0"/>
        <w:autoSpaceDN w:val="0"/>
        <w:adjustRightInd w:val="0"/>
        <w:ind w:leftChars="168" w:left="806" w:hangingChars="168" w:hanging="403"/>
        <w:jc w:val="both"/>
        <w:rPr>
          <w:rFonts w:eastAsia="標楷體"/>
        </w:rPr>
      </w:pPr>
      <w:r w:rsidRPr="003107C6">
        <w:rPr>
          <w:rFonts w:eastAsia="標楷體"/>
        </w:rPr>
        <w:t>(</w:t>
      </w:r>
      <w:r w:rsidRPr="003107C6">
        <w:rPr>
          <w:rFonts w:eastAsia="標楷體" w:hAnsi="標楷體" w:hint="eastAsia"/>
        </w:rPr>
        <w:t>二</w:t>
      </w:r>
      <w:r w:rsidRPr="003107C6">
        <w:rPr>
          <w:rFonts w:eastAsia="標楷體"/>
        </w:rPr>
        <w:t>)</w:t>
      </w:r>
      <w:r w:rsidRPr="003107C6">
        <w:rPr>
          <w:rFonts w:eastAsia="標楷體" w:hAnsi="標楷體" w:hint="eastAsia"/>
        </w:rPr>
        <w:t>本轉換公司債持有人</w:t>
      </w:r>
      <w:r w:rsidRPr="003107C6">
        <w:rPr>
          <w:rFonts w:eastAsia="標楷體"/>
        </w:rPr>
        <w:t>(</w:t>
      </w:r>
      <w:r w:rsidRPr="003107C6">
        <w:rPr>
          <w:rFonts w:eastAsia="標楷體" w:hAnsi="標楷體" w:hint="eastAsia"/>
        </w:rPr>
        <w:t>或受託人</w:t>
      </w:r>
      <w:r w:rsidRPr="003107C6">
        <w:rPr>
          <w:rFonts w:eastAsia="標楷體"/>
        </w:rPr>
        <w:t>)</w:t>
      </w:r>
      <w:r w:rsidRPr="003107C6">
        <w:rPr>
          <w:rFonts w:eastAsia="標楷體" w:hAnsi="標楷體" w:hint="eastAsia"/>
        </w:rPr>
        <w:t>如擬就本轉換公司債向保證銀行請求付款，保證銀行將於接獲本轉換公司債持有人</w:t>
      </w:r>
      <w:r w:rsidRPr="003107C6">
        <w:rPr>
          <w:rFonts w:eastAsia="標楷體"/>
        </w:rPr>
        <w:t>(</w:t>
      </w:r>
      <w:r w:rsidRPr="003107C6">
        <w:rPr>
          <w:rFonts w:eastAsia="標楷體" w:hAnsi="標楷體" w:hint="eastAsia"/>
        </w:rPr>
        <w:t>或受託人</w:t>
      </w:r>
      <w:r w:rsidRPr="003107C6">
        <w:rPr>
          <w:rFonts w:eastAsia="標楷體"/>
        </w:rPr>
        <w:t>)</w:t>
      </w:r>
      <w:r w:rsidRPr="003107C6">
        <w:rPr>
          <w:rFonts w:eastAsia="標楷體" w:hAnsi="標楷體" w:hint="eastAsia"/>
        </w:rPr>
        <w:t>依本轉換公司債規定請求付款之通知後十個營業日內付款。</w:t>
      </w:r>
    </w:p>
    <w:p w:rsidR="00434C9E" w:rsidRPr="003107C6" w:rsidRDefault="00434C9E" w:rsidP="00434C9E">
      <w:pPr>
        <w:autoSpaceDE w:val="0"/>
        <w:autoSpaceDN w:val="0"/>
        <w:adjustRightInd w:val="0"/>
        <w:ind w:leftChars="168" w:left="806" w:hangingChars="168" w:hanging="403"/>
        <w:jc w:val="both"/>
        <w:rPr>
          <w:rFonts w:eastAsia="標楷體"/>
        </w:rPr>
      </w:pPr>
      <w:r w:rsidRPr="003107C6">
        <w:rPr>
          <w:rFonts w:eastAsia="標楷體"/>
        </w:rPr>
        <w:t>(</w:t>
      </w:r>
      <w:r w:rsidRPr="003107C6">
        <w:rPr>
          <w:rFonts w:eastAsia="標楷體" w:hAnsi="標楷體" w:hint="eastAsia"/>
        </w:rPr>
        <w:t>三</w:t>
      </w:r>
      <w:r w:rsidRPr="003107C6">
        <w:rPr>
          <w:rFonts w:eastAsia="標楷體"/>
        </w:rPr>
        <w:t>)</w:t>
      </w:r>
      <w:r w:rsidRPr="003107C6">
        <w:rPr>
          <w:rFonts w:eastAsia="標楷體" w:hAnsi="標楷體" w:hint="eastAsia"/>
        </w:rPr>
        <w:t>在保證期間，本公司若發生未能按期還本付息，或違反與受託銀行簽訂之受託契約，或違反與保證銀行簽訂之「公司債委任保證契約」，或違反主管機關核定事項，足以影響公司債持有人權益時，本轉換公司債視為全部到期。</w:t>
      </w:r>
    </w:p>
    <w:p w:rsidR="00434C9E" w:rsidRPr="003107C6" w:rsidRDefault="00434C9E" w:rsidP="00434C9E">
      <w:pPr>
        <w:autoSpaceDE w:val="0"/>
        <w:autoSpaceDN w:val="0"/>
        <w:adjustRightInd w:val="0"/>
        <w:ind w:leftChars="168" w:left="806" w:hangingChars="168" w:hanging="403"/>
        <w:jc w:val="both"/>
        <w:rPr>
          <w:rFonts w:eastAsia="標楷體"/>
        </w:rPr>
      </w:pPr>
      <w:r w:rsidRPr="003107C6">
        <w:rPr>
          <w:rFonts w:eastAsia="標楷體"/>
        </w:rPr>
        <w:t>(</w:t>
      </w:r>
      <w:r w:rsidRPr="003107C6">
        <w:rPr>
          <w:rFonts w:eastAsia="標楷體" w:hAnsi="標楷體" w:hint="eastAsia"/>
        </w:rPr>
        <w:t>四</w:t>
      </w:r>
      <w:r w:rsidRPr="003107C6">
        <w:rPr>
          <w:rFonts w:eastAsia="標楷體"/>
        </w:rPr>
        <w:t>)</w:t>
      </w:r>
      <w:r w:rsidRPr="003107C6">
        <w:rPr>
          <w:rFonts w:eastAsia="標楷體" w:hAnsi="標楷體" w:hint="eastAsia"/>
        </w:rPr>
        <w:t>本轉換公司債持有人請求保證銀行給付本轉換公司債之保證款項時，應由本公司債債權人簽署切結書，切結其對經保證銀行保證之本公司債債權已全數自保證銀行受償，並不得再對保證銀行請求履行本轉換公司債之保證責任。</w:t>
      </w:r>
    </w:p>
    <w:p w:rsidR="00434C9E" w:rsidRPr="003107C6" w:rsidRDefault="00434C9E" w:rsidP="00375B3A">
      <w:pPr>
        <w:snapToGrid w:val="0"/>
        <w:spacing w:beforeLines="25" w:before="90" w:after="120"/>
        <w:jc w:val="both"/>
        <w:rPr>
          <w:rFonts w:eastAsia="標楷體"/>
        </w:rPr>
      </w:pPr>
      <w:r w:rsidRPr="003107C6">
        <w:rPr>
          <w:rFonts w:eastAsia="標楷體" w:hAnsi="標楷體" w:hint="eastAsia"/>
        </w:rPr>
        <w:t>九、轉換標的</w:t>
      </w:r>
    </w:p>
    <w:p w:rsidR="00434C9E" w:rsidRPr="003107C6" w:rsidRDefault="00434C9E" w:rsidP="00434C9E">
      <w:pPr>
        <w:snapToGrid w:val="0"/>
        <w:spacing w:before="120" w:after="120"/>
        <w:ind w:left="482" w:firstLine="482"/>
        <w:jc w:val="both"/>
        <w:rPr>
          <w:rFonts w:eastAsia="標楷體"/>
        </w:rPr>
      </w:pPr>
      <w:r w:rsidRPr="003107C6">
        <w:rPr>
          <w:rFonts w:eastAsia="標楷體" w:hAnsi="標楷體" w:hint="eastAsia"/>
        </w:rPr>
        <w:lastRenderedPageBreak/>
        <w:t>本公司之普通股，並以發行新股之方式履行轉換義務，換發之新股以帳簿劃撥交付，不印製實體方式為之。</w:t>
      </w:r>
    </w:p>
    <w:p w:rsidR="00434C9E" w:rsidRPr="003107C6" w:rsidRDefault="00434C9E" w:rsidP="00375B3A">
      <w:pPr>
        <w:pStyle w:val="a3"/>
        <w:adjustRightInd/>
        <w:snapToGrid w:val="0"/>
        <w:spacing w:beforeLines="25" w:before="90" w:after="120"/>
        <w:rPr>
          <w:rFonts w:ascii="Times New Roman" w:eastAsia="標楷體" w:hAnsi="Times New Roman"/>
          <w:szCs w:val="24"/>
        </w:rPr>
      </w:pPr>
      <w:r w:rsidRPr="003107C6">
        <w:rPr>
          <w:rFonts w:ascii="Times New Roman" w:eastAsia="標楷體" w:hAnsi="標楷體" w:hint="eastAsia"/>
          <w:szCs w:val="24"/>
        </w:rPr>
        <w:t>十、轉換期間</w:t>
      </w:r>
    </w:p>
    <w:p w:rsidR="00434C9E" w:rsidRPr="003107C6" w:rsidRDefault="00434C9E" w:rsidP="00434C9E">
      <w:pPr>
        <w:snapToGrid w:val="0"/>
        <w:spacing w:before="120" w:after="120"/>
        <w:ind w:left="482" w:firstLine="482"/>
        <w:jc w:val="both"/>
        <w:rPr>
          <w:rFonts w:eastAsia="標楷體"/>
        </w:rPr>
      </w:pPr>
      <w:r w:rsidRPr="003107C6">
        <w:rPr>
          <w:rFonts w:eastAsia="標楷體" w:hAnsi="標楷體" w:hint="eastAsia"/>
        </w:rPr>
        <w:t>債券持有人得於本轉換公司債發行滿</w:t>
      </w:r>
      <w:r w:rsidRPr="003107C6">
        <w:rPr>
          <w:rFonts w:eastAsia="標楷體" w:hAnsi="標楷體" w:hint="eastAsia"/>
          <w:b/>
          <w:bCs/>
        </w:rPr>
        <w:t>一</w:t>
      </w:r>
      <w:r w:rsidRPr="003107C6">
        <w:rPr>
          <w:rFonts w:eastAsia="標楷體" w:hAnsi="標楷體" w:hint="eastAsia"/>
        </w:rPr>
        <w:t>個月翌日</w:t>
      </w:r>
      <w:r w:rsidRPr="003107C6">
        <w:rPr>
          <w:rFonts w:eastAsia="標楷體"/>
        </w:rPr>
        <w:t>(</w:t>
      </w:r>
      <w:smartTag w:uri="urn:schemas-microsoft-com:office:smarttags" w:element="chsdate">
        <w:smartTagPr>
          <w:attr w:name="Year" w:val="2013"/>
          <w:attr w:name="Month" w:val="1"/>
          <w:attr w:name="Day" w:val="28"/>
          <w:attr w:name="IsLunarDate" w:val="False"/>
          <w:attr w:name="IsROCDate" w:val="True"/>
        </w:smartTagPr>
        <w:r w:rsidRPr="003107C6">
          <w:rPr>
            <w:rFonts w:eastAsia="標楷體" w:hAnsi="標楷體" w:hint="eastAsia"/>
          </w:rPr>
          <w:t>民國</w:t>
        </w:r>
        <w:r w:rsidRPr="003107C6">
          <w:rPr>
            <w:rFonts w:eastAsia="標楷體"/>
          </w:rPr>
          <w:t>102</w:t>
        </w:r>
        <w:r w:rsidRPr="003107C6">
          <w:rPr>
            <w:rFonts w:eastAsia="標楷體" w:hAnsi="標楷體" w:hint="eastAsia"/>
          </w:rPr>
          <w:t>年</w:t>
        </w:r>
        <w:r w:rsidRPr="003107C6">
          <w:rPr>
            <w:rFonts w:eastAsia="標楷體" w:hAnsi="標楷體" w:hint="eastAsia"/>
          </w:rPr>
          <w:t>1</w:t>
        </w:r>
        <w:r w:rsidRPr="003107C6">
          <w:rPr>
            <w:rFonts w:eastAsia="標楷體" w:hAnsi="標楷體" w:hint="eastAsia"/>
          </w:rPr>
          <w:t>月</w:t>
        </w:r>
        <w:r w:rsidRPr="003107C6">
          <w:rPr>
            <w:rFonts w:eastAsia="標楷體" w:hint="eastAsia"/>
          </w:rPr>
          <w:t>28</w:t>
        </w:r>
        <w:r w:rsidRPr="003107C6">
          <w:rPr>
            <w:rFonts w:eastAsia="標楷體" w:hAnsi="標楷體" w:hint="eastAsia"/>
          </w:rPr>
          <w:t>日</w:t>
        </w:r>
      </w:smartTag>
      <w:r w:rsidRPr="003107C6">
        <w:rPr>
          <w:rFonts w:eastAsia="標楷體"/>
        </w:rPr>
        <w:t>)</w:t>
      </w:r>
      <w:r w:rsidRPr="003107C6">
        <w:rPr>
          <w:rFonts w:eastAsia="標楷體" w:hAnsi="標楷體" w:hint="eastAsia"/>
        </w:rPr>
        <w:t>起，至到期日前十日</w:t>
      </w:r>
      <w:r w:rsidRPr="003107C6">
        <w:rPr>
          <w:rFonts w:eastAsia="標楷體"/>
        </w:rPr>
        <w:t>(</w:t>
      </w:r>
      <w:smartTag w:uri="urn:schemas-microsoft-com:office:smarttags" w:element="chsdate">
        <w:smartTagPr>
          <w:attr w:name="Year" w:val="2015"/>
          <w:attr w:name="Month" w:val="12"/>
          <w:attr w:name="Day" w:val="17"/>
          <w:attr w:name="IsLunarDate" w:val="False"/>
          <w:attr w:name="IsROCDate" w:val="True"/>
        </w:smartTagPr>
        <w:r w:rsidRPr="003107C6">
          <w:rPr>
            <w:rFonts w:eastAsia="標楷體" w:hAnsi="標楷體" w:hint="eastAsia"/>
          </w:rPr>
          <w:t>民國</w:t>
        </w:r>
        <w:r w:rsidRPr="003107C6">
          <w:rPr>
            <w:rFonts w:eastAsia="標楷體"/>
          </w:rPr>
          <w:t>104</w:t>
        </w:r>
        <w:r w:rsidRPr="003107C6">
          <w:rPr>
            <w:rFonts w:eastAsia="標楷體" w:hAnsi="標楷體" w:hint="eastAsia"/>
          </w:rPr>
          <w:t>年</w:t>
        </w:r>
        <w:r w:rsidRPr="003107C6">
          <w:rPr>
            <w:rFonts w:eastAsia="標楷體" w:hint="eastAsia"/>
          </w:rPr>
          <w:t>12</w:t>
        </w:r>
        <w:r w:rsidRPr="003107C6">
          <w:rPr>
            <w:rFonts w:eastAsia="標楷體" w:hAnsi="標楷體" w:hint="eastAsia"/>
          </w:rPr>
          <w:t>月</w:t>
        </w:r>
        <w:r w:rsidRPr="003107C6">
          <w:rPr>
            <w:rFonts w:eastAsia="標楷體" w:hint="eastAsia"/>
          </w:rPr>
          <w:t>17</w:t>
        </w:r>
        <w:r w:rsidRPr="003107C6">
          <w:rPr>
            <w:rFonts w:eastAsia="標楷體" w:hAnsi="標楷體" w:hint="eastAsia"/>
          </w:rPr>
          <w:t>日</w:t>
        </w:r>
      </w:smartTag>
      <w:r w:rsidRPr="003107C6">
        <w:rPr>
          <w:rFonts w:eastAsia="標楷體"/>
        </w:rPr>
        <w:t>)</w:t>
      </w:r>
      <w:r w:rsidRPr="003107C6">
        <w:rPr>
          <w:rFonts w:eastAsia="標楷體" w:hAnsi="標楷體" w:hint="eastAsia"/>
        </w:rPr>
        <w:t>止，除本公司無償配股停止過戶日、現金股息停止過戶日或現金增資認股停止過戶日前十五個營業日起，至權利分派基準日止、辦理減資之減資基準日起至減資換發股票開始交易日前一日止及其他依法暫停過戶期間外，隨時向本公司請求依本辦法轉換為本公司普通股，並依本辦法第十一條、第十六條及第十七條規定辦理。本公司並應依櫃檯買賣中心規定之期限，於前述無償配股停止過戶除權公告日、現金股息停止過戶除息公告日或現金增資認股停止過戶除權公告日前將停止轉換之期間予以公告並函櫃檯買賣中心。</w:t>
      </w:r>
    </w:p>
    <w:p w:rsidR="00434C9E" w:rsidRPr="003107C6" w:rsidRDefault="00434C9E" w:rsidP="00375B3A">
      <w:pPr>
        <w:pStyle w:val="a3"/>
        <w:adjustRightInd/>
        <w:snapToGrid w:val="0"/>
        <w:spacing w:beforeLines="25" w:before="90" w:after="120"/>
        <w:rPr>
          <w:rFonts w:ascii="Times New Roman" w:eastAsia="標楷體" w:hAnsi="Times New Roman"/>
          <w:szCs w:val="24"/>
        </w:rPr>
      </w:pPr>
      <w:r w:rsidRPr="003107C6">
        <w:rPr>
          <w:rFonts w:ascii="Times New Roman" w:eastAsia="標楷體" w:hAnsi="標楷體" w:hint="eastAsia"/>
          <w:szCs w:val="24"/>
        </w:rPr>
        <w:t>十一、請求轉換程序</w:t>
      </w:r>
    </w:p>
    <w:p w:rsidR="00434C9E" w:rsidRPr="003107C6" w:rsidRDefault="00434C9E" w:rsidP="00434C9E">
      <w:pPr>
        <w:tabs>
          <w:tab w:val="left" w:pos="1722"/>
        </w:tabs>
        <w:autoSpaceDE w:val="0"/>
        <w:autoSpaceDN w:val="0"/>
        <w:snapToGrid w:val="0"/>
        <w:spacing w:before="120" w:after="120"/>
        <w:ind w:leftChars="204" w:left="900" w:hangingChars="171" w:hanging="410"/>
        <w:jc w:val="both"/>
        <w:textAlignment w:val="bottom"/>
        <w:rPr>
          <w:rFonts w:eastAsia="標楷體"/>
        </w:rPr>
      </w:pPr>
      <w:r w:rsidRPr="003107C6">
        <w:rPr>
          <w:rFonts w:eastAsia="標楷體"/>
        </w:rPr>
        <w:t>(</w:t>
      </w:r>
      <w:r w:rsidRPr="003107C6">
        <w:rPr>
          <w:rFonts w:eastAsia="標楷體" w:hAnsi="標楷體" w:hint="eastAsia"/>
        </w:rPr>
        <w:t>一</w:t>
      </w:r>
      <w:r w:rsidRPr="003107C6">
        <w:rPr>
          <w:rFonts w:eastAsia="標楷體"/>
        </w:rPr>
        <w:t>)</w:t>
      </w:r>
      <w:r w:rsidRPr="003107C6">
        <w:rPr>
          <w:rFonts w:eastAsia="標楷體" w:hAnsi="標楷體" w:hint="eastAsia"/>
        </w:rPr>
        <w:t>債券持有人至原交易券商填具「轉換公司債帳簿劃撥轉換／贖回／賣回申請書」（註明轉換），由交易券商向臺灣集中保管結算所股份有限公司</w:t>
      </w:r>
      <w:r w:rsidRPr="003107C6">
        <w:rPr>
          <w:rFonts w:eastAsia="標楷體"/>
        </w:rPr>
        <w:t>(</w:t>
      </w:r>
      <w:r w:rsidRPr="003107C6">
        <w:rPr>
          <w:rFonts w:eastAsia="標楷體" w:hAnsi="標楷體" w:hint="eastAsia"/>
        </w:rPr>
        <w:t>以下簡稱「集保公司」</w:t>
      </w:r>
      <w:r w:rsidRPr="003107C6">
        <w:rPr>
          <w:rFonts w:eastAsia="標楷體"/>
        </w:rPr>
        <w:t>)</w:t>
      </w:r>
      <w:r w:rsidRPr="003107C6">
        <w:rPr>
          <w:rFonts w:eastAsia="標楷體" w:hAnsi="標楷體" w:hint="eastAsia"/>
        </w:rPr>
        <w:t>提出申請，集保公司於接受申請後送交本公司股務代理機構，於送達時即生轉換之效力，且不得申請撤銷，並於送達後五個營業日內完成轉換手續，直接將本公司普通股股票撥入原債券持有人之集保帳戶。</w:t>
      </w:r>
    </w:p>
    <w:p w:rsidR="00434C9E" w:rsidRPr="003107C6" w:rsidRDefault="00434C9E" w:rsidP="00434C9E">
      <w:pPr>
        <w:tabs>
          <w:tab w:val="left" w:pos="1722"/>
        </w:tabs>
        <w:autoSpaceDE w:val="0"/>
        <w:autoSpaceDN w:val="0"/>
        <w:snapToGrid w:val="0"/>
        <w:spacing w:before="120" w:after="120"/>
        <w:ind w:leftChars="204" w:left="900" w:hangingChars="171" w:hanging="410"/>
        <w:jc w:val="both"/>
        <w:textAlignment w:val="bottom"/>
        <w:rPr>
          <w:rFonts w:eastAsia="標楷體"/>
        </w:rPr>
      </w:pPr>
      <w:r w:rsidRPr="003107C6">
        <w:rPr>
          <w:rFonts w:eastAsia="標楷體"/>
        </w:rPr>
        <w:t>(</w:t>
      </w:r>
      <w:r w:rsidRPr="003107C6">
        <w:rPr>
          <w:rFonts w:eastAsia="標楷體" w:hAnsi="標楷體" w:hint="eastAsia"/>
        </w:rPr>
        <w:t>二</w:t>
      </w:r>
      <w:r w:rsidRPr="003107C6">
        <w:rPr>
          <w:rFonts w:eastAsia="標楷體"/>
        </w:rPr>
        <w:t>)</w:t>
      </w:r>
      <w:r w:rsidRPr="003107C6">
        <w:rPr>
          <w:rFonts w:eastAsia="標楷體" w:hAnsi="標楷體" w:hint="eastAsia"/>
        </w:rPr>
        <w:t>華僑及外國人申請將所持有之本轉換公司債轉換為本公司普通股時，一律統由集保公司採取帳簿劃撥方式辦理配發。</w:t>
      </w:r>
    </w:p>
    <w:p w:rsidR="00434C9E" w:rsidRPr="003107C6" w:rsidRDefault="00434C9E" w:rsidP="00375B3A">
      <w:pPr>
        <w:pStyle w:val="a3"/>
        <w:adjustRightInd/>
        <w:snapToGrid w:val="0"/>
        <w:spacing w:beforeLines="50" w:before="180" w:after="120"/>
        <w:rPr>
          <w:rFonts w:ascii="Times New Roman" w:eastAsia="標楷體" w:hAnsi="Times New Roman"/>
          <w:szCs w:val="24"/>
        </w:rPr>
      </w:pPr>
      <w:r w:rsidRPr="003107C6">
        <w:rPr>
          <w:rFonts w:ascii="Times New Roman" w:eastAsia="標楷體" w:hAnsi="標楷體" w:hint="eastAsia"/>
          <w:szCs w:val="24"/>
        </w:rPr>
        <w:t>十二、轉換價格及其調整：</w:t>
      </w:r>
    </w:p>
    <w:p w:rsidR="00434C9E" w:rsidRPr="003107C6" w:rsidRDefault="00434C9E" w:rsidP="00434C9E">
      <w:pPr>
        <w:tabs>
          <w:tab w:val="left" w:pos="1722"/>
        </w:tabs>
        <w:autoSpaceDE w:val="0"/>
        <w:autoSpaceDN w:val="0"/>
        <w:snapToGrid w:val="0"/>
        <w:spacing w:before="120" w:after="120"/>
        <w:ind w:leftChars="300" w:left="1130" w:hangingChars="171" w:hanging="410"/>
        <w:jc w:val="both"/>
        <w:textAlignment w:val="bottom"/>
        <w:rPr>
          <w:rFonts w:eastAsia="標楷體"/>
        </w:rPr>
      </w:pPr>
      <w:r w:rsidRPr="003107C6">
        <w:rPr>
          <w:rFonts w:eastAsia="標楷體"/>
        </w:rPr>
        <w:t>(</w:t>
      </w:r>
      <w:r w:rsidRPr="003107C6">
        <w:rPr>
          <w:rFonts w:eastAsia="標楷體" w:hAnsi="標楷體" w:hint="eastAsia"/>
        </w:rPr>
        <w:t>一</w:t>
      </w:r>
      <w:r w:rsidRPr="003107C6">
        <w:rPr>
          <w:rFonts w:eastAsia="標楷體"/>
        </w:rPr>
        <w:t>)</w:t>
      </w:r>
      <w:r w:rsidRPr="003107C6">
        <w:rPr>
          <w:rFonts w:eastAsia="標楷體" w:hAnsi="標楷體" w:hint="eastAsia"/>
        </w:rPr>
        <w:t>本轉換公司債轉換價格之訂定，係以民國</w:t>
      </w:r>
      <w:r w:rsidRPr="003107C6">
        <w:rPr>
          <w:rFonts w:eastAsia="標楷體"/>
        </w:rPr>
        <w:t>101</w:t>
      </w:r>
      <w:r w:rsidRPr="003107C6">
        <w:rPr>
          <w:rFonts w:eastAsia="標楷體" w:hAnsi="標楷體" w:hint="eastAsia"/>
        </w:rPr>
        <w:t>年</w:t>
      </w:r>
      <w:r w:rsidRPr="003107C6">
        <w:rPr>
          <w:rFonts w:eastAsia="標楷體" w:hAnsi="標楷體" w:hint="eastAsia"/>
        </w:rPr>
        <w:t>12</w:t>
      </w:r>
      <w:r w:rsidRPr="003107C6">
        <w:rPr>
          <w:rFonts w:eastAsia="標楷體" w:hAnsi="標楷體" w:hint="eastAsia"/>
        </w:rPr>
        <w:t>月</w:t>
      </w:r>
      <w:r w:rsidRPr="003107C6">
        <w:rPr>
          <w:rFonts w:eastAsia="標楷體" w:hint="eastAsia"/>
        </w:rPr>
        <w:t>20</w:t>
      </w:r>
      <w:r w:rsidRPr="003107C6">
        <w:rPr>
          <w:rFonts w:eastAsia="標楷體" w:hAnsi="標楷體" w:hint="eastAsia"/>
        </w:rPr>
        <w:t>日為訂定轉換價格之基準日，以其前一個營業日、三個營業日及五個營業日本公司普通股收盤價之簡單算術平均數擇一乘以</w:t>
      </w:r>
      <w:r w:rsidRPr="00434C9E">
        <w:rPr>
          <w:rFonts w:eastAsia="標楷體"/>
          <w:bCs/>
        </w:rPr>
        <w:t>101%</w:t>
      </w:r>
      <w:r w:rsidRPr="003107C6">
        <w:rPr>
          <w:rFonts w:eastAsia="標楷體" w:hAnsi="標楷體" w:hint="eastAsia"/>
        </w:rPr>
        <w:t>為計算依據（計算至新台幣角為止，分以下四捨五入）。基準日前如遇有除權或除息者，經採樣用以計算轉換價格之收盤價應先設算為除權或除息後價格；轉換價格於決定後至實際發行日前，如遇</w:t>
      </w:r>
      <w:r>
        <w:rPr>
          <w:rFonts w:eastAsia="標楷體" w:hAnsi="標楷體" w:hint="eastAsia"/>
        </w:rPr>
        <w:t>有除權或除息者，應依轉換價格調整公式調整之。發行時之轉換價格</w:t>
      </w:r>
      <w:r w:rsidRPr="003107C6">
        <w:rPr>
          <w:rFonts w:eastAsia="標楷體" w:hAnsi="標楷體" w:hint="eastAsia"/>
        </w:rPr>
        <w:t>為每股新台幣</w:t>
      </w:r>
      <w:r w:rsidRPr="00434C9E">
        <w:rPr>
          <w:rFonts w:eastAsia="標楷體" w:hint="eastAsia"/>
        </w:rPr>
        <w:t>40.1</w:t>
      </w:r>
      <w:r w:rsidRPr="00434C9E">
        <w:rPr>
          <w:rFonts w:eastAsia="標楷體" w:hAnsi="標楷體" w:hint="eastAsia"/>
        </w:rPr>
        <w:t>元。</w:t>
      </w:r>
    </w:p>
    <w:p w:rsidR="00434C9E" w:rsidRPr="003107C6" w:rsidRDefault="00434C9E" w:rsidP="00434C9E">
      <w:pPr>
        <w:tabs>
          <w:tab w:val="left" w:pos="1722"/>
        </w:tabs>
        <w:autoSpaceDE w:val="0"/>
        <w:autoSpaceDN w:val="0"/>
        <w:snapToGrid w:val="0"/>
        <w:spacing w:before="120" w:after="120"/>
        <w:ind w:leftChars="300" w:left="1130" w:hangingChars="171" w:hanging="410"/>
        <w:jc w:val="both"/>
        <w:textAlignment w:val="bottom"/>
        <w:rPr>
          <w:rFonts w:eastAsia="標楷體"/>
        </w:rPr>
      </w:pPr>
      <w:r w:rsidRPr="003107C6">
        <w:rPr>
          <w:rFonts w:eastAsia="標楷體"/>
        </w:rPr>
        <w:t>(</w:t>
      </w:r>
      <w:r w:rsidRPr="003107C6">
        <w:rPr>
          <w:rFonts w:eastAsia="標楷體" w:hAnsi="標楷體" w:hint="eastAsia"/>
        </w:rPr>
        <w:t>二</w:t>
      </w:r>
      <w:r w:rsidRPr="003107C6">
        <w:rPr>
          <w:rFonts w:eastAsia="標楷體"/>
        </w:rPr>
        <w:t>)</w:t>
      </w:r>
      <w:r w:rsidRPr="003107C6">
        <w:rPr>
          <w:rFonts w:eastAsia="標楷體" w:hAnsi="標楷體" w:hint="eastAsia"/>
        </w:rPr>
        <w:t>本轉換公司債發行後，除本公司所發行或私募之具有普通股轉換權或認股權之各種有價證券換發普通股股份或因員工紅利發行新股者外，遇有本公司已發行普通股股份增加時（包含現金增資、盈餘轉增資、資本公積轉增資、公司合併或受讓他公司股份發行新股、股票分割、現金增資參與發行海外存託憑證及私募普通股股份增加等），轉換價格依下列公式調整（計算至新台幣角為止，分以下四捨五入，向下調整，向上則不予調整），並函請櫃檯買賣中心公告，於新股發行除權基準日公告，將於股款繳足日</w:t>
      </w:r>
      <w:r w:rsidRPr="003107C6">
        <w:rPr>
          <w:rFonts w:eastAsia="標楷體"/>
        </w:rPr>
        <w:t>(</w:t>
      </w:r>
      <w:r w:rsidRPr="003107C6">
        <w:rPr>
          <w:rFonts w:eastAsia="標楷體" w:hAnsi="標楷體" w:hint="eastAsia"/>
        </w:rPr>
        <w:t>註</w:t>
      </w:r>
      <w:r w:rsidRPr="003107C6">
        <w:rPr>
          <w:rFonts w:eastAsia="標楷體"/>
        </w:rPr>
        <w:t>1)</w:t>
      </w:r>
      <w:r w:rsidRPr="003107C6">
        <w:rPr>
          <w:rFonts w:eastAsia="標楷體" w:hAnsi="標楷體" w:hint="eastAsia"/>
        </w:rPr>
        <w:t>調整之，如於現金增資發行新股之除權基準日後變更新股發行價格，則依變更後之新股發行價格重新按下列公式調整，如經設算調整後之轉換價格低於原除權基準日前已公告調整之轉換價格，則應函請櫃檯買賣中心重新公告。</w:t>
      </w:r>
    </w:p>
    <w:tbl>
      <w:tblPr>
        <w:tblW w:w="9421" w:type="dxa"/>
        <w:jc w:val="right"/>
        <w:tblInd w:w="-140" w:type="dxa"/>
        <w:tblLayout w:type="fixed"/>
        <w:tblCellMar>
          <w:left w:w="28" w:type="dxa"/>
          <w:right w:w="28" w:type="dxa"/>
        </w:tblCellMar>
        <w:tblLook w:val="0000" w:firstRow="0" w:lastRow="0" w:firstColumn="0" w:lastColumn="0" w:noHBand="0" w:noVBand="0"/>
      </w:tblPr>
      <w:tblGrid>
        <w:gridCol w:w="1106"/>
        <w:gridCol w:w="502"/>
        <w:gridCol w:w="7813"/>
      </w:tblGrid>
      <w:tr w:rsidR="00434C9E" w:rsidRPr="003107C6" w:rsidTr="001A1041">
        <w:trPr>
          <w:cantSplit/>
          <w:jc w:val="right"/>
        </w:trPr>
        <w:tc>
          <w:tcPr>
            <w:tcW w:w="1106" w:type="dxa"/>
            <w:vMerge w:val="restart"/>
            <w:vAlign w:val="center"/>
          </w:tcPr>
          <w:p w:rsidR="00434C9E" w:rsidRPr="003107C6" w:rsidRDefault="00434C9E" w:rsidP="001A1041">
            <w:pPr>
              <w:jc w:val="right"/>
              <w:rPr>
                <w:rFonts w:eastAsia="標楷體"/>
                <w:spacing w:val="-16"/>
              </w:rPr>
            </w:pPr>
            <w:r w:rsidRPr="003107C6">
              <w:rPr>
                <w:rFonts w:eastAsia="標楷體" w:hAnsi="標楷體" w:hint="eastAsia"/>
                <w:spacing w:val="-16"/>
              </w:rPr>
              <w:t>調整後</w:t>
            </w:r>
          </w:p>
          <w:p w:rsidR="00434C9E" w:rsidRPr="003107C6" w:rsidRDefault="00434C9E" w:rsidP="001A1041">
            <w:pPr>
              <w:jc w:val="right"/>
              <w:rPr>
                <w:rFonts w:eastAsia="標楷體"/>
                <w:spacing w:val="-16"/>
              </w:rPr>
            </w:pPr>
            <w:r w:rsidRPr="003107C6">
              <w:rPr>
                <w:rFonts w:eastAsia="標楷體" w:hAnsi="標楷體" w:hint="eastAsia"/>
                <w:spacing w:val="-16"/>
              </w:rPr>
              <w:t>轉換價格</w:t>
            </w:r>
          </w:p>
        </w:tc>
        <w:tc>
          <w:tcPr>
            <w:tcW w:w="502" w:type="dxa"/>
            <w:vMerge w:val="restart"/>
            <w:vAlign w:val="center"/>
          </w:tcPr>
          <w:p w:rsidR="00434C9E" w:rsidRPr="003107C6" w:rsidRDefault="00434C9E" w:rsidP="001A1041">
            <w:pPr>
              <w:jc w:val="center"/>
              <w:rPr>
                <w:rFonts w:eastAsia="標楷體"/>
                <w:spacing w:val="-20"/>
              </w:rPr>
            </w:pPr>
            <w:r w:rsidRPr="003107C6">
              <w:rPr>
                <w:rFonts w:eastAsia="標楷體" w:hAnsi="標楷體" w:hint="eastAsia"/>
                <w:spacing w:val="-20"/>
              </w:rPr>
              <w:t>＝</w:t>
            </w:r>
          </w:p>
        </w:tc>
        <w:tc>
          <w:tcPr>
            <w:tcW w:w="7813" w:type="dxa"/>
            <w:tcBorders>
              <w:top w:val="nil"/>
              <w:left w:val="nil"/>
              <w:bottom w:val="single" w:sz="4" w:space="0" w:color="auto"/>
              <w:right w:val="nil"/>
            </w:tcBorders>
            <w:vAlign w:val="center"/>
          </w:tcPr>
          <w:p w:rsidR="00434C9E" w:rsidRPr="003107C6" w:rsidRDefault="00434C9E" w:rsidP="001A1041">
            <w:pPr>
              <w:jc w:val="center"/>
              <w:rPr>
                <w:rFonts w:eastAsia="標楷體"/>
                <w:b/>
                <w:bCs/>
                <w:spacing w:val="-20"/>
              </w:rPr>
            </w:pPr>
            <w:r w:rsidRPr="003107C6">
              <w:rPr>
                <w:rFonts w:eastAsia="標楷體" w:hAnsi="標楷體" w:hint="eastAsia"/>
                <w:spacing w:val="-16"/>
              </w:rPr>
              <w:t>調整前轉換價格</w:t>
            </w:r>
            <w:r w:rsidRPr="003107C6">
              <w:rPr>
                <w:rFonts w:eastAsia="標楷體"/>
                <w:spacing w:val="-16"/>
              </w:rPr>
              <w:t>×</w:t>
            </w:r>
            <w:r w:rsidRPr="003107C6">
              <w:rPr>
                <w:rFonts w:eastAsia="標楷體" w:hAnsi="標楷體" w:hint="eastAsia"/>
                <w:spacing w:val="-16"/>
              </w:rPr>
              <w:t>已發行股數</w:t>
            </w:r>
            <w:r w:rsidRPr="003107C6">
              <w:rPr>
                <w:rFonts w:eastAsia="標楷體"/>
                <w:spacing w:val="-16"/>
              </w:rPr>
              <w:t>(</w:t>
            </w:r>
            <w:r w:rsidRPr="003107C6">
              <w:rPr>
                <w:rFonts w:eastAsia="標楷體" w:hAnsi="標楷體" w:hint="eastAsia"/>
                <w:spacing w:val="-16"/>
              </w:rPr>
              <w:t>註</w:t>
            </w:r>
            <w:r w:rsidRPr="003107C6">
              <w:rPr>
                <w:rFonts w:eastAsia="標楷體"/>
                <w:spacing w:val="-16"/>
              </w:rPr>
              <w:t>2)</w:t>
            </w:r>
            <w:r w:rsidRPr="003107C6">
              <w:rPr>
                <w:rFonts w:eastAsia="標楷體" w:hAnsi="標楷體" w:hint="eastAsia"/>
                <w:spacing w:val="-16"/>
              </w:rPr>
              <w:t>＋每股繳款額</w:t>
            </w:r>
            <w:r w:rsidRPr="003107C6">
              <w:rPr>
                <w:rFonts w:eastAsia="標楷體"/>
                <w:spacing w:val="-16"/>
              </w:rPr>
              <w:t>(</w:t>
            </w:r>
            <w:r w:rsidRPr="003107C6">
              <w:rPr>
                <w:rFonts w:eastAsia="標楷體" w:hAnsi="標楷體" w:hint="eastAsia"/>
                <w:spacing w:val="-16"/>
              </w:rPr>
              <w:t>註</w:t>
            </w:r>
            <w:r w:rsidRPr="003107C6">
              <w:rPr>
                <w:rFonts w:eastAsia="標楷體"/>
                <w:spacing w:val="-16"/>
              </w:rPr>
              <w:t>3)×</w:t>
            </w:r>
            <w:r w:rsidRPr="003107C6">
              <w:rPr>
                <w:rFonts w:eastAsia="標楷體" w:hAnsi="標楷體" w:hint="eastAsia"/>
                <w:spacing w:val="-16"/>
              </w:rPr>
              <w:t>新股發行股數或私募股數</w:t>
            </w:r>
          </w:p>
        </w:tc>
      </w:tr>
      <w:tr w:rsidR="00434C9E" w:rsidRPr="003107C6" w:rsidTr="001A1041">
        <w:trPr>
          <w:cantSplit/>
          <w:jc w:val="right"/>
        </w:trPr>
        <w:tc>
          <w:tcPr>
            <w:tcW w:w="1106" w:type="dxa"/>
            <w:vMerge/>
            <w:vAlign w:val="center"/>
          </w:tcPr>
          <w:p w:rsidR="00434C9E" w:rsidRPr="003107C6" w:rsidRDefault="00434C9E" w:rsidP="001A1041">
            <w:pPr>
              <w:rPr>
                <w:rFonts w:eastAsia="標楷體"/>
                <w:spacing w:val="-16"/>
              </w:rPr>
            </w:pPr>
          </w:p>
        </w:tc>
        <w:tc>
          <w:tcPr>
            <w:tcW w:w="502" w:type="dxa"/>
            <w:vMerge/>
            <w:vAlign w:val="center"/>
          </w:tcPr>
          <w:p w:rsidR="00434C9E" w:rsidRPr="003107C6" w:rsidRDefault="00434C9E" w:rsidP="001A1041">
            <w:pPr>
              <w:rPr>
                <w:rFonts w:eastAsia="標楷體"/>
                <w:spacing w:val="-20"/>
              </w:rPr>
            </w:pPr>
          </w:p>
        </w:tc>
        <w:tc>
          <w:tcPr>
            <w:tcW w:w="7813" w:type="dxa"/>
            <w:tcBorders>
              <w:top w:val="single" w:sz="4" w:space="0" w:color="auto"/>
              <w:left w:val="nil"/>
              <w:bottom w:val="nil"/>
              <w:right w:val="nil"/>
            </w:tcBorders>
            <w:vAlign w:val="center"/>
          </w:tcPr>
          <w:p w:rsidR="00434C9E" w:rsidRPr="003107C6" w:rsidRDefault="00434C9E" w:rsidP="001A1041">
            <w:pPr>
              <w:jc w:val="center"/>
              <w:rPr>
                <w:rFonts w:eastAsia="標楷體"/>
                <w:spacing w:val="-16"/>
              </w:rPr>
            </w:pPr>
            <w:r w:rsidRPr="003107C6">
              <w:rPr>
                <w:rFonts w:eastAsia="標楷體" w:hAnsi="標楷體" w:hint="eastAsia"/>
                <w:spacing w:val="-16"/>
              </w:rPr>
              <w:t>已發行股數＋新股發行股數或私募股數</w:t>
            </w:r>
          </w:p>
        </w:tc>
      </w:tr>
    </w:tbl>
    <w:p w:rsidR="00434C9E" w:rsidRPr="003107C6" w:rsidRDefault="00434C9E" w:rsidP="00434C9E">
      <w:pPr>
        <w:autoSpaceDE w:val="0"/>
        <w:autoSpaceDN w:val="0"/>
        <w:snapToGrid w:val="0"/>
        <w:spacing w:before="120" w:after="120"/>
        <w:ind w:leftChars="522" w:left="1841" w:hangingChars="245" w:hanging="588"/>
        <w:jc w:val="both"/>
        <w:rPr>
          <w:rFonts w:eastAsia="標楷體"/>
        </w:rPr>
      </w:pPr>
      <w:r w:rsidRPr="003107C6">
        <w:rPr>
          <w:rFonts w:eastAsia="標楷體" w:hAnsi="標楷體" w:hint="eastAsia"/>
        </w:rPr>
        <w:t>註</w:t>
      </w:r>
      <w:r w:rsidRPr="003107C6">
        <w:rPr>
          <w:rFonts w:eastAsia="標楷體"/>
        </w:rPr>
        <w:t>1</w:t>
      </w:r>
      <w:r w:rsidRPr="003107C6">
        <w:rPr>
          <w:rFonts w:eastAsia="標楷體" w:hAnsi="標楷體" w:hint="eastAsia"/>
        </w:rPr>
        <w:t>：如為合併或受讓增資則於合併或受讓基準日調整；股票分割則於股票分割基準日調整；如係採詢價圈購辦理之現金增資或現金增資參與發行海外存託憑證，則於股款繳足日調整；另如係私募普通股股份增加，則於私募交付日調整。</w:t>
      </w:r>
    </w:p>
    <w:p w:rsidR="00434C9E" w:rsidRPr="003107C6" w:rsidRDefault="00434C9E" w:rsidP="00434C9E">
      <w:pPr>
        <w:autoSpaceDE w:val="0"/>
        <w:autoSpaceDN w:val="0"/>
        <w:snapToGrid w:val="0"/>
        <w:spacing w:before="120" w:after="120"/>
        <w:ind w:leftChars="522" w:left="1841" w:hangingChars="245" w:hanging="588"/>
        <w:jc w:val="both"/>
        <w:rPr>
          <w:rFonts w:eastAsia="標楷體" w:hAnsi="標楷體"/>
        </w:rPr>
      </w:pPr>
      <w:r w:rsidRPr="003107C6">
        <w:rPr>
          <w:rFonts w:eastAsia="標楷體" w:hAnsi="標楷體" w:hint="eastAsia"/>
        </w:rPr>
        <w:lastRenderedPageBreak/>
        <w:t>註</w:t>
      </w:r>
      <w:r w:rsidRPr="003107C6">
        <w:rPr>
          <w:rFonts w:eastAsia="標楷體" w:hAnsi="標楷體"/>
        </w:rPr>
        <w:t>2</w:t>
      </w:r>
      <w:r w:rsidRPr="003107C6">
        <w:rPr>
          <w:rFonts w:eastAsia="標楷體" w:hAnsi="標楷體" w:hint="eastAsia"/>
        </w:rPr>
        <w:t>：已發行股數係指普通股已發行股份總數</w:t>
      </w:r>
      <w:r w:rsidRPr="003107C6">
        <w:rPr>
          <w:rFonts w:eastAsia="標楷體" w:hAnsi="標楷體"/>
        </w:rPr>
        <w:t>(</w:t>
      </w:r>
      <w:r w:rsidRPr="003107C6">
        <w:rPr>
          <w:rFonts w:eastAsia="標楷體" w:hAnsi="標楷體" w:hint="eastAsia"/>
        </w:rPr>
        <w:t>包括已私募股數</w:t>
      </w:r>
      <w:r w:rsidRPr="003107C6">
        <w:rPr>
          <w:rFonts w:eastAsia="標楷體" w:hAnsi="標楷體"/>
        </w:rPr>
        <w:t>)</w:t>
      </w:r>
      <w:r w:rsidRPr="003107C6">
        <w:rPr>
          <w:rFonts w:eastAsia="標楷體" w:hAnsi="標楷體" w:hint="eastAsia"/>
        </w:rPr>
        <w:t>，並減除本公司買回但尚未註銷或轉讓之庫藏股股數。</w:t>
      </w:r>
    </w:p>
    <w:p w:rsidR="00434C9E" w:rsidRPr="003107C6" w:rsidRDefault="00434C9E" w:rsidP="00434C9E">
      <w:pPr>
        <w:autoSpaceDE w:val="0"/>
        <w:autoSpaceDN w:val="0"/>
        <w:snapToGrid w:val="0"/>
        <w:spacing w:before="120" w:after="120"/>
        <w:ind w:leftChars="522" w:left="1841" w:hangingChars="245" w:hanging="588"/>
        <w:jc w:val="both"/>
        <w:rPr>
          <w:rFonts w:eastAsia="標楷體" w:hAnsi="標楷體"/>
        </w:rPr>
      </w:pPr>
      <w:r w:rsidRPr="003107C6">
        <w:rPr>
          <w:rFonts w:eastAsia="標楷體" w:hAnsi="標楷體" w:hint="eastAsia"/>
        </w:rPr>
        <w:t>註</w:t>
      </w:r>
      <w:r w:rsidRPr="003107C6">
        <w:rPr>
          <w:rFonts w:eastAsia="標楷體" w:hAnsi="標楷體"/>
        </w:rPr>
        <w:t>3</w:t>
      </w:r>
      <w:r w:rsidRPr="003107C6">
        <w:rPr>
          <w:rFonts w:eastAsia="標楷體" w:hAnsi="標楷體" w:hint="eastAsia"/>
        </w:rPr>
        <w:t>：新股繳款金額如係屬無償配股或股票分割，則其繳款金額為零。若係屬合併增資發行新股者，則其每股繳款額為合併基準日前依消滅公司最近期經會計師簽證或核閱之財務報表計算之每股淨值乘以換股比例。如係受讓他公司股份發行新股，則每股繳款額為受讓之他公司最近期經會計師簽證或核閱之財務報表計算之每股淨值乘以換股比例。</w:t>
      </w:r>
    </w:p>
    <w:p w:rsidR="00434C9E" w:rsidRPr="003107C6" w:rsidRDefault="00434C9E" w:rsidP="00434C9E">
      <w:pPr>
        <w:tabs>
          <w:tab w:val="left" w:pos="1722"/>
        </w:tabs>
        <w:autoSpaceDE w:val="0"/>
        <w:autoSpaceDN w:val="0"/>
        <w:snapToGrid w:val="0"/>
        <w:spacing w:before="120" w:after="120"/>
        <w:ind w:leftChars="300" w:left="1130" w:hangingChars="171" w:hanging="410"/>
        <w:jc w:val="both"/>
        <w:textAlignment w:val="bottom"/>
        <w:rPr>
          <w:rFonts w:eastAsia="標楷體"/>
        </w:rPr>
      </w:pPr>
      <w:r w:rsidRPr="003107C6">
        <w:rPr>
          <w:rFonts w:eastAsia="標楷體"/>
        </w:rPr>
        <w:t>(</w:t>
      </w:r>
      <w:r w:rsidRPr="003107C6">
        <w:rPr>
          <w:rFonts w:eastAsia="標楷體" w:hAnsi="標楷體" w:hint="eastAsia"/>
        </w:rPr>
        <w:t>三</w:t>
      </w:r>
      <w:r w:rsidRPr="003107C6">
        <w:rPr>
          <w:rFonts w:eastAsia="標楷體"/>
        </w:rPr>
        <w:t>)</w:t>
      </w:r>
      <w:r w:rsidRPr="003107C6">
        <w:rPr>
          <w:rFonts w:eastAsia="標楷體" w:hAnsi="標楷體" w:hint="eastAsia"/>
        </w:rPr>
        <w:t>本轉換公司債發行後，如遇本公司配發普通股現金股利占每股時價之比率超過</w:t>
      </w:r>
      <w:r w:rsidRPr="003107C6">
        <w:rPr>
          <w:rFonts w:eastAsia="標楷體"/>
        </w:rPr>
        <w:t>1.5%</w:t>
      </w:r>
      <w:r w:rsidRPr="003107C6">
        <w:rPr>
          <w:rFonts w:eastAsia="標楷體" w:hAnsi="標楷體" w:hint="eastAsia"/>
        </w:rPr>
        <w:t>時，應按所占每股時價之比率於除息基準日按下列公式調降轉換價格，並應函請櫃檯買賣中心公告調整後之轉換價格。</w:t>
      </w:r>
    </w:p>
    <w:p w:rsidR="00434C9E" w:rsidRPr="003107C6" w:rsidRDefault="00434C9E" w:rsidP="00434C9E">
      <w:pPr>
        <w:tabs>
          <w:tab w:val="left" w:pos="1722"/>
        </w:tabs>
        <w:autoSpaceDE w:val="0"/>
        <w:autoSpaceDN w:val="0"/>
        <w:snapToGrid w:val="0"/>
        <w:spacing w:before="120" w:after="120"/>
        <w:ind w:leftChars="525" w:left="1260"/>
        <w:jc w:val="both"/>
        <w:textAlignment w:val="bottom"/>
        <w:rPr>
          <w:rFonts w:eastAsia="標楷體"/>
        </w:rPr>
      </w:pPr>
      <w:r w:rsidRPr="003107C6">
        <w:rPr>
          <w:rFonts w:eastAsia="標楷體" w:hAnsi="標楷體" w:hint="eastAsia"/>
        </w:rPr>
        <w:t>調降後轉換價格＝調降前轉換價格</w:t>
      </w:r>
      <w:r w:rsidRPr="003107C6">
        <w:rPr>
          <w:rFonts w:eastAsia="標楷體"/>
        </w:rPr>
        <w:t>×(1</w:t>
      </w:r>
      <w:r w:rsidRPr="003107C6">
        <w:rPr>
          <w:rFonts w:eastAsia="標楷體" w:hAnsi="標楷體" w:hint="eastAsia"/>
        </w:rPr>
        <w:t>－發放普通股現金股利占每股時價之比率</w:t>
      </w:r>
      <w:r w:rsidRPr="003107C6">
        <w:rPr>
          <w:rFonts w:eastAsia="標楷體"/>
        </w:rPr>
        <w:t>)</w:t>
      </w:r>
    </w:p>
    <w:p w:rsidR="00434C9E" w:rsidRPr="003107C6" w:rsidRDefault="00434C9E" w:rsidP="00434C9E">
      <w:pPr>
        <w:autoSpaceDE w:val="0"/>
        <w:autoSpaceDN w:val="0"/>
        <w:snapToGrid w:val="0"/>
        <w:spacing w:before="120" w:after="120"/>
        <w:ind w:leftChars="522" w:left="1841" w:hangingChars="245" w:hanging="588"/>
        <w:jc w:val="both"/>
        <w:rPr>
          <w:rFonts w:eastAsia="標楷體" w:hAnsi="標楷體"/>
        </w:rPr>
      </w:pPr>
      <w:r w:rsidRPr="003107C6">
        <w:rPr>
          <w:rFonts w:eastAsia="標楷體" w:hAnsi="標楷體" w:hint="eastAsia"/>
        </w:rPr>
        <w:t>註：每股時價係以現金股息停止過戶除息公告日之前一、三、五個營業日本公司普通股收盤價之簡單算術平均數擇一。</w:t>
      </w:r>
    </w:p>
    <w:p w:rsidR="00434C9E" w:rsidRPr="003107C6" w:rsidRDefault="00434C9E" w:rsidP="00434C9E">
      <w:pPr>
        <w:tabs>
          <w:tab w:val="left" w:pos="1722"/>
        </w:tabs>
        <w:autoSpaceDE w:val="0"/>
        <w:autoSpaceDN w:val="0"/>
        <w:snapToGrid w:val="0"/>
        <w:spacing w:before="120" w:after="120"/>
        <w:ind w:leftChars="300" w:left="1130" w:hangingChars="171" w:hanging="410"/>
        <w:jc w:val="both"/>
        <w:textAlignment w:val="bottom"/>
        <w:rPr>
          <w:rFonts w:eastAsia="標楷體"/>
        </w:rPr>
      </w:pPr>
      <w:r w:rsidRPr="003107C6">
        <w:rPr>
          <w:rFonts w:eastAsia="標楷體"/>
        </w:rPr>
        <w:t>(</w:t>
      </w:r>
      <w:r w:rsidRPr="003107C6">
        <w:rPr>
          <w:rFonts w:eastAsia="標楷體" w:hAnsi="標楷體" w:hint="eastAsia"/>
        </w:rPr>
        <w:t>四</w:t>
      </w:r>
      <w:r w:rsidRPr="003107C6">
        <w:rPr>
          <w:rFonts w:eastAsia="標楷體"/>
        </w:rPr>
        <w:t>)</w:t>
      </w:r>
      <w:r w:rsidRPr="003107C6">
        <w:rPr>
          <w:rFonts w:eastAsia="標楷體" w:hAnsi="標楷體" w:hint="eastAsia"/>
        </w:rPr>
        <w:t>本轉換公司債發行後，遇有本公司以低於每股時價</w:t>
      </w:r>
      <w:r w:rsidRPr="003107C6">
        <w:rPr>
          <w:rFonts w:eastAsia="標楷體"/>
        </w:rPr>
        <w:t>(</w:t>
      </w:r>
      <w:r w:rsidRPr="003107C6">
        <w:rPr>
          <w:rFonts w:eastAsia="標楷體" w:hAnsi="標楷體" w:hint="eastAsia"/>
        </w:rPr>
        <w:t>註</w:t>
      </w:r>
      <w:r w:rsidRPr="003107C6">
        <w:rPr>
          <w:rFonts w:eastAsia="標楷體"/>
        </w:rPr>
        <w:t>1)</w:t>
      </w:r>
      <w:r w:rsidRPr="003107C6">
        <w:rPr>
          <w:rFonts w:eastAsia="標楷體" w:hAnsi="標楷體" w:hint="eastAsia"/>
        </w:rPr>
        <w:t>之轉換或認股價格再發行或私募具有普通股轉換權或認股權之各種有價證券時，或非因辦理現金增資而賦予他人發行公司普通股認購權時，轉換價格依下列公式調整（計算至新台幣角為止，分以下四捨五入，向下調整，向上則不予調整），並函請櫃檯買賣中心公告，於前述有價證券或認股權發行之日或私募有價證券交付日調整之：</w:t>
      </w:r>
    </w:p>
    <w:tbl>
      <w:tblPr>
        <w:tblW w:w="9197" w:type="dxa"/>
        <w:jc w:val="right"/>
        <w:tblInd w:w="-322" w:type="dxa"/>
        <w:tblLayout w:type="fixed"/>
        <w:tblCellMar>
          <w:left w:w="28" w:type="dxa"/>
          <w:right w:w="28" w:type="dxa"/>
        </w:tblCellMar>
        <w:tblLook w:val="0000" w:firstRow="0" w:lastRow="0" w:firstColumn="0" w:lastColumn="0" w:noHBand="0" w:noVBand="0"/>
      </w:tblPr>
      <w:tblGrid>
        <w:gridCol w:w="965"/>
        <w:gridCol w:w="345"/>
        <w:gridCol w:w="7887"/>
      </w:tblGrid>
      <w:tr w:rsidR="00434C9E" w:rsidRPr="003107C6" w:rsidTr="001A1041">
        <w:trPr>
          <w:trHeight w:val="84"/>
          <w:jc w:val="right"/>
        </w:trPr>
        <w:tc>
          <w:tcPr>
            <w:tcW w:w="965" w:type="dxa"/>
          </w:tcPr>
          <w:p w:rsidR="00434C9E" w:rsidRPr="003107C6" w:rsidRDefault="00434C9E" w:rsidP="001A1041">
            <w:pPr>
              <w:jc w:val="right"/>
              <w:rPr>
                <w:rFonts w:eastAsia="標楷體"/>
                <w:spacing w:val="-20"/>
              </w:rPr>
            </w:pPr>
          </w:p>
        </w:tc>
        <w:tc>
          <w:tcPr>
            <w:tcW w:w="345" w:type="dxa"/>
            <w:vAlign w:val="center"/>
          </w:tcPr>
          <w:p w:rsidR="00434C9E" w:rsidRPr="003107C6" w:rsidRDefault="00434C9E" w:rsidP="001A1041">
            <w:pPr>
              <w:jc w:val="right"/>
              <w:rPr>
                <w:rFonts w:eastAsia="標楷體"/>
                <w:spacing w:val="-20"/>
              </w:rPr>
            </w:pPr>
          </w:p>
        </w:tc>
        <w:tc>
          <w:tcPr>
            <w:tcW w:w="7887" w:type="dxa"/>
            <w:vAlign w:val="center"/>
          </w:tcPr>
          <w:p w:rsidR="00434C9E" w:rsidRPr="003107C6" w:rsidRDefault="00434C9E" w:rsidP="001A1041">
            <w:pPr>
              <w:ind w:firstLineChars="200" w:firstLine="400"/>
              <w:jc w:val="both"/>
              <w:rPr>
                <w:rFonts w:eastAsia="標楷體"/>
                <w:spacing w:val="-20"/>
              </w:rPr>
            </w:pPr>
            <w:r w:rsidRPr="003107C6">
              <w:rPr>
                <w:rFonts w:eastAsia="標楷體" w:hAnsi="標楷體" w:hint="eastAsia"/>
                <w:spacing w:val="-20"/>
              </w:rPr>
              <w:t xml:space="preserve">　　　　　　　　　　　　　　</w:t>
            </w:r>
            <w:r w:rsidRPr="003107C6">
              <w:rPr>
                <w:rFonts w:eastAsia="標楷體" w:hAnsi="標楷體"/>
                <w:spacing w:val="-20"/>
              </w:rPr>
              <w:t xml:space="preserve">    </w:t>
            </w:r>
            <w:r w:rsidRPr="003107C6">
              <w:rPr>
                <w:rFonts w:eastAsia="標楷體" w:hAnsi="標楷體" w:hint="eastAsia"/>
                <w:spacing w:val="-20"/>
              </w:rPr>
              <w:t xml:space="preserve">新發行或私募有　　　</w:t>
            </w:r>
            <w:r w:rsidRPr="003107C6">
              <w:rPr>
                <w:rFonts w:eastAsia="標楷體" w:hAnsi="標楷體"/>
                <w:spacing w:val="-20"/>
              </w:rPr>
              <w:t xml:space="preserve"> </w:t>
            </w:r>
            <w:r w:rsidRPr="003107C6">
              <w:rPr>
                <w:rFonts w:eastAsia="標楷體" w:hAnsi="標楷體" w:hint="eastAsia"/>
                <w:spacing w:val="-20"/>
              </w:rPr>
              <w:t>新發行或私募有</w:t>
            </w:r>
          </w:p>
        </w:tc>
      </w:tr>
      <w:tr w:rsidR="00434C9E" w:rsidRPr="003107C6" w:rsidTr="001A1041">
        <w:trPr>
          <w:trHeight w:val="84"/>
          <w:jc w:val="right"/>
        </w:trPr>
        <w:tc>
          <w:tcPr>
            <w:tcW w:w="965" w:type="dxa"/>
          </w:tcPr>
          <w:p w:rsidR="00434C9E" w:rsidRPr="003107C6" w:rsidRDefault="00434C9E" w:rsidP="001A1041">
            <w:pPr>
              <w:jc w:val="right"/>
              <w:rPr>
                <w:rFonts w:eastAsia="標楷體"/>
                <w:spacing w:val="-20"/>
              </w:rPr>
            </w:pPr>
          </w:p>
        </w:tc>
        <w:tc>
          <w:tcPr>
            <w:tcW w:w="345" w:type="dxa"/>
            <w:vAlign w:val="center"/>
          </w:tcPr>
          <w:p w:rsidR="00434C9E" w:rsidRPr="003107C6" w:rsidRDefault="00434C9E" w:rsidP="001A1041">
            <w:pPr>
              <w:jc w:val="right"/>
              <w:rPr>
                <w:rFonts w:eastAsia="標楷體"/>
                <w:spacing w:val="-20"/>
              </w:rPr>
            </w:pPr>
          </w:p>
        </w:tc>
        <w:tc>
          <w:tcPr>
            <w:tcW w:w="7887" w:type="dxa"/>
            <w:vAlign w:val="center"/>
          </w:tcPr>
          <w:p w:rsidR="00434C9E" w:rsidRPr="003107C6" w:rsidRDefault="00434C9E" w:rsidP="001A1041">
            <w:pPr>
              <w:ind w:firstLineChars="200" w:firstLine="400"/>
              <w:jc w:val="both"/>
              <w:rPr>
                <w:rFonts w:eastAsia="標楷體"/>
                <w:spacing w:val="-20"/>
              </w:rPr>
            </w:pPr>
            <w:r w:rsidRPr="003107C6">
              <w:rPr>
                <w:rFonts w:eastAsia="標楷體" w:hAnsi="標楷體" w:hint="eastAsia"/>
                <w:spacing w:val="-20"/>
              </w:rPr>
              <w:t xml:space="preserve">　　　　　　　　　　　　　</w:t>
            </w:r>
            <w:r w:rsidRPr="003107C6">
              <w:rPr>
                <w:rFonts w:eastAsia="標楷體" w:hAnsi="標楷體"/>
                <w:spacing w:val="-20"/>
              </w:rPr>
              <w:t xml:space="preserve">    </w:t>
            </w:r>
            <w:r w:rsidRPr="003107C6">
              <w:rPr>
                <w:rFonts w:eastAsia="標楷體" w:hAnsi="標楷體" w:hint="eastAsia"/>
                <w:spacing w:val="-20"/>
              </w:rPr>
              <w:t xml:space="preserve">價證券或認股權之　　</w:t>
            </w:r>
            <w:r w:rsidRPr="003107C6">
              <w:rPr>
                <w:rFonts w:eastAsia="標楷體" w:hAnsi="標楷體"/>
                <w:spacing w:val="-20"/>
              </w:rPr>
              <w:t xml:space="preserve">   </w:t>
            </w:r>
            <w:r w:rsidRPr="003107C6">
              <w:rPr>
                <w:rFonts w:eastAsia="標楷體" w:hAnsi="標楷體" w:hint="eastAsia"/>
                <w:spacing w:val="-20"/>
              </w:rPr>
              <w:t>價證券或認股權</w:t>
            </w:r>
          </w:p>
        </w:tc>
      </w:tr>
      <w:tr w:rsidR="00434C9E" w:rsidRPr="003107C6" w:rsidTr="001A1041">
        <w:trPr>
          <w:cantSplit/>
          <w:jc w:val="right"/>
        </w:trPr>
        <w:tc>
          <w:tcPr>
            <w:tcW w:w="965" w:type="dxa"/>
            <w:vMerge w:val="restart"/>
          </w:tcPr>
          <w:p w:rsidR="00434C9E" w:rsidRPr="003107C6" w:rsidRDefault="00434C9E" w:rsidP="001A1041">
            <w:pPr>
              <w:ind w:hanging="162"/>
              <w:jc w:val="right"/>
              <w:rPr>
                <w:rFonts w:eastAsia="標楷體"/>
                <w:spacing w:val="-16"/>
              </w:rPr>
            </w:pPr>
            <w:r w:rsidRPr="003107C6">
              <w:rPr>
                <w:rFonts w:eastAsia="標楷體" w:hAnsi="標楷體" w:hint="eastAsia"/>
                <w:spacing w:val="-16"/>
              </w:rPr>
              <w:t>調整後</w:t>
            </w:r>
          </w:p>
          <w:p w:rsidR="00434C9E" w:rsidRPr="003107C6" w:rsidRDefault="00434C9E" w:rsidP="001A1041">
            <w:pPr>
              <w:ind w:hanging="162"/>
              <w:jc w:val="right"/>
              <w:rPr>
                <w:rFonts w:eastAsia="標楷體"/>
                <w:spacing w:val="-16"/>
              </w:rPr>
            </w:pPr>
            <w:r w:rsidRPr="003107C6">
              <w:rPr>
                <w:rFonts w:eastAsia="標楷體" w:hAnsi="標楷體" w:hint="eastAsia"/>
                <w:spacing w:val="-16"/>
              </w:rPr>
              <w:t>轉換價格</w:t>
            </w:r>
          </w:p>
        </w:tc>
        <w:tc>
          <w:tcPr>
            <w:tcW w:w="345" w:type="dxa"/>
            <w:vMerge w:val="restart"/>
            <w:vAlign w:val="center"/>
          </w:tcPr>
          <w:p w:rsidR="00434C9E" w:rsidRPr="003107C6" w:rsidRDefault="00434C9E" w:rsidP="001A1041">
            <w:pPr>
              <w:jc w:val="center"/>
              <w:rPr>
                <w:rFonts w:eastAsia="標楷體"/>
                <w:spacing w:val="-20"/>
              </w:rPr>
            </w:pPr>
            <w:r w:rsidRPr="003107C6">
              <w:rPr>
                <w:rFonts w:eastAsia="標楷體" w:hAnsi="標楷體" w:hint="eastAsia"/>
                <w:spacing w:val="-20"/>
              </w:rPr>
              <w:t>＝</w:t>
            </w:r>
          </w:p>
        </w:tc>
        <w:tc>
          <w:tcPr>
            <w:tcW w:w="7887" w:type="dxa"/>
            <w:tcBorders>
              <w:top w:val="nil"/>
              <w:left w:val="nil"/>
              <w:bottom w:val="single" w:sz="4" w:space="0" w:color="auto"/>
              <w:right w:val="nil"/>
            </w:tcBorders>
            <w:vAlign w:val="center"/>
          </w:tcPr>
          <w:p w:rsidR="00434C9E" w:rsidRPr="003107C6" w:rsidRDefault="00434C9E" w:rsidP="001A1041">
            <w:pPr>
              <w:rPr>
                <w:rFonts w:eastAsia="標楷體"/>
                <w:spacing w:val="-20"/>
              </w:rPr>
            </w:pPr>
            <w:r w:rsidRPr="003107C6">
              <w:rPr>
                <w:rFonts w:eastAsia="標楷體" w:hAnsi="標楷體" w:hint="eastAsia"/>
                <w:spacing w:val="-20"/>
              </w:rPr>
              <w:t>調整前轉換價格</w:t>
            </w:r>
            <w:r w:rsidRPr="003107C6">
              <w:rPr>
                <w:rFonts w:eastAsia="標楷體"/>
                <w:spacing w:val="-20"/>
              </w:rPr>
              <w:t>×</w:t>
            </w:r>
            <w:r w:rsidRPr="003107C6">
              <w:rPr>
                <w:rFonts w:eastAsia="標楷體" w:hAnsi="標楷體" w:hint="eastAsia"/>
                <w:spacing w:val="-20"/>
              </w:rPr>
              <w:t>已發行股數</w:t>
            </w:r>
            <w:r w:rsidRPr="003107C6">
              <w:rPr>
                <w:rFonts w:eastAsia="標楷體"/>
                <w:spacing w:val="-20"/>
              </w:rPr>
              <w:t>(</w:t>
            </w:r>
            <w:r w:rsidRPr="003107C6">
              <w:rPr>
                <w:rFonts w:eastAsia="標楷體" w:hAnsi="標楷體" w:hint="eastAsia"/>
                <w:spacing w:val="-20"/>
              </w:rPr>
              <w:t>註</w:t>
            </w:r>
            <w:r w:rsidRPr="003107C6">
              <w:rPr>
                <w:rFonts w:eastAsia="標楷體"/>
                <w:spacing w:val="-20"/>
              </w:rPr>
              <w:t>2</w:t>
            </w:r>
            <w:r w:rsidRPr="003107C6">
              <w:rPr>
                <w:rFonts w:eastAsia="標楷體" w:hAnsi="標楷體" w:hint="eastAsia"/>
                <w:spacing w:val="-20"/>
              </w:rPr>
              <w:t>、</w:t>
            </w:r>
            <w:r w:rsidRPr="003107C6">
              <w:rPr>
                <w:rFonts w:eastAsia="標楷體"/>
                <w:spacing w:val="-20"/>
              </w:rPr>
              <w:t>3)</w:t>
            </w:r>
            <w:r w:rsidRPr="003107C6">
              <w:rPr>
                <w:rFonts w:eastAsia="標楷體" w:hAnsi="標楷體" w:hint="eastAsia"/>
                <w:spacing w:val="-20"/>
              </w:rPr>
              <w:t xml:space="preserve">＋轉換或認股價格　</w:t>
            </w:r>
            <w:r w:rsidRPr="003107C6">
              <w:rPr>
                <w:rFonts w:eastAsia="標楷體"/>
                <w:spacing w:val="-20"/>
              </w:rPr>
              <w:t xml:space="preserve">× </w:t>
            </w:r>
            <w:r w:rsidRPr="003107C6">
              <w:rPr>
                <w:rFonts w:eastAsia="標楷體" w:hAnsi="標楷體" w:hint="eastAsia"/>
                <w:spacing w:val="-20"/>
              </w:rPr>
              <w:t>可轉換或認購之股數</w:t>
            </w:r>
          </w:p>
        </w:tc>
      </w:tr>
      <w:tr w:rsidR="00434C9E" w:rsidRPr="003107C6" w:rsidTr="001A1041">
        <w:trPr>
          <w:cantSplit/>
          <w:trHeight w:val="386"/>
          <w:jc w:val="right"/>
        </w:trPr>
        <w:tc>
          <w:tcPr>
            <w:tcW w:w="965" w:type="dxa"/>
            <w:vMerge/>
            <w:vAlign w:val="center"/>
          </w:tcPr>
          <w:p w:rsidR="00434C9E" w:rsidRPr="003107C6" w:rsidRDefault="00434C9E" w:rsidP="001A1041">
            <w:pPr>
              <w:rPr>
                <w:rFonts w:eastAsia="標楷體"/>
                <w:spacing w:val="-16"/>
              </w:rPr>
            </w:pPr>
          </w:p>
        </w:tc>
        <w:tc>
          <w:tcPr>
            <w:tcW w:w="345" w:type="dxa"/>
            <w:vMerge/>
            <w:vAlign w:val="center"/>
          </w:tcPr>
          <w:p w:rsidR="00434C9E" w:rsidRPr="003107C6" w:rsidRDefault="00434C9E" w:rsidP="001A1041">
            <w:pPr>
              <w:rPr>
                <w:rFonts w:eastAsia="標楷體"/>
                <w:spacing w:val="-20"/>
              </w:rPr>
            </w:pPr>
          </w:p>
        </w:tc>
        <w:tc>
          <w:tcPr>
            <w:tcW w:w="7887" w:type="dxa"/>
            <w:tcBorders>
              <w:top w:val="single" w:sz="4" w:space="0" w:color="auto"/>
              <w:left w:val="nil"/>
              <w:bottom w:val="nil"/>
              <w:right w:val="nil"/>
            </w:tcBorders>
            <w:vAlign w:val="center"/>
          </w:tcPr>
          <w:p w:rsidR="00434C9E" w:rsidRPr="003107C6" w:rsidRDefault="00434C9E" w:rsidP="001A1041">
            <w:pPr>
              <w:jc w:val="center"/>
              <w:rPr>
                <w:rFonts w:eastAsia="標楷體"/>
                <w:spacing w:val="-16"/>
              </w:rPr>
            </w:pPr>
            <w:r w:rsidRPr="003107C6">
              <w:rPr>
                <w:rFonts w:eastAsia="標楷體" w:hAnsi="標楷體" w:hint="eastAsia"/>
                <w:spacing w:val="-16"/>
              </w:rPr>
              <w:t>已發行股數＋新發行或私募有價證券或認</w:t>
            </w:r>
            <w:r w:rsidRPr="003107C6">
              <w:rPr>
                <w:rFonts w:eastAsia="標楷體" w:hAnsi="標楷體" w:hint="eastAsia"/>
                <w:spacing w:val="-20"/>
              </w:rPr>
              <w:t>股</w:t>
            </w:r>
            <w:r w:rsidRPr="003107C6">
              <w:rPr>
                <w:rFonts w:eastAsia="標楷體" w:hAnsi="標楷體" w:hint="eastAsia"/>
                <w:spacing w:val="-16"/>
              </w:rPr>
              <w:t>權可轉換或認購之股數</w:t>
            </w:r>
          </w:p>
        </w:tc>
      </w:tr>
    </w:tbl>
    <w:p w:rsidR="00434C9E" w:rsidRPr="003107C6" w:rsidRDefault="00434C9E" w:rsidP="00434C9E">
      <w:pPr>
        <w:autoSpaceDE w:val="0"/>
        <w:autoSpaceDN w:val="0"/>
        <w:snapToGrid w:val="0"/>
        <w:spacing w:before="120" w:after="120"/>
        <w:ind w:leftChars="522" w:left="1841" w:hangingChars="245" w:hanging="588"/>
        <w:jc w:val="both"/>
        <w:rPr>
          <w:rFonts w:eastAsia="標楷體" w:hAnsi="標楷體"/>
        </w:rPr>
      </w:pPr>
      <w:r w:rsidRPr="003107C6">
        <w:rPr>
          <w:rFonts w:eastAsia="標楷體" w:hAnsi="標楷體" w:hint="eastAsia"/>
        </w:rPr>
        <w:t>註</w:t>
      </w:r>
      <w:r w:rsidRPr="003107C6">
        <w:rPr>
          <w:rFonts w:eastAsia="標楷體" w:hAnsi="標楷體"/>
        </w:rPr>
        <w:t>1</w:t>
      </w:r>
      <w:r w:rsidRPr="003107C6">
        <w:rPr>
          <w:rFonts w:eastAsia="標楷體" w:hAnsi="標楷體" w:hint="eastAsia"/>
        </w:rPr>
        <w:t>：每股時價為再發行或私募具有普通股轉換權或認股權之各種有價證券之訂價基準日</w:t>
      </w:r>
      <w:r w:rsidRPr="003107C6">
        <w:rPr>
          <w:rFonts w:eastAsia="標楷體" w:hAnsi="標楷體"/>
        </w:rPr>
        <w:t>(</w:t>
      </w:r>
      <w:r w:rsidRPr="003107C6">
        <w:rPr>
          <w:rFonts w:eastAsia="標楷體" w:hAnsi="標楷體" w:hint="eastAsia"/>
        </w:rPr>
        <w:t>私募為有價證券交付日</w:t>
      </w:r>
      <w:r w:rsidRPr="003107C6">
        <w:rPr>
          <w:rFonts w:eastAsia="標楷體" w:hAnsi="標楷體"/>
        </w:rPr>
        <w:t>)</w:t>
      </w:r>
      <w:r w:rsidRPr="003107C6">
        <w:rPr>
          <w:rFonts w:eastAsia="標楷體" w:hAnsi="標楷體" w:hint="eastAsia"/>
        </w:rPr>
        <w:t>前一、三、五個營業日本公司普通股收盤價之簡單算術平均數擇一。</w:t>
      </w:r>
    </w:p>
    <w:p w:rsidR="00434C9E" w:rsidRPr="003107C6" w:rsidRDefault="00434C9E" w:rsidP="00434C9E">
      <w:pPr>
        <w:autoSpaceDE w:val="0"/>
        <w:autoSpaceDN w:val="0"/>
        <w:snapToGrid w:val="0"/>
        <w:spacing w:before="120" w:after="120"/>
        <w:ind w:leftChars="522" w:left="1841" w:hangingChars="245" w:hanging="588"/>
        <w:jc w:val="both"/>
        <w:rPr>
          <w:rFonts w:eastAsia="標楷體" w:hAnsi="標楷體"/>
        </w:rPr>
      </w:pPr>
      <w:r w:rsidRPr="003107C6">
        <w:rPr>
          <w:rFonts w:eastAsia="標楷體" w:hAnsi="標楷體" w:hint="eastAsia"/>
        </w:rPr>
        <w:t>註</w:t>
      </w:r>
      <w:r w:rsidRPr="003107C6">
        <w:rPr>
          <w:rFonts w:eastAsia="標楷體" w:hAnsi="標楷體"/>
        </w:rPr>
        <w:t>2</w:t>
      </w:r>
      <w:r w:rsidRPr="003107C6">
        <w:rPr>
          <w:rFonts w:eastAsia="標楷體" w:hAnsi="標楷體" w:hint="eastAsia"/>
        </w:rPr>
        <w:t>：已發行股數係指普通股已發行股份總數</w:t>
      </w:r>
      <w:r w:rsidRPr="003107C6">
        <w:rPr>
          <w:rFonts w:eastAsia="標楷體" w:hAnsi="標楷體"/>
        </w:rPr>
        <w:t>(</w:t>
      </w:r>
      <w:r w:rsidRPr="003107C6">
        <w:rPr>
          <w:rFonts w:eastAsia="標楷體" w:hAnsi="標楷體" w:hint="eastAsia"/>
        </w:rPr>
        <w:t>包括已私募股數</w:t>
      </w:r>
      <w:r w:rsidRPr="003107C6">
        <w:rPr>
          <w:rFonts w:eastAsia="標楷體" w:hAnsi="標楷體"/>
        </w:rPr>
        <w:t>)</w:t>
      </w:r>
      <w:r w:rsidRPr="003107C6">
        <w:rPr>
          <w:rFonts w:eastAsia="標楷體" w:hAnsi="標楷體" w:hint="eastAsia"/>
        </w:rPr>
        <w:t>，並減除本公司已買回惟尚未註銷或轉讓之庫藏股股數。</w:t>
      </w:r>
    </w:p>
    <w:p w:rsidR="00434C9E" w:rsidRPr="003107C6" w:rsidRDefault="00434C9E" w:rsidP="00434C9E">
      <w:pPr>
        <w:autoSpaceDE w:val="0"/>
        <w:autoSpaceDN w:val="0"/>
        <w:snapToGrid w:val="0"/>
        <w:spacing w:before="120" w:after="120"/>
        <w:ind w:leftChars="522" w:left="1841" w:hangingChars="245" w:hanging="588"/>
        <w:jc w:val="both"/>
        <w:rPr>
          <w:rFonts w:eastAsia="標楷體" w:hAnsi="標楷體"/>
        </w:rPr>
      </w:pPr>
      <w:r w:rsidRPr="003107C6">
        <w:rPr>
          <w:rFonts w:eastAsia="標楷體" w:hAnsi="標楷體" w:hint="eastAsia"/>
        </w:rPr>
        <w:t>註</w:t>
      </w:r>
      <w:r w:rsidRPr="003107C6">
        <w:rPr>
          <w:rFonts w:eastAsia="標楷體" w:hAnsi="標楷體"/>
        </w:rPr>
        <w:t>3</w:t>
      </w:r>
      <w:r w:rsidRPr="003107C6">
        <w:rPr>
          <w:rFonts w:eastAsia="標楷體" w:hAnsi="標楷體" w:hint="eastAsia"/>
        </w:rPr>
        <w:t>：再發行或私募具有普通股轉換權或認股權之各種有價證券如係以庫藏股支應，則調整公式中之已發行股數應減除新發行有價證券可轉換或認股之股數。</w:t>
      </w:r>
    </w:p>
    <w:p w:rsidR="00434C9E" w:rsidRPr="003107C6" w:rsidRDefault="00434C9E" w:rsidP="00434C9E">
      <w:pPr>
        <w:tabs>
          <w:tab w:val="left" w:pos="1722"/>
        </w:tabs>
        <w:autoSpaceDE w:val="0"/>
        <w:autoSpaceDN w:val="0"/>
        <w:snapToGrid w:val="0"/>
        <w:spacing w:before="120" w:after="120"/>
        <w:ind w:leftChars="300" w:left="1130" w:hangingChars="171" w:hanging="410"/>
        <w:jc w:val="both"/>
        <w:textAlignment w:val="bottom"/>
        <w:rPr>
          <w:rFonts w:eastAsia="標楷體"/>
        </w:rPr>
      </w:pPr>
      <w:r w:rsidRPr="003107C6">
        <w:rPr>
          <w:rFonts w:eastAsia="標楷體"/>
        </w:rPr>
        <w:t>(</w:t>
      </w:r>
      <w:r w:rsidRPr="003107C6">
        <w:rPr>
          <w:rFonts w:eastAsia="標楷體" w:hAnsi="標楷體" w:hint="eastAsia"/>
        </w:rPr>
        <w:t>五</w:t>
      </w:r>
      <w:r w:rsidRPr="003107C6">
        <w:rPr>
          <w:rFonts w:eastAsia="標楷體"/>
        </w:rPr>
        <w:t>)</w:t>
      </w:r>
      <w:r w:rsidRPr="003107C6">
        <w:rPr>
          <w:rFonts w:eastAsia="標楷體" w:hAnsi="標楷體" w:hint="eastAsia"/>
        </w:rPr>
        <w:t>本轉換公司債發行後，如遇本公司非因庫藏股註銷之減資致普通股股份減少時，應依下列公式計算調整後轉換價格，並函請櫃檯買賣中心公告，於減資基準日調整之：</w:t>
      </w:r>
    </w:p>
    <w:tbl>
      <w:tblPr>
        <w:tblW w:w="0" w:type="auto"/>
        <w:tblInd w:w="748" w:type="dxa"/>
        <w:tblLayout w:type="fixed"/>
        <w:tblCellMar>
          <w:left w:w="28" w:type="dxa"/>
          <w:right w:w="28" w:type="dxa"/>
        </w:tblCellMar>
        <w:tblLook w:val="0000" w:firstRow="0" w:lastRow="0" w:firstColumn="0" w:lastColumn="0" w:noHBand="0" w:noVBand="0"/>
      </w:tblPr>
      <w:tblGrid>
        <w:gridCol w:w="1080"/>
        <w:gridCol w:w="327"/>
        <w:gridCol w:w="6393"/>
      </w:tblGrid>
      <w:tr w:rsidR="00434C9E" w:rsidRPr="003107C6" w:rsidTr="001A1041">
        <w:trPr>
          <w:cantSplit/>
          <w:trHeight w:val="80"/>
        </w:trPr>
        <w:tc>
          <w:tcPr>
            <w:tcW w:w="1080" w:type="dxa"/>
            <w:vMerge w:val="restart"/>
          </w:tcPr>
          <w:p w:rsidR="00434C9E" w:rsidRPr="003107C6" w:rsidRDefault="00434C9E" w:rsidP="001A1041">
            <w:pPr>
              <w:ind w:hanging="388"/>
              <w:jc w:val="right"/>
              <w:rPr>
                <w:rFonts w:eastAsia="標楷體"/>
                <w:spacing w:val="-16"/>
              </w:rPr>
            </w:pPr>
            <w:r w:rsidRPr="003107C6">
              <w:rPr>
                <w:rFonts w:eastAsia="標楷體" w:hAnsi="標楷體" w:hint="eastAsia"/>
                <w:spacing w:val="-16"/>
              </w:rPr>
              <w:t>調整後</w:t>
            </w:r>
          </w:p>
          <w:p w:rsidR="00434C9E" w:rsidRPr="003107C6" w:rsidRDefault="00434C9E" w:rsidP="001A1041">
            <w:pPr>
              <w:ind w:left="-148" w:hanging="388"/>
              <w:jc w:val="right"/>
              <w:rPr>
                <w:rFonts w:eastAsia="標楷體"/>
                <w:spacing w:val="-16"/>
              </w:rPr>
            </w:pPr>
            <w:r w:rsidRPr="003107C6">
              <w:rPr>
                <w:rFonts w:eastAsia="標楷體" w:hAnsi="標楷體" w:hint="eastAsia"/>
                <w:spacing w:val="-16"/>
              </w:rPr>
              <w:t>轉換價格</w:t>
            </w:r>
          </w:p>
        </w:tc>
        <w:tc>
          <w:tcPr>
            <w:tcW w:w="327" w:type="dxa"/>
            <w:vMerge w:val="restart"/>
            <w:vAlign w:val="center"/>
          </w:tcPr>
          <w:p w:rsidR="00434C9E" w:rsidRPr="003107C6" w:rsidRDefault="00434C9E" w:rsidP="001A1041">
            <w:pPr>
              <w:jc w:val="center"/>
              <w:rPr>
                <w:rFonts w:eastAsia="標楷體"/>
                <w:spacing w:val="-20"/>
              </w:rPr>
            </w:pPr>
            <w:r w:rsidRPr="003107C6">
              <w:rPr>
                <w:rFonts w:eastAsia="標楷體" w:hAnsi="標楷體" w:hint="eastAsia"/>
                <w:spacing w:val="-20"/>
              </w:rPr>
              <w:t>＝</w:t>
            </w:r>
          </w:p>
        </w:tc>
        <w:tc>
          <w:tcPr>
            <w:tcW w:w="6393" w:type="dxa"/>
            <w:tcBorders>
              <w:top w:val="nil"/>
              <w:left w:val="nil"/>
              <w:bottom w:val="single" w:sz="4" w:space="0" w:color="auto"/>
              <w:right w:val="nil"/>
            </w:tcBorders>
            <w:vAlign w:val="center"/>
          </w:tcPr>
          <w:p w:rsidR="00434C9E" w:rsidRPr="003107C6" w:rsidRDefault="00434C9E" w:rsidP="001A1041">
            <w:pPr>
              <w:jc w:val="center"/>
              <w:rPr>
                <w:rFonts w:eastAsia="標楷體"/>
                <w:spacing w:val="-20"/>
              </w:rPr>
            </w:pPr>
            <w:r w:rsidRPr="003107C6">
              <w:rPr>
                <w:rFonts w:eastAsia="標楷體" w:hAnsi="標楷體" w:hint="eastAsia"/>
                <w:spacing w:val="-20"/>
              </w:rPr>
              <w:t>調整前轉換價格</w:t>
            </w:r>
            <w:r w:rsidRPr="003107C6">
              <w:rPr>
                <w:rFonts w:eastAsia="標楷體"/>
                <w:spacing w:val="-20"/>
              </w:rPr>
              <w:t>×</w:t>
            </w:r>
            <w:r w:rsidRPr="003107C6">
              <w:rPr>
                <w:rFonts w:eastAsia="標楷體" w:hAnsi="標楷體" w:hint="eastAsia"/>
                <w:spacing w:val="-20"/>
              </w:rPr>
              <w:t>減資前已發行普通股股數</w:t>
            </w:r>
          </w:p>
        </w:tc>
      </w:tr>
      <w:tr w:rsidR="00434C9E" w:rsidRPr="003107C6" w:rsidTr="001A1041">
        <w:trPr>
          <w:cantSplit/>
          <w:trHeight w:val="362"/>
        </w:trPr>
        <w:tc>
          <w:tcPr>
            <w:tcW w:w="1080" w:type="dxa"/>
            <w:vMerge/>
            <w:vAlign w:val="center"/>
          </w:tcPr>
          <w:p w:rsidR="00434C9E" w:rsidRPr="003107C6" w:rsidRDefault="00434C9E" w:rsidP="001A1041">
            <w:pPr>
              <w:rPr>
                <w:rFonts w:eastAsia="標楷體"/>
                <w:spacing w:val="-16"/>
              </w:rPr>
            </w:pPr>
          </w:p>
        </w:tc>
        <w:tc>
          <w:tcPr>
            <w:tcW w:w="327" w:type="dxa"/>
            <w:vMerge/>
            <w:vAlign w:val="center"/>
          </w:tcPr>
          <w:p w:rsidR="00434C9E" w:rsidRPr="003107C6" w:rsidRDefault="00434C9E" w:rsidP="001A1041">
            <w:pPr>
              <w:rPr>
                <w:rFonts w:eastAsia="標楷體"/>
                <w:spacing w:val="-20"/>
              </w:rPr>
            </w:pPr>
          </w:p>
        </w:tc>
        <w:tc>
          <w:tcPr>
            <w:tcW w:w="6393" w:type="dxa"/>
            <w:vAlign w:val="center"/>
          </w:tcPr>
          <w:p w:rsidR="00434C9E" w:rsidRPr="003107C6" w:rsidRDefault="00434C9E" w:rsidP="001A1041">
            <w:pPr>
              <w:jc w:val="center"/>
              <w:rPr>
                <w:rFonts w:eastAsia="標楷體"/>
                <w:b/>
                <w:bCs/>
                <w:spacing w:val="-16"/>
              </w:rPr>
            </w:pPr>
            <w:r w:rsidRPr="003107C6">
              <w:rPr>
                <w:rFonts w:eastAsia="標楷體" w:hAnsi="標楷體" w:hint="eastAsia"/>
                <w:spacing w:val="-20"/>
              </w:rPr>
              <w:t>減資後已發行普通股股數</w:t>
            </w:r>
          </w:p>
        </w:tc>
      </w:tr>
    </w:tbl>
    <w:p w:rsidR="00434C9E" w:rsidRPr="003107C6" w:rsidRDefault="00434C9E" w:rsidP="00434C9E">
      <w:pPr>
        <w:autoSpaceDE w:val="0"/>
        <w:autoSpaceDN w:val="0"/>
        <w:snapToGrid w:val="0"/>
        <w:spacing w:before="120" w:after="120"/>
        <w:ind w:leftChars="522" w:left="1841" w:hangingChars="245" w:hanging="588"/>
        <w:jc w:val="both"/>
        <w:rPr>
          <w:rFonts w:eastAsia="標楷體" w:hAnsi="標楷體"/>
        </w:rPr>
      </w:pPr>
      <w:r w:rsidRPr="003107C6">
        <w:rPr>
          <w:rFonts w:eastAsia="標楷體" w:hAnsi="標楷體" w:hint="eastAsia"/>
        </w:rPr>
        <w:t>註：已發行普通股股數包括已私募股數，並減除本公司買回但尚未註銷或轉讓之庫藏股股數。</w:t>
      </w:r>
    </w:p>
    <w:p w:rsidR="00434C9E" w:rsidRPr="003107C6" w:rsidRDefault="00434C9E" w:rsidP="00375B3A">
      <w:pPr>
        <w:snapToGrid w:val="0"/>
        <w:spacing w:beforeLines="50" w:before="180" w:after="120"/>
        <w:jc w:val="both"/>
        <w:rPr>
          <w:rFonts w:eastAsia="標楷體"/>
        </w:rPr>
      </w:pPr>
      <w:r w:rsidRPr="003107C6">
        <w:rPr>
          <w:rFonts w:eastAsia="標楷體" w:hAnsi="標楷體" w:hint="eastAsia"/>
        </w:rPr>
        <w:t>十三、本轉換公司債之上櫃及終止上櫃</w:t>
      </w:r>
    </w:p>
    <w:p w:rsidR="00434C9E" w:rsidRPr="003107C6" w:rsidRDefault="00434C9E" w:rsidP="00434C9E">
      <w:pPr>
        <w:snapToGrid w:val="0"/>
        <w:spacing w:before="120" w:after="120"/>
        <w:ind w:left="720" w:firstLine="480"/>
        <w:jc w:val="both"/>
        <w:rPr>
          <w:rFonts w:eastAsia="標楷體"/>
        </w:rPr>
      </w:pPr>
      <w:r w:rsidRPr="003107C6">
        <w:rPr>
          <w:rFonts w:eastAsia="標楷體" w:hAnsi="標楷體" w:hint="eastAsia"/>
        </w:rPr>
        <w:t>本轉換公司債於發行日之前向櫃檯買賣中心申請上櫃買賣，至全數轉換為普通股股份或全數由本公司買回或償還時終止上櫃。</w:t>
      </w:r>
    </w:p>
    <w:p w:rsidR="00434C9E" w:rsidRPr="003107C6" w:rsidRDefault="00434C9E" w:rsidP="00375B3A">
      <w:pPr>
        <w:pStyle w:val="a3"/>
        <w:adjustRightInd/>
        <w:snapToGrid w:val="0"/>
        <w:spacing w:beforeLines="50" w:before="180"/>
        <w:rPr>
          <w:rFonts w:ascii="Times New Roman" w:eastAsia="標楷體" w:hAnsi="Times New Roman"/>
          <w:kern w:val="2"/>
          <w:szCs w:val="24"/>
        </w:rPr>
      </w:pPr>
      <w:r w:rsidRPr="003107C6">
        <w:rPr>
          <w:rFonts w:ascii="Times New Roman" w:eastAsia="標楷體" w:hAnsi="標楷體" w:hint="eastAsia"/>
          <w:kern w:val="2"/>
          <w:szCs w:val="24"/>
        </w:rPr>
        <w:lastRenderedPageBreak/>
        <w:t>十四、轉換年度股利之歸屬</w:t>
      </w:r>
    </w:p>
    <w:p w:rsidR="00434C9E" w:rsidRPr="003107C6" w:rsidRDefault="00434C9E" w:rsidP="00434C9E">
      <w:pPr>
        <w:autoSpaceDE w:val="0"/>
        <w:autoSpaceDN w:val="0"/>
        <w:adjustRightInd w:val="0"/>
        <w:snapToGrid w:val="0"/>
        <w:spacing w:line="400" w:lineRule="atLeast"/>
        <w:ind w:leftChars="304" w:left="898" w:hangingChars="70" w:hanging="168"/>
        <w:jc w:val="both"/>
        <w:textAlignment w:val="baseline"/>
        <w:rPr>
          <w:rFonts w:eastAsia="標楷體"/>
          <w:kern w:val="0"/>
        </w:rPr>
      </w:pPr>
      <w:r w:rsidRPr="003107C6">
        <w:rPr>
          <w:rFonts w:eastAsia="標楷體"/>
          <w:kern w:val="0"/>
        </w:rPr>
        <w:t>(</w:t>
      </w:r>
      <w:r w:rsidRPr="003107C6">
        <w:rPr>
          <w:rFonts w:eastAsia="標楷體" w:hint="eastAsia"/>
          <w:kern w:val="0"/>
        </w:rPr>
        <w:t>一</w:t>
      </w:r>
      <w:r w:rsidRPr="003107C6">
        <w:rPr>
          <w:rFonts w:eastAsia="標楷體"/>
          <w:kern w:val="0"/>
        </w:rPr>
        <w:t>)</w:t>
      </w:r>
      <w:r w:rsidRPr="003107C6">
        <w:rPr>
          <w:rFonts w:eastAsia="標楷體" w:hint="eastAsia"/>
          <w:kern w:val="0"/>
        </w:rPr>
        <w:t>現金股利</w:t>
      </w:r>
    </w:p>
    <w:p w:rsidR="00434C9E" w:rsidRPr="003107C6" w:rsidRDefault="00434C9E" w:rsidP="00434C9E">
      <w:pPr>
        <w:autoSpaceDE w:val="0"/>
        <w:autoSpaceDN w:val="0"/>
        <w:adjustRightInd w:val="0"/>
        <w:snapToGrid w:val="0"/>
        <w:ind w:leftChars="477" w:left="1327" w:hangingChars="76" w:hanging="182"/>
        <w:jc w:val="both"/>
        <w:textAlignment w:val="baseline"/>
        <w:rPr>
          <w:rFonts w:eastAsia="標楷體"/>
          <w:kern w:val="0"/>
        </w:rPr>
      </w:pPr>
      <w:r w:rsidRPr="003107C6">
        <w:rPr>
          <w:rFonts w:eastAsia="標楷體"/>
          <w:kern w:val="0"/>
        </w:rPr>
        <w:t>1.</w:t>
      </w:r>
      <w:r w:rsidRPr="003107C6">
        <w:rPr>
          <w:rFonts w:eastAsia="標楷體" w:hint="eastAsia"/>
          <w:kern w:val="0"/>
        </w:rPr>
        <w:t>債券持有人於當年度</w:t>
      </w:r>
      <w:smartTag w:uri="urn:schemas-microsoft-com:office:smarttags" w:element="chsdate">
        <w:smartTagPr>
          <w:attr w:name="Year" w:val="2012"/>
          <w:attr w:name="Month" w:val="1"/>
          <w:attr w:name="Day" w:val="1"/>
          <w:attr w:name="IsLunarDate" w:val="False"/>
          <w:attr w:name="IsROCDate" w:val="False"/>
        </w:smartTagPr>
        <w:r w:rsidRPr="003107C6">
          <w:rPr>
            <w:rFonts w:eastAsia="標楷體" w:hint="eastAsia"/>
            <w:kern w:val="0"/>
          </w:rPr>
          <w:t>一月一日</w:t>
        </w:r>
      </w:smartTag>
      <w:r w:rsidRPr="003107C6">
        <w:rPr>
          <w:rFonts w:eastAsia="標楷體" w:hint="eastAsia"/>
          <w:kern w:val="0"/>
        </w:rPr>
        <w:t>起至當年度本公司現金股息停止過戶日前十五個營業日</w:t>
      </w:r>
      <w:r w:rsidRPr="003107C6">
        <w:rPr>
          <w:rFonts w:eastAsia="標楷體"/>
          <w:kern w:val="0"/>
        </w:rPr>
        <w:t>(</w:t>
      </w:r>
      <w:r w:rsidRPr="003107C6">
        <w:rPr>
          <w:rFonts w:eastAsia="標楷體" w:hint="eastAsia"/>
          <w:kern w:val="0"/>
        </w:rPr>
        <w:t>不含</w:t>
      </w:r>
      <w:r w:rsidRPr="003107C6">
        <w:rPr>
          <w:rFonts w:eastAsia="標楷體"/>
          <w:kern w:val="0"/>
        </w:rPr>
        <w:t>)</w:t>
      </w:r>
      <w:r w:rsidRPr="003107C6">
        <w:rPr>
          <w:rFonts w:eastAsia="標楷體" w:hint="eastAsia"/>
          <w:kern w:val="0"/>
        </w:rPr>
        <w:t>以前請求轉換者，轉換而得之普通股得參與當年度股東會決議發放之前一年度現金股利。</w:t>
      </w:r>
    </w:p>
    <w:p w:rsidR="00434C9E" w:rsidRPr="003107C6" w:rsidRDefault="00434C9E" w:rsidP="00434C9E">
      <w:pPr>
        <w:autoSpaceDE w:val="0"/>
        <w:autoSpaceDN w:val="0"/>
        <w:adjustRightInd w:val="0"/>
        <w:snapToGrid w:val="0"/>
        <w:ind w:leftChars="477" w:left="1327" w:hangingChars="76" w:hanging="182"/>
        <w:jc w:val="both"/>
        <w:textAlignment w:val="baseline"/>
        <w:rPr>
          <w:rFonts w:eastAsia="標楷體"/>
          <w:kern w:val="0"/>
        </w:rPr>
      </w:pPr>
      <w:r w:rsidRPr="003107C6">
        <w:rPr>
          <w:rFonts w:eastAsia="標楷體"/>
          <w:kern w:val="0"/>
        </w:rPr>
        <w:t>2.</w:t>
      </w:r>
      <w:r w:rsidRPr="003107C6">
        <w:rPr>
          <w:rFonts w:eastAsia="標楷體" w:hint="eastAsia"/>
          <w:kern w:val="0"/>
        </w:rPr>
        <w:t>於本公司現金股息停止過戶日前十五個營業日</w:t>
      </w:r>
      <w:r w:rsidRPr="003107C6">
        <w:rPr>
          <w:rFonts w:eastAsia="標楷體"/>
          <w:kern w:val="0"/>
        </w:rPr>
        <w:t>(</w:t>
      </w:r>
      <w:r w:rsidRPr="003107C6">
        <w:rPr>
          <w:rFonts w:eastAsia="標楷體" w:hint="eastAsia"/>
          <w:kern w:val="0"/>
        </w:rPr>
        <w:t>含</w:t>
      </w:r>
      <w:r w:rsidRPr="003107C6">
        <w:rPr>
          <w:rFonts w:eastAsia="標楷體"/>
          <w:kern w:val="0"/>
        </w:rPr>
        <w:t>)</w:t>
      </w:r>
      <w:r w:rsidRPr="003107C6">
        <w:rPr>
          <w:rFonts w:eastAsia="標楷體" w:hint="eastAsia"/>
          <w:kern w:val="0"/>
        </w:rPr>
        <w:t>起至現金股息除息基準日</w:t>
      </w:r>
      <w:r w:rsidRPr="003107C6">
        <w:rPr>
          <w:rFonts w:eastAsia="標楷體"/>
          <w:kern w:val="0"/>
        </w:rPr>
        <w:t>(</w:t>
      </w:r>
      <w:r w:rsidRPr="003107C6">
        <w:rPr>
          <w:rFonts w:eastAsia="標楷體" w:hint="eastAsia"/>
          <w:kern w:val="0"/>
        </w:rPr>
        <w:t>含</w:t>
      </w:r>
      <w:r w:rsidRPr="003107C6">
        <w:rPr>
          <w:rFonts w:eastAsia="標楷體"/>
          <w:kern w:val="0"/>
        </w:rPr>
        <w:t>)</w:t>
      </w:r>
      <w:r w:rsidRPr="003107C6">
        <w:rPr>
          <w:rFonts w:eastAsia="標楷體" w:hint="eastAsia"/>
          <w:kern w:val="0"/>
        </w:rPr>
        <w:t>止，停止轉換。</w:t>
      </w:r>
    </w:p>
    <w:p w:rsidR="00434C9E" w:rsidRPr="003107C6" w:rsidRDefault="00434C9E" w:rsidP="00434C9E">
      <w:pPr>
        <w:autoSpaceDE w:val="0"/>
        <w:autoSpaceDN w:val="0"/>
        <w:adjustRightInd w:val="0"/>
        <w:snapToGrid w:val="0"/>
        <w:ind w:leftChars="477" w:left="1327" w:hangingChars="76" w:hanging="182"/>
        <w:jc w:val="both"/>
        <w:textAlignment w:val="baseline"/>
        <w:rPr>
          <w:rFonts w:eastAsia="標楷體"/>
          <w:kern w:val="0"/>
        </w:rPr>
      </w:pPr>
      <w:r w:rsidRPr="003107C6">
        <w:rPr>
          <w:rFonts w:eastAsia="標楷體"/>
          <w:kern w:val="0"/>
        </w:rPr>
        <w:t>3.</w:t>
      </w:r>
      <w:r w:rsidRPr="003107C6">
        <w:rPr>
          <w:rFonts w:eastAsia="標楷體" w:hint="eastAsia"/>
          <w:kern w:val="0"/>
        </w:rPr>
        <w:t>債券持有人於當年度現金股息除息基準日翌日起至當年度十二月三十一日</w:t>
      </w:r>
      <w:r w:rsidRPr="003107C6">
        <w:rPr>
          <w:rFonts w:eastAsia="標楷體"/>
          <w:kern w:val="0"/>
        </w:rPr>
        <w:t>(</w:t>
      </w:r>
      <w:r w:rsidRPr="003107C6">
        <w:rPr>
          <w:rFonts w:eastAsia="標楷體" w:hint="eastAsia"/>
          <w:kern w:val="0"/>
        </w:rPr>
        <w:t>含</w:t>
      </w:r>
      <w:r w:rsidRPr="003107C6">
        <w:rPr>
          <w:rFonts w:eastAsia="標楷體"/>
          <w:kern w:val="0"/>
        </w:rPr>
        <w:t>)</w:t>
      </w:r>
      <w:r w:rsidRPr="003107C6">
        <w:rPr>
          <w:rFonts w:eastAsia="標楷體" w:hint="eastAsia"/>
          <w:kern w:val="0"/>
        </w:rPr>
        <w:t>請求轉換者，應放棄當年度股東會決議發放之前一年度現金股利而參與次年度股東會決議發放之當年度現金股利。</w:t>
      </w:r>
    </w:p>
    <w:p w:rsidR="00434C9E" w:rsidRPr="003107C6" w:rsidRDefault="00434C9E" w:rsidP="00434C9E">
      <w:pPr>
        <w:autoSpaceDE w:val="0"/>
        <w:autoSpaceDN w:val="0"/>
        <w:adjustRightInd w:val="0"/>
        <w:snapToGrid w:val="0"/>
        <w:spacing w:line="400" w:lineRule="atLeast"/>
        <w:ind w:leftChars="304" w:left="898" w:hangingChars="70" w:hanging="168"/>
        <w:jc w:val="both"/>
        <w:textAlignment w:val="baseline"/>
        <w:rPr>
          <w:rFonts w:eastAsia="標楷體"/>
          <w:kern w:val="0"/>
        </w:rPr>
      </w:pPr>
      <w:r w:rsidRPr="003107C6">
        <w:rPr>
          <w:rFonts w:eastAsia="標楷體"/>
          <w:kern w:val="0"/>
        </w:rPr>
        <w:t>(</w:t>
      </w:r>
      <w:r w:rsidRPr="003107C6">
        <w:rPr>
          <w:rFonts w:eastAsia="標楷體" w:hint="eastAsia"/>
          <w:kern w:val="0"/>
        </w:rPr>
        <w:t>二</w:t>
      </w:r>
      <w:r w:rsidRPr="003107C6">
        <w:rPr>
          <w:rFonts w:eastAsia="標楷體"/>
          <w:kern w:val="0"/>
        </w:rPr>
        <w:t>)</w:t>
      </w:r>
      <w:r w:rsidRPr="003107C6">
        <w:rPr>
          <w:rFonts w:eastAsia="標楷體" w:hint="eastAsia"/>
          <w:kern w:val="0"/>
        </w:rPr>
        <w:t>股票股利</w:t>
      </w:r>
    </w:p>
    <w:p w:rsidR="00434C9E" w:rsidRPr="003107C6" w:rsidRDefault="00434C9E" w:rsidP="00434C9E">
      <w:pPr>
        <w:autoSpaceDE w:val="0"/>
        <w:autoSpaceDN w:val="0"/>
        <w:adjustRightInd w:val="0"/>
        <w:snapToGrid w:val="0"/>
        <w:ind w:leftChars="477" w:left="1327" w:hangingChars="76" w:hanging="182"/>
        <w:jc w:val="both"/>
        <w:textAlignment w:val="baseline"/>
        <w:rPr>
          <w:rFonts w:eastAsia="標楷體"/>
          <w:kern w:val="0"/>
        </w:rPr>
      </w:pPr>
      <w:r w:rsidRPr="003107C6">
        <w:rPr>
          <w:rFonts w:eastAsia="標楷體"/>
          <w:kern w:val="0"/>
        </w:rPr>
        <w:t>1.</w:t>
      </w:r>
      <w:r w:rsidRPr="003107C6">
        <w:rPr>
          <w:rFonts w:eastAsia="標楷體" w:hint="eastAsia"/>
          <w:kern w:val="0"/>
        </w:rPr>
        <w:t>債券持有人於當年度</w:t>
      </w:r>
      <w:smartTag w:uri="urn:schemas-microsoft-com:office:smarttags" w:element="chsdate">
        <w:smartTagPr>
          <w:attr w:name="Year" w:val="2012"/>
          <w:attr w:name="Month" w:val="1"/>
          <w:attr w:name="Day" w:val="1"/>
          <w:attr w:name="IsLunarDate" w:val="False"/>
          <w:attr w:name="IsROCDate" w:val="False"/>
        </w:smartTagPr>
        <w:r w:rsidRPr="003107C6">
          <w:rPr>
            <w:rFonts w:eastAsia="標楷體" w:hint="eastAsia"/>
            <w:kern w:val="0"/>
          </w:rPr>
          <w:t>一月一日</w:t>
        </w:r>
      </w:smartTag>
      <w:r w:rsidRPr="003107C6">
        <w:rPr>
          <w:rFonts w:eastAsia="標楷體" w:hint="eastAsia"/>
          <w:kern w:val="0"/>
        </w:rPr>
        <w:t>起至當年度本公司無償配股停止過戶日前十五個營業日</w:t>
      </w:r>
      <w:r w:rsidRPr="003107C6">
        <w:rPr>
          <w:rFonts w:eastAsia="標楷體"/>
          <w:kern w:val="0"/>
        </w:rPr>
        <w:t>(</w:t>
      </w:r>
      <w:r w:rsidRPr="003107C6">
        <w:rPr>
          <w:rFonts w:eastAsia="標楷體" w:hint="eastAsia"/>
          <w:kern w:val="0"/>
        </w:rPr>
        <w:t>不含</w:t>
      </w:r>
      <w:r w:rsidRPr="003107C6">
        <w:rPr>
          <w:rFonts w:eastAsia="標楷體"/>
          <w:kern w:val="0"/>
        </w:rPr>
        <w:t>)</w:t>
      </w:r>
      <w:r w:rsidRPr="003107C6">
        <w:rPr>
          <w:rFonts w:eastAsia="標楷體" w:hint="eastAsia"/>
          <w:kern w:val="0"/>
        </w:rPr>
        <w:t>以前請求轉換者，轉換而得之普通股得參與當年度股東會決議發放之前一年度股票股利。</w:t>
      </w:r>
    </w:p>
    <w:p w:rsidR="00434C9E" w:rsidRPr="003107C6" w:rsidRDefault="00434C9E" w:rsidP="00434C9E">
      <w:pPr>
        <w:autoSpaceDE w:val="0"/>
        <w:autoSpaceDN w:val="0"/>
        <w:adjustRightInd w:val="0"/>
        <w:snapToGrid w:val="0"/>
        <w:ind w:leftChars="477" w:left="1327" w:hangingChars="76" w:hanging="182"/>
        <w:jc w:val="both"/>
        <w:textAlignment w:val="baseline"/>
        <w:rPr>
          <w:rFonts w:eastAsia="標楷體"/>
          <w:kern w:val="0"/>
        </w:rPr>
      </w:pPr>
      <w:r w:rsidRPr="003107C6">
        <w:rPr>
          <w:rFonts w:eastAsia="標楷體"/>
          <w:kern w:val="0"/>
        </w:rPr>
        <w:t>2.</w:t>
      </w:r>
      <w:r w:rsidRPr="003107C6">
        <w:rPr>
          <w:rFonts w:eastAsia="標楷體" w:hint="eastAsia"/>
          <w:kern w:val="0"/>
        </w:rPr>
        <w:t>於本公司無償配股停止過戶日前十五個營業日</w:t>
      </w:r>
      <w:r w:rsidRPr="003107C6">
        <w:rPr>
          <w:rFonts w:eastAsia="標楷體"/>
          <w:kern w:val="0"/>
        </w:rPr>
        <w:t>(</w:t>
      </w:r>
      <w:r w:rsidRPr="003107C6">
        <w:rPr>
          <w:rFonts w:eastAsia="標楷體" w:hint="eastAsia"/>
          <w:kern w:val="0"/>
        </w:rPr>
        <w:t>含</w:t>
      </w:r>
      <w:r w:rsidRPr="003107C6">
        <w:rPr>
          <w:rFonts w:eastAsia="標楷體"/>
          <w:kern w:val="0"/>
        </w:rPr>
        <w:t>)</w:t>
      </w:r>
      <w:r w:rsidRPr="003107C6">
        <w:rPr>
          <w:rFonts w:eastAsia="標楷體" w:hint="eastAsia"/>
          <w:kern w:val="0"/>
        </w:rPr>
        <w:t>起至無償配股除權基準日</w:t>
      </w:r>
      <w:r w:rsidRPr="003107C6">
        <w:rPr>
          <w:rFonts w:eastAsia="標楷體"/>
          <w:kern w:val="0"/>
        </w:rPr>
        <w:t>(</w:t>
      </w:r>
      <w:r w:rsidRPr="003107C6">
        <w:rPr>
          <w:rFonts w:eastAsia="標楷體" w:hint="eastAsia"/>
          <w:kern w:val="0"/>
        </w:rPr>
        <w:t>含</w:t>
      </w:r>
      <w:r w:rsidRPr="003107C6">
        <w:rPr>
          <w:rFonts w:eastAsia="標楷體"/>
          <w:kern w:val="0"/>
        </w:rPr>
        <w:t>)</w:t>
      </w:r>
      <w:r w:rsidRPr="003107C6">
        <w:rPr>
          <w:rFonts w:eastAsia="標楷體" w:hint="eastAsia"/>
          <w:kern w:val="0"/>
        </w:rPr>
        <w:t>止停止債券轉換。</w:t>
      </w:r>
    </w:p>
    <w:p w:rsidR="00434C9E" w:rsidRPr="003107C6" w:rsidRDefault="00434C9E" w:rsidP="00434C9E">
      <w:pPr>
        <w:autoSpaceDE w:val="0"/>
        <w:autoSpaceDN w:val="0"/>
        <w:adjustRightInd w:val="0"/>
        <w:snapToGrid w:val="0"/>
        <w:spacing w:after="120"/>
        <w:ind w:leftChars="477" w:left="1327" w:hangingChars="76" w:hanging="182"/>
        <w:jc w:val="both"/>
        <w:textAlignment w:val="baseline"/>
        <w:rPr>
          <w:rFonts w:eastAsia="標楷體"/>
          <w:kern w:val="0"/>
        </w:rPr>
      </w:pPr>
      <w:r w:rsidRPr="003107C6">
        <w:rPr>
          <w:rFonts w:eastAsia="標楷體"/>
          <w:kern w:val="0"/>
        </w:rPr>
        <w:t>3.</w:t>
      </w:r>
      <w:r w:rsidRPr="003107C6">
        <w:rPr>
          <w:rFonts w:eastAsia="標楷體" w:hint="eastAsia"/>
          <w:kern w:val="0"/>
        </w:rPr>
        <w:t>債券持有人於當年度無償配股除權基準日翌日起至當年度十二月三十一日</w:t>
      </w:r>
      <w:r w:rsidRPr="003107C6">
        <w:rPr>
          <w:rFonts w:eastAsia="標楷體"/>
          <w:kern w:val="0"/>
        </w:rPr>
        <w:t>(</w:t>
      </w:r>
      <w:r w:rsidRPr="003107C6">
        <w:rPr>
          <w:rFonts w:eastAsia="標楷體" w:hint="eastAsia"/>
          <w:kern w:val="0"/>
        </w:rPr>
        <w:t>含</w:t>
      </w:r>
      <w:r w:rsidRPr="003107C6">
        <w:rPr>
          <w:rFonts w:eastAsia="標楷體"/>
          <w:kern w:val="0"/>
        </w:rPr>
        <w:t>)</w:t>
      </w:r>
      <w:r w:rsidRPr="003107C6">
        <w:rPr>
          <w:rFonts w:eastAsia="標楷體" w:hint="eastAsia"/>
          <w:kern w:val="0"/>
        </w:rPr>
        <w:t>請求轉換者，應放棄當年度股東會決議發放之前一年度股票股利，而參與次年度股東會決議發放之當年度股票股利。</w:t>
      </w:r>
    </w:p>
    <w:p w:rsidR="00434C9E" w:rsidRPr="003107C6" w:rsidRDefault="00434C9E" w:rsidP="00434C9E">
      <w:pPr>
        <w:snapToGrid w:val="0"/>
        <w:jc w:val="both"/>
        <w:rPr>
          <w:rFonts w:eastAsia="標楷體" w:hAnsi="標楷體"/>
        </w:rPr>
      </w:pPr>
      <w:r w:rsidRPr="003107C6">
        <w:rPr>
          <w:rFonts w:eastAsia="標楷體" w:hAnsi="標楷體" w:hint="eastAsia"/>
        </w:rPr>
        <w:t>十五、股本變更登記作業</w:t>
      </w:r>
    </w:p>
    <w:p w:rsidR="00434C9E" w:rsidRPr="003107C6" w:rsidRDefault="00434C9E" w:rsidP="00434C9E">
      <w:pPr>
        <w:snapToGrid w:val="0"/>
        <w:spacing w:before="120" w:after="120"/>
        <w:ind w:left="720" w:firstLine="480"/>
        <w:jc w:val="both"/>
        <w:rPr>
          <w:rFonts w:eastAsia="標楷體"/>
        </w:rPr>
      </w:pPr>
      <w:r w:rsidRPr="003107C6">
        <w:rPr>
          <w:rFonts w:eastAsia="標楷體" w:hAnsi="標楷體" w:hint="eastAsia"/>
        </w:rPr>
        <w:t>本公司應於每季結束後十五日內，將前一季因本轉換公司債轉換所交付之股票數額予以公告，每季並應向公司登記之主管機關申請資本額變更登記至少一次。</w:t>
      </w:r>
    </w:p>
    <w:p w:rsidR="00434C9E" w:rsidRPr="003107C6" w:rsidRDefault="00434C9E" w:rsidP="00434C9E">
      <w:pPr>
        <w:snapToGrid w:val="0"/>
        <w:jc w:val="both"/>
        <w:rPr>
          <w:rFonts w:eastAsia="標楷體"/>
        </w:rPr>
      </w:pPr>
      <w:r w:rsidRPr="003107C6">
        <w:rPr>
          <w:rFonts w:eastAsia="標楷體" w:hAnsi="標楷體" w:hint="eastAsia"/>
        </w:rPr>
        <w:t>十六、換股時不足壹股股份金額之處理</w:t>
      </w:r>
    </w:p>
    <w:p w:rsidR="00434C9E" w:rsidRPr="003107C6" w:rsidRDefault="00434C9E" w:rsidP="00434C9E">
      <w:pPr>
        <w:snapToGrid w:val="0"/>
        <w:spacing w:before="120" w:after="120"/>
        <w:ind w:left="720" w:firstLine="480"/>
        <w:jc w:val="both"/>
        <w:rPr>
          <w:rFonts w:eastAsia="標楷體"/>
          <w:dstrike/>
        </w:rPr>
      </w:pPr>
      <w:r w:rsidRPr="003107C6">
        <w:rPr>
          <w:rFonts w:eastAsia="標楷體" w:hAnsi="標楷體" w:hint="eastAsia"/>
        </w:rPr>
        <w:t>轉換為本公司普通股時，若有不足壹股之股份金額，本公司將以現金償付</w:t>
      </w:r>
      <w:r w:rsidRPr="003107C6">
        <w:rPr>
          <w:rFonts w:eastAsia="標楷體"/>
        </w:rPr>
        <w:t>(</w:t>
      </w:r>
      <w:r w:rsidRPr="003107C6">
        <w:rPr>
          <w:rFonts w:eastAsia="標楷體" w:hAnsi="標楷體" w:hint="eastAsia"/>
        </w:rPr>
        <w:t>計算至新台幣元止，角以下四捨五入</w:t>
      </w:r>
      <w:r w:rsidRPr="003107C6">
        <w:rPr>
          <w:rFonts w:eastAsia="標楷體"/>
        </w:rPr>
        <w:t>)</w:t>
      </w:r>
      <w:r w:rsidRPr="003107C6">
        <w:rPr>
          <w:rFonts w:eastAsia="標楷體" w:hAnsi="標楷體" w:hint="eastAsia"/>
        </w:rPr>
        <w:t>。</w:t>
      </w:r>
    </w:p>
    <w:p w:rsidR="00434C9E" w:rsidRPr="003107C6" w:rsidRDefault="00434C9E" w:rsidP="00434C9E">
      <w:pPr>
        <w:snapToGrid w:val="0"/>
        <w:jc w:val="both"/>
        <w:rPr>
          <w:rFonts w:eastAsia="標楷體"/>
        </w:rPr>
      </w:pPr>
      <w:r w:rsidRPr="003107C6">
        <w:rPr>
          <w:rFonts w:eastAsia="標楷體" w:hAnsi="標楷體" w:hint="eastAsia"/>
        </w:rPr>
        <w:t>十七、轉換後之新股上櫃</w:t>
      </w:r>
    </w:p>
    <w:p w:rsidR="00434C9E" w:rsidRPr="003107C6" w:rsidRDefault="00434C9E" w:rsidP="00434C9E">
      <w:pPr>
        <w:snapToGrid w:val="0"/>
        <w:spacing w:before="120" w:after="120"/>
        <w:ind w:left="720" w:firstLine="480"/>
        <w:jc w:val="both"/>
        <w:rPr>
          <w:rFonts w:eastAsia="標楷體"/>
        </w:rPr>
      </w:pPr>
      <w:r w:rsidRPr="003107C6">
        <w:rPr>
          <w:rFonts w:eastAsia="標楷體" w:hAnsi="標楷體" w:hint="eastAsia"/>
        </w:rPr>
        <w:t>本轉換公司債經轉換後換發之普通股自交付日起於櫃檯買賣中心上櫃買賣，並由本公司洽櫃檯買賣中心同意後公告之。</w:t>
      </w:r>
    </w:p>
    <w:p w:rsidR="00434C9E" w:rsidRPr="003107C6" w:rsidRDefault="00434C9E" w:rsidP="00434C9E">
      <w:pPr>
        <w:snapToGrid w:val="0"/>
        <w:jc w:val="both"/>
        <w:rPr>
          <w:rFonts w:eastAsia="標楷體"/>
        </w:rPr>
      </w:pPr>
      <w:r w:rsidRPr="003107C6">
        <w:rPr>
          <w:rFonts w:eastAsia="標楷體" w:hAnsi="標楷體" w:hint="eastAsia"/>
        </w:rPr>
        <w:t>十八、轉換後之權利義務</w:t>
      </w:r>
    </w:p>
    <w:p w:rsidR="00434C9E" w:rsidRPr="003107C6" w:rsidRDefault="00434C9E" w:rsidP="00434C9E">
      <w:pPr>
        <w:snapToGrid w:val="0"/>
        <w:spacing w:before="120" w:after="120"/>
        <w:ind w:left="720" w:firstLine="480"/>
        <w:jc w:val="both"/>
        <w:rPr>
          <w:rFonts w:eastAsia="標楷體"/>
        </w:rPr>
      </w:pPr>
      <w:r w:rsidRPr="003107C6">
        <w:rPr>
          <w:rFonts w:eastAsia="標楷體" w:hAnsi="標楷體" w:hint="eastAsia"/>
        </w:rPr>
        <w:t>轉換後之新股，其權利義務與本公司原已發行之普通股股份相同。</w:t>
      </w:r>
    </w:p>
    <w:p w:rsidR="00434C9E" w:rsidRPr="003107C6" w:rsidRDefault="00434C9E" w:rsidP="00375B3A">
      <w:pPr>
        <w:snapToGrid w:val="0"/>
        <w:spacing w:beforeLines="50" w:before="180" w:after="120"/>
        <w:jc w:val="both"/>
        <w:rPr>
          <w:rFonts w:eastAsia="標楷體"/>
        </w:rPr>
      </w:pPr>
      <w:r w:rsidRPr="003107C6">
        <w:rPr>
          <w:rFonts w:eastAsia="標楷體" w:hAnsi="標楷體" w:hint="eastAsia"/>
        </w:rPr>
        <w:t>十九、本公司對本轉換公司債之收回權</w:t>
      </w:r>
    </w:p>
    <w:p w:rsidR="00434C9E" w:rsidRPr="003107C6" w:rsidRDefault="00434C9E" w:rsidP="00434C9E">
      <w:pPr>
        <w:tabs>
          <w:tab w:val="left" w:pos="1722"/>
        </w:tabs>
        <w:autoSpaceDE w:val="0"/>
        <w:autoSpaceDN w:val="0"/>
        <w:snapToGrid w:val="0"/>
        <w:spacing w:before="120" w:after="120"/>
        <w:ind w:leftChars="300" w:left="1130" w:hangingChars="171" w:hanging="410"/>
        <w:jc w:val="both"/>
        <w:textAlignment w:val="bottom"/>
        <w:rPr>
          <w:rFonts w:eastAsia="標楷體"/>
        </w:rPr>
      </w:pPr>
      <w:r w:rsidRPr="003107C6">
        <w:rPr>
          <w:rFonts w:eastAsia="標楷體"/>
        </w:rPr>
        <w:t>(</w:t>
      </w:r>
      <w:r w:rsidRPr="003107C6">
        <w:rPr>
          <w:rFonts w:eastAsia="標楷體" w:hAnsi="標楷體" w:hint="eastAsia"/>
        </w:rPr>
        <w:t>一</w:t>
      </w:r>
      <w:r w:rsidRPr="003107C6">
        <w:rPr>
          <w:rFonts w:eastAsia="標楷體"/>
        </w:rPr>
        <w:t>)</w:t>
      </w:r>
      <w:r w:rsidRPr="003107C6">
        <w:rPr>
          <w:rFonts w:eastAsia="標楷體" w:hAnsi="標楷體" w:hint="eastAsia"/>
        </w:rPr>
        <w:t>本轉換公司債自發行滿</w:t>
      </w:r>
      <w:r w:rsidRPr="003107C6">
        <w:rPr>
          <w:rFonts w:eastAsia="標楷體" w:hAnsi="標楷體" w:hint="eastAsia"/>
          <w:b/>
          <w:bCs/>
        </w:rPr>
        <w:t>一</w:t>
      </w:r>
      <w:r w:rsidRPr="003107C6">
        <w:rPr>
          <w:rFonts w:eastAsia="標楷體" w:hAnsi="標楷體" w:hint="eastAsia"/>
        </w:rPr>
        <w:t>個月翌日起</w:t>
      </w:r>
      <w:r w:rsidRPr="003107C6">
        <w:rPr>
          <w:rFonts w:eastAsia="標楷體"/>
        </w:rPr>
        <w:t>(</w:t>
      </w:r>
      <w:r w:rsidRPr="003107C6">
        <w:rPr>
          <w:rFonts w:eastAsia="標楷體" w:hAnsi="標楷體" w:hint="eastAsia"/>
        </w:rPr>
        <w:t>民國</w:t>
      </w:r>
      <w:r w:rsidRPr="003107C6">
        <w:rPr>
          <w:rFonts w:eastAsia="標楷體"/>
        </w:rPr>
        <w:t>102</w:t>
      </w:r>
      <w:r w:rsidRPr="003107C6">
        <w:rPr>
          <w:rFonts w:eastAsia="標楷體" w:hAnsi="標楷體" w:hint="eastAsia"/>
        </w:rPr>
        <w:t>年</w:t>
      </w:r>
      <w:r w:rsidRPr="003107C6">
        <w:rPr>
          <w:rFonts w:eastAsia="標楷體" w:hAnsi="標楷體" w:hint="eastAsia"/>
        </w:rPr>
        <w:t>1</w:t>
      </w:r>
      <w:r w:rsidRPr="003107C6">
        <w:rPr>
          <w:rFonts w:eastAsia="標楷體" w:hAnsi="標楷體" w:hint="eastAsia"/>
        </w:rPr>
        <w:t>月</w:t>
      </w:r>
      <w:r w:rsidRPr="003107C6">
        <w:rPr>
          <w:rFonts w:eastAsia="標楷體" w:hint="eastAsia"/>
        </w:rPr>
        <w:t>28</w:t>
      </w:r>
      <w:r w:rsidRPr="003107C6">
        <w:rPr>
          <w:rFonts w:eastAsia="標楷體" w:hAnsi="標楷體" w:hint="eastAsia"/>
        </w:rPr>
        <w:t>日</w:t>
      </w:r>
      <w:r w:rsidRPr="003107C6">
        <w:rPr>
          <w:rFonts w:eastAsia="標楷體"/>
        </w:rPr>
        <w:t>)</w:t>
      </w:r>
      <w:r w:rsidRPr="003107C6">
        <w:rPr>
          <w:rFonts w:eastAsia="標楷體" w:hAnsi="標楷體" w:hint="eastAsia"/>
        </w:rPr>
        <w:t>至到期日前四十日</w:t>
      </w:r>
      <w:r w:rsidRPr="003107C6">
        <w:rPr>
          <w:rFonts w:eastAsia="標楷體"/>
        </w:rPr>
        <w:t>(</w:t>
      </w:r>
      <w:r w:rsidRPr="003107C6">
        <w:rPr>
          <w:rFonts w:eastAsia="標楷體" w:hAnsi="標楷體" w:hint="eastAsia"/>
        </w:rPr>
        <w:t>民國</w:t>
      </w:r>
      <w:r w:rsidRPr="003107C6">
        <w:rPr>
          <w:rFonts w:eastAsia="標楷體"/>
        </w:rPr>
        <w:t>104</w:t>
      </w:r>
      <w:r w:rsidRPr="003107C6">
        <w:rPr>
          <w:rFonts w:eastAsia="標楷體" w:hAnsi="標楷體" w:hint="eastAsia"/>
        </w:rPr>
        <w:t>年</w:t>
      </w:r>
      <w:r w:rsidRPr="003107C6">
        <w:rPr>
          <w:rFonts w:eastAsia="標楷體" w:hint="eastAsia"/>
        </w:rPr>
        <w:t>11</w:t>
      </w:r>
      <w:r w:rsidRPr="003107C6">
        <w:rPr>
          <w:rFonts w:eastAsia="標楷體" w:hAnsi="標楷體" w:hint="eastAsia"/>
        </w:rPr>
        <w:t>月</w:t>
      </w:r>
      <w:r w:rsidRPr="003107C6">
        <w:rPr>
          <w:rFonts w:eastAsia="標楷體" w:hint="eastAsia"/>
        </w:rPr>
        <w:t>18</w:t>
      </w:r>
      <w:r w:rsidRPr="003107C6">
        <w:rPr>
          <w:rFonts w:eastAsia="標楷體" w:hAnsi="標楷體" w:hint="eastAsia"/>
        </w:rPr>
        <w:t>日</w:t>
      </w:r>
      <w:r w:rsidRPr="003107C6">
        <w:rPr>
          <w:rFonts w:eastAsia="標楷體"/>
        </w:rPr>
        <w:t>)</w:t>
      </w:r>
      <w:r w:rsidRPr="003107C6">
        <w:rPr>
          <w:rFonts w:eastAsia="標楷體" w:hAnsi="標楷體" w:hint="eastAsia"/>
        </w:rPr>
        <w:t>止，若本公司普通股在櫃檯買賣中心之收盤價格連續三十個營業日超過當時轉換價格達百分之三十</w:t>
      </w:r>
      <w:r w:rsidRPr="003107C6">
        <w:rPr>
          <w:rFonts w:eastAsia="標楷體"/>
        </w:rPr>
        <w:t>(</w:t>
      </w:r>
      <w:r w:rsidRPr="003107C6">
        <w:rPr>
          <w:rFonts w:eastAsia="標楷體" w:hAnsi="標楷體" w:hint="eastAsia"/>
        </w:rPr>
        <w:t>含</w:t>
      </w:r>
      <w:r w:rsidRPr="003107C6">
        <w:rPr>
          <w:rFonts w:eastAsia="標楷體"/>
        </w:rPr>
        <w:t>)</w:t>
      </w:r>
      <w:r w:rsidRPr="003107C6">
        <w:rPr>
          <w:rFonts w:eastAsia="標楷體" w:hAnsi="標楷體" w:hint="eastAsia"/>
        </w:rPr>
        <w:t>以上時，本公司得於其後三十個營業日內，以掛號寄發一份一個月期滿之「債券收回通知書」</w:t>
      </w:r>
      <w:r w:rsidRPr="003107C6">
        <w:rPr>
          <w:rFonts w:eastAsia="標楷體"/>
        </w:rPr>
        <w:t>(</w:t>
      </w:r>
      <w:r w:rsidRPr="003107C6">
        <w:rPr>
          <w:rFonts w:eastAsia="標楷體" w:hAnsi="標楷體" w:hint="eastAsia"/>
        </w:rPr>
        <w:t>前述期間自本公司發信之日起算，並以該期間屆滿日為債券收回基準日，且前述期間不得為第十條之停止轉換期間</w:t>
      </w:r>
      <w:r w:rsidRPr="003107C6">
        <w:rPr>
          <w:rFonts w:eastAsia="標楷體"/>
        </w:rPr>
        <w:t>)</w:t>
      </w:r>
      <w:r w:rsidRPr="003107C6">
        <w:rPr>
          <w:rFonts w:eastAsia="標楷體" w:hAnsi="標楷體" w:hint="eastAsia"/>
        </w:rPr>
        <w:t>予債券持有人</w:t>
      </w:r>
      <w:r w:rsidRPr="003107C6">
        <w:rPr>
          <w:rFonts w:eastAsia="標楷體"/>
        </w:rPr>
        <w:t>(</w:t>
      </w:r>
      <w:r w:rsidRPr="003107C6">
        <w:rPr>
          <w:rFonts w:eastAsia="標楷體" w:hAnsi="標楷體" w:hint="eastAsia"/>
        </w:rPr>
        <w:t>以「債券收回通知書」寄發日前第五個營業日債券持有人名冊所載者為準，對於其後因買賣或其他原因始取得本轉換公司債之投資人，則以公告方式為之</w:t>
      </w:r>
      <w:r w:rsidRPr="003107C6">
        <w:rPr>
          <w:rFonts w:eastAsia="標楷體"/>
        </w:rPr>
        <w:t>)</w:t>
      </w:r>
      <w:r w:rsidRPr="003107C6">
        <w:rPr>
          <w:rFonts w:eastAsia="標楷體" w:hAnsi="標楷體" w:hint="eastAsia"/>
        </w:rPr>
        <w:t>，且函知櫃檯買賣中心公告並於該期間屆滿時，按債券面額以現金收回全部債券。</w:t>
      </w:r>
    </w:p>
    <w:p w:rsidR="00434C9E" w:rsidRPr="003107C6" w:rsidRDefault="00434C9E" w:rsidP="00434C9E">
      <w:pPr>
        <w:tabs>
          <w:tab w:val="left" w:pos="1722"/>
        </w:tabs>
        <w:autoSpaceDE w:val="0"/>
        <w:autoSpaceDN w:val="0"/>
        <w:snapToGrid w:val="0"/>
        <w:spacing w:before="120" w:after="120"/>
        <w:ind w:leftChars="300" w:left="1128" w:hangingChars="170" w:hanging="408"/>
        <w:jc w:val="both"/>
        <w:textAlignment w:val="bottom"/>
        <w:rPr>
          <w:rFonts w:eastAsia="標楷體"/>
        </w:rPr>
      </w:pPr>
      <w:r w:rsidRPr="003107C6">
        <w:rPr>
          <w:rFonts w:eastAsia="標楷體"/>
        </w:rPr>
        <w:t>(</w:t>
      </w:r>
      <w:r w:rsidRPr="003107C6">
        <w:rPr>
          <w:rFonts w:eastAsia="標楷體" w:hAnsi="標楷體" w:hint="eastAsia"/>
        </w:rPr>
        <w:t>二</w:t>
      </w:r>
      <w:r w:rsidRPr="003107C6">
        <w:rPr>
          <w:rFonts w:eastAsia="標楷體"/>
        </w:rPr>
        <w:t>)</w:t>
      </w:r>
      <w:r w:rsidRPr="003107C6">
        <w:rPr>
          <w:rFonts w:eastAsia="標楷體" w:hAnsi="標楷體" w:hint="eastAsia"/>
        </w:rPr>
        <w:t>本轉換公司債自發行滿</w:t>
      </w:r>
      <w:r w:rsidRPr="003107C6">
        <w:rPr>
          <w:rFonts w:eastAsia="標楷體" w:hAnsi="標楷體" w:hint="eastAsia"/>
          <w:b/>
          <w:bCs/>
        </w:rPr>
        <w:t>一</w:t>
      </w:r>
      <w:r w:rsidRPr="003107C6">
        <w:rPr>
          <w:rFonts w:eastAsia="標楷體" w:hAnsi="標楷體" w:hint="eastAsia"/>
        </w:rPr>
        <w:t>個月翌日起</w:t>
      </w:r>
      <w:r w:rsidRPr="003107C6">
        <w:rPr>
          <w:rFonts w:eastAsia="標楷體"/>
        </w:rPr>
        <w:t>(</w:t>
      </w:r>
      <w:r w:rsidRPr="003107C6">
        <w:rPr>
          <w:rFonts w:eastAsia="標楷體" w:hAnsi="標楷體" w:hint="eastAsia"/>
        </w:rPr>
        <w:t>民國</w:t>
      </w:r>
      <w:r w:rsidRPr="003107C6">
        <w:rPr>
          <w:rFonts w:eastAsia="標楷體"/>
        </w:rPr>
        <w:t>102</w:t>
      </w:r>
      <w:r w:rsidRPr="003107C6">
        <w:rPr>
          <w:rFonts w:eastAsia="標楷體" w:hAnsi="標楷體" w:hint="eastAsia"/>
        </w:rPr>
        <w:t>年</w:t>
      </w:r>
      <w:r w:rsidRPr="003107C6">
        <w:rPr>
          <w:rFonts w:eastAsia="標楷體" w:hint="eastAsia"/>
        </w:rPr>
        <w:t>1</w:t>
      </w:r>
      <w:r w:rsidRPr="003107C6">
        <w:rPr>
          <w:rFonts w:eastAsia="標楷體" w:hAnsi="標楷體" w:hint="eastAsia"/>
        </w:rPr>
        <w:t>月</w:t>
      </w:r>
      <w:r w:rsidRPr="003107C6">
        <w:rPr>
          <w:rFonts w:eastAsia="標楷體" w:hint="eastAsia"/>
        </w:rPr>
        <w:t>28</w:t>
      </w:r>
      <w:r w:rsidRPr="003107C6">
        <w:rPr>
          <w:rFonts w:eastAsia="標楷體" w:hAnsi="標楷體" w:hint="eastAsia"/>
        </w:rPr>
        <w:t>日</w:t>
      </w:r>
      <w:r w:rsidRPr="003107C6">
        <w:rPr>
          <w:rFonts w:eastAsia="標楷體"/>
        </w:rPr>
        <w:t>)</w:t>
      </w:r>
      <w:r w:rsidRPr="003107C6">
        <w:rPr>
          <w:rFonts w:eastAsia="標楷體" w:hAnsi="標楷體" w:hint="eastAsia"/>
        </w:rPr>
        <w:t>至到期日前四十日</w:t>
      </w:r>
      <w:r w:rsidRPr="003107C6">
        <w:rPr>
          <w:rFonts w:eastAsia="標楷體"/>
        </w:rPr>
        <w:t>(</w:t>
      </w:r>
      <w:r w:rsidRPr="003107C6">
        <w:rPr>
          <w:rFonts w:eastAsia="標楷體" w:hAnsi="標楷體" w:hint="eastAsia"/>
        </w:rPr>
        <w:t>民國</w:t>
      </w:r>
      <w:r w:rsidRPr="003107C6">
        <w:rPr>
          <w:rFonts w:eastAsia="標楷體"/>
        </w:rPr>
        <w:lastRenderedPageBreak/>
        <w:t>104</w:t>
      </w:r>
      <w:r w:rsidRPr="003107C6">
        <w:rPr>
          <w:rFonts w:eastAsia="標楷體" w:hAnsi="標楷體" w:hint="eastAsia"/>
        </w:rPr>
        <w:t>年</w:t>
      </w:r>
      <w:r w:rsidRPr="003107C6">
        <w:rPr>
          <w:rFonts w:eastAsia="標楷體" w:hint="eastAsia"/>
        </w:rPr>
        <w:t>11</w:t>
      </w:r>
      <w:r w:rsidRPr="003107C6">
        <w:rPr>
          <w:rFonts w:eastAsia="標楷體" w:hAnsi="標楷體" w:hint="eastAsia"/>
        </w:rPr>
        <w:t>月</w:t>
      </w:r>
      <w:r w:rsidRPr="003107C6">
        <w:rPr>
          <w:rFonts w:eastAsia="標楷體" w:hint="eastAsia"/>
        </w:rPr>
        <w:t>18</w:t>
      </w:r>
      <w:r w:rsidRPr="003107C6">
        <w:rPr>
          <w:rFonts w:eastAsia="標楷體" w:hAnsi="標楷體" w:hint="eastAsia"/>
        </w:rPr>
        <w:t>日</w:t>
      </w:r>
      <w:r w:rsidRPr="003107C6">
        <w:rPr>
          <w:rFonts w:eastAsia="標楷體"/>
        </w:rPr>
        <w:t>)</w:t>
      </w:r>
      <w:r w:rsidRPr="003107C6">
        <w:rPr>
          <w:rFonts w:eastAsia="標楷體" w:hAnsi="標楷體" w:hint="eastAsia"/>
        </w:rPr>
        <w:t>止，若本轉換公司債流通在外餘額低於新台幣伍仟萬元</w:t>
      </w:r>
      <w:r w:rsidRPr="003107C6">
        <w:rPr>
          <w:rFonts w:eastAsia="標楷體"/>
        </w:rPr>
        <w:t>(</w:t>
      </w:r>
      <w:r w:rsidRPr="003107C6">
        <w:rPr>
          <w:rFonts w:eastAsia="標楷體" w:hAnsi="標楷體" w:hint="eastAsia"/>
        </w:rPr>
        <w:t>原發行總額之</w:t>
      </w:r>
      <w:r w:rsidRPr="003107C6">
        <w:rPr>
          <w:rFonts w:eastAsia="標楷體"/>
        </w:rPr>
        <w:t>10%)</w:t>
      </w:r>
      <w:r w:rsidRPr="003107C6">
        <w:rPr>
          <w:rFonts w:eastAsia="標楷體" w:hAnsi="標楷體" w:hint="eastAsia"/>
        </w:rPr>
        <w:t>者，本公司得於其後任何時間，以掛號寄發一份一個月期滿之「債券收回通知書」</w:t>
      </w:r>
      <w:r w:rsidRPr="003107C6">
        <w:rPr>
          <w:rFonts w:eastAsia="標楷體"/>
        </w:rPr>
        <w:t>(</w:t>
      </w:r>
      <w:r w:rsidRPr="003107C6">
        <w:rPr>
          <w:rFonts w:eastAsia="標楷體" w:hAnsi="標楷體" w:hint="eastAsia"/>
        </w:rPr>
        <w:t>前述期間自本公司發信之日起算，並以該期間屆滿日為債券收回基準日，且前述期間不得為第十條之停止轉換期間</w:t>
      </w:r>
      <w:r w:rsidRPr="003107C6">
        <w:rPr>
          <w:rFonts w:eastAsia="標楷體"/>
        </w:rPr>
        <w:t>)</w:t>
      </w:r>
      <w:r w:rsidRPr="003107C6">
        <w:rPr>
          <w:rFonts w:eastAsia="標楷體" w:hAnsi="標楷體" w:hint="eastAsia"/>
        </w:rPr>
        <w:t>予債券持有人</w:t>
      </w:r>
      <w:r w:rsidRPr="003107C6">
        <w:rPr>
          <w:rFonts w:eastAsia="標楷體"/>
        </w:rPr>
        <w:t>(</w:t>
      </w:r>
      <w:r w:rsidRPr="003107C6">
        <w:rPr>
          <w:rFonts w:eastAsia="標楷體" w:hAnsi="標楷體" w:hint="eastAsia"/>
        </w:rPr>
        <w:t>以「債券收回通知書」寄發日前第五個營業日債券持有人名冊所載者為準，對於其後因買賣或其他原因始取得本轉換公司債之投資人，則以公告方式為之</w:t>
      </w:r>
      <w:r w:rsidRPr="003107C6">
        <w:rPr>
          <w:rFonts w:eastAsia="標楷體"/>
        </w:rPr>
        <w:t>)</w:t>
      </w:r>
      <w:r w:rsidRPr="003107C6">
        <w:rPr>
          <w:rFonts w:eastAsia="標楷體" w:hAnsi="標楷體" w:hint="eastAsia"/>
        </w:rPr>
        <w:t>，且函知櫃檯買賣中心公告並於該期間屆滿時，按債券面額以現金收回其全部債券。</w:t>
      </w:r>
    </w:p>
    <w:p w:rsidR="00434C9E" w:rsidRPr="003107C6" w:rsidRDefault="00434C9E" w:rsidP="00434C9E">
      <w:pPr>
        <w:tabs>
          <w:tab w:val="left" w:pos="1722"/>
        </w:tabs>
        <w:autoSpaceDE w:val="0"/>
        <w:autoSpaceDN w:val="0"/>
        <w:snapToGrid w:val="0"/>
        <w:spacing w:before="120" w:after="120"/>
        <w:ind w:leftChars="300" w:left="1130" w:hangingChars="171" w:hanging="410"/>
        <w:jc w:val="both"/>
        <w:textAlignment w:val="bottom"/>
        <w:rPr>
          <w:rFonts w:eastAsia="標楷體"/>
        </w:rPr>
      </w:pPr>
      <w:r w:rsidRPr="003107C6">
        <w:rPr>
          <w:rFonts w:eastAsia="標楷體"/>
        </w:rPr>
        <w:t>(</w:t>
      </w:r>
      <w:r w:rsidRPr="003107C6">
        <w:rPr>
          <w:rFonts w:eastAsia="標楷體" w:hAnsi="標楷體" w:hint="eastAsia"/>
        </w:rPr>
        <w:t>三</w:t>
      </w:r>
      <w:r w:rsidRPr="003107C6">
        <w:rPr>
          <w:rFonts w:eastAsia="標楷體"/>
        </w:rPr>
        <w:t>)</w:t>
      </w:r>
      <w:r w:rsidRPr="003107C6">
        <w:rPr>
          <w:rFonts w:eastAsia="標楷體" w:hAnsi="標楷體" w:hint="eastAsia"/>
        </w:rPr>
        <w:t>若債券持有人於「債券收回通知書」所載債券收回基準日前，未以書面回覆本公司股務代理機構</w:t>
      </w:r>
      <w:r w:rsidRPr="003107C6">
        <w:rPr>
          <w:rFonts w:eastAsia="標楷體"/>
        </w:rPr>
        <w:t>(</w:t>
      </w:r>
      <w:r w:rsidRPr="003107C6">
        <w:rPr>
          <w:rFonts w:eastAsia="標楷體" w:hAnsi="標楷體" w:hint="eastAsia"/>
        </w:rPr>
        <w:t>於送達時即生效力，採郵寄者以郵戳日為憑</w:t>
      </w:r>
      <w:r w:rsidRPr="003107C6">
        <w:rPr>
          <w:rFonts w:eastAsia="標楷體"/>
        </w:rPr>
        <w:t>)</w:t>
      </w:r>
      <w:r w:rsidRPr="003107C6">
        <w:rPr>
          <w:rFonts w:eastAsia="標楷體" w:hAnsi="標楷體" w:hint="eastAsia"/>
        </w:rPr>
        <w:t>者，本公司得按當時之轉換價格，以通知期間屆滿日為轉換基準日，將其轉換公司債轉換為本公司普通股。</w:t>
      </w:r>
    </w:p>
    <w:p w:rsidR="00434C9E" w:rsidRPr="003107C6" w:rsidRDefault="00434C9E" w:rsidP="00375B3A">
      <w:pPr>
        <w:pStyle w:val="a3"/>
        <w:adjustRightInd/>
        <w:snapToGrid w:val="0"/>
        <w:spacing w:beforeLines="25" w:before="90" w:after="120"/>
        <w:rPr>
          <w:rFonts w:ascii="Times New Roman" w:eastAsia="標楷體" w:hAnsi="Times New Roman"/>
          <w:szCs w:val="24"/>
        </w:rPr>
      </w:pPr>
      <w:r w:rsidRPr="003107C6">
        <w:rPr>
          <w:rFonts w:ascii="Times New Roman" w:eastAsia="標楷體" w:hAnsi="標楷體" w:hint="eastAsia"/>
          <w:szCs w:val="24"/>
        </w:rPr>
        <w:t>二十、債券持有人之賣回權</w:t>
      </w:r>
    </w:p>
    <w:p w:rsidR="00434C9E" w:rsidRPr="003107C6" w:rsidRDefault="00434C9E" w:rsidP="00434C9E">
      <w:pPr>
        <w:snapToGrid w:val="0"/>
        <w:spacing w:before="120" w:after="120"/>
        <w:ind w:leftChars="300" w:left="720"/>
        <w:jc w:val="both"/>
        <w:rPr>
          <w:rFonts w:eastAsia="標楷體"/>
        </w:rPr>
      </w:pPr>
      <w:r w:rsidRPr="003107C6">
        <w:rPr>
          <w:rFonts w:eastAsia="標楷體" w:hAnsi="標楷體" w:hint="eastAsia"/>
        </w:rPr>
        <w:t>本轉換公司債以發行滿二年之日</w:t>
      </w:r>
      <w:r w:rsidRPr="003107C6">
        <w:rPr>
          <w:rFonts w:eastAsia="標楷體"/>
        </w:rPr>
        <w:t>(</w:t>
      </w:r>
      <w:smartTag w:uri="urn:schemas-microsoft-com:office:smarttags" w:element="chsdate">
        <w:smartTagPr>
          <w:attr w:name="Year" w:val="2014"/>
          <w:attr w:name="Month" w:val="12"/>
          <w:attr w:name="Day" w:val="27"/>
          <w:attr w:name="IsLunarDate" w:val="False"/>
          <w:attr w:name="IsROCDate" w:val="True"/>
        </w:smartTagPr>
        <w:r w:rsidRPr="003107C6">
          <w:rPr>
            <w:rFonts w:eastAsia="標楷體" w:hAnsi="標楷體" w:hint="eastAsia"/>
          </w:rPr>
          <w:t>民國</w:t>
        </w:r>
        <w:r w:rsidRPr="003107C6">
          <w:rPr>
            <w:rFonts w:eastAsia="標楷體"/>
          </w:rPr>
          <w:t>103</w:t>
        </w:r>
        <w:r w:rsidRPr="003107C6">
          <w:rPr>
            <w:rFonts w:eastAsia="標楷體" w:hAnsi="標楷體" w:hint="eastAsia"/>
          </w:rPr>
          <w:t>年</w:t>
        </w:r>
        <w:r w:rsidRPr="003107C6">
          <w:rPr>
            <w:rFonts w:eastAsia="標楷體" w:hint="eastAsia"/>
          </w:rPr>
          <w:t>12</w:t>
        </w:r>
        <w:r w:rsidRPr="003107C6">
          <w:rPr>
            <w:rFonts w:eastAsia="標楷體" w:hAnsi="標楷體" w:hint="eastAsia"/>
          </w:rPr>
          <w:t>月</w:t>
        </w:r>
        <w:r w:rsidRPr="003107C6">
          <w:rPr>
            <w:rFonts w:eastAsia="標楷體" w:hint="eastAsia"/>
          </w:rPr>
          <w:t>27</w:t>
        </w:r>
        <w:r w:rsidRPr="003107C6">
          <w:rPr>
            <w:rFonts w:eastAsia="標楷體" w:hAnsi="標楷體" w:hint="eastAsia"/>
          </w:rPr>
          <w:t>日</w:t>
        </w:r>
      </w:smartTag>
      <w:r w:rsidRPr="003107C6">
        <w:rPr>
          <w:rFonts w:eastAsia="標楷體"/>
        </w:rPr>
        <w:t>)</w:t>
      </w:r>
      <w:r w:rsidRPr="003107C6">
        <w:rPr>
          <w:rFonts w:eastAsia="標楷體" w:hAnsi="標楷體" w:hint="eastAsia"/>
        </w:rPr>
        <w:t>為債券持有人賣回基準日，本公司應於賣回基準日之前三十日</w:t>
      </w:r>
      <w:r w:rsidRPr="003107C6">
        <w:rPr>
          <w:rFonts w:eastAsia="標楷體"/>
        </w:rPr>
        <w:t>(</w:t>
      </w:r>
      <w:smartTag w:uri="urn:schemas-microsoft-com:office:smarttags" w:element="chsdate">
        <w:smartTagPr>
          <w:attr w:name="Year" w:val="2014"/>
          <w:attr w:name="Month" w:val="11"/>
          <w:attr w:name="Day" w:val="28"/>
          <w:attr w:name="IsLunarDate" w:val="False"/>
          <w:attr w:name="IsROCDate" w:val="True"/>
        </w:smartTagPr>
        <w:r w:rsidRPr="003107C6">
          <w:rPr>
            <w:rFonts w:eastAsia="標楷體" w:hAnsi="標楷體" w:hint="eastAsia"/>
          </w:rPr>
          <w:t>民國</w:t>
        </w:r>
        <w:r w:rsidRPr="003107C6">
          <w:rPr>
            <w:rFonts w:eastAsia="標楷體"/>
          </w:rPr>
          <w:t>103</w:t>
        </w:r>
        <w:r w:rsidRPr="003107C6">
          <w:rPr>
            <w:rFonts w:eastAsia="標楷體" w:hAnsi="標楷體" w:hint="eastAsia"/>
          </w:rPr>
          <w:t>年</w:t>
        </w:r>
        <w:r w:rsidRPr="003107C6">
          <w:rPr>
            <w:rFonts w:eastAsia="標楷體" w:hint="eastAsia"/>
          </w:rPr>
          <w:t>11</w:t>
        </w:r>
        <w:r w:rsidRPr="003107C6">
          <w:rPr>
            <w:rFonts w:eastAsia="標楷體" w:hAnsi="標楷體" w:hint="eastAsia"/>
          </w:rPr>
          <w:t>月</w:t>
        </w:r>
        <w:r w:rsidRPr="003107C6">
          <w:rPr>
            <w:rFonts w:eastAsia="標楷體"/>
          </w:rPr>
          <w:t>28</w:t>
        </w:r>
        <w:r w:rsidRPr="003107C6">
          <w:rPr>
            <w:rFonts w:eastAsia="標楷體" w:hAnsi="標楷體" w:hint="eastAsia"/>
          </w:rPr>
          <w:t>日</w:t>
        </w:r>
      </w:smartTag>
      <w:r w:rsidRPr="003107C6">
        <w:rPr>
          <w:rFonts w:eastAsia="標楷體"/>
        </w:rPr>
        <w:t>)</w:t>
      </w:r>
      <w:r w:rsidRPr="003107C6">
        <w:rPr>
          <w:rFonts w:eastAsia="標楷體" w:hAnsi="標楷體" w:hint="eastAsia"/>
        </w:rPr>
        <w:t>，以掛號寄發一份「賣回權行使通知書」予債券持有人</w:t>
      </w:r>
      <w:r w:rsidRPr="003107C6">
        <w:rPr>
          <w:rFonts w:eastAsia="標楷體"/>
        </w:rPr>
        <w:t>(</w:t>
      </w:r>
      <w:r w:rsidRPr="003107C6">
        <w:rPr>
          <w:rFonts w:eastAsia="標楷體" w:hAnsi="標楷體" w:hint="eastAsia"/>
        </w:rPr>
        <w:t>以「賣回權行使通知書」寄發日前第五個營業日債券持有人名冊所載者為準，對於其後因買賣或其他原因始取得本轉換公司債之投資人，則以公告方式為之</w:t>
      </w:r>
      <w:r w:rsidRPr="003107C6">
        <w:rPr>
          <w:rFonts w:eastAsia="標楷體"/>
        </w:rPr>
        <w:t>)</w:t>
      </w:r>
      <w:r w:rsidRPr="003107C6">
        <w:rPr>
          <w:rFonts w:eastAsia="標楷體" w:hAnsi="標楷體" w:hint="eastAsia"/>
        </w:rPr>
        <w:t>，並函知櫃檯買賣中心公告本轉換公司債持有人賣回權之行使，債券持有人得於發行滿二年之前三十日</w:t>
      </w:r>
      <w:r w:rsidRPr="003107C6">
        <w:rPr>
          <w:rFonts w:eastAsia="標楷體"/>
        </w:rPr>
        <w:t>(</w:t>
      </w:r>
      <w:smartTag w:uri="urn:schemas-microsoft-com:office:smarttags" w:element="chsdate">
        <w:smartTagPr>
          <w:attr w:name="Year" w:val="2014"/>
          <w:attr w:name="Month" w:val="11"/>
          <w:attr w:name="Day" w:val="28"/>
          <w:attr w:name="IsLunarDate" w:val="False"/>
          <w:attr w:name="IsROCDate" w:val="True"/>
        </w:smartTagPr>
        <w:r w:rsidRPr="003107C6">
          <w:rPr>
            <w:rFonts w:eastAsia="標楷體" w:hAnsi="標楷體" w:hint="eastAsia"/>
          </w:rPr>
          <w:t>民國</w:t>
        </w:r>
        <w:r w:rsidRPr="003107C6">
          <w:rPr>
            <w:rFonts w:eastAsia="標楷體"/>
          </w:rPr>
          <w:t>103</w:t>
        </w:r>
        <w:r w:rsidRPr="003107C6">
          <w:rPr>
            <w:rFonts w:eastAsia="標楷體" w:hAnsi="標楷體" w:hint="eastAsia"/>
          </w:rPr>
          <w:t>年</w:t>
        </w:r>
        <w:r w:rsidRPr="003107C6">
          <w:rPr>
            <w:rFonts w:eastAsia="標楷體" w:hint="eastAsia"/>
          </w:rPr>
          <w:t>11</w:t>
        </w:r>
        <w:r w:rsidRPr="003107C6">
          <w:rPr>
            <w:rFonts w:eastAsia="標楷體" w:hAnsi="標楷體" w:hint="eastAsia"/>
          </w:rPr>
          <w:t>月</w:t>
        </w:r>
        <w:r w:rsidRPr="003107C6">
          <w:rPr>
            <w:rFonts w:eastAsia="標楷體" w:hint="eastAsia"/>
          </w:rPr>
          <w:t>28</w:t>
        </w:r>
        <w:r w:rsidRPr="003107C6">
          <w:rPr>
            <w:rFonts w:eastAsia="標楷體" w:hAnsi="標楷體" w:hint="eastAsia"/>
          </w:rPr>
          <w:t>日</w:t>
        </w:r>
      </w:smartTag>
      <w:r w:rsidRPr="003107C6">
        <w:rPr>
          <w:rFonts w:eastAsia="標楷體"/>
        </w:rPr>
        <w:t>)</w:t>
      </w:r>
      <w:r w:rsidRPr="003107C6">
        <w:rPr>
          <w:rFonts w:eastAsia="標楷體" w:hAnsi="標楷體" w:hint="eastAsia"/>
        </w:rPr>
        <w:t>內以書面通知本公司股務代理機構</w:t>
      </w:r>
      <w:r w:rsidRPr="003107C6">
        <w:rPr>
          <w:rFonts w:eastAsia="標楷體"/>
        </w:rPr>
        <w:t>(</w:t>
      </w:r>
      <w:r w:rsidRPr="003107C6">
        <w:rPr>
          <w:rFonts w:eastAsia="標楷體" w:hAnsi="標楷體" w:hint="eastAsia"/>
        </w:rPr>
        <w:t>於送達時即生效力，採郵寄者以郵戳為憑</w:t>
      </w:r>
      <w:r w:rsidRPr="003107C6">
        <w:rPr>
          <w:rFonts w:eastAsia="標楷體"/>
        </w:rPr>
        <w:t>)</w:t>
      </w:r>
      <w:r w:rsidRPr="003107C6">
        <w:rPr>
          <w:rFonts w:eastAsia="標楷體" w:hAnsi="標楷體" w:hint="eastAsia"/>
        </w:rPr>
        <w:t>要求本公司依債券面額加計利息補償金【滿二年為債券面額之</w:t>
      </w:r>
      <w:r w:rsidRPr="003107C6">
        <w:rPr>
          <w:rFonts w:eastAsia="標楷體"/>
        </w:rPr>
        <w:t>10</w:t>
      </w:r>
      <w:r w:rsidRPr="003107C6">
        <w:rPr>
          <w:rFonts w:eastAsia="標楷體" w:hint="eastAsia"/>
        </w:rPr>
        <w:t>1</w:t>
      </w:r>
      <w:r w:rsidRPr="003107C6">
        <w:rPr>
          <w:rFonts w:eastAsia="標楷體"/>
        </w:rPr>
        <w:t>.</w:t>
      </w:r>
      <w:r w:rsidRPr="003107C6">
        <w:rPr>
          <w:rFonts w:eastAsia="標楷體" w:hint="eastAsia"/>
        </w:rPr>
        <w:t>0025</w:t>
      </w:r>
      <w:r w:rsidRPr="003107C6">
        <w:rPr>
          <w:rFonts w:eastAsia="標楷體"/>
        </w:rPr>
        <w:t>%(</w:t>
      </w:r>
      <w:r w:rsidRPr="003107C6">
        <w:rPr>
          <w:rFonts w:eastAsia="標楷體" w:hAnsi="標楷體" w:hint="eastAsia"/>
        </w:rPr>
        <w:t>實質收益率</w:t>
      </w:r>
      <w:r w:rsidRPr="003107C6">
        <w:rPr>
          <w:rFonts w:eastAsia="標楷體" w:hint="eastAsia"/>
        </w:rPr>
        <w:t>0.5</w:t>
      </w:r>
      <w:r w:rsidRPr="003107C6">
        <w:rPr>
          <w:rFonts w:eastAsia="標楷體"/>
        </w:rPr>
        <w:t>%)</w:t>
      </w:r>
      <w:r w:rsidRPr="003107C6">
        <w:rPr>
          <w:rFonts w:eastAsia="標楷體" w:hAnsi="標楷體" w:hint="eastAsia"/>
        </w:rPr>
        <w:t>】，將其所持有之本轉換公司債以現金贖回。本公司受理賣回請求，應於賣回基準日後七個營業日內將款項以滙款方式交付債券持有人。</w:t>
      </w:r>
    </w:p>
    <w:p w:rsidR="00434C9E" w:rsidRPr="003107C6" w:rsidRDefault="00434C9E" w:rsidP="00375B3A">
      <w:pPr>
        <w:snapToGrid w:val="0"/>
        <w:spacing w:beforeLines="25" w:before="90" w:after="120"/>
        <w:ind w:left="960" w:hangingChars="400" w:hanging="960"/>
        <w:jc w:val="both"/>
        <w:rPr>
          <w:rFonts w:eastAsia="標楷體"/>
        </w:rPr>
      </w:pPr>
      <w:r w:rsidRPr="003107C6">
        <w:rPr>
          <w:rFonts w:eastAsia="標楷體" w:hAnsi="標楷體" w:hint="eastAsia"/>
        </w:rPr>
        <w:t>二十一、所有本公司收回（包括由證券商營業處所買回）、償還或已轉換之本轉換公司債將被註銷，不再賣出或發行。</w:t>
      </w:r>
    </w:p>
    <w:p w:rsidR="00434C9E" w:rsidRPr="003107C6" w:rsidRDefault="00434C9E" w:rsidP="00375B3A">
      <w:pPr>
        <w:snapToGrid w:val="0"/>
        <w:spacing w:beforeLines="25" w:before="90" w:after="120"/>
        <w:ind w:left="960" w:hangingChars="400" w:hanging="960"/>
        <w:jc w:val="both"/>
        <w:rPr>
          <w:rFonts w:eastAsia="標楷體"/>
        </w:rPr>
      </w:pPr>
      <w:r w:rsidRPr="003107C6">
        <w:rPr>
          <w:rFonts w:eastAsia="標楷體" w:hAnsi="標楷體" w:hint="eastAsia"/>
        </w:rPr>
        <w:t>二十二、本轉換公司債及其所轉換之普通股均為記名式，其過戶、異動登記、設質、遺失等均依「公開發行股票公司股務處理準則」及公司法相關之規定，另稅賦事宜依當時之稅法規定辦理。</w:t>
      </w:r>
    </w:p>
    <w:p w:rsidR="00434C9E" w:rsidRPr="003107C6" w:rsidRDefault="00434C9E" w:rsidP="00375B3A">
      <w:pPr>
        <w:snapToGrid w:val="0"/>
        <w:spacing w:beforeLines="25" w:before="90" w:after="120"/>
        <w:ind w:left="960" w:hangingChars="400" w:hanging="960"/>
        <w:jc w:val="both"/>
        <w:rPr>
          <w:rFonts w:eastAsia="標楷體"/>
        </w:rPr>
      </w:pPr>
      <w:r w:rsidRPr="003107C6">
        <w:rPr>
          <w:rFonts w:eastAsia="標楷體" w:hAnsi="標楷體" w:hint="eastAsia"/>
        </w:rPr>
        <w:t>二十三、本轉換公司債由華南商業銀行股份有限公司為債權人之受託人，以代表債券持有人之利益行使查核及監督本公司履行本轉換公司債發行事項之權責。凡本轉換公司債之債券持有人不論係於發行時認購或中途買受，對於本公司與受託人之間所定受託契約規定、受託人之權利義務及本發行及轉換辦法，均予同意並授與受託人有關受託事項之全權代理，此項授權並不得中途撤銷，至於受託契約內容，債券持有人得在營業時間內隨時至本公司或受託人營業處所查詢。</w:t>
      </w:r>
    </w:p>
    <w:p w:rsidR="00434C9E" w:rsidRPr="003107C6" w:rsidRDefault="00434C9E" w:rsidP="00375B3A">
      <w:pPr>
        <w:snapToGrid w:val="0"/>
        <w:spacing w:beforeLines="50" w:before="180" w:after="120"/>
        <w:ind w:left="960" w:hangingChars="400" w:hanging="960"/>
        <w:jc w:val="both"/>
        <w:rPr>
          <w:rFonts w:eastAsia="標楷體"/>
        </w:rPr>
      </w:pPr>
      <w:r w:rsidRPr="003107C6">
        <w:rPr>
          <w:rFonts w:eastAsia="標楷體" w:hAnsi="標楷體" w:hint="eastAsia"/>
        </w:rPr>
        <w:t>二十四、本轉換公司債委由本公司股務代理機構辦理還本付息及轉換事宜。</w:t>
      </w:r>
    </w:p>
    <w:p w:rsidR="00434C9E" w:rsidRPr="003107C6" w:rsidRDefault="00434C9E" w:rsidP="00375B3A">
      <w:pPr>
        <w:snapToGrid w:val="0"/>
        <w:spacing w:beforeLines="50" w:before="180" w:after="120"/>
        <w:ind w:left="960" w:hangingChars="400" w:hanging="960"/>
        <w:jc w:val="both"/>
        <w:rPr>
          <w:rFonts w:eastAsia="標楷體"/>
        </w:rPr>
      </w:pPr>
      <w:r w:rsidRPr="003107C6">
        <w:rPr>
          <w:rFonts w:eastAsia="標楷體" w:hAnsi="標楷體" w:hint="eastAsia"/>
        </w:rPr>
        <w:t>二十五、本轉換公司債之發行依證券交易法第八條規定採帳簿劃撥交付，不印製實體債券。</w:t>
      </w:r>
    </w:p>
    <w:p w:rsidR="00434C9E" w:rsidRPr="003107C6" w:rsidRDefault="00434C9E" w:rsidP="00375B3A">
      <w:pPr>
        <w:snapToGrid w:val="0"/>
        <w:spacing w:beforeLines="25" w:before="90" w:after="120"/>
        <w:ind w:left="960" w:hangingChars="400" w:hanging="960"/>
        <w:jc w:val="both"/>
        <w:rPr>
          <w:rFonts w:eastAsia="標楷體"/>
        </w:rPr>
      </w:pPr>
      <w:r w:rsidRPr="003107C6">
        <w:rPr>
          <w:rFonts w:eastAsia="標楷體" w:hAnsi="標楷體" w:hint="eastAsia"/>
        </w:rPr>
        <w:t>二十六、本轉換公司債發行及轉換辦法如有未盡事宜之處，悉依相關法令辦理之。</w:t>
      </w:r>
    </w:p>
    <w:p w:rsidR="006377BA" w:rsidRPr="00434C9E" w:rsidRDefault="006377BA"/>
    <w:sectPr w:rsidR="006377BA" w:rsidRPr="00434C9E" w:rsidSect="00E004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9F" w:rsidRDefault="00CF719F" w:rsidP="00344EFD">
      <w:r>
        <w:separator/>
      </w:r>
    </w:p>
  </w:endnote>
  <w:endnote w:type="continuationSeparator" w:id="0">
    <w:p w:rsidR="00CF719F" w:rsidRDefault="00CF719F" w:rsidP="0034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9F" w:rsidRDefault="00CF719F" w:rsidP="00344EFD">
      <w:r>
        <w:separator/>
      </w:r>
    </w:p>
  </w:footnote>
  <w:footnote w:type="continuationSeparator" w:id="0">
    <w:p w:rsidR="00CF719F" w:rsidRDefault="00CF719F" w:rsidP="00344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09"/>
    <w:rsid w:val="000379FD"/>
    <w:rsid w:val="00066E77"/>
    <w:rsid w:val="0007387D"/>
    <w:rsid w:val="0008019C"/>
    <w:rsid w:val="00092561"/>
    <w:rsid w:val="000C6E04"/>
    <w:rsid w:val="000F2F02"/>
    <w:rsid w:val="001461C8"/>
    <w:rsid w:val="0017681C"/>
    <w:rsid w:val="001C75CC"/>
    <w:rsid w:val="001D05DA"/>
    <w:rsid w:val="0021124B"/>
    <w:rsid w:val="00271DCD"/>
    <w:rsid w:val="002954D8"/>
    <w:rsid w:val="002C6E9C"/>
    <w:rsid w:val="003032D0"/>
    <w:rsid w:val="0030436A"/>
    <w:rsid w:val="003155B2"/>
    <w:rsid w:val="00337961"/>
    <w:rsid w:val="00344EFD"/>
    <w:rsid w:val="00375B3A"/>
    <w:rsid w:val="003A1817"/>
    <w:rsid w:val="00406787"/>
    <w:rsid w:val="00434C9E"/>
    <w:rsid w:val="00487069"/>
    <w:rsid w:val="004B76DF"/>
    <w:rsid w:val="0053495A"/>
    <w:rsid w:val="005719B2"/>
    <w:rsid w:val="00577556"/>
    <w:rsid w:val="00582249"/>
    <w:rsid w:val="00625CDD"/>
    <w:rsid w:val="006377BA"/>
    <w:rsid w:val="00657150"/>
    <w:rsid w:val="00683FDF"/>
    <w:rsid w:val="006930DA"/>
    <w:rsid w:val="006D28FD"/>
    <w:rsid w:val="00736ECC"/>
    <w:rsid w:val="00743036"/>
    <w:rsid w:val="00753AED"/>
    <w:rsid w:val="007948EF"/>
    <w:rsid w:val="007A0D9B"/>
    <w:rsid w:val="007B421B"/>
    <w:rsid w:val="00861DDB"/>
    <w:rsid w:val="00865D47"/>
    <w:rsid w:val="00891892"/>
    <w:rsid w:val="00895AF0"/>
    <w:rsid w:val="008C03F0"/>
    <w:rsid w:val="008E33A4"/>
    <w:rsid w:val="00916CED"/>
    <w:rsid w:val="00983A39"/>
    <w:rsid w:val="009D1DAB"/>
    <w:rsid w:val="009E516E"/>
    <w:rsid w:val="00A343B2"/>
    <w:rsid w:val="00A875C5"/>
    <w:rsid w:val="00B020AC"/>
    <w:rsid w:val="00B046E9"/>
    <w:rsid w:val="00B206A0"/>
    <w:rsid w:val="00B26D09"/>
    <w:rsid w:val="00B345A1"/>
    <w:rsid w:val="00B5185A"/>
    <w:rsid w:val="00B71952"/>
    <w:rsid w:val="00B73607"/>
    <w:rsid w:val="00B819F6"/>
    <w:rsid w:val="00C0159B"/>
    <w:rsid w:val="00C32A77"/>
    <w:rsid w:val="00C50016"/>
    <w:rsid w:val="00C6641D"/>
    <w:rsid w:val="00CF719F"/>
    <w:rsid w:val="00D12D9D"/>
    <w:rsid w:val="00D5442F"/>
    <w:rsid w:val="00D608C2"/>
    <w:rsid w:val="00D84274"/>
    <w:rsid w:val="00D92BE8"/>
    <w:rsid w:val="00DE0FE3"/>
    <w:rsid w:val="00DE591F"/>
    <w:rsid w:val="00DF1756"/>
    <w:rsid w:val="00E00409"/>
    <w:rsid w:val="00E3340A"/>
    <w:rsid w:val="00EF0ED3"/>
    <w:rsid w:val="00EF6438"/>
    <w:rsid w:val="00F62076"/>
    <w:rsid w:val="00F86A5D"/>
    <w:rsid w:val="00FB0B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0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樣"/>
    <w:basedOn w:val="a"/>
    <w:uiPriority w:val="99"/>
    <w:rsid w:val="00E00409"/>
    <w:pPr>
      <w:adjustRightInd w:val="0"/>
      <w:jc w:val="both"/>
      <w:textAlignment w:val="baseline"/>
    </w:pPr>
    <w:rPr>
      <w:rFonts w:ascii="Book Antiqua" w:eastAsia="華康中楷體" w:hAnsi="Book Antiqua"/>
      <w:kern w:val="0"/>
      <w:szCs w:val="20"/>
    </w:rPr>
  </w:style>
  <w:style w:type="paragraph" w:styleId="a4">
    <w:name w:val="header"/>
    <w:basedOn w:val="a"/>
    <w:link w:val="a5"/>
    <w:uiPriority w:val="99"/>
    <w:semiHidden/>
    <w:rsid w:val="00344EFD"/>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344EFD"/>
    <w:rPr>
      <w:rFonts w:ascii="Times New Roman" w:eastAsia="新細明體" w:hAnsi="Times New Roman" w:cs="Times New Roman"/>
      <w:sz w:val="20"/>
      <w:szCs w:val="20"/>
    </w:rPr>
  </w:style>
  <w:style w:type="paragraph" w:styleId="a6">
    <w:name w:val="footer"/>
    <w:basedOn w:val="a"/>
    <w:link w:val="a7"/>
    <w:uiPriority w:val="99"/>
    <w:semiHidden/>
    <w:rsid w:val="00344EFD"/>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44EF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0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樣"/>
    <w:basedOn w:val="a"/>
    <w:uiPriority w:val="99"/>
    <w:rsid w:val="00E00409"/>
    <w:pPr>
      <w:adjustRightInd w:val="0"/>
      <w:jc w:val="both"/>
      <w:textAlignment w:val="baseline"/>
    </w:pPr>
    <w:rPr>
      <w:rFonts w:ascii="Book Antiqua" w:eastAsia="華康中楷體" w:hAnsi="Book Antiqua"/>
      <w:kern w:val="0"/>
      <w:szCs w:val="20"/>
    </w:rPr>
  </w:style>
  <w:style w:type="paragraph" w:styleId="a4">
    <w:name w:val="header"/>
    <w:basedOn w:val="a"/>
    <w:link w:val="a5"/>
    <w:uiPriority w:val="99"/>
    <w:semiHidden/>
    <w:rsid w:val="00344EFD"/>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344EFD"/>
    <w:rPr>
      <w:rFonts w:ascii="Times New Roman" w:eastAsia="新細明體" w:hAnsi="Times New Roman" w:cs="Times New Roman"/>
      <w:sz w:val="20"/>
      <w:szCs w:val="20"/>
    </w:rPr>
  </w:style>
  <w:style w:type="paragraph" w:styleId="a6">
    <w:name w:val="footer"/>
    <w:basedOn w:val="a"/>
    <w:link w:val="a7"/>
    <w:uiPriority w:val="99"/>
    <w:semiHidden/>
    <w:rsid w:val="00344EFD"/>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44EF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jane.hung</cp:lastModifiedBy>
  <cp:revision>2</cp:revision>
  <cp:lastPrinted>2012-11-12T09:28:00Z</cp:lastPrinted>
  <dcterms:created xsi:type="dcterms:W3CDTF">2012-12-19T06:30:00Z</dcterms:created>
  <dcterms:modified xsi:type="dcterms:W3CDTF">2012-12-19T06:30:00Z</dcterms:modified>
</cp:coreProperties>
</file>