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F02465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 w:hint="eastAsia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國泰金控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>
        <w:rPr>
          <w:rFonts w:ascii="Times New Roman" w:eastAsia="標楷體" w:hAnsi="Times New Roman" w:hint="eastAsia"/>
          <w:sz w:val="32"/>
          <w:szCs w:val="28"/>
        </w:rPr>
        <w:t>企業永續委員會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 w:hint="eastAsia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AB1D93">
        <w:rPr>
          <w:rFonts w:ascii="Times New Roman" w:eastAsia="標楷體" w:hAnsi="Times New Roman" w:hint="eastAsia"/>
          <w:sz w:val="28"/>
          <w:szCs w:val="28"/>
        </w:rPr>
        <w:t>九</w:t>
      </w:r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F02465">
        <w:rPr>
          <w:rFonts w:ascii="Times New Roman" w:eastAsia="標楷體" w:hAnsi="Times New Roman" w:hint="eastAsia"/>
          <w:sz w:val="28"/>
          <w:szCs w:val="28"/>
        </w:rPr>
        <w:t>領先</w:t>
      </w:r>
    </w:p>
    <w:p w:rsidR="000C014F" w:rsidRDefault="000C014F" w:rsidP="00412D08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int="eastAsia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587630">
        <w:rPr>
          <w:rFonts w:ascii="Times New Roman" w:eastAsia="標楷體" w:hAnsi="Times New Roman"/>
        </w:rPr>
        <w:t>20</w:t>
      </w:r>
      <w:r w:rsidR="00726820" w:rsidRPr="00587630">
        <w:rPr>
          <w:rFonts w:ascii="Times New Roman" w:eastAsia="標楷體" w:hAnsi="Times New Roman" w:hint="eastAsia"/>
        </w:rPr>
        <w:t>1</w:t>
      </w:r>
      <w:r w:rsidR="00587630" w:rsidRPr="00587630">
        <w:rPr>
          <w:rFonts w:ascii="Times New Roman" w:eastAsia="標楷體" w:hAnsi="Times New Roman" w:hint="eastAsia"/>
        </w:rPr>
        <w:t>5</w:t>
      </w:r>
      <w:r w:rsidR="00DA0BD0" w:rsidRPr="00587630">
        <w:rPr>
          <w:rFonts w:ascii="Times New Roman" w:eastAsia="標楷體" w:hint="eastAsia"/>
        </w:rPr>
        <w:t>年</w:t>
      </w:r>
      <w:r w:rsidR="00F02465">
        <w:rPr>
          <w:rFonts w:ascii="Times New Roman" w:eastAsia="標楷體" w:hint="eastAsia"/>
        </w:rPr>
        <w:t>國泰金控</w:t>
      </w:r>
      <w:r w:rsidRPr="00587630">
        <w:rPr>
          <w:rFonts w:ascii="Times New Roman" w:eastAsia="標楷體"/>
        </w:rPr>
        <w:t>企業社會責任報告書</w:t>
      </w:r>
    </w:p>
    <w:p w:rsidR="00FE54FA" w:rsidRPr="00F02465" w:rsidRDefault="00FE54FA" w:rsidP="00412D08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 w:hint="eastAsia"/>
        </w:rPr>
      </w:pPr>
    </w:p>
    <w:p w:rsidR="00AB1D93" w:rsidRDefault="00AB1D93" w:rsidP="0048124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國泰金控</w:t>
      </w:r>
      <w:r w:rsidRPr="00AB1D93">
        <w:rPr>
          <w:rFonts w:ascii="Times New Roman" w:eastAsia="標楷體" w:hAnsi="Times New Roman" w:hint="eastAsia"/>
          <w:i/>
          <w:sz w:val="28"/>
        </w:rPr>
        <w:t>2014</w:t>
      </w:r>
      <w:r w:rsidRPr="00AB1D93">
        <w:rPr>
          <w:rFonts w:ascii="Times New Roman" w:eastAsia="標楷體" w:hAnsi="Times New Roman" w:hint="eastAsia"/>
          <w:i/>
          <w:sz w:val="28"/>
        </w:rPr>
        <w:t>年，「企業社會責任</w:t>
      </w:r>
      <w:r>
        <w:rPr>
          <w:rFonts w:ascii="Times New Roman" w:eastAsia="標楷體" w:hAnsi="Times New Roman" w:hint="eastAsia"/>
          <w:i/>
          <w:sz w:val="28"/>
        </w:rPr>
        <w:t>(CSR)</w:t>
      </w:r>
      <w:r w:rsidRPr="00AB1D93">
        <w:rPr>
          <w:rFonts w:ascii="Times New Roman" w:eastAsia="標楷體" w:hAnsi="Times New Roman" w:hint="eastAsia"/>
          <w:i/>
          <w:sz w:val="28"/>
        </w:rPr>
        <w:t>委員會」策略性轉型為「企業永續</w:t>
      </w:r>
      <w:r>
        <w:rPr>
          <w:rFonts w:ascii="Times New Roman" w:eastAsia="標楷體" w:hAnsi="Times New Roman" w:hint="eastAsia"/>
          <w:i/>
          <w:sz w:val="28"/>
        </w:rPr>
        <w:t>(CS)</w:t>
      </w:r>
      <w:r w:rsidRPr="00AB1D93">
        <w:rPr>
          <w:rFonts w:ascii="Times New Roman" w:eastAsia="標楷體" w:hAnsi="Times New Roman" w:hint="eastAsia"/>
          <w:i/>
          <w:sz w:val="28"/>
        </w:rPr>
        <w:t>委員會」，拓展涵蓋議題並提升視野，納入獨董督導，</w:t>
      </w:r>
      <w:r>
        <w:rPr>
          <w:rFonts w:ascii="Times New Roman" w:eastAsia="標楷體" w:hAnsi="Times New Roman" w:hint="eastAsia"/>
          <w:i/>
          <w:sz w:val="28"/>
        </w:rPr>
        <w:t>2015</w:t>
      </w:r>
      <w:r>
        <w:rPr>
          <w:rFonts w:ascii="Times New Roman" w:eastAsia="標楷體" w:hAnsi="Times New Roman" w:hint="eastAsia"/>
          <w:i/>
          <w:sz w:val="28"/>
        </w:rPr>
        <w:t>年</w:t>
      </w:r>
      <w:r w:rsidRPr="00AB1D93">
        <w:rPr>
          <w:rFonts w:ascii="Times New Roman" w:eastAsia="標楷體" w:hAnsi="Times New Roman" w:hint="eastAsia"/>
          <w:i/>
          <w:sz w:val="28"/>
        </w:rPr>
        <w:t>亦開放一般員工參與委員大會，強化員工對</w:t>
      </w:r>
      <w:r w:rsidRPr="00AB1D93">
        <w:rPr>
          <w:rFonts w:ascii="Times New Roman" w:eastAsia="標楷體" w:hAnsi="Times New Roman" w:hint="eastAsia"/>
          <w:i/>
          <w:sz w:val="28"/>
        </w:rPr>
        <w:t>CS</w:t>
      </w:r>
      <w:r w:rsidR="009E4B5A">
        <w:rPr>
          <w:rFonts w:ascii="Times New Roman" w:eastAsia="標楷體" w:hAnsi="Times New Roman" w:hint="eastAsia"/>
          <w:i/>
          <w:sz w:val="28"/>
        </w:rPr>
        <w:t>事務認同度</w:t>
      </w:r>
      <w:bookmarkStart w:id="0" w:name="_GoBack"/>
      <w:bookmarkEnd w:id="0"/>
    </w:p>
    <w:p w:rsidR="00FE54FA" w:rsidRPr="00481248" w:rsidRDefault="00FE54FA" w:rsidP="00412D08">
      <w:pPr>
        <w:snapToGrid w:val="0"/>
        <w:spacing w:beforeLines="50" w:before="180" w:line="300" w:lineRule="auto"/>
        <w:ind w:left="386" w:hangingChars="138" w:hanging="386"/>
        <w:jc w:val="both"/>
        <w:rPr>
          <w:rFonts w:ascii="Times New Roman" w:eastAsia="標楷體" w:hAnsi="Times New Roman" w:hint="eastAsia"/>
          <w:sz w:val="28"/>
          <w:szCs w:val="32"/>
        </w:rPr>
      </w:pPr>
    </w:p>
    <w:p w:rsidR="00C27C75" w:rsidRPr="007F7E79" w:rsidRDefault="00C27C75" w:rsidP="00412D0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4464CB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315DE8" w:rsidRPr="00F02465" w:rsidRDefault="00F02465" w:rsidP="00412D08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F02465">
        <w:rPr>
          <w:rFonts w:ascii="Times New Roman" w:eastAsia="標楷體" w:hAnsi="Times New Roman" w:hint="eastAsia"/>
          <w:sz w:val="28"/>
        </w:rPr>
        <w:t>國泰金融控股股份有限公司於民國九十年十二月三十一日正式成立。</w:t>
      </w:r>
      <w:r w:rsidRPr="00F02465">
        <w:rPr>
          <w:rFonts w:ascii="Times New Roman" w:eastAsia="標楷體" w:hAnsi="Times New Roman"/>
          <w:sz w:val="28"/>
        </w:rPr>
        <w:t>結合</w:t>
      </w:r>
      <w:r w:rsidRPr="00F02465">
        <w:rPr>
          <w:rFonts w:ascii="Times New Roman" w:eastAsia="標楷體" w:hAnsi="Times New Roman" w:hint="eastAsia"/>
          <w:sz w:val="28"/>
        </w:rPr>
        <w:t>國泰世華銀行、國泰人壽、國泰產險、國泰綜合證券、國泰投信</w:t>
      </w:r>
      <w:r>
        <w:rPr>
          <w:rFonts w:ascii="Times New Roman" w:eastAsia="標楷體" w:hAnsi="Times New Roman" w:hint="eastAsia"/>
          <w:sz w:val="28"/>
        </w:rPr>
        <w:t>等子公司</w:t>
      </w:r>
      <w:r w:rsidRPr="00F02465">
        <w:rPr>
          <w:rFonts w:ascii="Times New Roman" w:eastAsia="標楷體" w:hAnsi="Times New Roman"/>
          <w:sz w:val="28"/>
        </w:rPr>
        <w:t>，國泰金控架構起一個功能完整的經營平台。藉由遍佈全省之營業據點與銷售人員，發展共同行銷</w:t>
      </w:r>
      <w:r w:rsidRPr="00F02465">
        <w:rPr>
          <w:rFonts w:ascii="Times New Roman" w:eastAsia="標楷體" w:hAnsi="Times New Roman"/>
          <w:sz w:val="28"/>
        </w:rPr>
        <w:t xml:space="preserve"> (cross-selling)</w:t>
      </w:r>
      <w:r w:rsidRPr="00F02465">
        <w:rPr>
          <w:rFonts w:ascii="Times New Roman" w:eastAsia="標楷體" w:hAnsi="Times New Roman"/>
          <w:sz w:val="28"/>
        </w:rPr>
        <w:t>的策略，提供客戶一站購足</w:t>
      </w:r>
      <w:r w:rsidRPr="00F02465">
        <w:rPr>
          <w:rFonts w:ascii="Times New Roman" w:eastAsia="標楷體" w:hAnsi="Times New Roman"/>
          <w:sz w:val="28"/>
        </w:rPr>
        <w:t xml:space="preserve">(one-stop shopping) </w:t>
      </w:r>
      <w:r w:rsidRPr="00F02465">
        <w:rPr>
          <w:rFonts w:ascii="Times New Roman" w:eastAsia="標楷體" w:hAnsi="Times New Roman"/>
          <w:sz w:val="28"/>
        </w:rPr>
        <w:t>的服務。</w:t>
      </w:r>
      <w:r w:rsidRPr="00F02465">
        <w:rPr>
          <w:rFonts w:ascii="Times New Roman" w:eastAsia="標楷體" w:hAnsi="Times New Roman" w:hint="eastAsia"/>
          <w:sz w:val="28"/>
        </w:rPr>
        <w:t>目前國泰金控客戶數超過一千萬，並有七百多個分支機構，以及超過二萬名業務人員，構成最綿密的客戶服務網。</w:t>
      </w:r>
      <w:r>
        <w:rPr>
          <w:rFonts w:ascii="Times New Roman" w:eastAsia="標楷體" w:hAnsi="Times New Roman" w:hint="eastAsia"/>
          <w:sz w:val="28"/>
        </w:rPr>
        <w:t>國泰金控將</w:t>
      </w:r>
      <w:r w:rsidRPr="00F02465">
        <w:rPr>
          <w:rFonts w:ascii="Times New Roman" w:eastAsia="標楷體" w:hAnsi="Times New Roman" w:hint="eastAsia"/>
          <w:sz w:val="28"/>
        </w:rPr>
        <w:t>不斷強化員工專業能力與工作滿足程度，以提供客戶最高品質的金融服務。追求整合經營的綜效，藉以降低成本，回饋客戶與股東。累積優質的品牌形象，成為客戶心目中最值得信賴與託付的金控公司。</w:t>
      </w:r>
    </w:p>
    <w:p w:rsidR="008D1DBF" w:rsidRPr="000C014F" w:rsidRDefault="008D1DBF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C42D44" w:rsidRDefault="00C42D44" w:rsidP="00C42D44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C42D44">
        <w:rPr>
          <w:rFonts w:ascii="Times New Roman" w:eastAsia="標楷體" w:hAnsi="Times New Roman" w:hint="eastAsia"/>
          <w:sz w:val="28"/>
        </w:rPr>
        <w:t>國泰金控自</w:t>
      </w:r>
      <w:r>
        <w:rPr>
          <w:rFonts w:ascii="Times New Roman" w:eastAsia="標楷體" w:hAnsi="Times New Roman" w:hint="eastAsia"/>
          <w:sz w:val="28"/>
        </w:rPr>
        <w:t>2011</w:t>
      </w:r>
      <w:r w:rsidRPr="00C42D44">
        <w:rPr>
          <w:rFonts w:ascii="Times New Roman" w:eastAsia="標楷體" w:hAnsi="Times New Roman" w:hint="eastAsia"/>
          <w:sz w:val="28"/>
        </w:rPr>
        <w:t>年創設「企業社會責任</w:t>
      </w:r>
      <w:r w:rsidRPr="00C42D44">
        <w:rPr>
          <w:rFonts w:ascii="Times New Roman" w:eastAsia="標楷體" w:hAnsi="Times New Roman" w:hint="eastAsia"/>
          <w:sz w:val="28"/>
        </w:rPr>
        <w:t xml:space="preserve">(CSR) </w:t>
      </w:r>
      <w:r w:rsidRPr="00C42D44">
        <w:rPr>
          <w:rFonts w:ascii="Times New Roman" w:eastAsia="標楷體" w:hAnsi="Times New Roman" w:hint="eastAsia"/>
          <w:sz w:val="28"/>
        </w:rPr>
        <w:t>委員會」起，因應外部環境變化與集團內重視程度提升，以歷年組織調整與機制變化，將</w:t>
      </w:r>
      <w:r w:rsidRPr="00C42D44">
        <w:rPr>
          <w:rFonts w:ascii="Times New Roman" w:eastAsia="標楷體" w:hAnsi="Times New Roman" w:hint="eastAsia"/>
          <w:sz w:val="28"/>
        </w:rPr>
        <w:t>CSR</w:t>
      </w:r>
      <w:r w:rsidRPr="00C42D44">
        <w:rPr>
          <w:rFonts w:ascii="Times New Roman" w:eastAsia="標楷體" w:hAnsi="Times New Roman" w:hint="eastAsia"/>
          <w:sz w:val="28"/>
        </w:rPr>
        <w:t>精神內化於企業決策與核心價值、深化員工參與並增加資訊揭露。</w:t>
      </w:r>
      <w:r w:rsidR="005E225F">
        <w:rPr>
          <w:rFonts w:ascii="Times New Roman" w:eastAsia="標楷體" w:hAnsi="Times New Roman" w:hint="eastAsia"/>
          <w:sz w:val="28"/>
        </w:rPr>
        <w:t>2014</w:t>
      </w:r>
      <w:r w:rsidRPr="00C42D44">
        <w:rPr>
          <w:rFonts w:ascii="Times New Roman" w:eastAsia="標楷體" w:hAnsi="Times New Roman" w:hint="eastAsia"/>
          <w:sz w:val="28"/>
        </w:rPr>
        <w:t>年，「企業社會責任</w:t>
      </w:r>
      <w:r w:rsidR="00AB1D93">
        <w:rPr>
          <w:rFonts w:ascii="Times New Roman" w:eastAsia="標楷體" w:hAnsi="Times New Roman" w:hint="eastAsia"/>
          <w:sz w:val="28"/>
        </w:rPr>
        <w:t>(CSR)</w:t>
      </w:r>
      <w:r w:rsidRPr="00C42D44">
        <w:rPr>
          <w:rFonts w:ascii="Times New Roman" w:eastAsia="標楷體" w:hAnsi="Times New Roman" w:hint="eastAsia"/>
          <w:sz w:val="28"/>
        </w:rPr>
        <w:t>委員會」策略性轉型為「企業永</w:t>
      </w:r>
      <w:r w:rsidRPr="00C42D44">
        <w:rPr>
          <w:rFonts w:ascii="Times New Roman" w:eastAsia="標楷體" w:hAnsi="Times New Roman" w:hint="eastAsia"/>
          <w:sz w:val="28"/>
        </w:rPr>
        <w:lastRenderedPageBreak/>
        <w:t>續</w:t>
      </w:r>
      <w:r w:rsidR="00AB1D93">
        <w:rPr>
          <w:rFonts w:ascii="Times New Roman" w:eastAsia="標楷體" w:hAnsi="Times New Roman" w:hint="eastAsia"/>
          <w:sz w:val="28"/>
        </w:rPr>
        <w:t>(CS)</w:t>
      </w:r>
      <w:r w:rsidRPr="00C42D44">
        <w:rPr>
          <w:rFonts w:ascii="Times New Roman" w:eastAsia="標楷體" w:hAnsi="Times New Roman" w:hint="eastAsia"/>
          <w:sz w:val="28"/>
        </w:rPr>
        <w:t>委員會」，拓展涵蓋議題並提升視野，納入獨董督導，亦開放一般員工參與委員大會，強化員工對</w:t>
      </w:r>
      <w:r w:rsidR="00AB1D93">
        <w:rPr>
          <w:rFonts w:ascii="Times New Roman" w:eastAsia="標楷體" w:hAnsi="Times New Roman" w:hint="eastAsia"/>
          <w:sz w:val="28"/>
        </w:rPr>
        <w:t>CS</w:t>
      </w:r>
      <w:r w:rsidRPr="00C42D44">
        <w:rPr>
          <w:rFonts w:ascii="Times New Roman" w:eastAsia="標楷體" w:hAnsi="Times New Roman" w:hint="eastAsia"/>
          <w:sz w:val="28"/>
        </w:rPr>
        <w:t>事務認同度。</w:t>
      </w:r>
    </w:p>
    <w:p w:rsidR="005E225F" w:rsidRDefault="009E4B5A" w:rsidP="00C42D44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5E225F">
        <w:rPr>
          <w:rFonts w:ascii="Times New Roman" w:eastAsia="標楷體" w:hAnsi="Times New Roman"/>
          <w:noProof/>
          <w:sz w:val="28"/>
        </w:rPr>
        <w:drawing>
          <wp:inline distT="0" distB="0" distL="0" distR="0">
            <wp:extent cx="5276850" cy="53435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3D" w:rsidRPr="008A403D" w:rsidRDefault="009E4B5A" w:rsidP="008A403D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C42D44">
        <w:rPr>
          <w:rFonts w:ascii="Times New Roman" w:eastAsia="標楷體" w:hAnsi="Times New Roman" w:hint="eastAsia"/>
          <w:noProof/>
          <w:sz w:val="28"/>
        </w:rPr>
        <w:drawing>
          <wp:inline distT="0" distB="0" distL="0" distR="0">
            <wp:extent cx="5267325" cy="240030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03D" w:rsidRPr="008A403D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6A" w:rsidRDefault="0043076A" w:rsidP="00256F30">
      <w:r>
        <w:separator/>
      </w:r>
    </w:p>
  </w:endnote>
  <w:endnote w:type="continuationSeparator" w:id="0">
    <w:p w:rsidR="0043076A" w:rsidRDefault="0043076A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6A" w:rsidRDefault="0043076A" w:rsidP="00256F30">
      <w:r>
        <w:separator/>
      </w:r>
    </w:p>
  </w:footnote>
  <w:footnote w:type="continuationSeparator" w:id="0">
    <w:p w:rsidR="0043076A" w:rsidRDefault="0043076A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7548"/>
    <w:multiLevelType w:val="hybridMultilevel"/>
    <w:tmpl w:val="2E561E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A7572"/>
    <w:multiLevelType w:val="hybridMultilevel"/>
    <w:tmpl w:val="826010CA"/>
    <w:lvl w:ilvl="0" w:tplc="F0DE2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C54E73"/>
    <w:multiLevelType w:val="hybridMultilevel"/>
    <w:tmpl w:val="8A848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0965B9"/>
    <w:multiLevelType w:val="hybridMultilevel"/>
    <w:tmpl w:val="9F0E7368"/>
    <w:lvl w:ilvl="0" w:tplc="3AC6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73FFD"/>
    <w:rsid w:val="00286398"/>
    <w:rsid w:val="0029773A"/>
    <w:rsid w:val="002B7BBB"/>
    <w:rsid w:val="002C1B65"/>
    <w:rsid w:val="002C2021"/>
    <w:rsid w:val="002C3BFA"/>
    <w:rsid w:val="002C3C19"/>
    <w:rsid w:val="002C60F4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06D2A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4CE9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12D08"/>
    <w:rsid w:val="00423CE0"/>
    <w:rsid w:val="0043076A"/>
    <w:rsid w:val="00444F98"/>
    <w:rsid w:val="004464CB"/>
    <w:rsid w:val="0045162A"/>
    <w:rsid w:val="00452C06"/>
    <w:rsid w:val="00476139"/>
    <w:rsid w:val="00481248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87630"/>
    <w:rsid w:val="005B2D96"/>
    <w:rsid w:val="005C0296"/>
    <w:rsid w:val="005C7D81"/>
    <w:rsid w:val="005D3828"/>
    <w:rsid w:val="005E20F8"/>
    <w:rsid w:val="005E225F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37DC4"/>
    <w:rsid w:val="00741D3F"/>
    <w:rsid w:val="007534BC"/>
    <w:rsid w:val="00757A1D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107A"/>
    <w:rsid w:val="007C5F12"/>
    <w:rsid w:val="007D2C23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A403D"/>
    <w:rsid w:val="008B3077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4366"/>
    <w:rsid w:val="00925989"/>
    <w:rsid w:val="00933283"/>
    <w:rsid w:val="00933C9A"/>
    <w:rsid w:val="00946489"/>
    <w:rsid w:val="00955D27"/>
    <w:rsid w:val="009735C4"/>
    <w:rsid w:val="00980243"/>
    <w:rsid w:val="0098770C"/>
    <w:rsid w:val="009B0984"/>
    <w:rsid w:val="009B141E"/>
    <w:rsid w:val="009C3C9F"/>
    <w:rsid w:val="009D0A0B"/>
    <w:rsid w:val="009E4B5A"/>
    <w:rsid w:val="009E572E"/>
    <w:rsid w:val="009F68CB"/>
    <w:rsid w:val="00A05663"/>
    <w:rsid w:val="00A154A7"/>
    <w:rsid w:val="00A36362"/>
    <w:rsid w:val="00A43F48"/>
    <w:rsid w:val="00A47D33"/>
    <w:rsid w:val="00A51980"/>
    <w:rsid w:val="00A670A4"/>
    <w:rsid w:val="00A711D1"/>
    <w:rsid w:val="00A77AE4"/>
    <w:rsid w:val="00A80EB3"/>
    <w:rsid w:val="00A93585"/>
    <w:rsid w:val="00AA1A4D"/>
    <w:rsid w:val="00AA42CE"/>
    <w:rsid w:val="00AB1D93"/>
    <w:rsid w:val="00AB53C4"/>
    <w:rsid w:val="00AC0B2A"/>
    <w:rsid w:val="00AC6F7C"/>
    <w:rsid w:val="00B10780"/>
    <w:rsid w:val="00B1239D"/>
    <w:rsid w:val="00B234C0"/>
    <w:rsid w:val="00B23E47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3D7E"/>
    <w:rsid w:val="00BA2E47"/>
    <w:rsid w:val="00BA2FB2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2D44"/>
    <w:rsid w:val="00C44863"/>
    <w:rsid w:val="00C462D0"/>
    <w:rsid w:val="00C47300"/>
    <w:rsid w:val="00C51AD9"/>
    <w:rsid w:val="00C52008"/>
    <w:rsid w:val="00C65668"/>
    <w:rsid w:val="00C70F33"/>
    <w:rsid w:val="00C778CE"/>
    <w:rsid w:val="00C92BA3"/>
    <w:rsid w:val="00CA0505"/>
    <w:rsid w:val="00CC770D"/>
    <w:rsid w:val="00CD2ED6"/>
    <w:rsid w:val="00CD3776"/>
    <w:rsid w:val="00D049DC"/>
    <w:rsid w:val="00D0702B"/>
    <w:rsid w:val="00D11F2B"/>
    <w:rsid w:val="00D14BEE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1DD1"/>
    <w:rsid w:val="00D94472"/>
    <w:rsid w:val="00DA0BD0"/>
    <w:rsid w:val="00DA3CE8"/>
    <w:rsid w:val="00DC4D53"/>
    <w:rsid w:val="00DD189A"/>
    <w:rsid w:val="00DD1ABE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2465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FFC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5C158B7-527F-4778-BDB8-A43027CE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2</cp:revision>
  <dcterms:created xsi:type="dcterms:W3CDTF">2017-01-06T05:52:00Z</dcterms:created>
  <dcterms:modified xsi:type="dcterms:W3CDTF">2017-01-06T05:52:00Z</dcterms:modified>
</cp:coreProperties>
</file>