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FC5" w:rsidRDefault="001421EF" w:rsidP="00832FC5">
      <w:pPr>
        <w:pStyle w:val="3"/>
        <w:adjustRightInd w:val="0"/>
        <w:snapToGrid w:val="0"/>
        <w:rPr>
          <w:b/>
          <w:bCs/>
          <w:sz w:val="36"/>
        </w:rPr>
      </w:pPr>
      <w:r w:rsidRPr="004A37F7">
        <w:rPr>
          <w:rFonts w:hint="eastAsia"/>
          <w:b/>
          <w:bCs/>
          <w:sz w:val="36"/>
        </w:rPr>
        <w:t>財團法人中華民國證券櫃檯買賣中心</w:t>
      </w:r>
      <w:r w:rsidR="006E0A00" w:rsidRPr="004A37F7">
        <w:rPr>
          <w:rFonts w:hint="eastAsia"/>
          <w:b/>
          <w:bCs/>
          <w:sz w:val="36"/>
        </w:rPr>
        <w:t>槓桿</w:t>
      </w:r>
      <w:proofErr w:type="gramStart"/>
      <w:r w:rsidR="006E0A00" w:rsidRPr="004A37F7">
        <w:rPr>
          <w:rFonts w:hint="eastAsia"/>
          <w:b/>
          <w:bCs/>
          <w:sz w:val="36"/>
        </w:rPr>
        <w:t>交易商</w:t>
      </w:r>
      <w:r w:rsidR="007F0C46" w:rsidRPr="004A37F7">
        <w:rPr>
          <w:rFonts w:hint="eastAsia"/>
          <w:b/>
          <w:bCs/>
          <w:sz w:val="36"/>
        </w:rPr>
        <w:t>帳表</w:t>
      </w:r>
      <w:proofErr w:type="gramEnd"/>
      <w:r w:rsidR="007F0C46" w:rsidRPr="004A37F7">
        <w:rPr>
          <w:rFonts w:hint="eastAsia"/>
          <w:b/>
          <w:bCs/>
          <w:sz w:val="36"/>
        </w:rPr>
        <w:t>憑證保存年限</w:t>
      </w:r>
      <w:r w:rsidR="00367876" w:rsidRPr="004A37F7">
        <w:rPr>
          <w:rFonts w:hint="eastAsia"/>
          <w:b/>
          <w:bCs/>
          <w:sz w:val="36"/>
        </w:rPr>
        <w:t>規定</w:t>
      </w:r>
    </w:p>
    <w:p w:rsidR="00DD16E0" w:rsidRPr="004A37F7" w:rsidRDefault="0060287F" w:rsidP="00DD16E0">
      <w:pPr>
        <w:pStyle w:val="3"/>
        <w:adjustRightInd w:val="0"/>
        <w:snapToGrid w:val="0"/>
        <w:jc w:val="right"/>
        <w:rPr>
          <w:b/>
          <w:bCs/>
          <w:sz w:val="36"/>
        </w:rPr>
      </w:pPr>
      <w:r w:rsidRPr="0060287F">
        <w:rPr>
          <w:rFonts w:hint="eastAsia"/>
          <w:sz w:val="20"/>
        </w:rPr>
        <w:t>金融監督管理委員會</w:t>
      </w:r>
      <w:r w:rsidRPr="0060287F">
        <w:rPr>
          <w:rFonts w:hint="eastAsia"/>
          <w:sz w:val="20"/>
        </w:rPr>
        <w:t>104</w:t>
      </w:r>
      <w:r w:rsidRPr="0060287F">
        <w:rPr>
          <w:rFonts w:hint="eastAsia"/>
          <w:sz w:val="20"/>
        </w:rPr>
        <w:t>年</w:t>
      </w:r>
      <w:r w:rsidRPr="0060287F">
        <w:rPr>
          <w:rFonts w:hint="eastAsia"/>
          <w:sz w:val="20"/>
        </w:rPr>
        <w:t>2</w:t>
      </w:r>
      <w:r w:rsidRPr="0060287F">
        <w:rPr>
          <w:rFonts w:hint="eastAsia"/>
          <w:sz w:val="20"/>
        </w:rPr>
        <w:t>月</w:t>
      </w:r>
      <w:r w:rsidRPr="0060287F">
        <w:rPr>
          <w:rFonts w:hint="eastAsia"/>
          <w:sz w:val="20"/>
        </w:rPr>
        <w:t>17</w:t>
      </w:r>
      <w:r w:rsidRPr="0060287F">
        <w:rPr>
          <w:rFonts w:hint="eastAsia"/>
          <w:sz w:val="20"/>
        </w:rPr>
        <w:t>日金</w:t>
      </w:r>
      <w:proofErr w:type="gramStart"/>
      <w:r w:rsidRPr="0060287F">
        <w:rPr>
          <w:rFonts w:hint="eastAsia"/>
          <w:sz w:val="20"/>
        </w:rPr>
        <w:t>管證期字</w:t>
      </w:r>
      <w:proofErr w:type="gramEnd"/>
      <w:r w:rsidRPr="0060287F">
        <w:rPr>
          <w:rFonts w:hint="eastAsia"/>
          <w:sz w:val="20"/>
        </w:rPr>
        <w:t>第</w:t>
      </w:r>
      <w:r w:rsidRPr="0060287F">
        <w:rPr>
          <w:rFonts w:hint="eastAsia"/>
          <w:sz w:val="20"/>
        </w:rPr>
        <w:t>1040004858</w:t>
      </w:r>
      <w:r w:rsidRPr="0060287F">
        <w:rPr>
          <w:rFonts w:hint="eastAsia"/>
          <w:sz w:val="20"/>
        </w:rPr>
        <w:t>號函准予備查</w:t>
      </w:r>
    </w:p>
    <w:tbl>
      <w:tblPr>
        <w:tblW w:w="5000" w:type="pct"/>
        <w:tblCellMar>
          <w:left w:w="28" w:type="dxa"/>
          <w:right w:w="28" w:type="dxa"/>
        </w:tblCellMar>
        <w:tblLook w:val="0000" w:firstRow="0" w:lastRow="0" w:firstColumn="0" w:lastColumn="0" w:noHBand="0" w:noVBand="0"/>
      </w:tblPr>
      <w:tblGrid>
        <w:gridCol w:w="9865"/>
      </w:tblGrid>
      <w:tr w:rsidR="009B222B" w:rsidRPr="009B222B" w:rsidTr="009B222B">
        <w:trPr>
          <w:trHeight w:val="535"/>
          <w:tblHeader/>
        </w:trPr>
        <w:tc>
          <w:tcPr>
            <w:tcW w:w="5000" w:type="pct"/>
          </w:tcPr>
          <w:p w:rsidR="009B222B" w:rsidRPr="009B222B" w:rsidRDefault="009B222B" w:rsidP="00AD1680">
            <w:pPr>
              <w:adjustRightInd w:val="0"/>
              <w:snapToGrid w:val="0"/>
              <w:spacing w:line="300" w:lineRule="auto"/>
              <w:jc w:val="center"/>
              <w:rPr>
                <w:rFonts w:eastAsia="標楷體"/>
                <w:b/>
                <w:bCs/>
                <w:snapToGrid w:val="0"/>
                <w:sz w:val="28"/>
                <w:szCs w:val="28"/>
              </w:rPr>
            </w:pPr>
          </w:p>
        </w:tc>
      </w:tr>
      <w:tr w:rsidR="009B222B" w:rsidRPr="009B222B" w:rsidTr="009B222B">
        <w:trPr>
          <w:trHeight w:val="535"/>
        </w:trPr>
        <w:tc>
          <w:tcPr>
            <w:tcW w:w="5000" w:type="pct"/>
          </w:tcPr>
          <w:p w:rsidR="006C1EE7" w:rsidRPr="006C1EE7" w:rsidRDefault="006C1EE7" w:rsidP="006C1EE7">
            <w:pPr>
              <w:adjustRightInd w:val="0"/>
              <w:snapToGrid w:val="0"/>
              <w:spacing w:line="300" w:lineRule="auto"/>
              <w:jc w:val="both"/>
              <w:rPr>
                <w:rFonts w:eastAsia="標楷體" w:hint="eastAsia"/>
                <w:snapToGrid w:val="0"/>
              </w:rPr>
            </w:pPr>
            <w:r w:rsidRPr="006C1EE7">
              <w:rPr>
                <w:rFonts w:eastAsia="標楷體" w:hint="eastAsia"/>
                <w:snapToGrid w:val="0"/>
              </w:rPr>
              <w:t>第一條</w:t>
            </w:r>
          </w:p>
          <w:p w:rsidR="009B222B" w:rsidRDefault="006C1EE7" w:rsidP="006C1EE7">
            <w:pPr>
              <w:adjustRightInd w:val="0"/>
              <w:snapToGrid w:val="0"/>
              <w:spacing w:line="300" w:lineRule="auto"/>
              <w:ind w:firstLineChars="200" w:firstLine="480"/>
              <w:rPr>
                <w:rFonts w:eastAsia="標楷體"/>
                <w:snapToGrid w:val="0"/>
              </w:rPr>
            </w:pPr>
            <w:r w:rsidRPr="006C1EE7">
              <w:rPr>
                <w:rFonts w:eastAsia="標楷體" w:hint="eastAsia"/>
                <w:snapToGrid w:val="0"/>
              </w:rPr>
              <w:t>本規定依據本中心槓桿交易商經營槓桿保證金契約交易業務規則（下稱業務規則）第四十五條第二項規定訂定。</w:t>
            </w:r>
          </w:p>
          <w:p w:rsidR="009B222B" w:rsidRPr="009B222B" w:rsidRDefault="009B222B" w:rsidP="00AD1680">
            <w:pPr>
              <w:adjustRightInd w:val="0"/>
              <w:snapToGrid w:val="0"/>
              <w:spacing w:line="300" w:lineRule="auto"/>
              <w:ind w:firstLineChars="200" w:firstLine="561"/>
              <w:rPr>
                <w:rFonts w:eastAsia="標楷體"/>
                <w:b/>
                <w:bCs/>
                <w:snapToGrid w:val="0"/>
                <w:sz w:val="28"/>
                <w:szCs w:val="28"/>
              </w:rPr>
            </w:pPr>
          </w:p>
        </w:tc>
      </w:tr>
      <w:tr w:rsidR="009B222B" w:rsidRPr="009B222B" w:rsidTr="009B222B">
        <w:trPr>
          <w:trHeight w:val="535"/>
        </w:trPr>
        <w:tc>
          <w:tcPr>
            <w:tcW w:w="5000" w:type="pct"/>
          </w:tcPr>
          <w:p w:rsidR="009B222B" w:rsidRPr="009B222B" w:rsidRDefault="009B222B" w:rsidP="00AD1680">
            <w:pPr>
              <w:adjustRightInd w:val="0"/>
              <w:snapToGrid w:val="0"/>
              <w:spacing w:line="300" w:lineRule="auto"/>
              <w:jc w:val="both"/>
              <w:rPr>
                <w:rFonts w:eastAsia="標楷體"/>
                <w:snapToGrid w:val="0"/>
              </w:rPr>
            </w:pPr>
            <w:r w:rsidRPr="009B222B">
              <w:rPr>
                <w:rFonts w:eastAsia="標楷體" w:hint="eastAsia"/>
                <w:snapToGrid w:val="0"/>
              </w:rPr>
              <w:t>第二條</w:t>
            </w:r>
          </w:p>
          <w:p w:rsidR="009B222B" w:rsidRPr="009B222B" w:rsidRDefault="009B222B" w:rsidP="00AD1680">
            <w:pPr>
              <w:adjustRightInd w:val="0"/>
              <w:snapToGrid w:val="0"/>
              <w:spacing w:line="300" w:lineRule="auto"/>
              <w:jc w:val="both"/>
              <w:rPr>
                <w:rFonts w:eastAsia="標楷體"/>
                <w:snapToGrid w:val="0"/>
              </w:rPr>
            </w:pPr>
            <w:r w:rsidRPr="009B222B">
              <w:rPr>
                <w:rFonts w:eastAsia="標楷體" w:hint="eastAsia"/>
                <w:snapToGrid w:val="0"/>
              </w:rPr>
              <w:t xml:space="preserve">    </w:t>
            </w:r>
            <w:r w:rsidRPr="009B222B">
              <w:rPr>
                <w:rFonts w:eastAsia="標楷體" w:hint="eastAsia"/>
                <w:snapToGrid w:val="0"/>
              </w:rPr>
              <w:t>槓桿交易商於其營業處所經營槓桿保證金契約交易業務，有關帳表憑證之保存年限，除法令或本中心業務</w:t>
            </w:r>
            <w:proofErr w:type="gramStart"/>
            <w:r w:rsidRPr="009B222B">
              <w:rPr>
                <w:rFonts w:eastAsia="標楷體" w:hint="eastAsia"/>
                <w:snapToGrid w:val="0"/>
              </w:rPr>
              <w:t>規則另</w:t>
            </w:r>
            <w:proofErr w:type="gramEnd"/>
            <w:r w:rsidRPr="009B222B">
              <w:rPr>
                <w:rFonts w:eastAsia="標楷體" w:hint="eastAsia"/>
                <w:snapToGrid w:val="0"/>
              </w:rPr>
              <w:t>有規定外，應依本規定辦理。</w:t>
            </w:r>
          </w:p>
          <w:p w:rsidR="009B222B" w:rsidRDefault="009B222B" w:rsidP="00AD1680">
            <w:pPr>
              <w:adjustRightInd w:val="0"/>
              <w:snapToGrid w:val="0"/>
              <w:spacing w:line="300" w:lineRule="auto"/>
              <w:ind w:firstLineChars="200" w:firstLine="480"/>
              <w:jc w:val="both"/>
              <w:rPr>
                <w:rFonts w:eastAsia="標楷體"/>
                <w:snapToGrid w:val="0"/>
              </w:rPr>
            </w:pPr>
            <w:r w:rsidRPr="009B222B">
              <w:rPr>
                <w:rFonts w:eastAsia="標楷體" w:hint="eastAsia"/>
                <w:snapToGrid w:val="0"/>
              </w:rPr>
              <w:t>本規定未規定者，應依臺灣期貨交易所股份有限公司期貨商、結算會員帳表憑證保存年限表之規定</w:t>
            </w:r>
            <w:r w:rsidRPr="009B222B">
              <w:rPr>
                <w:rFonts w:eastAsia="標楷體"/>
                <w:snapToGrid w:val="0"/>
              </w:rPr>
              <w:t>辦理。</w:t>
            </w:r>
          </w:p>
          <w:p w:rsidR="009B222B" w:rsidRPr="009B222B" w:rsidRDefault="009B222B" w:rsidP="00AD1680">
            <w:pPr>
              <w:adjustRightInd w:val="0"/>
              <w:snapToGrid w:val="0"/>
              <w:spacing w:line="300" w:lineRule="auto"/>
              <w:ind w:firstLineChars="200" w:firstLine="480"/>
              <w:jc w:val="both"/>
              <w:rPr>
                <w:rFonts w:eastAsia="標楷體"/>
                <w:snapToGrid w:val="0"/>
              </w:rPr>
            </w:pPr>
          </w:p>
        </w:tc>
      </w:tr>
      <w:tr w:rsidR="009B222B" w:rsidRPr="009B222B" w:rsidTr="009B222B">
        <w:trPr>
          <w:trHeight w:val="535"/>
        </w:trPr>
        <w:tc>
          <w:tcPr>
            <w:tcW w:w="5000" w:type="pct"/>
          </w:tcPr>
          <w:p w:rsidR="009B222B" w:rsidRPr="009B222B" w:rsidRDefault="009B222B" w:rsidP="00AD1680">
            <w:pPr>
              <w:adjustRightInd w:val="0"/>
              <w:snapToGrid w:val="0"/>
              <w:spacing w:line="300" w:lineRule="auto"/>
              <w:jc w:val="both"/>
              <w:rPr>
                <w:rFonts w:eastAsia="標楷體"/>
                <w:snapToGrid w:val="0"/>
              </w:rPr>
            </w:pPr>
            <w:r w:rsidRPr="009B222B">
              <w:rPr>
                <w:rFonts w:eastAsia="標楷體" w:hint="eastAsia"/>
                <w:snapToGrid w:val="0"/>
              </w:rPr>
              <w:t>第三條</w:t>
            </w:r>
          </w:p>
          <w:p w:rsidR="009B222B" w:rsidRPr="009B222B" w:rsidRDefault="009B222B" w:rsidP="00AD1680">
            <w:pPr>
              <w:adjustRightInd w:val="0"/>
              <w:snapToGrid w:val="0"/>
              <w:spacing w:line="300" w:lineRule="auto"/>
              <w:jc w:val="both"/>
              <w:rPr>
                <w:rFonts w:eastAsia="標楷體"/>
                <w:snapToGrid w:val="0"/>
              </w:rPr>
            </w:pPr>
            <w:r w:rsidRPr="009B222B">
              <w:rPr>
                <w:rFonts w:eastAsia="標楷體" w:hint="eastAsia"/>
                <w:snapToGrid w:val="0"/>
              </w:rPr>
              <w:t xml:space="preserve">    </w:t>
            </w:r>
            <w:r w:rsidRPr="009B222B">
              <w:rPr>
                <w:rFonts w:eastAsia="標楷體" w:hint="eastAsia"/>
                <w:snapToGrid w:val="0"/>
              </w:rPr>
              <w:t>槓桿交易商經營槓桿保證金契約交易業務之帳表憑證保存年限規定如下：</w:t>
            </w:r>
          </w:p>
          <w:tbl>
            <w:tblPr>
              <w:tblStyle w:val="ab"/>
              <w:tblW w:w="0" w:type="auto"/>
              <w:tblInd w:w="393" w:type="dxa"/>
              <w:tblLook w:val="04A0" w:firstRow="1" w:lastRow="0" w:firstColumn="1" w:lastColumn="0" w:noHBand="0" w:noVBand="1"/>
            </w:tblPr>
            <w:tblGrid>
              <w:gridCol w:w="7229"/>
              <w:gridCol w:w="2126"/>
            </w:tblGrid>
            <w:tr w:rsidR="009B222B" w:rsidRPr="009B222B" w:rsidTr="009B222B">
              <w:tc>
                <w:tcPr>
                  <w:tcW w:w="7229" w:type="dxa"/>
                </w:tcPr>
                <w:p w:rsidR="009B222B" w:rsidRPr="009B222B" w:rsidRDefault="009B222B" w:rsidP="009B222B">
                  <w:pPr>
                    <w:pStyle w:val="aa"/>
                    <w:kinsoku w:val="0"/>
                    <w:adjustRightInd w:val="0"/>
                    <w:snapToGrid w:val="0"/>
                    <w:spacing w:line="300" w:lineRule="auto"/>
                    <w:ind w:left="0"/>
                    <w:jc w:val="center"/>
                    <w:rPr>
                      <w:sz w:val="24"/>
                    </w:rPr>
                  </w:pPr>
                  <w:r w:rsidRPr="009B222B">
                    <w:rPr>
                      <w:rFonts w:hint="eastAsia"/>
                      <w:sz w:val="24"/>
                    </w:rPr>
                    <w:t>帳表憑證類別名稱</w:t>
                  </w:r>
                </w:p>
              </w:tc>
              <w:tc>
                <w:tcPr>
                  <w:tcW w:w="2126" w:type="dxa"/>
                </w:tcPr>
                <w:p w:rsidR="009B222B" w:rsidRPr="009B222B" w:rsidRDefault="009B222B" w:rsidP="009B222B">
                  <w:pPr>
                    <w:pStyle w:val="aa"/>
                    <w:kinsoku w:val="0"/>
                    <w:adjustRightInd w:val="0"/>
                    <w:snapToGrid w:val="0"/>
                    <w:spacing w:line="300" w:lineRule="auto"/>
                    <w:ind w:left="0"/>
                    <w:jc w:val="center"/>
                    <w:rPr>
                      <w:sz w:val="24"/>
                    </w:rPr>
                  </w:pPr>
                  <w:r w:rsidRPr="009B222B">
                    <w:rPr>
                      <w:rFonts w:hint="eastAsia"/>
                      <w:sz w:val="24"/>
                    </w:rPr>
                    <w:t>保存年限</w:t>
                  </w:r>
                </w:p>
              </w:tc>
            </w:tr>
            <w:tr w:rsidR="009B222B" w:rsidRPr="009B222B" w:rsidTr="009B222B">
              <w:tc>
                <w:tcPr>
                  <w:tcW w:w="7229" w:type="dxa"/>
                </w:tcPr>
                <w:p w:rsidR="009B222B" w:rsidRPr="009B222B" w:rsidRDefault="009B222B" w:rsidP="00AD1680">
                  <w:pPr>
                    <w:pStyle w:val="aa"/>
                    <w:kinsoku w:val="0"/>
                    <w:adjustRightInd w:val="0"/>
                    <w:snapToGrid w:val="0"/>
                    <w:spacing w:line="300" w:lineRule="auto"/>
                    <w:ind w:left="0"/>
                    <w:jc w:val="both"/>
                    <w:rPr>
                      <w:sz w:val="24"/>
                    </w:rPr>
                  </w:pPr>
                  <w:r w:rsidRPr="009B222B">
                    <w:rPr>
                      <w:rFonts w:hint="eastAsia"/>
                      <w:sz w:val="24"/>
                    </w:rPr>
                    <w:t>各項槓桿保證金契約交易之契約</w:t>
                  </w:r>
                </w:p>
              </w:tc>
              <w:tc>
                <w:tcPr>
                  <w:tcW w:w="2126" w:type="dxa"/>
                </w:tcPr>
                <w:p w:rsidR="009B222B" w:rsidRPr="009B222B" w:rsidRDefault="009B222B" w:rsidP="009B222B">
                  <w:pPr>
                    <w:pStyle w:val="aa"/>
                    <w:kinsoku w:val="0"/>
                    <w:adjustRightInd w:val="0"/>
                    <w:snapToGrid w:val="0"/>
                    <w:spacing w:line="300" w:lineRule="auto"/>
                    <w:ind w:left="0"/>
                    <w:jc w:val="center"/>
                    <w:rPr>
                      <w:sz w:val="24"/>
                    </w:rPr>
                  </w:pPr>
                  <w:r w:rsidRPr="009B222B">
                    <w:rPr>
                      <w:rFonts w:hint="eastAsia"/>
                      <w:sz w:val="24"/>
                    </w:rPr>
                    <w:t>契約終止後五年</w:t>
                  </w:r>
                </w:p>
              </w:tc>
            </w:tr>
            <w:tr w:rsidR="009B222B" w:rsidRPr="009B222B" w:rsidTr="009B222B">
              <w:tc>
                <w:tcPr>
                  <w:tcW w:w="7229" w:type="dxa"/>
                </w:tcPr>
                <w:p w:rsidR="009B222B" w:rsidRPr="009B222B" w:rsidRDefault="009B222B" w:rsidP="00AD1680">
                  <w:pPr>
                    <w:pStyle w:val="aa"/>
                    <w:kinsoku w:val="0"/>
                    <w:adjustRightInd w:val="0"/>
                    <w:snapToGrid w:val="0"/>
                    <w:spacing w:line="300" w:lineRule="auto"/>
                    <w:ind w:left="0"/>
                    <w:jc w:val="both"/>
                    <w:rPr>
                      <w:sz w:val="24"/>
                    </w:rPr>
                  </w:pPr>
                  <w:r w:rsidRPr="009B222B">
                    <w:rPr>
                      <w:rFonts w:hint="eastAsia"/>
                      <w:sz w:val="24"/>
                    </w:rPr>
                    <w:t>各項槓桿保證金契約交易有關之憑證</w:t>
                  </w:r>
                </w:p>
                <w:p w:rsidR="009B222B" w:rsidRPr="009B222B" w:rsidRDefault="009B222B" w:rsidP="00AD1680">
                  <w:pPr>
                    <w:pStyle w:val="aa"/>
                    <w:kinsoku w:val="0"/>
                    <w:adjustRightInd w:val="0"/>
                    <w:snapToGrid w:val="0"/>
                    <w:spacing w:line="300" w:lineRule="auto"/>
                    <w:ind w:left="0"/>
                    <w:jc w:val="both"/>
                    <w:rPr>
                      <w:sz w:val="24"/>
                    </w:rPr>
                  </w:pPr>
                </w:p>
              </w:tc>
              <w:tc>
                <w:tcPr>
                  <w:tcW w:w="2126" w:type="dxa"/>
                </w:tcPr>
                <w:p w:rsidR="009B222B" w:rsidRPr="009B222B" w:rsidRDefault="009B222B" w:rsidP="009B222B">
                  <w:pPr>
                    <w:pStyle w:val="aa"/>
                    <w:kinsoku w:val="0"/>
                    <w:adjustRightInd w:val="0"/>
                    <w:snapToGrid w:val="0"/>
                    <w:spacing w:line="300" w:lineRule="auto"/>
                    <w:ind w:left="0"/>
                    <w:jc w:val="center"/>
                    <w:rPr>
                      <w:sz w:val="24"/>
                    </w:rPr>
                  </w:pPr>
                  <w:r w:rsidRPr="009B222B">
                    <w:rPr>
                      <w:rFonts w:hint="eastAsia"/>
                      <w:sz w:val="24"/>
                    </w:rPr>
                    <w:t>五</w:t>
                  </w:r>
                </w:p>
              </w:tc>
            </w:tr>
            <w:tr w:rsidR="009B222B" w:rsidRPr="009B222B" w:rsidTr="009B222B">
              <w:tc>
                <w:tcPr>
                  <w:tcW w:w="7229" w:type="dxa"/>
                </w:tcPr>
                <w:p w:rsidR="009B222B" w:rsidRPr="009B222B" w:rsidRDefault="009B222B" w:rsidP="00AD1680">
                  <w:pPr>
                    <w:pStyle w:val="aa"/>
                    <w:kinsoku w:val="0"/>
                    <w:adjustRightInd w:val="0"/>
                    <w:snapToGrid w:val="0"/>
                    <w:spacing w:line="300" w:lineRule="auto"/>
                    <w:ind w:left="0"/>
                    <w:jc w:val="both"/>
                    <w:rPr>
                      <w:sz w:val="24"/>
                    </w:rPr>
                  </w:pPr>
                  <w:r w:rsidRPr="009B222B">
                    <w:rPr>
                      <w:rFonts w:hint="eastAsia"/>
                      <w:sz w:val="24"/>
                    </w:rPr>
                    <w:t>槓桿保證金契約交易月報表（餘額統計表）</w:t>
                  </w:r>
                </w:p>
                <w:p w:rsidR="009B222B" w:rsidRPr="009B222B" w:rsidRDefault="009B222B" w:rsidP="00AD1680">
                  <w:pPr>
                    <w:pStyle w:val="aa"/>
                    <w:kinsoku w:val="0"/>
                    <w:adjustRightInd w:val="0"/>
                    <w:snapToGrid w:val="0"/>
                    <w:spacing w:line="300" w:lineRule="auto"/>
                    <w:ind w:left="0"/>
                    <w:jc w:val="both"/>
                    <w:rPr>
                      <w:sz w:val="24"/>
                    </w:rPr>
                  </w:pPr>
                </w:p>
              </w:tc>
              <w:tc>
                <w:tcPr>
                  <w:tcW w:w="2126" w:type="dxa"/>
                </w:tcPr>
                <w:p w:rsidR="009B222B" w:rsidRPr="009B222B" w:rsidRDefault="009B222B" w:rsidP="009B222B">
                  <w:pPr>
                    <w:pStyle w:val="aa"/>
                    <w:kinsoku w:val="0"/>
                    <w:adjustRightInd w:val="0"/>
                    <w:snapToGrid w:val="0"/>
                    <w:spacing w:line="300" w:lineRule="auto"/>
                    <w:ind w:left="0"/>
                    <w:jc w:val="center"/>
                    <w:rPr>
                      <w:sz w:val="24"/>
                    </w:rPr>
                  </w:pPr>
                  <w:r w:rsidRPr="009B222B">
                    <w:rPr>
                      <w:rFonts w:hint="eastAsia"/>
                      <w:sz w:val="24"/>
                    </w:rPr>
                    <w:t>二</w:t>
                  </w:r>
                </w:p>
              </w:tc>
            </w:tr>
            <w:tr w:rsidR="009B222B" w:rsidRPr="009B222B" w:rsidTr="009B222B">
              <w:tc>
                <w:tcPr>
                  <w:tcW w:w="7229" w:type="dxa"/>
                </w:tcPr>
                <w:p w:rsidR="009B222B" w:rsidRPr="009B222B" w:rsidRDefault="009B222B" w:rsidP="00AD1680">
                  <w:pPr>
                    <w:pStyle w:val="aa"/>
                    <w:kinsoku w:val="0"/>
                    <w:adjustRightInd w:val="0"/>
                    <w:snapToGrid w:val="0"/>
                    <w:spacing w:line="300" w:lineRule="auto"/>
                    <w:ind w:left="0"/>
                    <w:jc w:val="both"/>
                    <w:rPr>
                      <w:sz w:val="24"/>
                    </w:rPr>
                  </w:pPr>
                  <w:r w:rsidRPr="009B222B">
                    <w:rPr>
                      <w:rFonts w:hint="eastAsia"/>
                      <w:sz w:val="24"/>
                    </w:rPr>
                    <w:t>槓桿保證金契約交易日報表（餘額統計表）</w:t>
                  </w:r>
                </w:p>
                <w:p w:rsidR="009B222B" w:rsidRPr="009B222B" w:rsidRDefault="009B222B" w:rsidP="00AD1680">
                  <w:pPr>
                    <w:pStyle w:val="aa"/>
                    <w:kinsoku w:val="0"/>
                    <w:adjustRightInd w:val="0"/>
                    <w:snapToGrid w:val="0"/>
                    <w:spacing w:line="300" w:lineRule="auto"/>
                    <w:ind w:left="0"/>
                    <w:jc w:val="both"/>
                    <w:rPr>
                      <w:sz w:val="24"/>
                    </w:rPr>
                  </w:pPr>
                </w:p>
              </w:tc>
              <w:tc>
                <w:tcPr>
                  <w:tcW w:w="2126" w:type="dxa"/>
                </w:tcPr>
                <w:p w:rsidR="009B222B" w:rsidRPr="009B222B" w:rsidRDefault="009B222B" w:rsidP="009B222B">
                  <w:pPr>
                    <w:pStyle w:val="aa"/>
                    <w:kinsoku w:val="0"/>
                    <w:adjustRightInd w:val="0"/>
                    <w:snapToGrid w:val="0"/>
                    <w:spacing w:line="300" w:lineRule="auto"/>
                    <w:ind w:left="0"/>
                    <w:jc w:val="center"/>
                    <w:rPr>
                      <w:sz w:val="24"/>
                    </w:rPr>
                  </w:pPr>
                  <w:proofErr w:type="gramStart"/>
                  <w:r w:rsidRPr="009B222B">
                    <w:rPr>
                      <w:rFonts w:hint="eastAsia"/>
                      <w:sz w:val="24"/>
                    </w:rPr>
                    <w:t>一</w:t>
                  </w:r>
                  <w:proofErr w:type="gramEnd"/>
                </w:p>
              </w:tc>
            </w:tr>
            <w:tr w:rsidR="009B222B" w:rsidRPr="009B222B" w:rsidTr="009B222B">
              <w:tc>
                <w:tcPr>
                  <w:tcW w:w="7229" w:type="dxa"/>
                </w:tcPr>
                <w:p w:rsidR="009B222B" w:rsidRPr="009B222B" w:rsidRDefault="009B222B" w:rsidP="00AD1680">
                  <w:pPr>
                    <w:pStyle w:val="aa"/>
                    <w:kinsoku w:val="0"/>
                    <w:adjustRightInd w:val="0"/>
                    <w:snapToGrid w:val="0"/>
                    <w:spacing w:line="300" w:lineRule="auto"/>
                    <w:ind w:left="0"/>
                    <w:jc w:val="both"/>
                    <w:rPr>
                      <w:sz w:val="24"/>
                    </w:rPr>
                  </w:pPr>
                  <w:r w:rsidRPr="009B222B">
                    <w:rPr>
                      <w:rFonts w:hint="eastAsia"/>
                      <w:sz w:val="24"/>
                    </w:rPr>
                    <w:t>其他相關憑證</w:t>
                  </w:r>
                </w:p>
              </w:tc>
              <w:tc>
                <w:tcPr>
                  <w:tcW w:w="2126" w:type="dxa"/>
                </w:tcPr>
                <w:p w:rsidR="009B222B" w:rsidRPr="009B222B" w:rsidRDefault="009B222B" w:rsidP="009B222B">
                  <w:pPr>
                    <w:pStyle w:val="aa"/>
                    <w:kinsoku w:val="0"/>
                    <w:adjustRightInd w:val="0"/>
                    <w:snapToGrid w:val="0"/>
                    <w:spacing w:line="300" w:lineRule="auto"/>
                    <w:ind w:left="0"/>
                    <w:jc w:val="center"/>
                    <w:rPr>
                      <w:sz w:val="24"/>
                    </w:rPr>
                  </w:pPr>
                  <w:proofErr w:type="gramStart"/>
                  <w:r w:rsidRPr="009B222B">
                    <w:rPr>
                      <w:rFonts w:hint="eastAsia"/>
                      <w:sz w:val="24"/>
                    </w:rPr>
                    <w:t>一</w:t>
                  </w:r>
                  <w:proofErr w:type="gramEnd"/>
                </w:p>
              </w:tc>
            </w:tr>
          </w:tbl>
          <w:p w:rsidR="009B222B" w:rsidRPr="009B222B" w:rsidRDefault="009B222B" w:rsidP="00AD1680">
            <w:pPr>
              <w:adjustRightInd w:val="0"/>
              <w:snapToGrid w:val="0"/>
              <w:spacing w:line="300" w:lineRule="auto"/>
              <w:jc w:val="both"/>
              <w:rPr>
                <w:rFonts w:eastAsia="標楷體"/>
                <w:snapToGrid w:val="0"/>
              </w:rPr>
            </w:pPr>
            <w:bookmarkStart w:id="0" w:name="_GoBack"/>
            <w:bookmarkEnd w:id="0"/>
          </w:p>
        </w:tc>
      </w:tr>
      <w:tr w:rsidR="009B222B" w:rsidRPr="009B222B" w:rsidTr="009B222B">
        <w:trPr>
          <w:trHeight w:val="535"/>
        </w:trPr>
        <w:tc>
          <w:tcPr>
            <w:tcW w:w="5000" w:type="pct"/>
          </w:tcPr>
          <w:p w:rsidR="009B222B" w:rsidRDefault="009B222B" w:rsidP="00AD1680">
            <w:pPr>
              <w:pStyle w:val="aa"/>
              <w:kinsoku w:val="0"/>
              <w:adjustRightInd w:val="0"/>
              <w:snapToGrid w:val="0"/>
              <w:spacing w:line="300" w:lineRule="auto"/>
              <w:ind w:left="0"/>
              <w:jc w:val="both"/>
              <w:rPr>
                <w:sz w:val="24"/>
              </w:rPr>
            </w:pPr>
          </w:p>
          <w:p w:rsidR="009B222B" w:rsidRPr="009B222B" w:rsidRDefault="009B222B" w:rsidP="00AD1680">
            <w:pPr>
              <w:pStyle w:val="aa"/>
              <w:kinsoku w:val="0"/>
              <w:adjustRightInd w:val="0"/>
              <w:snapToGrid w:val="0"/>
              <w:spacing w:line="300" w:lineRule="auto"/>
              <w:ind w:left="0"/>
              <w:jc w:val="both"/>
              <w:rPr>
                <w:sz w:val="24"/>
              </w:rPr>
            </w:pPr>
            <w:r w:rsidRPr="009B222B">
              <w:rPr>
                <w:rFonts w:hint="eastAsia"/>
                <w:sz w:val="24"/>
              </w:rPr>
              <w:t>第四條</w:t>
            </w:r>
          </w:p>
          <w:p w:rsidR="009B222B" w:rsidRDefault="009B222B" w:rsidP="00AD1680">
            <w:pPr>
              <w:pStyle w:val="aa"/>
              <w:kinsoku w:val="0"/>
              <w:adjustRightInd w:val="0"/>
              <w:snapToGrid w:val="0"/>
              <w:spacing w:line="300" w:lineRule="auto"/>
              <w:ind w:left="0" w:firstLineChars="200" w:firstLine="480"/>
              <w:jc w:val="both"/>
              <w:rPr>
                <w:sz w:val="24"/>
              </w:rPr>
            </w:pPr>
            <w:r w:rsidRPr="009B222B">
              <w:rPr>
                <w:rFonts w:hint="eastAsia"/>
                <w:sz w:val="24"/>
              </w:rPr>
              <w:t>槓桿保證金契約交易遇有爭議時，其相關帳表憑證應保存至爭議消除為止。</w:t>
            </w:r>
          </w:p>
          <w:p w:rsidR="009B222B" w:rsidRPr="009B222B" w:rsidRDefault="009B222B" w:rsidP="00AD1680">
            <w:pPr>
              <w:pStyle w:val="aa"/>
              <w:kinsoku w:val="0"/>
              <w:adjustRightInd w:val="0"/>
              <w:snapToGrid w:val="0"/>
              <w:spacing w:line="300" w:lineRule="auto"/>
              <w:ind w:left="0" w:firstLineChars="200" w:firstLine="480"/>
              <w:jc w:val="both"/>
              <w:rPr>
                <w:sz w:val="24"/>
              </w:rPr>
            </w:pPr>
          </w:p>
        </w:tc>
      </w:tr>
      <w:tr w:rsidR="009B222B" w:rsidRPr="009B222B" w:rsidTr="009B222B">
        <w:trPr>
          <w:trHeight w:val="535"/>
        </w:trPr>
        <w:tc>
          <w:tcPr>
            <w:tcW w:w="5000" w:type="pct"/>
          </w:tcPr>
          <w:p w:rsidR="009B222B" w:rsidRPr="009B222B" w:rsidRDefault="009B222B" w:rsidP="00AD1680">
            <w:pPr>
              <w:pStyle w:val="aa"/>
              <w:kinsoku w:val="0"/>
              <w:adjustRightInd w:val="0"/>
              <w:snapToGrid w:val="0"/>
              <w:spacing w:line="300" w:lineRule="auto"/>
              <w:ind w:left="0"/>
              <w:jc w:val="both"/>
              <w:rPr>
                <w:sz w:val="24"/>
              </w:rPr>
            </w:pPr>
            <w:r w:rsidRPr="009B222B">
              <w:rPr>
                <w:rFonts w:hint="eastAsia"/>
                <w:sz w:val="24"/>
              </w:rPr>
              <w:t>第五條</w:t>
            </w:r>
          </w:p>
          <w:p w:rsidR="009B222B" w:rsidRDefault="009B222B" w:rsidP="00AD1680">
            <w:pPr>
              <w:pStyle w:val="aa"/>
              <w:kinsoku w:val="0"/>
              <w:adjustRightInd w:val="0"/>
              <w:snapToGrid w:val="0"/>
              <w:spacing w:line="300" w:lineRule="auto"/>
              <w:ind w:left="0" w:firstLineChars="200" w:firstLine="480"/>
              <w:jc w:val="both"/>
              <w:rPr>
                <w:sz w:val="24"/>
              </w:rPr>
            </w:pPr>
            <w:r w:rsidRPr="009B222B">
              <w:rPr>
                <w:rFonts w:hint="eastAsia"/>
                <w:sz w:val="24"/>
              </w:rPr>
              <w:t>第三條所定之保存年限係指自各該年度決算經股東會正式通過後起算。</w:t>
            </w:r>
          </w:p>
          <w:p w:rsidR="009B222B" w:rsidRPr="009B222B" w:rsidRDefault="009B222B" w:rsidP="00AD1680">
            <w:pPr>
              <w:pStyle w:val="aa"/>
              <w:kinsoku w:val="0"/>
              <w:adjustRightInd w:val="0"/>
              <w:snapToGrid w:val="0"/>
              <w:spacing w:line="300" w:lineRule="auto"/>
              <w:ind w:left="0" w:firstLineChars="200" w:firstLine="480"/>
              <w:jc w:val="both"/>
              <w:rPr>
                <w:sz w:val="24"/>
              </w:rPr>
            </w:pPr>
          </w:p>
        </w:tc>
      </w:tr>
      <w:tr w:rsidR="009B222B" w:rsidRPr="009B222B" w:rsidTr="009B222B">
        <w:trPr>
          <w:trHeight w:val="535"/>
        </w:trPr>
        <w:tc>
          <w:tcPr>
            <w:tcW w:w="5000" w:type="pct"/>
          </w:tcPr>
          <w:p w:rsidR="009B222B" w:rsidRPr="009B222B" w:rsidRDefault="009B222B" w:rsidP="00AD1680">
            <w:pPr>
              <w:pStyle w:val="aa"/>
              <w:kinsoku w:val="0"/>
              <w:adjustRightInd w:val="0"/>
              <w:snapToGrid w:val="0"/>
              <w:spacing w:line="300" w:lineRule="auto"/>
              <w:ind w:left="0"/>
              <w:jc w:val="both"/>
              <w:rPr>
                <w:sz w:val="24"/>
              </w:rPr>
            </w:pPr>
            <w:r w:rsidRPr="009B222B">
              <w:rPr>
                <w:rFonts w:hint="eastAsia"/>
                <w:sz w:val="24"/>
              </w:rPr>
              <w:t>第六條</w:t>
            </w:r>
          </w:p>
          <w:p w:rsidR="009B222B" w:rsidRDefault="009B222B" w:rsidP="00AD1680">
            <w:pPr>
              <w:pStyle w:val="aa"/>
              <w:kinsoku w:val="0"/>
              <w:adjustRightInd w:val="0"/>
              <w:snapToGrid w:val="0"/>
              <w:spacing w:line="300" w:lineRule="auto"/>
              <w:ind w:left="0" w:firstLineChars="200" w:firstLine="480"/>
              <w:jc w:val="both"/>
              <w:rPr>
                <w:sz w:val="24"/>
              </w:rPr>
            </w:pPr>
            <w:r w:rsidRPr="009B222B">
              <w:rPr>
                <w:rFonts w:hint="eastAsia"/>
                <w:sz w:val="24"/>
              </w:rPr>
              <w:t>槓桿交易商之帳表憑證若因意外事故或不可抗力之災害而毀損、短少或</w:t>
            </w:r>
            <w:proofErr w:type="gramStart"/>
            <w:r w:rsidRPr="009B222B">
              <w:rPr>
                <w:rFonts w:hint="eastAsia"/>
                <w:sz w:val="24"/>
              </w:rPr>
              <w:t>滅失者</w:t>
            </w:r>
            <w:proofErr w:type="gramEnd"/>
            <w:r w:rsidRPr="009B222B">
              <w:rPr>
                <w:rFonts w:hint="eastAsia"/>
                <w:sz w:val="24"/>
              </w:rPr>
              <w:t>，應於事發後十五日內檢具清單函報本中心備查，本中心並得視狀況派員實地勘查。</w:t>
            </w:r>
          </w:p>
          <w:p w:rsidR="009B222B" w:rsidRPr="009B222B" w:rsidRDefault="009B222B" w:rsidP="00AD1680">
            <w:pPr>
              <w:pStyle w:val="aa"/>
              <w:kinsoku w:val="0"/>
              <w:adjustRightInd w:val="0"/>
              <w:snapToGrid w:val="0"/>
              <w:spacing w:line="300" w:lineRule="auto"/>
              <w:ind w:left="0" w:firstLineChars="200" w:firstLine="480"/>
              <w:jc w:val="both"/>
              <w:rPr>
                <w:sz w:val="24"/>
              </w:rPr>
            </w:pPr>
          </w:p>
        </w:tc>
      </w:tr>
      <w:tr w:rsidR="009B222B" w:rsidRPr="009B222B" w:rsidTr="009B222B">
        <w:trPr>
          <w:trHeight w:val="535"/>
        </w:trPr>
        <w:tc>
          <w:tcPr>
            <w:tcW w:w="5000" w:type="pct"/>
          </w:tcPr>
          <w:p w:rsidR="009B222B" w:rsidRPr="009B222B" w:rsidRDefault="009B222B" w:rsidP="00AD1680">
            <w:pPr>
              <w:pStyle w:val="aa"/>
              <w:kinsoku w:val="0"/>
              <w:adjustRightInd w:val="0"/>
              <w:snapToGrid w:val="0"/>
              <w:spacing w:line="300" w:lineRule="auto"/>
              <w:ind w:left="0"/>
              <w:jc w:val="both"/>
              <w:rPr>
                <w:sz w:val="24"/>
              </w:rPr>
            </w:pPr>
            <w:r w:rsidRPr="009B222B">
              <w:rPr>
                <w:rFonts w:hint="eastAsia"/>
                <w:sz w:val="24"/>
              </w:rPr>
              <w:t>第七條</w:t>
            </w:r>
          </w:p>
          <w:p w:rsidR="009B222B" w:rsidRPr="009B222B" w:rsidRDefault="009B222B" w:rsidP="00AD1680">
            <w:pPr>
              <w:pStyle w:val="aa"/>
              <w:kinsoku w:val="0"/>
              <w:adjustRightInd w:val="0"/>
              <w:snapToGrid w:val="0"/>
              <w:spacing w:line="300" w:lineRule="auto"/>
              <w:ind w:left="0" w:firstLineChars="200" w:firstLine="480"/>
              <w:rPr>
                <w:sz w:val="24"/>
              </w:rPr>
            </w:pPr>
            <w:r w:rsidRPr="009B222B">
              <w:rPr>
                <w:rFonts w:hint="eastAsia"/>
                <w:sz w:val="24"/>
              </w:rPr>
              <w:t>槓桿交易商依據商業會計法第四十條及商業使用電子方式處理會計資料辦法規定，以電子方式處理會計資料者，其從事各項業務之相關會計資料及業務憑證均得以媒體方式儲存，惟應依規定格式及需求列印。</w:t>
            </w:r>
          </w:p>
          <w:p w:rsidR="009B222B" w:rsidRPr="009B222B" w:rsidRDefault="009B222B" w:rsidP="00AD1680">
            <w:pPr>
              <w:pStyle w:val="aa"/>
              <w:kinsoku w:val="0"/>
              <w:adjustRightInd w:val="0"/>
              <w:snapToGrid w:val="0"/>
              <w:spacing w:line="300" w:lineRule="auto"/>
              <w:ind w:left="0" w:firstLineChars="200" w:firstLine="480"/>
              <w:rPr>
                <w:sz w:val="24"/>
              </w:rPr>
            </w:pPr>
            <w:r w:rsidRPr="009B222B">
              <w:rPr>
                <w:rFonts w:hint="eastAsia"/>
                <w:sz w:val="24"/>
              </w:rPr>
              <w:t>槓桿交易商未依商業會計法第四十條及商業使用電子方式處理會計資料辦法規定，以電子方式處理會計資料者，其業務憑證亦得以媒體方式儲存，並應依規定格式及需求列印。</w:t>
            </w:r>
          </w:p>
          <w:p w:rsidR="009B222B" w:rsidRPr="009B222B" w:rsidRDefault="009B222B" w:rsidP="00AD1680">
            <w:pPr>
              <w:pStyle w:val="aa"/>
              <w:kinsoku w:val="0"/>
              <w:adjustRightInd w:val="0"/>
              <w:snapToGrid w:val="0"/>
              <w:spacing w:line="300" w:lineRule="auto"/>
              <w:ind w:left="0" w:firstLineChars="200" w:firstLine="480"/>
              <w:rPr>
                <w:sz w:val="24"/>
              </w:rPr>
            </w:pPr>
            <w:r w:rsidRPr="009B222B">
              <w:rPr>
                <w:rFonts w:hint="eastAsia"/>
                <w:sz w:val="24"/>
              </w:rPr>
              <w:t>前二項媒體保存年限應依第三條所</w:t>
            </w:r>
            <w:proofErr w:type="gramStart"/>
            <w:r w:rsidRPr="009B222B">
              <w:rPr>
                <w:rFonts w:hint="eastAsia"/>
                <w:sz w:val="24"/>
              </w:rPr>
              <w:t>列各帳表</w:t>
            </w:r>
            <w:proofErr w:type="gramEnd"/>
            <w:r w:rsidRPr="009B222B">
              <w:rPr>
                <w:rFonts w:hint="eastAsia"/>
                <w:sz w:val="24"/>
              </w:rPr>
              <w:t>憑證保存年限規定辦理；其相關媒體儲存作業，應符合下列規定：</w:t>
            </w:r>
          </w:p>
          <w:p w:rsidR="009B222B" w:rsidRPr="009B222B" w:rsidRDefault="009B222B" w:rsidP="009B222B">
            <w:pPr>
              <w:pStyle w:val="aa"/>
              <w:kinsoku w:val="0"/>
              <w:adjustRightInd w:val="0"/>
              <w:snapToGrid w:val="0"/>
              <w:spacing w:line="300" w:lineRule="auto"/>
              <w:ind w:leftChars="170" w:left="1106" w:hangingChars="291" w:hanging="698"/>
              <w:rPr>
                <w:sz w:val="24"/>
              </w:rPr>
            </w:pPr>
            <w:r w:rsidRPr="009B222B">
              <w:rPr>
                <w:rFonts w:hint="eastAsia"/>
                <w:sz w:val="24"/>
              </w:rPr>
              <w:t>（一）使用無法修改與消除之電子儲存媒體，並於成交當日製作完成。</w:t>
            </w:r>
            <w:r w:rsidRPr="009B222B">
              <w:rPr>
                <w:rFonts w:hint="eastAsia"/>
                <w:sz w:val="24"/>
              </w:rPr>
              <w:t xml:space="preserve">                                                    </w:t>
            </w:r>
          </w:p>
          <w:p w:rsidR="009B222B" w:rsidRPr="009B222B" w:rsidRDefault="009B222B" w:rsidP="009B222B">
            <w:pPr>
              <w:pStyle w:val="aa"/>
              <w:kinsoku w:val="0"/>
              <w:adjustRightInd w:val="0"/>
              <w:snapToGrid w:val="0"/>
              <w:spacing w:line="300" w:lineRule="auto"/>
              <w:ind w:leftChars="170" w:left="1106" w:hangingChars="291" w:hanging="698"/>
              <w:rPr>
                <w:sz w:val="24"/>
              </w:rPr>
            </w:pPr>
            <w:r w:rsidRPr="009B222B">
              <w:rPr>
                <w:rFonts w:hint="eastAsia"/>
                <w:sz w:val="24"/>
              </w:rPr>
              <w:t>（二）建立完整目錄及管理程序。</w:t>
            </w:r>
            <w:r w:rsidRPr="009B222B">
              <w:rPr>
                <w:rFonts w:hint="eastAsia"/>
                <w:sz w:val="24"/>
              </w:rPr>
              <w:t xml:space="preserve"> </w:t>
            </w:r>
          </w:p>
          <w:p w:rsidR="009B222B" w:rsidRDefault="009B222B" w:rsidP="009B222B">
            <w:pPr>
              <w:pStyle w:val="aa"/>
              <w:kinsoku w:val="0"/>
              <w:adjustRightInd w:val="0"/>
              <w:snapToGrid w:val="0"/>
              <w:spacing w:line="300" w:lineRule="auto"/>
              <w:ind w:leftChars="170" w:left="1116" w:hangingChars="295" w:hanging="708"/>
              <w:jc w:val="both"/>
              <w:rPr>
                <w:sz w:val="24"/>
              </w:rPr>
            </w:pPr>
            <w:r w:rsidRPr="009B222B">
              <w:rPr>
                <w:rFonts w:hint="eastAsia"/>
                <w:sz w:val="24"/>
              </w:rPr>
              <w:t>（三）專人管理負責，並可隨時將電子媒體資料轉換成書面格式。</w:t>
            </w:r>
          </w:p>
          <w:p w:rsidR="009B222B" w:rsidRPr="009B222B" w:rsidRDefault="009B222B" w:rsidP="00AD1680">
            <w:pPr>
              <w:pStyle w:val="aa"/>
              <w:kinsoku w:val="0"/>
              <w:adjustRightInd w:val="0"/>
              <w:snapToGrid w:val="0"/>
              <w:spacing w:line="300" w:lineRule="auto"/>
              <w:ind w:left="708" w:hangingChars="295" w:hanging="708"/>
              <w:jc w:val="both"/>
              <w:rPr>
                <w:sz w:val="24"/>
              </w:rPr>
            </w:pPr>
          </w:p>
        </w:tc>
      </w:tr>
      <w:tr w:rsidR="009B222B" w:rsidRPr="009B222B" w:rsidTr="009B222B">
        <w:trPr>
          <w:trHeight w:val="535"/>
        </w:trPr>
        <w:tc>
          <w:tcPr>
            <w:tcW w:w="5000" w:type="pct"/>
          </w:tcPr>
          <w:p w:rsidR="009B222B" w:rsidRPr="009B222B" w:rsidRDefault="009B222B" w:rsidP="00AD1680">
            <w:pPr>
              <w:pStyle w:val="aa"/>
              <w:kinsoku w:val="0"/>
              <w:adjustRightInd w:val="0"/>
              <w:snapToGrid w:val="0"/>
              <w:spacing w:line="300" w:lineRule="auto"/>
              <w:ind w:left="67" w:hangingChars="28" w:hanging="67"/>
              <w:jc w:val="both"/>
              <w:rPr>
                <w:sz w:val="24"/>
              </w:rPr>
            </w:pPr>
            <w:r w:rsidRPr="009B222B">
              <w:rPr>
                <w:rFonts w:hint="eastAsia"/>
                <w:sz w:val="24"/>
              </w:rPr>
              <w:t>第八條</w:t>
            </w:r>
          </w:p>
          <w:p w:rsidR="009B222B" w:rsidRPr="009B222B" w:rsidRDefault="009B222B" w:rsidP="00AD1680">
            <w:pPr>
              <w:pStyle w:val="aa"/>
              <w:kinsoku w:val="0"/>
              <w:adjustRightInd w:val="0"/>
              <w:snapToGrid w:val="0"/>
              <w:spacing w:line="300" w:lineRule="auto"/>
              <w:ind w:left="-8" w:firstLineChars="231" w:firstLine="554"/>
              <w:jc w:val="both"/>
              <w:rPr>
                <w:sz w:val="24"/>
              </w:rPr>
            </w:pPr>
            <w:r w:rsidRPr="009B222B">
              <w:rPr>
                <w:rFonts w:hint="eastAsia"/>
                <w:sz w:val="24"/>
              </w:rPr>
              <w:t>本規定報請主管機關核定後，公告施行，修正時亦同。</w:t>
            </w:r>
          </w:p>
        </w:tc>
      </w:tr>
    </w:tbl>
    <w:p w:rsidR="0058087E" w:rsidRPr="006B4665" w:rsidRDefault="006C1EE7"/>
    <w:sectPr w:rsidR="0058087E" w:rsidRPr="006B4665" w:rsidSect="00617DA1">
      <w:footerReference w:type="default" r:id="rId8"/>
      <w:pgSz w:w="11906" w:h="16838"/>
      <w:pgMar w:top="1440" w:right="964"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BE9" w:rsidRDefault="00AC2BE9" w:rsidP="00F06138">
      <w:r>
        <w:separator/>
      </w:r>
    </w:p>
  </w:endnote>
  <w:endnote w:type="continuationSeparator" w:id="0">
    <w:p w:rsidR="00AC2BE9" w:rsidRDefault="00AC2BE9" w:rsidP="00F0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2016"/>
      <w:docPartObj>
        <w:docPartGallery w:val="Page Numbers (Bottom of Page)"/>
        <w:docPartUnique/>
      </w:docPartObj>
    </w:sdtPr>
    <w:sdtEndPr/>
    <w:sdtContent>
      <w:p w:rsidR="005721BD" w:rsidRDefault="004307DF">
        <w:pPr>
          <w:pStyle w:val="a6"/>
          <w:jc w:val="center"/>
        </w:pPr>
        <w:r>
          <w:fldChar w:fldCharType="begin"/>
        </w:r>
        <w:r>
          <w:instrText xml:space="preserve"> PAGE   \* MERGEFORMAT </w:instrText>
        </w:r>
        <w:r>
          <w:fldChar w:fldCharType="separate"/>
        </w:r>
        <w:r w:rsidR="006C1EE7" w:rsidRPr="006C1EE7">
          <w:rPr>
            <w:noProof/>
            <w:lang w:val="zh-TW"/>
          </w:rPr>
          <w:t>2</w:t>
        </w:r>
        <w:r>
          <w:rPr>
            <w:noProof/>
            <w:lang w:val="zh-TW"/>
          </w:rPr>
          <w:fldChar w:fldCharType="end"/>
        </w:r>
      </w:p>
    </w:sdtContent>
  </w:sdt>
  <w:p w:rsidR="005721BD" w:rsidRDefault="005721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BE9" w:rsidRDefault="00AC2BE9" w:rsidP="00F06138">
      <w:r>
        <w:separator/>
      </w:r>
    </w:p>
  </w:footnote>
  <w:footnote w:type="continuationSeparator" w:id="0">
    <w:p w:rsidR="00AC2BE9" w:rsidRDefault="00AC2BE9" w:rsidP="00F06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11FC2"/>
    <w:multiLevelType w:val="hybridMultilevel"/>
    <w:tmpl w:val="BDA4AE7A"/>
    <w:lvl w:ilvl="0" w:tplc="9580C3CA">
      <w:start w:val="4"/>
      <w:numFmt w:val="taiwaneseCountingThousand"/>
      <w:lvlText w:val="%1、"/>
      <w:lvlJc w:val="left"/>
      <w:pPr>
        <w:tabs>
          <w:tab w:val="num" w:pos="540"/>
        </w:tabs>
        <w:ind w:left="5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8E0842"/>
    <w:multiLevelType w:val="hybridMultilevel"/>
    <w:tmpl w:val="ECBEDEB6"/>
    <w:lvl w:ilvl="0" w:tplc="412CB8AC">
      <w:start w:val="1"/>
      <w:numFmt w:val="taiwaneseCountingThousand"/>
      <w:lvlText w:val="%1、"/>
      <w:lvlJc w:val="left"/>
      <w:pPr>
        <w:ind w:left="69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3822DF"/>
    <w:multiLevelType w:val="hybridMultilevel"/>
    <w:tmpl w:val="DBE8DA3C"/>
    <w:lvl w:ilvl="0" w:tplc="412CB8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8A6996"/>
    <w:multiLevelType w:val="hybridMultilevel"/>
    <w:tmpl w:val="E110CA1E"/>
    <w:lvl w:ilvl="0" w:tplc="E598AC50">
      <w:start w:val="1"/>
      <w:numFmt w:val="taiwaneseCountingThousand"/>
      <w:lvlText w:val="%1、"/>
      <w:lvlJc w:val="left"/>
      <w:pPr>
        <w:tabs>
          <w:tab w:val="num" w:pos="540"/>
        </w:tabs>
        <w:ind w:left="5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DB7BA2"/>
    <w:multiLevelType w:val="hybridMultilevel"/>
    <w:tmpl w:val="7AA0B06C"/>
    <w:lvl w:ilvl="0" w:tplc="412CB8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A60563"/>
    <w:multiLevelType w:val="hybridMultilevel"/>
    <w:tmpl w:val="B15E0E18"/>
    <w:lvl w:ilvl="0" w:tplc="37645C4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B32A4F"/>
    <w:multiLevelType w:val="hybridMultilevel"/>
    <w:tmpl w:val="7BAC029A"/>
    <w:lvl w:ilvl="0" w:tplc="E73ECAC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EF3889"/>
    <w:multiLevelType w:val="hybridMultilevel"/>
    <w:tmpl w:val="0AE2DB76"/>
    <w:lvl w:ilvl="0" w:tplc="06704A2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0C27584"/>
    <w:multiLevelType w:val="hybridMultilevel"/>
    <w:tmpl w:val="434AD9B8"/>
    <w:lvl w:ilvl="0" w:tplc="412CB8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FB4948"/>
    <w:multiLevelType w:val="hybridMultilevel"/>
    <w:tmpl w:val="7494E708"/>
    <w:lvl w:ilvl="0" w:tplc="A85C85C4">
      <w:start w:val="1"/>
      <w:numFmt w:val="taiwaneseCountingThousand"/>
      <w:lvlText w:val="%1、"/>
      <w:lvlJc w:val="left"/>
      <w:pPr>
        <w:tabs>
          <w:tab w:val="num" w:pos="984"/>
        </w:tabs>
        <w:ind w:left="984" w:hanging="504"/>
      </w:pPr>
      <w:rPr>
        <w:rFonts w:ascii="標楷體" w:hAnsi="標楷體" w:hint="default"/>
        <w:color w:val="000000"/>
      </w:rPr>
    </w:lvl>
    <w:lvl w:ilvl="1" w:tplc="A85C85C4">
      <w:start w:val="1"/>
      <w:numFmt w:val="taiwaneseCountingThousand"/>
      <w:lvlText w:val="%2、"/>
      <w:lvlJc w:val="left"/>
      <w:pPr>
        <w:ind w:left="960" w:hanging="480"/>
      </w:pPr>
      <w:rPr>
        <w:rFonts w:ascii="標楷體" w:hAnsi="標楷體" w:hint="default"/>
        <w:color w:val="000000"/>
      </w:rPr>
    </w:lvl>
    <w:lvl w:ilvl="2" w:tplc="79289536">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8F1D73"/>
    <w:multiLevelType w:val="hybridMultilevel"/>
    <w:tmpl w:val="15B657AA"/>
    <w:lvl w:ilvl="0" w:tplc="53B853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7200415"/>
    <w:multiLevelType w:val="hybridMultilevel"/>
    <w:tmpl w:val="22905A76"/>
    <w:lvl w:ilvl="0" w:tplc="7F7C2C2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D716825"/>
    <w:multiLevelType w:val="hybridMultilevel"/>
    <w:tmpl w:val="54F4A0F0"/>
    <w:lvl w:ilvl="0" w:tplc="8D30DB1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01E07A3"/>
    <w:multiLevelType w:val="hybridMultilevel"/>
    <w:tmpl w:val="D90A06EC"/>
    <w:lvl w:ilvl="0" w:tplc="BE0E97A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21E2A74"/>
    <w:multiLevelType w:val="hybridMultilevel"/>
    <w:tmpl w:val="BC7EB118"/>
    <w:lvl w:ilvl="0" w:tplc="412CB8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8FC3840"/>
    <w:multiLevelType w:val="hybridMultilevel"/>
    <w:tmpl w:val="6B0C1E32"/>
    <w:lvl w:ilvl="0" w:tplc="FFF89808">
      <w:start w:val="1"/>
      <w:numFmt w:val="taiwaneseCountingThousand"/>
      <w:lvlText w:val="%1、"/>
      <w:lvlJc w:val="left"/>
      <w:pPr>
        <w:ind w:left="480" w:hanging="480"/>
      </w:pPr>
      <w:rPr>
        <w:rFonts w:ascii="Arial Unicode MS" w:eastAsia="標楷體" w:hAnsi="Arial Unicode MS" w:cs="Arial Unicode M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CB92952"/>
    <w:multiLevelType w:val="hybridMultilevel"/>
    <w:tmpl w:val="B3B823F4"/>
    <w:lvl w:ilvl="0" w:tplc="D7F098BA">
      <w:start w:val="1"/>
      <w:numFmt w:val="taiwaneseCountingThousand"/>
      <w:lvlText w:val="%1、"/>
      <w:lvlJc w:val="left"/>
      <w:pPr>
        <w:ind w:left="697" w:hanging="720"/>
      </w:pPr>
      <w:rPr>
        <w:rFonts w:hint="default"/>
      </w:rPr>
    </w:lvl>
    <w:lvl w:ilvl="1" w:tplc="04090019" w:tentative="1">
      <w:start w:val="1"/>
      <w:numFmt w:val="ideographTraditional"/>
      <w:lvlText w:val="%2、"/>
      <w:lvlJc w:val="left"/>
      <w:pPr>
        <w:ind w:left="937" w:hanging="480"/>
      </w:pPr>
    </w:lvl>
    <w:lvl w:ilvl="2" w:tplc="0409001B" w:tentative="1">
      <w:start w:val="1"/>
      <w:numFmt w:val="lowerRoman"/>
      <w:lvlText w:val="%3."/>
      <w:lvlJc w:val="right"/>
      <w:pPr>
        <w:ind w:left="1417" w:hanging="480"/>
      </w:pPr>
    </w:lvl>
    <w:lvl w:ilvl="3" w:tplc="0409000F" w:tentative="1">
      <w:start w:val="1"/>
      <w:numFmt w:val="decimal"/>
      <w:lvlText w:val="%4."/>
      <w:lvlJc w:val="left"/>
      <w:pPr>
        <w:ind w:left="1897" w:hanging="480"/>
      </w:pPr>
    </w:lvl>
    <w:lvl w:ilvl="4" w:tplc="04090019" w:tentative="1">
      <w:start w:val="1"/>
      <w:numFmt w:val="ideographTraditional"/>
      <w:lvlText w:val="%5、"/>
      <w:lvlJc w:val="left"/>
      <w:pPr>
        <w:ind w:left="2377" w:hanging="480"/>
      </w:pPr>
    </w:lvl>
    <w:lvl w:ilvl="5" w:tplc="0409001B" w:tentative="1">
      <w:start w:val="1"/>
      <w:numFmt w:val="lowerRoman"/>
      <w:lvlText w:val="%6."/>
      <w:lvlJc w:val="right"/>
      <w:pPr>
        <w:ind w:left="2857" w:hanging="480"/>
      </w:pPr>
    </w:lvl>
    <w:lvl w:ilvl="6" w:tplc="0409000F" w:tentative="1">
      <w:start w:val="1"/>
      <w:numFmt w:val="decimal"/>
      <w:lvlText w:val="%7."/>
      <w:lvlJc w:val="left"/>
      <w:pPr>
        <w:ind w:left="3337" w:hanging="480"/>
      </w:pPr>
    </w:lvl>
    <w:lvl w:ilvl="7" w:tplc="04090019" w:tentative="1">
      <w:start w:val="1"/>
      <w:numFmt w:val="ideographTraditional"/>
      <w:lvlText w:val="%8、"/>
      <w:lvlJc w:val="left"/>
      <w:pPr>
        <w:ind w:left="3817" w:hanging="480"/>
      </w:pPr>
    </w:lvl>
    <w:lvl w:ilvl="8" w:tplc="0409001B" w:tentative="1">
      <w:start w:val="1"/>
      <w:numFmt w:val="lowerRoman"/>
      <w:lvlText w:val="%9."/>
      <w:lvlJc w:val="right"/>
      <w:pPr>
        <w:ind w:left="4297" w:hanging="480"/>
      </w:pPr>
    </w:lvl>
  </w:abstractNum>
  <w:abstractNum w:abstractNumId="17">
    <w:nsid w:val="4CEE0DDF"/>
    <w:multiLevelType w:val="hybridMultilevel"/>
    <w:tmpl w:val="A3546CF4"/>
    <w:lvl w:ilvl="0" w:tplc="3202FE3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21A6CCB"/>
    <w:multiLevelType w:val="hybridMultilevel"/>
    <w:tmpl w:val="061A7832"/>
    <w:lvl w:ilvl="0" w:tplc="F1A026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2411085"/>
    <w:multiLevelType w:val="hybridMultilevel"/>
    <w:tmpl w:val="06869162"/>
    <w:lvl w:ilvl="0" w:tplc="6C92759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07D4755"/>
    <w:multiLevelType w:val="hybridMultilevel"/>
    <w:tmpl w:val="A104C608"/>
    <w:lvl w:ilvl="0" w:tplc="53B8538E">
      <w:start w:val="1"/>
      <w:numFmt w:val="taiwaneseCountingThousand"/>
      <w:lvlText w:val="%1、"/>
      <w:lvlJc w:val="left"/>
      <w:pPr>
        <w:tabs>
          <w:tab w:val="num" w:pos="540"/>
        </w:tabs>
        <w:ind w:left="5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0"/>
  </w:num>
  <w:num w:numId="3">
    <w:abstractNumId w:val="9"/>
  </w:num>
  <w:num w:numId="4">
    <w:abstractNumId w:val="10"/>
  </w:num>
  <w:num w:numId="5">
    <w:abstractNumId w:val="3"/>
  </w:num>
  <w:num w:numId="6">
    <w:abstractNumId w:val="16"/>
  </w:num>
  <w:num w:numId="7">
    <w:abstractNumId w:val="1"/>
  </w:num>
  <w:num w:numId="8">
    <w:abstractNumId w:val="5"/>
  </w:num>
  <w:num w:numId="9">
    <w:abstractNumId w:val="11"/>
  </w:num>
  <w:num w:numId="10">
    <w:abstractNumId w:val="13"/>
  </w:num>
  <w:num w:numId="11">
    <w:abstractNumId w:val="4"/>
  </w:num>
  <w:num w:numId="12">
    <w:abstractNumId w:val="8"/>
  </w:num>
  <w:num w:numId="13">
    <w:abstractNumId w:val="14"/>
  </w:num>
  <w:num w:numId="14">
    <w:abstractNumId w:val="18"/>
  </w:num>
  <w:num w:numId="15">
    <w:abstractNumId w:val="19"/>
  </w:num>
  <w:num w:numId="16">
    <w:abstractNumId w:val="17"/>
  </w:num>
  <w:num w:numId="17">
    <w:abstractNumId w:val="12"/>
  </w:num>
  <w:num w:numId="18">
    <w:abstractNumId w:val="7"/>
  </w:num>
  <w:num w:numId="19">
    <w:abstractNumId w:val="6"/>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C5"/>
    <w:rsid w:val="00002AB9"/>
    <w:rsid w:val="00031DA2"/>
    <w:rsid w:val="00040E98"/>
    <w:rsid w:val="000666AE"/>
    <w:rsid w:val="00072431"/>
    <w:rsid w:val="00075261"/>
    <w:rsid w:val="000A4330"/>
    <w:rsid w:val="000A5683"/>
    <w:rsid w:val="00103F91"/>
    <w:rsid w:val="001053CE"/>
    <w:rsid w:val="00105918"/>
    <w:rsid w:val="001313D6"/>
    <w:rsid w:val="001421EF"/>
    <w:rsid w:val="00147089"/>
    <w:rsid w:val="00150452"/>
    <w:rsid w:val="00153611"/>
    <w:rsid w:val="00156760"/>
    <w:rsid w:val="00182F46"/>
    <w:rsid w:val="0018457F"/>
    <w:rsid w:val="001A4ABB"/>
    <w:rsid w:val="001B1206"/>
    <w:rsid w:val="001D46A7"/>
    <w:rsid w:val="001D514E"/>
    <w:rsid w:val="001E7590"/>
    <w:rsid w:val="00206018"/>
    <w:rsid w:val="00223214"/>
    <w:rsid w:val="00227768"/>
    <w:rsid w:val="00235A70"/>
    <w:rsid w:val="00243ABA"/>
    <w:rsid w:val="00255A17"/>
    <w:rsid w:val="0026465C"/>
    <w:rsid w:val="00270C4C"/>
    <w:rsid w:val="00291681"/>
    <w:rsid w:val="002923BA"/>
    <w:rsid w:val="002A4AD5"/>
    <w:rsid w:val="002B22C3"/>
    <w:rsid w:val="002D5042"/>
    <w:rsid w:val="002D68ED"/>
    <w:rsid w:val="002E4E5C"/>
    <w:rsid w:val="002E635F"/>
    <w:rsid w:val="002E75B7"/>
    <w:rsid w:val="003070AD"/>
    <w:rsid w:val="003113F5"/>
    <w:rsid w:val="00311400"/>
    <w:rsid w:val="003620AB"/>
    <w:rsid w:val="00367876"/>
    <w:rsid w:val="0038100F"/>
    <w:rsid w:val="003841B2"/>
    <w:rsid w:val="003865CC"/>
    <w:rsid w:val="003A2A58"/>
    <w:rsid w:val="003E03A6"/>
    <w:rsid w:val="004127AF"/>
    <w:rsid w:val="004157C9"/>
    <w:rsid w:val="00420F95"/>
    <w:rsid w:val="00426608"/>
    <w:rsid w:val="004307DF"/>
    <w:rsid w:val="00440F3F"/>
    <w:rsid w:val="004411A4"/>
    <w:rsid w:val="00441293"/>
    <w:rsid w:val="00444F5B"/>
    <w:rsid w:val="004455CC"/>
    <w:rsid w:val="004477AB"/>
    <w:rsid w:val="00456218"/>
    <w:rsid w:val="0045692D"/>
    <w:rsid w:val="00460E66"/>
    <w:rsid w:val="004642A3"/>
    <w:rsid w:val="004646BA"/>
    <w:rsid w:val="0049160A"/>
    <w:rsid w:val="004931E1"/>
    <w:rsid w:val="004A37F7"/>
    <w:rsid w:val="004A67F1"/>
    <w:rsid w:val="004A6B91"/>
    <w:rsid w:val="004B164F"/>
    <w:rsid w:val="004B74B1"/>
    <w:rsid w:val="004C35CC"/>
    <w:rsid w:val="004D1C84"/>
    <w:rsid w:val="004D2546"/>
    <w:rsid w:val="004E24F2"/>
    <w:rsid w:val="004E2904"/>
    <w:rsid w:val="00506790"/>
    <w:rsid w:val="00525E18"/>
    <w:rsid w:val="00534867"/>
    <w:rsid w:val="00537418"/>
    <w:rsid w:val="005420BD"/>
    <w:rsid w:val="00544E36"/>
    <w:rsid w:val="00564819"/>
    <w:rsid w:val="005721BD"/>
    <w:rsid w:val="005979FE"/>
    <w:rsid w:val="005E1173"/>
    <w:rsid w:val="00600121"/>
    <w:rsid w:val="0060287F"/>
    <w:rsid w:val="006035D1"/>
    <w:rsid w:val="00613F75"/>
    <w:rsid w:val="00613F7A"/>
    <w:rsid w:val="006177BF"/>
    <w:rsid w:val="00617DA1"/>
    <w:rsid w:val="00643918"/>
    <w:rsid w:val="00644B83"/>
    <w:rsid w:val="00664666"/>
    <w:rsid w:val="00680921"/>
    <w:rsid w:val="00683673"/>
    <w:rsid w:val="00690C79"/>
    <w:rsid w:val="006A622C"/>
    <w:rsid w:val="006B026F"/>
    <w:rsid w:val="006B1933"/>
    <w:rsid w:val="006B4665"/>
    <w:rsid w:val="006C1EE7"/>
    <w:rsid w:val="006C3D3D"/>
    <w:rsid w:val="006C7506"/>
    <w:rsid w:val="006E0A00"/>
    <w:rsid w:val="006E711B"/>
    <w:rsid w:val="006F0A8B"/>
    <w:rsid w:val="00710E7C"/>
    <w:rsid w:val="007216C0"/>
    <w:rsid w:val="007350EC"/>
    <w:rsid w:val="0079450E"/>
    <w:rsid w:val="00796BC1"/>
    <w:rsid w:val="007A4D86"/>
    <w:rsid w:val="007B1EE8"/>
    <w:rsid w:val="007B3CD6"/>
    <w:rsid w:val="007B5738"/>
    <w:rsid w:val="007C7649"/>
    <w:rsid w:val="007F0C46"/>
    <w:rsid w:val="00806B7F"/>
    <w:rsid w:val="00823D81"/>
    <w:rsid w:val="00832FC5"/>
    <w:rsid w:val="0084383F"/>
    <w:rsid w:val="00847AA7"/>
    <w:rsid w:val="00862D53"/>
    <w:rsid w:val="00864037"/>
    <w:rsid w:val="008827D4"/>
    <w:rsid w:val="0088708E"/>
    <w:rsid w:val="008A0400"/>
    <w:rsid w:val="008A0F3F"/>
    <w:rsid w:val="008A50F8"/>
    <w:rsid w:val="008B2BA4"/>
    <w:rsid w:val="008C22A9"/>
    <w:rsid w:val="00914D61"/>
    <w:rsid w:val="00917AF0"/>
    <w:rsid w:val="0093793F"/>
    <w:rsid w:val="0094267F"/>
    <w:rsid w:val="00973626"/>
    <w:rsid w:val="00982DA8"/>
    <w:rsid w:val="00984183"/>
    <w:rsid w:val="009938B7"/>
    <w:rsid w:val="009B222B"/>
    <w:rsid w:val="009C2FC3"/>
    <w:rsid w:val="009D45A5"/>
    <w:rsid w:val="009E0EC1"/>
    <w:rsid w:val="009E740A"/>
    <w:rsid w:val="009F2DA5"/>
    <w:rsid w:val="009F35CA"/>
    <w:rsid w:val="00A200D9"/>
    <w:rsid w:val="00A36BC4"/>
    <w:rsid w:val="00A37700"/>
    <w:rsid w:val="00A70254"/>
    <w:rsid w:val="00A73747"/>
    <w:rsid w:val="00A76A32"/>
    <w:rsid w:val="00A770EF"/>
    <w:rsid w:val="00AB338B"/>
    <w:rsid w:val="00AB3790"/>
    <w:rsid w:val="00AC2BE9"/>
    <w:rsid w:val="00AD1680"/>
    <w:rsid w:val="00AD6017"/>
    <w:rsid w:val="00AF0C59"/>
    <w:rsid w:val="00AF7383"/>
    <w:rsid w:val="00B02311"/>
    <w:rsid w:val="00B14A8A"/>
    <w:rsid w:val="00B32DC0"/>
    <w:rsid w:val="00B43D25"/>
    <w:rsid w:val="00B45A6A"/>
    <w:rsid w:val="00B84DDE"/>
    <w:rsid w:val="00B961FD"/>
    <w:rsid w:val="00BA0A77"/>
    <w:rsid w:val="00BC4A0A"/>
    <w:rsid w:val="00BE7214"/>
    <w:rsid w:val="00BF4B5A"/>
    <w:rsid w:val="00BF6D20"/>
    <w:rsid w:val="00BF7E85"/>
    <w:rsid w:val="00C12FDF"/>
    <w:rsid w:val="00C137FE"/>
    <w:rsid w:val="00C30C50"/>
    <w:rsid w:val="00C5452A"/>
    <w:rsid w:val="00C67B65"/>
    <w:rsid w:val="00C7475B"/>
    <w:rsid w:val="00C75ED1"/>
    <w:rsid w:val="00C83765"/>
    <w:rsid w:val="00CB3B0C"/>
    <w:rsid w:val="00CB5CE1"/>
    <w:rsid w:val="00CD2815"/>
    <w:rsid w:val="00CD7C65"/>
    <w:rsid w:val="00CE6099"/>
    <w:rsid w:val="00D24F91"/>
    <w:rsid w:val="00D4530F"/>
    <w:rsid w:val="00D50309"/>
    <w:rsid w:val="00D862B5"/>
    <w:rsid w:val="00DC41E0"/>
    <w:rsid w:val="00DD16E0"/>
    <w:rsid w:val="00DD7A89"/>
    <w:rsid w:val="00DE66B5"/>
    <w:rsid w:val="00DF306C"/>
    <w:rsid w:val="00E06A4B"/>
    <w:rsid w:val="00E147AA"/>
    <w:rsid w:val="00E148D1"/>
    <w:rsid w:val="00E24E57"/>
    <w:rsid w:val="00E27C06"/>
    <w:rsid w:val="00E403E9"/>
    <w:rsid w:val="00E44A94"/>
    <w:rsid w:val="00E4789D"/>
    <w:rsid w:val="00E51119"/>
    <w:rsid w:val="00E53D08"/>
    <w:rsid w:val="00E63840"/>
    <w:rsid w:val="00E67710"/>
    <w:rsid w:val="00E6781D"/>
    <w:rsid w:val="00E82C99"/>
    <w:rsid w:val="00EC7BE0"/>
    <w:rsid w:val="00EE002F"/>
    <w:rsid w:val="00F06138"/>
    <w:rsid w:val="00F14FB7"/>
    <w:rsid w:val="00F2095A"/>
    <w:rsid w:val="00F23637"/>
    <w:rsid w:val="00F27D29"/>
    <w:rsid w:val="00F517CA"/>
    <w:rsid w:val="00F56BFE"/>
    <w:rsid w:val="00FA5F00"/>
    <w:rsid w:val="00FA6E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60F4AA-584B-42C9-A659-BA8286DC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2A9"/>
    <w:pPr>
      <w:widowControl w:val="0"/>
      <w:spacing w:line="240" w:lineRule="auto"/>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rsid w:val="00832FC5"/>
    <w:pPr>
      <w:jc w:val="both"/>
    </w:pPr>
    <w:rPr>
      <w:rFonts w:eastAsia="標楷體"/>
      <w:snapToGrid w:val="0"/>
      <w:szCs w:val="24"/>
    </w:rPr>
  </w:style>
  <w:style w:type="character" w:customStyle="1" w:styleId="30">
    <w:name w:val="本文 3 字元"/>
    <w:basedOn w:val="a0"/>
    <w:link w:val="3"/>
    <w:semiHidden/>
    <w:rsid w:val="00832FC5"/>
    <w:rPr>
      <w:rFonts w:ascii="Times New Roman" w:eastAsia="標楷體" w:hAnsi="Times New Roman" w:cs="Times New Roman"/>
      <w:snapToGrid w:val="0"/>
      <w:szCs w:val="24"/>
    </w:rPr>
  </w:style>
  <w:style w:type="paragraph" w:styleId="a3">
    <w:name w:val="List Paragraph"/>
    <w:basedOn w:val="a"/>
    <w:uiPriority w:val="34"/>
    <w:qFormat/>
    <w:rsid w:val="004931E1"/>
    <w:pPr>
      <w:ind w:leftChars="200" w:left="480"/>
    </w:pPr>
  </w:style>
  <w:style w:type="paragraph" w:styleId="a4">
    <w:name w:val="header"/>
    <w:basedOn w:val="a"/>
    <w:link w:val="a5"/>
    <w:uiPriority w:val="99"/>
    <w:unhideWhenUsed/>
    <w:rsid w:val="00F06138"/>
    <w:pPr>
      <w:tabs>
        <w:tab w:val="center" w:pos="4153"/>
        <w:tab w:val="right" w:pos="8306"/>
      </w:tabs>
      <w:snapToGrid w:val="0"/>
    </w:pPr>
    <w:rPr>
      <w:sz w:val="20"/>
    </w:rPr>
  </w:style>
  <w:style w:type="character" w:customStyle="1" w:styleId="a5">
    <w:name w:val="頁首 字元"/>
    <w:basedOn w:val="a0"/>
    <w:link w:val="a4"/>
    <w:uiPriority w:val="99"/>
    <w:rsid w:val="00F06138"/>
    <w:rPr>
      <w:rFonts w:ascii="Times New Roman" w:eastAsia="新細明體" w:hAnsi="Times New Roman" w:cs="Times New Roman"/>
      <w:sz w:val="20"/>
      <w:szCs w:val="20"/>
    </w:rPr>
  </w:style>
  <w:style w:type="paragraph" w:styleId="a6">
    <w:name w:val="footer"/>
    <w:basedOn w:val="a"/>
    <w:link w:val="a7"/>
    <w:uiPriority w:val="99"/>
    <w:unhideWhenUsed/>
    <w:rsid w:val="00F06138"/>
    <w:pPr>
      <w:tabs>
        <w:tab w:val="center" w:pos="4153"/>
        <w:tab w:val="right" w:pos="8306"/>
      </w:tabs>
      <w:snapToGrid w:val="0"/>
    </w:pPr>
    <w:rPr>
      <w:sz w:val="20"/>
    </w:rPr>
  </w:style>
  <w:style w:type="character" w:customStyle="1" w:styleId="a7">
    <w:name w:val="頁尾 字元"/>
    <w:basedOn w:val="a0"/>
    <w:link w:val="a6"/>
    <w:uiPriority w:val="99"/>
    <w:rsid w:val="00F06138"/>
    <w:rPr>
      <w:rFonts w:ascii="Times New Roman" w:eastAsia="新細明體" w:hAnsi="Times New Roman" w:cs="Times New Roman"/>
      <w:sz w:val="20"/>
      <w:szCs w:val="20"/>
    </w:rPr>
  </w:style>
  <w:style w:type="paragraph" w:styleId="a8">
    <w:name w:val="Balloon Text"/>
    <w:basedOn w:val="a"/>
    <w:link w:val="a9"/>
    <w:uiPriority w:val="99"/>
    <w:semiHidden/>
    <w:unhideWhenUsed/>
    <w:rsid w:val="00B84DD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84DDE"/>
    <w:rPr>
      <w:rFonts w:asciiTheme="majorHAnsi" w:eastAsiaTheme="majorEastAsia" w:hAnsiTheme="majorHAnsi" w:cstheme="majorBidi"/>
      <w:sz w:val="18"/>
      <w:szCs w:val="18"/>
    </w:rPr>
  </w:style>
  <w:style w:type="paragraph" w:customStyle="1" w:styleId="aa">
    <w:name w:val="公文(後續段落)"/>
    <w:basedOn w:val="a"/>
    <w:rsid w:val="00AB3790"/>
    <w:pPr>
      <w:spacing w:line="500" w:lineRule="exact"/>
      <w:ind w:left="317"/>
    </w:pPr>
    <w:rPr>
      <w:rFonts w:eastAsia="標楷體"/>
      <w:sz w:val="32"/>
      <w:szCs w:val="24"/>
    </w:rPr>
  </w:style>
  <w:style w:type="paragraph" w:styleId="2">
    <w:name w:val="List 2"/>
    <w:basedOn w:val="a"/>
    <w:autoRedefine/>
    <w:rsid w:val="0084383F"/>
    <w:pPr>
      <w:tabs>
        <w:tab w:val="left" w:pos="720"/>
      </w:tabs>
      <w:ind w:left="720" w:hanging="539"/>
    </w:pPr>
    <w:rPr>
      <w:color w:val="0000FF"/>
      <w:szCs w:val="24"/>
    </w:rPr>
  </w:style>
  <w:style w:type="paragraph" w:styleId="HTML">
    <w:name w:val="HTML Preformatted"/>
    <w:basedOn w:val="a"/>
    <w:link w:val="HTML0"/>
    <w:semiHidden/>
    <w:unhideWhenUsed/>
    <w:rsid w:val="003070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rPr>
  </w:style>
  <w:style w:type="character" w:customStyle="1" w:styleId="HTML0">
    <w:name w:val="HTML 預設格式 字元"/>
    <w:basedOn w:val="a0"/>
    <w:link w:val="HTML"/>
    <w:semiHidden/>
    <w:rsid w:val="003070AD"/>
    <w:rPr>
      <w:rFonts w:ascii="Arial Unicode MS" w:eastAsia="Arial Unicode MS" w:hAnsi="Arial Unicode MS" w:cs="Arial Unicode MS"/>
      <w:color w:val="333333"/>
      <w:kern w:val="0"/>
      <w:sz w:val="20"/>
      <w:szCs w:val="20"/>
    </w:rPr>
  </w:style>
  <w:style w:type="table" w:styleId="ab">
    <w:name w:val="Table Grid"/>
    <w:basedOn w:val="a1"/>
    <w:uiPriority w:val="59"/>
    <w:rsid w:val="00823D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863745">
      <w:bodyDiv w:val="1"/>
      <w:marLeft w:val="0"/>
      <w:marRight w:val="0"/>
      <w:marTop w:val="0"/>
      <w:marBottom w:val="0"/>
      <w:divBdr>
        <w:top w:val="none" w:sz="0" w:space="0" w:color="auto"/>
        <w:left w:val="none" w:sz="0" w:space="0" w:color="auto"/>
        <w:bottom w:val="none" w:sz="0" w:space="0" w:color="auto"/>
        <w:right w:val="none" w:sz="0" w:space="0" w:color="auto"/>
      </w:divBdr>
    </w:div>
    <w:div w:id="1933392340">
      <w:bodyDiv w:val="1"/>
      <w:marLeft w:val="0"/>
      <w:marRight w:val="0"/>
      <w:marTop w:val="0"/>
      <w:marBottom w:val="0"/>
      <w:divBdr>
        <w:top w:val="none" w:sz="0" w:space="0" w:color="auto"/>
        <w:left w:val="none" w:sz="0" w:space="0" w:color="auto"/>
        <w:bottom w:val="none" w:sz="0" w:space="0" w:color="auto"/>
        <w:right w:val="none" w:sz="0" w:space="0" w:color="auto"/>
      </w:divBdr>
    </w:div>
    <w:div w:id="20509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CC483-B9D8-4C9E-88ED-AA1F3810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鄧淑芬</cp:lastModifiedBy>
  <cp:revision>3</cp:revision>
  <cp:lastPrinted>2012-07-25T02:30:00Z</cp:lastPrinted>
  <dcterms:created xsi:type="dcterms:W3CDTF">2015-03-02T02:17:00Z</dcterms:created>
  <dcterms:modified xsi:type="dcterms:W3CDTF">2015-03-02T02:18:00Z</dcterms:modified>
</cp:coreProperties>
</file>