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FC5" w:rsidRPr="000C5495" w:rsidRDefault="00E403E9" w:rsidP="00832FC5">
      <w:pPr>
        <w:pStyle w:val="3"/>
        <w:adjustRightInd w:val="0"/>
        <w:snapToGrid w:val="0"/>
        <w:rPr>
          <w:b/>
          <w:bCs/>
          <w:sz w:val="36"/>
        </w:rPr>
      </w:pPr>
      <w:r w:rsidRPr="000C5495">
        <w:rPr>
          <w:rFonts w:hint="eastAsia"/>
          <w:b/>
          <w:sz w:val="36"/>
          <w:szCs w:val="36"/>
        </w:rPr>
        <w:t>財團法人中華民國證券櫃檯買賣中心</w:t>
      </w:r>
      <w:r w:rsidR="006E711B" w:rsidRPr="000C5495">
        <w:rPr>
          <w:rFonts w:hint="eastAsia"/>
          <w:b/>
          <w:sz w:val="36"/>
          <w:szCs w:val="36"/>
        </w:rPr>
        <w:t>槓桿交易商</w:t>
      </w:r>
      <w:r w:rsidRPr="000C5495">
        <w:rPr>
          <w:rFonts w:hint="eastAsia"/>
          <w:b/>
          <w:sz w:val="36"/>
          <w:szCs w:val="36"/>
        </w:rPr>
        <w:t>辦理</w:t>
      </w:r>
      <w:r w:rsidR="006E711B" w:rsidRPr="000C5495">
        <w:rPr>
          <w:rFonts w:hint="eastAsia"/>
          <w:b/>
          <w:sz w:val="36"/>
          <w:szCs w:val="36"/>
        </w:rPr>
        <w:t>槓桿保證金契約</w:t>
      </w:r>
      <w:r w:rsidRPr="000C5495">
        <w:rPr>
          <w:rFonts w:hint="eastAsia"/>
          <w:b/>
          <w:sz w:val="36"/>
          <w:szCs w:val="36"/>
        </w:rPr>
        <w:t>交易業務應注意事項</w:t>
      </w:r>
    </w:p>
    <w:p w:rsidR="006F2BDF" w:rsidRPr="000C5495" w:rsidRDefault="00682A51" w:rsidP="006F2BDF">
      <w:pPr>
        <w:pStyle w:val="3"/>
        <w:adjustRightInd w:val="0"/>
        <w:snapToGrid w:val="0"/>
        <w:jc w:val="right"/>
        <w:rPr>
          <w:b/>
          <w:bCs/>
          <w:sz w:val="36"/>
        </w:rPr>
      </w:pPr>
      <w:r w:rsidRPr="000C5495">
        <w:rPr>
          <w:rFonts w:hint="eastAsia"/>
          <w:sz w:val="20"/>
          <w:szCs w:val="20"/>
        </w:rPr>
        <w:t>金融監督管理委員會</w:t>
      </w:r>
      <w:r w:rsidRPr="000C5495">
        <w:rPr>
          <w:rFonts w:hint="eastAsia"/>
          <w:sz w:val="20"/>
          <w:szCs w:val="20"/>
        </w:rPr>
        <w:t>10</w:t>
      </w:r>
      <w:r w:rsidR="006F2A33">
        <w:rPr>
          <w:rFonts w:hint="eastAsia"/>
          <w:sz w:val="20"/>
          <w:szCs w:val="20"/>
        </w:rPr>
        <w:t>7</w:t>
      </w:r>
      <w:r w:rsidRPr="000C5495">
        <w:rPr>
          <w:rFonts w:hint="eastAsia"/>
          <w:sz w:val="20"/>
          <w:szCs w:val="20"/>
        </w:rPr>
        <w:t>年</w:t>
      </w:r>
      <w:r w:rsidR="006F2A33">
        <w:rPr>
          <w:rFonts w:hint="eastAsia"/>
          <w:sz w:val="20"/>
          <w:szCs w:val="20"/>
        </w:rPr>
        <w:t>12</w:t>
      </w:r>
      <w:r w:rsidRPr="000C5495">
        <w:rPr>
          <w:rFonts w:hint="eastAsia"/>
          <w:sz w:val="20"/>
          <w:szCs w:val="20"/>
        </w:rPr>
        <w:t>月</w:t>
      </w:r>
      <w:r w:rsidR="006F2A33">
        <w:rPr>
          <w:rFonts w:hint="eastAsia"/>
          <w:sz w:val="20"/>
          <w:szCs w:val="20"/>
        </w:rPr>
        <w:t>12</w:t>
      </w:r>
      <w:r w:rsidRPr="000C5495">
        <w:rPr>
          <w:rFonts w:hint="eastAsia"/>
          <w:sz w:val="20"/>
          <w:szCs w:val="20"/>
        </w:rPr>
        <w:t>日金</w:t>
      </w:r>
      <w:proofErr w:type="gramStart"/>
      <w:r w:rsidRPr="000C5495">
        <w:rPr>
          <w:rFonts w:hint="eastAsia"/>
          <w:sz w:val="20"/>
          <w:szCs w:val="20"/>
        </w:rPr>
        <w:t>管證</w:t>
      </w:r>
      <w:r w:rsidR="006F2A33">
        <w:rPr>
          <w:rFonts w:hint="eastAsia"/>
          <w:sz w:val="20"/>
          <w:szCs w:val="20"/>
        </w:rPr>
        <w:t>期</w:t>
      </w:r>
      <w:r w:rsidRPr="000C5495">
        <w:rPr>
          <w:rFonts w:hint="eastAsia"/>
          <w:sz w:val="20"/>
          <w:szCs w:val="20"/>
        </w:rPr>
        <w:t>字</w:t>
      </w:r>
      <w:proofErr w:type="gramEnd"/>
      <w:r w:rsidRPr="000C5495">
        <w:rPr>
          <w:rFonts w:hint="eastAsia"/>
          <w:sz w:val="20"/>
          <w:szCs w:val="20"/>
        </w:rPr>
        <w:t>第</w:t>
      </w:r>
      <w:r w:rsidR="006F2A33">
        <w:rPr>
          <w:rFonts w:hint="eastAsia"/>
          <w:sz w:val="20"/>
          <w:szCs w:val="20"/>
        </w:rPr>
        <w:t>1070116510</w:t>
      </w:r>
      <w:r w:rsidRPr="000C5495">
        <w:rPr>
          <w:rFonts w:hint="eastAsia"/>
          <w:sz w:val="20"/>
          <w:szCs w:val="20"/>
        </w:rPr>
        <w:t>號函准予備查</w:t>
      </w:r>
    </w:p>
    <w:tbl>
      <w:tblPr>
        <w:tblW w:w="9918" w:type="dxa"/>
        <w:tblCellMar>
          <w:left w:w="28" w:type="dxa"/>
          <w:right w:w="28" w:type="dxa"/>
        </w:tblCellMar>
        <w:tblLook w:val="0000" w:firstRow="0" w:lastRow="0" w:firstColumn="0" w:lastColumn="0" w:noHBand="0" w:noVBand="0"/>
      </w:tblPr>
      <w:tblGrid>
        <w:gridCol w:w="9918"/>
      </w:tblGrid>
      <w:tr w:rsidR="004C2146" w:rsidRPr="000C5495" w:rsidTr="004C2146">
        <w:trPr>
          <w:trHeight w:val="535"/>
          <w:tblHeader/>
        </w:trPr>
        <w:tc>
          <w:tcPr>
            <w:tcW w:w="9918" w:type="dxa"/>
          </w:tcPr>
          <w:p w:rsidR="004C2146" w:rsidRPr="000C5495" w:rsidRDefault="004C2146" w:rsidP="00B45A6B">
            <w:pPr>
              <w:adjustRightInd w:val="0"/>
              <w:snapToGrid w:val="0"/>
              <w:jc w:val="center"/>
              <w:rPr>
                <w:rFonts w:eastAsia="標楷體"/>
                <w:b/>
                <w:bCs/>
                <w:snapToGrid w:val="0"/>
                <w:sz w:val="28"/>
                <w:szCs w:val="28"/>
              </w:rPr>
            </w:pPr>
          </w:p>
        </w:tc>
      </w:tr>
      <w:tr w:rsidR="004C2146" w:rsidRPr="000C5495" w:rsidTr="004C2146">
        <w:trPr>
          <w:trHeight w:val="535"/>
        </w:trPr>
        <w:tc>
          <w:tcPr>
            <w:tcW w:w="9918" w:type="dxa"/>
          </w:tcPr>
          <w:p w:rsidR="004C2146" w:rsidRPr="000C5495" w:rsidRDefault="004C2146" w:rsidP="00B45A6B">
            <w:pPr>
              <w:pStyle w:val="aa"/>
              <w:kinsoku w:val="0"/>
              <w:adjustRightInd w:val="0"/>
              <w:snapToGrid w:val="0"/>
              <w:spacing w:line="300" w:lineRule="auto"/>
              <w:ind w:left="0"/>
              <w:jc w:val="both"/>
              <w:rPr>
                <w:b/>
                <w:sz w:val="28"/>
                <w:szCs w:val="28"/>
              </w:rPr>
            </w:pPr>
            <w:r w:rsidRPr="000C5495">
              <w:rPr>
                <w:rFonts w:hint="eastAsia"/>
                <w:b/>
                <w:sz w:val="28"/>
                <w:szCs w:val="28"/>
              </w:rPr>
              <w:t>第一章</w:t>
            </w:r>
            <w:r w:rsidRPr="000C5495">
              <w:rPr>
                <w:rFonts w:hint="eastAsia"/>
                <w:b/>
                <w:sz w:val="28"/>
                <w:szCs w:val="28"/>
              </w:rPr>
              <w:t xml:space="preserve">  </w:t>
            </w:r>
            <w:r w:rsidRPr="000C5495">
              <w:rPr>
                <w:rFonts w:hint="eastAsia"/>
                <w:b/>
                <w:sz w:val="28"/>
                <w:szCs w:val="28"/>
              </w:rPr>
              <w:t>總則</w:t>
            </w:r>
          </w:p>
        </w:tc>
      </w:tr>
      <w:tr w:rsidR="004C2146" w:rsidRPr="000C5495" w:rsidTr="004C2146">
        <w:trPr>
          <w:trHeight w:val="535"/>
        </w:trPr>
        <w:tc>
          <w:tcPr>
            <w:tcW w:w="9918" w:type="dxa"/>
          </w:tcPr>
          <w:p w:rsidR="00B45A6B" w:rsidRPr="000C5495" w:rsidRDefault="00B45A6B" w:rsidP="00B45A6B">
            <w:pPr>
              <w:pStyle w:val="aa"/>
              <w:kinsoku w:val="0"/>
              <w:adjustRightInd w:val="0"/>
              <w:snapToGrid w:val="0"/>
              <w:spacing w:line="300" w:lineRule="auto"/>
              <w:ind w:left="0"/>
              <w:jc w:val="both"/>
              <w:rPr>
                <w:sz w:val="24"/>
              </w:rPr>
            </w:pPr>
            <w:r w:rsidRPr="000C5495">
              <w:rPr>
                <w:rFonts w:hint="eastAsia"/>
                <w:sz w:val="24"/>
              </w:rPr>
              <w:t>第一條</w:t>
            </w:r>
          </w:p>
          <w:p w:rsidR="004C2146" w:rsidRPr="000C5495" w:rsidRDefault="00B45A6B" w:rsidP="00B45A6B">
            <w:pPr>
              <w:pStyle w:val="aa"/>
              <w:kinsoku w:val="0"/>
              <w:adjustRightInd w:val="0"/>
              <w:snapToGrid w:val="0"/>
              <w:spacing w:line="300" w:lineRule="auto"/>
              <w:ind w:left="0" w:firstLineChars="200" w:firstLine="480"/>
              <w:jc w:val="both"/>
              <w:rPr>
                <w:sz w:val="24"/>
              </w:rPr>
            </w:pPr>
            <w:r w:rsidRPr="000C5495">
              <w:rPr>
                <w:rFonts w:hint="eastAsia"/>
                <w:sz w:val="24"/>
              </w:rPr>
              <w:t>本注意事項依據本中心槓桿交易商經營槓桿保證金契約交易業務規則</w:t>
            </w:r>
            <w:proofErr w:type="gramStart"/>
            <w:r w:rsidRPr="000C5495">
              <w:rPr>
                <w:rFonts w:hint="eastAsia"/>
                <w:sz w:val="24"/>
              </w:rPr>
              <w:t>（</w:t>
            </w:r>
            <w:proofErr w:type="gramEnd"/>
            <w:r w:rsidRPr="000C5495">
              <w:rPr>
                <w:rFonts w:hint="eastAsia"/>
                <w:sz w:val="24"/>
              </w:rPr>
              <w:t>下稱「業務規則」</w:t>
            </w:r>
            <w:r w:rsidRPr="000C5495">
              <w:rPr>
                <w:rFonts w:hint="eastAsia"/>
                <w:sz w:val="24"/>
              </w:rPr>
              <w:t>)</w:t>
            </w:r>
            <w:r w:rsidRPr="000C5495">
              <w:rPr>
                <w:rFonts w:hint="eastAsia"/>
                <w:sz w:val="24"/>
              </w:rPr>
              <w:t>第十七條第八項、第二十三條第二項及第五十五條規定訂定。</w:t>
            </w:r>
          </w:p>
          <w:p w:rsidR="004C2146" w:rsidRPr="000C5495" w:rsidRDefault="004C2146" w:rsidP="00A217B7">
            <w:pPr>
              <w:pStyle w:val="aa"/>
              <w:kinsoku w:val="0"/>
              <w:adjustRightInd w:val="0"/>
              <w:snapToGrid w:val="0"/>
              <w:spacing w:line="300" w:lineRule="auto"/>
              <w:ind w:left="0" w:firstLineChars="200" w:firstLine="561"/>
              <w:jc w:val="both"/>
              <w:rPr>
                <w:b/>
                <w:sz w:val="28"/>
                <w:szCs w:val="28"/>
              </w:rPr>
            </w:pPr>
          </w:p>
        </w:tc>
      </w:tr>
      <w:tr w:rsidR="004C2146" w:rsidRPr="000C5495" w:rsidTr="004C2146">
        <w:trPr>
          <w:trHeight w:val="535"/>
        </w:trPr>
        <w:tc>
          <w:tcPr>
            <w:tcW w:w="9918" w:type="dxa"/>
          </w:tcPr>
          <w:p w:rsidR="004C2146" w:rsidRPr="000C5495" w:rsidRDefault="004C2146" w:rsidP="00B45A6B">
            <w:pPr>
              <w:pStyle w:val="aa"/>
              <w:kinsoku w:val="0"/>
              <w:adjustRightInd w:val="0"/>
              <w:snapToGrid w:val="0"/>
              <w:spacing w:line="300" w:lineRule="auto"/>
              <w:ind w:left="0"/>
              <w:jc w:val="both"/>
              <w:rPr>
                <w:sz w:val="24"/>
              </w:rPr>
            </w:pPr>
            <w:r w:rsidRPr="000C5495">
              <w:rPr>
                <w:rFonts w:hint="eastAsia"/>
                <w:sz w:val="24"/>
              </w:rPr>
              <w:t>第二條</w:t>
            </w:r>
          </w:p>
          <w:p w:rsidR="004C2146" w:rsidRPr="000C5495" w:rsidRDefault="004C2146" w:rsidP="00B45A6B">
            <w:pPr>
              <w:pStyle w:val="aa"/>
              <w:kinsoku w:val="0"/>
              <w:adjustRightInd w:val="0"/>
              <w:snapToGrid w:val="0"/>
              <w:spacing w:line="300" w:lineRule="auto"/>
              <w:ind w:left="0" w:firstLineChars="200" w:firstLine="480"/>
              <w:jc w:val="both"/>
              <w:rPr>
                <w:sz w:val="24"/>
              </w:rPr>
            </w:pPr>
            <w:r w:rsidRPr="000C5495">
              <w:rPr>
                <w:rFonts w:hint="eastAsia"/>
                <w:sz w:val="24"/>
              </w:rPr>
              <w:t>槓桿交易商辦理槓桿保證金契約交易業務，除法令或本中心業務</w:t>
            </w:r>
            <w:proofErr w:type="gramStart"/>
            <w:r w:rsidRPr="000C5495">
              <w:rPr>
                <w:rFonts w:hint="eastAsia"/>
                <w:sz w:val="24"/>
              </w:rPr>
              <w:t>規則另</w:t>
            </w:r>
            <w:proofErr w:type="gramEnd"/>
            <w:r w:rsidRPr="000C5495">
              <w:rPr>
                <w:rFonts w:hint="eastAsia"/>
                <w:sz w:val="24"/>
              </w:rPr>
              <w:t>有規定外，應依本注意事項之規定辦理。</w:t>
            </w:r>
          </w:p>
          <w:p w:rsidR="004C2146" w:rsidRPr="000C5495" w:rsidRDefault="004C2146" w:rsidP="00B45A6B">
            <w:pPr>
              <w:pStyle w:val="aa"/>
              <w:kinsoku w:val="0"/>
              <w:adjustRightInd w:val="0"/>
              <w:snapToGrid w:val="0"/>
              <w:spacing w:line="300" w:lineRule="auto"/>
              <w:ind w:left="0" w:firstLineChars="200" w:firstLine="480"/>
              <w:jc w:val="both"/>
              <w:rPr>
                <w:sz w:val="24"/>
              </w:rPr>
            </w:pPr>
          </w:p>
        </w:tc>
      </w:tr>
      <w:tr w:rsidR="004C2146" w:rsidRPr="000C5495" w:rsidTr="004C2146">
        <w:trPr>
          <w:trHeight w:val="535"/>
        </w:trPr>
        <w:tc>
          <w:tcPr>
            <w:tcW w:w="9918" w:type="dxa"/>
          </w:tcPr>
          <w:p w:rsidR="004C2146" w:rsidRPr="000C5495" w:rsidRDefault="004C2146" w:rsidP="00B45A6B">
            <w:pPr>
              <w:pStyle w:val="aa"/>
              <w:kinsoku w:val="0"/>
              <w:adjustRightInd w:val="0"/>
              <w:snapToGrid w:val="0"/>
              <w:spacing w:line="300" w:lineRule="auto"/>
              <w:ind w:left="0"/>
              <w:jc w:val="both"/>
              <w:rPr>
                <w:b/>
                <w:sz w:val="28"/>
                <w:szCs w:val="28"/>
              </w:rPr>
            </w:pPr>
            <w:r w:rsidRPr="000C5495">
              <w:rPr>
                <w:rFonts w:hint="eastAsia"/>
                <w:b/>
                <w:sz w:val="28"/>
                <w:szCs w:val="28"/>
              </w:rPr>
              <w:t>第二章</w:t>
            </w:r>
            <w:r w:rsidRPr="000C5495">
              <w:rPr>
                <w:rFonts w:hint="eastAsia"/>
                <w:b/>
                <w:sz w:val="28"/>
                <w:szCs w:val="28"/>
              </w:rPr>
              <w:t xml:space="preserve">  </w:t>
            </w:r>
            <w:r w:rsidRPr="000C5495">
              <w:rPr>
                <w:rFonts w:hint="eastAsia"/>
                <w:b/>
                <w:sz w:val="28"/>
                <w:szCs w:val="28"/>
              </w:rPr>
              <w:t>結構型商品之行銷過程控制</w:t>
            </w:r>
          </w:p>
        </w:tc>
      </w:tr>
      <w:tr w:rsidR="004C2146" w:rsidRPr="000C5495" w:rsidTr="004C2146">
        <w:trPr>
          <w:trHeight w:val="535"/>
        </w:trPr>
        <w:tc>
          <w:tcPr>
            <w:tcW w:w="9918" w:type="dxa"/>
          </w:tcPr>
          <w:p w:rsidR="004C2146" w:rsidRPr="000C5495" w:rsidRDefault="004C2146" w:rsidP="00B45A6B">
            <w:pPr>
              <w:pStyle w:val="aa"/>
              <w:kinsoku w:val="0"/>
              <w:adjustRightInd w:val="0"/>
              <w:snapToGrid w:val="0"/>
              <w:spacing w:line="300" w:lineRule="auto"/>
              <w:ind w:left="480" w:hangingChars="200" w:hanging="480"/>
              <w:jc w:val="both"/>
              <w:rPr>
                <w:sz w:val="24"/>
              </w:rPr>
            </w:pPr>
            <w:r w:rsidRPr="000C5495">
              <w:rPr>
                <w:rFonts w:hint="eastAsia"/>
                <w:sz w:val="24"/>
              </w:rPr>
              <w:t>第三條</w:t>
            </w:r>
          </w:p>
          <w:p w:rsidR="004C2146" w:rsidRPr="000C5495" w:rsidRDefault="004C2146" w:rsidP="00B45A6B">
            <w:pPr>
              <w:pStyle w:val="aa"/>
              <w:kinsoku w:val="0"/>
              <w:adjustRightInd w:val="0"/>
              <w:snapToGrid w:val="0"/>
              <w:spacing w:line="300" w:lineRule="auto"/>
              <w:ind w:left="0"/>
              <w:jc w:val="both"/>
              <w:rPr>
                <w:sz w:val="24"/>
              </w:rPr>
            </w:pPr>
            <w:r w:rsidRPr="000C5495">
              <w:rPr>
                <w:rFonts w:hint="eastAsia"/>
                <w:sz w:val="24"/>
              </w:rPr>
              <w:t xml:space="preserve">    </w:t>
            </w:r>
            <w:r w:rsidRPr="000C5495">
              <w:rPr>
                <w:rFonts w:hint="eastAsia"/>
                <w:sz w:val="24"/>
              </w:rPr>
              <w:t>槓桿交易商向一般客戶提供結構型商品交易服務，應進行下列行銷過程控制：</w:t>
            </w:r>
            <w:r w:rsidRPr="000C5495">
              <w:rPr>
                <w:rFonts w:hint="eastAsia"/>
                <w:sz w:val="24"/>
              </w:rPr>
              <w:t xml:space="preserve"> </w:t>
            </w:r>
          </w:p>
          <w:p w:rsidR="004C2146" w:rsidRPr="000C5495" w:rsidRDefault="004C2146" w:rsidP="004C2146">
            <w:pPr>
              <w:pStyle w:val="aa"/>
              <w:kinsoku w:val="0"/>
              <w:adjustRightInd w:val="0"/>
              <w:snapToGrid w:val="0"/>
              <w:spacing w:line="300" w:lineRule="auto"/>
              <w:ind w:leftChars="224" w:left="538"/>
              <w:jc w:val="both"/>
              <w:rPr>
                <w:sz w:val="24"/>
              </w:rPr>
            </w:pPr>
            <w:r w:rsidRPr="000C5495">
              <w:rPr>
                <w:rFonts w:hint="eastAsia"/>
                <w:sz w:val="24"/>
              </w:rPr>
              <w:t>一、提供產品說明書。</w:t>
            </w:r>
          </w:p>
          <w:p w:rsidR="004C2146" w:rsidRPr="000C5495" w:rsidRDefault="004C2146" w:rsidP="004C2146">
            <w:pPr>
              <w:pStyle w:val="aa"/>
              <w:kinsoku w:val="0"/>
              <w:adjustRightInd w:val="0"/>
              <w:snapToGrid w:val="0"/>
              <w:spacing w:line="300" w:lineRule="auto"/>
              <w:ind w:leftChars="224" w:left="538"/>
              <w:jc w:val="both"/>
              <w:rPr>
                <w:sz w:val="24"/>
              </w:rPr>
            </w:pPr>
            <w:r w:rsidRPr="000C5495">
              <w:rPr>
                <w:rFonts w:hint="eastAsia"/>
                <w:sz w:val="24"/>
              </w:rPr>
              <w:t>二、提供客戶須知。</w:t>
            </w:r>
          </w:p>
          <w:p w:rsidR="004C2146" w:rsidRPr="000C5495" w:rsidRDefault="004C2146" w:rsidP="004C2146">
            <w:pPr>
              <w:pStyle w:val="aa"/>
              <w:kinsoku w:val="0"/>
              <w:adjustRightInd w:val="0"/>
              <w:snapToGrid w:val="0"/>
              <w:spacing w:line="300" w:lineRule="auto"/>
              <w:ind w:leftChars="224" w:left="1018" w:hangingChars="200" w:hanging="480"/>
              <w:jc w:val="both"/>
              <w:rPr>
                <w:sz w:val="24"/>
              </w:rPr>
            </w:pPr>
            <w:r w:rsidRPr="000C5495">
              <w:rPr>
                <w:rFonts w:hint="eastAsia"/>
                <w:sz w:val="24"/>
              </w:rPr>
              <w:t>三、</w:t>
            </w:r>
            <w:r w:rsidR="00697E21" w:rsidRPr="000C5495">
              <w:rPr>
                <w:rFonts w:hint="eastAsia"/>
                <w:sz w:val="24"/>
              </w:rPr>
              <w:t>向客戶宣讀或以電子設備說明客戶須知之重要內容，並以錄音方式保留紀錄或以電子設備留存相關作業過程之軌跡。</w:t>
            </w:r>
          </w:p>
          <w:p w:rsidR="004C2146" w:rsidRPr="000C5495" w:rsidRDefault="004C2146" w:rsidP="00B45A6B">
            <w:pPr>
              <w:pStyle w:val="aa"/>
              <w:kinsoku w:val="0"/>
              <w:adjustRightInd w:val="0"/>
              <w:snapToGrid w:val="0"/>
              <w:spacing w:line="300" w:lineRule="auto"/>
              <w:ind w:left="0"/>
              <w:jc w:val="both"/>
              <w:rPr>
                <w:sz w:val="24"/>
              </w:rPr>
            </w:pPr>
            <w:r w:rsidRPr="000C5495">
              <w:rPr>
                <w:rFonts w:hint="eastAsia"/>
                <w:sz w:val="24"/>
              </w:rPr>
              <w:t xml:space="preserve">    </w:t>
            </w:r>
            <w:r w:rsidRPr="000C5495">
              <w:rPr>
                <w:rFonts w:hint="eastAsia"/>
                <w:sz w:val="24"/>
              </w:rPr>
              <w:t>槓桿交易商向客戶提供結構型商品交易服務，應向客戶充分揭露並明確告知各項費用與其收取方式、交易架構，及可能涉及之風險等相關資訊。</w:t>
            </w:r>
          </w:p>
          <w:p w:rsidR="004C2146" w:rsidRPr="000C5495" w:rsidRDefault="004C2146" w:rsidP="00B45A6B">
            <w:pPr>
              <w:pStyle w:val="aa"/>
              <w:kinsoku w:val="0"/>
              <w:adjustRightInd w:val="0"/>
              <w:snapToGrid w:val="0"/>
              <w:spacing w:line="300" w:lineRule="auto"/>
              <w:ind w:left="0" w:firstLineChars="200" w:firstLine="480"/>
              <w:jc w:val="both"/>
              <w:rPr>
                <w:sz w:val="24"/>
              </w:rPr>
            </w:pPr>
            <w:r w:rsidRPr="000C5495">
              <w:rPr>
                <w:rFonts w:hint="eastAsia"/>
                <w:sz w:val="24"/>
              </w:rPr>
              <w:t>前項應向客戶告知之各項費用與其收取方式及交易架構，應依本注意事項第四條至第八條規定於產品說明書中載明。</w:t>
            </w:r>
          </w:p>
          <w:p w:rsidR="004C2146" w:rsidRPr="000C5495" w:rsidRDefault="004C2146" w:rsidP="00B45A6B">
            <w:pPr>
              <w:pStyle w:val="aa"/>
              <w:kinsoku w:val="0"/>
              <w:adjustRightInd w:val="0"/>
              <w:snapToGrid w:val="0"/>
              <w:spacing w:line="300" w:lineRule="auto"/>
              <w:ind w:left="0" w:firstLineChars="200" w:firstLine="640"/>
              <w:jc w:val="both"/>
            </w:pPr>
          </w:p>
        </w:tc>
      </w:tr>
      <w:tr w:rsidR="004C2146" w:rsidRPr="000C5495" w:rsidTr="004C2146">
        <w:trPr>
          <w:trHeight w:val="535"/>
        </w:trPr>
        <w:tc>
          <w:tcPr>
            <w:tcW w:w="9918" w:type="dxa"/>
          </w:tcPr>
          <w:p w:rsidR="004C2146" w:rsidRPr="000C5495" w:rsidRDefault="004C2146" w:rsidP="00B45A6B">
            <w:pPr>
              <w:pStyle w:val="aa"/>
              <w:kinsoku w:val="0"/>
              <w:adjustRightInd w:val="0"/>
              <w:snapToGrid w:val="0"/>
              <w:spacing w:line="300" w:lineRule="auto"/>
              <w:ind w:left="0"/>
              <w:jc w:val="both"/>
              <w:rPr>
                <w:sz w:val="24"/>
              </w:rPr>
            </w:pPr>
            <w:r w:rsidRPr="000C5495">
              <w:rPr>
                <w:rFonts w:hint="eastAsia"/>
                <w:sz w:val="24"/>
              </w:rPr>
              <w:t>第四條</w:t>
            </w:r>
          </w:p>
          <w:p w:rsidR="004C2146" w:rsidRPr="000C5495" w:rsidRDefault="004C2146" w:rsidP="00B45A6B">
            <w:pPr>
              <w:pStyle w:val="aa"/>
              <w:kinsoku w:val="0"/>
              <w:adjustRightInd w:val="0"/>
              <w:snapToGrid w:val="0"/>
              <w:spacing w:line="300" w:lineRule="auto"/>
              <w:ind w:leftChars="-9" w:left="-22"/>
              <w:jc w:val="both"/>
              <w:rPr>
                <w:sz w:val="24"/>
              </w:rPr>
            </w:pPr>
            <w:r w:rsidRPr="000C5495">
              <w:rPr>
                <w:rFonts w:hint="eastAsia"/>
                <w:sz w:val="24"/>
              </w:rPr>
              <w:t xml:space="preserve">    </w:t>
            </w:r>
            <w:r w:rsidRPr="000C5495">
              <w:rPr>
                <w:rFonts w:hint="eastAsia"/>
                <w:sz w:val="24"/>
              </w:rPr>
              <w:t>前條所稱產品說明書編製之基本原則如下：</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一、所記載之內容，應明確易懂，不得有虛偽、隱匿、欠缺或其他足致他人誤信之情事。</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二、所記載之內容，應具有時效性。刊印前，發生足以影響客戶判斷之交易或其他事件，</w:t>
            </w:r>
            <w:proofErr w:type="gramStart"/>
            <w:r w:rsidRPr="000C5495">
              <w:rPr>
                <w:rFonts w:hint="eastAsia"/>
                <w:sz w:val="24"/>
              </w:rPr>
              <w:t>均應一併</w:t>
            </w:r>
            <w:proofErr w:type="gramEnd"/>
            <w:r w:rsidRPr="000C5495">
              <w:rPr>
                <w:rFonts w:hint="eastAsia"/>
                <w:sz w:val="24"/>
              </w:rPr>
              <w:t>揭露。</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三、相關風險之揭露應以淺顯易懂之方式表達。</w:t>
            </w:r>
          </w:p>
          <w:p w:rsidR="004C2146" w:rsidRPr="000C5495" w:rsidRDefault="004C2146" w:rsidP="00B45A6B">
            <w:pPr>
              <w:pStyle w:val="aa"/>
              <w:kinsoku w:val="0"/>
              <w:adjustRightInd w:val="0"/>
              <w:snapToGrid w:val="0"/>
              <w:spacing w:line="300" w:lineRule="auto"/>
              <w:ind w:leftChars="-9" w:left="482" w:hangingChars="210" w:hanging="504"/>
              <w:jc w:val="both"/>
              <w:rPr>
                <w:sz w:val="24"/>
              </w:rPr>
            </w:pPr>
          </w:p>
        </w:tc>
      </w:tr>
      <w:tr w:rsidR="004C2146" w:rsidRPr="000C5495" w:rsidTr="004C2146">
        <w:trPr>
          <w:trHeight w:val="535"/>
        </w:trPr>
        <w:tc>
          <w:tcPr>
            <w:tcW w:w="9918" w:type="dxa"/>
          </w:tcPr>
          <w:p w:rsidR="004C2146" w:rsidRPr="000C5495" w:rsidRDefault="004C2146" w:rsidP="00B45A6B">
            <w:pPr>
              <w:pStyle w:val="aa"/>
              <w:kinsoku w:val="0"/>
              <w:adjustRightInd w:val="0"/>
              <w:snapToGrid w:val="0"/>
              <w:spacing w:line="300" w:lineRule="auto"/>
              <w:ind w:left="0"/>
              <w:jc w:val="both"/>
              <w:rPr>
                <w:sz w:val="24"/>
              </w:rPr>
            </w:pPr>
            <w:r w:rsidRPr="000C5495">
              <w:rPr>
                <w:rFonts w:hint="eastAsia"/>
                <w:sz w:val="24"/>
              </w:rPr>
              <w:t>第五條</w:t>
            </w:r>
          </w:p>
          <w:p w:rsidR="004C2146" w:rsidRPr="000C5495" w:rsidRDefault="004C2146" w:rsidP="00B45A6B">
            <w:pPr>
              <w:pStyle w:val="aa"/>
              <w:kinsoku w:val="0"/>
              <w:adjustRightInd w:val="0"/>
              <w:snapToGrid w:val="0"/>
              <w:spacing w:line="300" w:lineRule="auto"/>
              <w:ind w:left="0"/>
              <w:jc w:val="both"/>
              <w:rPr>
                <w:sz w:val="24"/>
              </w:rPr>
            </w:pPr>
            <w:r w:rsidRPr="000C5495">
              <w:rPr>
                <w:rFonts w:hint="eastAsia"/>
                <w:sz w:val="24"/>
              </w:rPr>
              <w:t xml:space="preserve">    </w:t>
            </w:r>
            <w:r w:rsidRPr="000C5495">
              <w:rPr>
                <w:rFonts w:hint="eastAsia"/>
                <w:sz w:val="24"/>
              </w:rPr>
              <w:t>第三條所稱產品說明書至少應記載下列事項：</w:t>
            </w:r>
          </w:p>
          <w:p w:rsidR="004C2146" w:rsidRPr="000C5495" w:rsidRDefault="004C2146" w:rsidP="004C2146">
            <w:pPr>
              <w:pStyle w:val="aa"/>
              <w:kinsoku w:val="0"/>
              <w:adjustRightInd w:val="0"/>
              <w:snapToGrid w:val="0"/>
              <w:spacing w:line="300" w:lineRule="auto"/>
              <w:ind w:leftChars="200" w:left="965" w:hangingChars="202" w:hanging="485"/>
              <w:jc w:val="both"/>
              <w:rPr>
                <w:sz w:val="24"/>
              </w:rPr>
            </w:pPr>
            <w:r w:rsidRPr="000C5495">
              <w:rPr>
                <w:rFonts w:hint="eastAsia"/>
                <w:sz w:val="24"/>
              </w:rPr>
              <w:lastRenderedPageBreak/>
              <w:t>一、重要事項摘要。</w:t>
            </w:r>
          </w:p>
          <w:p w:rsidR="004C2146" w:rsidRPr="000C5495" w:rsidRDefault="004C2146" w:rsidP="004C2146">
            <w:pPr>
              <w:pStyle w:val="aa"/>
              <w:kinsoku w:val="0"/>
              <w:adjustRightInd w:val="0"/>
              <w:snapToGrid w:val="0"/>
              <w:spacing w:line="300" w:lineRule="auto"/>
              <w:ind w:leftChars="200" w:left="965" w:hangingChars="202" w:hanging="485"/>
              <w:jc w:val="both"/>
              <w:rPr>
                <w:sz w:val="24"/>
              </w:rPr>
            </w:pPr>
            <w:r w:rsidRPr="000C5495">
              <w:rPr>
                <w:rFonts w:hint="eastAsia"/>
                <w:sz w:val="24"/>
              </w:rPr>
              <w:t>二、商品或交易條件，及最大可能損失與情境說明。</w:t>
            </w:r>
          </w:p>
          <w:p w:rsidR="004C2146" w:rsidRPr="000C5495" w:rsidRDefault="004C2146" w:rsidP="004C2146">
            <w:pPr>
              <w:pStyle w:val="aa"/>
              <w:kinsoku w:val="0"/>
              <w:adjustRightInd w:val="0"/>
              <w:snapToGrid w:val="0"/>
              <w:spacing w:line="300" w:lineRule="auto"/>
              <w:ind w:leftChars="200" w:left="965" w:hangingChars="202" w:hanging="485"/>
              <w:jc w:val="both"/>
              <w:rPr>
                <w:sz w:val="24"/>
              </w:rPr>
            </w:pPr>
            <w:r w:rsidRPr="000C5495">
              <w:rPr>
                <w:rFonts w:hint="eastAsia"/>
                <w:sz w:val="24"/>
              </w:rPr>
              <w:t>三、各項費用及交易處理程序說明。</w:t>
            </w:r>
          </w:p>
          <w:p w:rsidR="004C2146" w:rsidRPr="000C5495" w:rsidRDefault="004C2146" w:rsidP="00B45A6B">
            <w:pPr>
              <w:pStyle w:val="aa"/>
              <w:kinsoku w:val="0"/>
              <w:adjustRightInd w:val="0"/>
              <w:snapToGrid w:val="0"/>
              <w:spacing w:line="300" w:lineRule="auto"/>
              <w:ind w:left="485" w:hangingChars="202" w:hanging="485"/>
              <w:jc w:val="both"/>
              <w:rPr>
                <w:sz w:val="24"/>
              </w:rPr>
            </w:pPr>
          </w:p>
        </w:tc>
      </w:tr>
      <w:tr w:rsidR="004C2146" w:rsidRPr="000C5495" w:rsidTr="004C2146">
        <w:trPr>
          <w:trHeight w:val="535"/>
        </w:trPr>
        <w:tc>
          <w:tcPr>
            <w:tcW w:w="9918" w:type="dxa"/>
          </w:tcPr>
          <w:p w:rsidR="004C2146" w:rsidRPr="000C5495" w:rsidRDefault="004C2146" w:rsidP="00B45A6B">
            <w:pPr>
              <w:pStyle w:val="aa"/>
              <w:kinsoku w:val="0"/>
              <w:adjustRightInd w:val="0"/>
              <w:snapToGrid w:val="0"/>
              <w:spacing w:line="300" w:lineRule="auto"/>
              <w:ind w:left="0"/>
              <w:jc w:val="both"/>
              <w:rPr>
                <w:sz w:val="24"/>
              </w:rPr>
            </w:pPr>
            <w:r w:rsidRPr="000C5495">
              <w:rPr>
                <w:rFonts w:hint="eastAsia"/>
                <w:sz w:val="24"/>
              </w:rPr>
              <w:lastRenderedPageBreak/>
              <w:t>第六條</w:t>
            </w:r>
          </w:p>
          <w:p w:rsidR="004C2146" w:rsidRPr="000C5495" w:rsidRDefault="004C2146" w:rsidP="00B45A6B">
            <w:pPr>
              <w:pStyle w:val="aa"/>
              <w:kinsoku w:val="0"/>
              <w:adjustRightInd w:val="0"/>
              <w:snapToGrid w:val="0"/>
              <w:spacing w:line="300" w:lineRule="auto"/>
              <w:ind w:leftChars="-9" w:left="-22"/>
              <w:jc w:val="both"/>
              <w:rPr>
                <w:sz w:val="24"/>
              </w:rPr>
            </w:pPr>
            <w:r w:rsidRPr="000C5495">
              <w:rPr>
                <w:rFonts w:hint="eastAsia"/>
                <w:sz w:val="24"/>
              </w:rPr>
              <w:t xml:space="preserve">    </w:t>
            </w:r>
            <w:r w:rsidRPr="000C5495">
              <w:rPr>
                <w:rFonts w:hint="eastAsia"/>
                <w:sz w:val="24"/>
              </w:rPr>
              <w:t>前條第一款所稱重要事項摘要應包含下列事項：</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一、商品中文名稱，名稱應適當表達其商品特性，且應避免使用可能誤導客戶之用語，有外文名稱應</w:t>
            </w:r>
            <w:proofErr w:type="gramStart"/>
            <w:r w:rsidRPr="000C5495">
              <w:rPr>
                <w:rFonts w:hint="eastAsia"/>
                <w:sz w:val="24"/>
              </w:rPr>
              <w:t>併</w:t>
            </w:r>
            <w:proofErr w:type="gramEnd"/>
            <w:r w:rsidRPr="000C5495">
              <w:rPr>
                <w:rFonts w:hint="eastAsia"/>
                <w:sz w:val="24"/>
              </w:rPr>
              <w:t>予列示。</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二、以顯著字體標示商品風險等級。</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三、以顯著字體標示商品銷售對象之風險等級，以及是否僅限專業客戶投資。</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四、商品審閱</w:t>
            </w:r>
            <w:proofErr w:type="gramStart"/>
            <w:r w:rsidRPr="000C5495">
              <w:rPr>
                <w:rFonts w:hint="eastAsia"/>
                <w:sz w:val="24"/>
              </w:rPr>
              <w:t>期間，</w:t>
            </w:r>
            <w:proofErr w:type="gramEnd"/>
            <w:r w:rsidRPr="000C5495">
              <w:rPr>
                <w:rFonts w:hint="eastAsia"/>
                <w:sz w:val="24"/>
              </w:rPr>
              <w:t>對無須提供審閱期間之商品應加</w:t>
            </w:r>
            <w:proofErr w:type="gramStart"/>
            <w:r w:rsidRPr="000C5495">
              <w:rPr>
                <w:rFonts w:hint="eastAsia"/>
                <w:sz w:val="24"/>
              </w:rPr>
              <w:t>註</w:t>
            </w:r>
            <w:proofErr w:type="gramEnd"/>
            <w:r w:rsidRPr="000C5495">
              <w:rPr>
                <w:rFonts w:hint="eastAsia"/>
                <w:sz w:val="24"/>
              </w:rPr>
              <w:t>說明。</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五、應註明「客戶應詳閱產品說明書之內容，並應注意商品之風險事項」字樣。</w:t>
            </w:r>
          </w:p>
          <w:p w:rsidR="004C2146" w:rsidRPr="000C5495" w:rsidRDefault="004C2146" w:rsidP="00B45A6B">
            <w:pPr>
              <w:pStyle w:val="aa"/>
              <w:kinsoku w:val="0"/>
              <w:adjustRightInd w:val="0"/>
              <w:snapToGrid w:val="0"/>
              <w:spacing w:line="300" w:lineRule="auto"/>
              <w:ind w:leftChars="-9" w:left="482" w:hangingChars="210" w:hanging="504"/>
              <w:jc w:val="both"/>
              <w:rPr>
                <w:sz w:val="24"/>
              </w:rPr>
            </w:pPr>
          </w:p>
        </w:tc>
      </w:tr>
      <w:tr w:rsidR="004C2146" w:rsidRPr="000C5495" w:rsidTr="004C2146">
        <w:trPr>
          <w:trHeight w:val="535"/>
        </w:trPr>
        <w:tc>
          <w:tcPr>
            <w:tcW w:w="9918" w:type="dxa"/>
          </w:tcPr>
          <w:p w:rsidR="004C2146" w:rsidRPr="000C5495" w:rsidRDefault="004C2146" w:rsidP="00B45A6B">
            <w:pPr>
              <w:pStyle w:val="aa"/>
              <w:kinsoku w:val="0"/>
              <w:adjustRightInd w:val="0"/>
              <w:snapToGrid w:val="0"/>
              <w:spacing w:line="300" w:lineRule="auto"/>
              <w:ind w:left="0"/>
              <w:jc w:val="both"/>
              <w:rPr>
                <w:sz w:val="24"/>
              </w:rPr>
            </w:pPr>
            <w:r w:rsidRPr="000C5495">
              <w:rPr>
                <w:rFonts w:hint="eastAsia"/>
                <w:sz w:val="24"/>
              </w:rPr>
              <w:t>第七條</w:t>
            </w:r>
          </w:p>
          <w:p w:rsidR="004C2146" w:rsidRPr="000C5495" w:rsidRDefault="004C2146" w:rsidP="00B45A6B">
            <w:pPr>
              <w:pStyle w:val="aa"/>
              <w:kinsoku w:val="0"/>
              <w:adjustRightInd w:val="0"/>
              <w:snapToGrid w:val="0"/>
              <w:spacing w:line="300" w:lineRule="auto"/>
              <w:ind w:leftChars="-9" w:left="-22"/>
              <w:jc w:val="both"/>
              <w:rPr>
                <w:sz w:val="24"/>
              </w:rPr>
            </w:pPr>
            <w:r w:rsidRPr="000C5495">
              <w:rPr>
                <w:rFonts w:hint="eastAsia"/>
                <w:sz w:val="24"/>
              </w:rPr>
              <w:t xml:space="preserve">    </w:t>
            </w:r>
            <w:r w:rsidRPr="000C5495">
              <w:rPr>
                <w:rFonts w:hint="eastAsia"/>
                <w:sz w:val="24"/>
              </w:rPr>
              <w:t>第五條第二款所稱商品或交易條件，及最大可能損失與情境說明，應記載下列事項：</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一、計價幣別、交易日</w:t>
            </w:r>
            <w:r w:rsidRPr="000C5495">
              <w:rPr>
                <w:rFonts w:hint="eastAsia"/>
                <w:sz w:val="24"/>
              </w:rPr>
              <w:t>/</w:t>
            </w:r>
            <w:r w:rsidRPr="000C5495">
              <w:rPr>
                <w:rFonts w:hint="eastAsia"/>
                <w:sz w:val="24"/>
              </w:rPr>
              <w:t>生效日</w:t>
            </w:r>
            <w:r w:rsidRPr="000C5495">
              <w:rPr>
                <w:rFonts w:hint="eastAsia"/>
                <w:sz w:val="24"/>
              </w:rPr>
              <w:t>/</w:t>
            </w:r>
            <w:r w:rsidRPr="000C5495">
              <w:rPr>
                <w:rFonts w:hint="eastAsia"/>
                <w:sz w:val="24"/>
              </w:rPr>
              <w:t>到期日，及其他依個別商品性質而定之日期等。</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二、計價幣別到期本金</w:t>
            </w:r>
            <w:proofErr w:type="gramStart"/>
            <w:r w:rsidRPr="000C5495">
              <w:rPr>
                <w:rFonts w:hint="eastAsia"/>
                <w:sz w:val="24"/>
              </w:rPr>
              <w:t>保本率</w:t>
            </w:r>
            <w:proofErr w:type="gramEnd"/>
            <w:r w:rsidRPr="000C5495">
              <w:rPr>
                <w:rFonts w:hint="eastAsia"/>
                <w:sz w:val="24"/>
              </w:rPr>
              <w:t>，並加</w:t>
            </w:r>
            <w:proofErr w:type="gramStart"/>
            <w:r w:rsidRPr="000C5495">
              <w:rPr>
                <w:rFonts w:hint="eastAsia"/>
                <w:sz w:val="24"/>
              </w:rPr>
              <w:t>註</w:t>
            </w:r>
            <w:proofErr w:type="gramEnd"/>
            <w:r w:rsidRPr="000C5495">
              <w:rPr>
                <w:rFonts w:hint="eastAsia"/>
                <w:sz w:val="24"/>
              </w:rPr>
              <w:t>「於未發生提前終止之情形，且到期時本公司未發生違約情事，到期結算稅前金額為原計價幣別本金的</w:t>
            </w:r>
            <w:r w:rsidRPr="000C5495">
              <w:rPr>
                <w:rFonts w:hint="eastAsia"/>
                <w:sz w:val="24"/>
              </w:rPr>
              <w:t xml:space="preserve">  </w:t>
            </w:r>
            <w:r w:rsidRPr="000C5495">
              <w:rPr>
                <w:rFonts w:hint="eastAsia"/>
                <w:sz w:val="24"/>
              </w:rPr>
              <w:t>％，或其等值」。</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三、連結標的類別或資產，應說明連結標的及相關資訊、投資績效之關連性、標的資產之權重、連結標的調整之條件及方法等。</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四、投資收益本息之給付及其計算方式。</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五、以文字或情境分析解說最大可能獲利之年化報酬率或平均年化報酬率，及最大可能損失，另應加</w:t>
            </w:r>
            <w:proofErr w:type="gramStart"/>
            <w:r w:rsidRPr="000C5495">
              <w:rPr>
                <w:rFonts w:hint="eastAsia"/>
                <w:sz w:val="24"/>
              </w:rPr>
              <w:t>註</w:t>
            </w:r>
            <w:proofErr w:type="gramEnd"/>
            <w:r w:rsidRPr="000C5495">
              <w:rPr>
                <w:rFonts w:hint="eastAsia"/>
                <w:sz w:val="24"/>
              </w:rPr>
              <w:t>情境分析結果不保證未來績效。</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六、交易條件如有提前到期約定，應載明提前到期之條件或說明槓桿交易商得提前到期之權利、結算應付款數額之金額或計算方式。</w:t>
            </w:r>
          </w:p>
          <w:p w:rsidR="004C2146" w:rsidRPr="000C5495" w:rsidRDefault="004C2146" w:rsidP="00B45A6B">
            <w:pPr>
              <w:pStyle w:val="aa"/>
              <w:kinsoku w:val="0"/>
              <w:adjustRightInd w:val="0"/>
              <w:snapToGrid w:val="0"/>
              <w:spacing w:line="300" w:lineRule="auto"/>
              <w:ind w:leftChars="-9" w:left="482" w:hangingChars="210" w:hanging="504"/>
              <w:jc w:val="both"/>
              <w:rPr>
                <w:sz w:val="24"/>
              </w:rPr>
            </w:pPr>
          </w:p>
        </w:tc>
      </w:tr>
      <w:tr w:rsidR="004C2146" w:rsidRPr="000C5495" w:rsidTr="004C2146">
        <w:trPr>
          <w:trHeight w:val="535"/>
        </w:trPr>
        <w:tc>
          <w:tcPr>
            <w:tcW w:w="9918" w:type="dxa"/>
          </w:tcPr>
          <w:p w:rsidR="004C2146" w:rsidRPr="000C5495" w:rsidRDefault="004C2146" w:rsidP="00B45A6B">
            <w:pPr>
              <w:pStyle w:val="aa"/>
              <w:kinsoku w:val="0"/>
              <w:adjustRightInd w:val="0"/>
              <w:snapToGrid w:val="0"/>
              <w:spacing w:line="300" w:lineRule="auto"/>
              <w:ind w:left="485" w:hangingChars="202" w:hanging="485"/>
              <w:jc w:val="both"/>
              <w:rPr>
                <w:sz w:val="24"/>
              </w:rPr>
            </w:pPr>
            <w:r w:rsidRPr="000C5495">
              <w:rPr>
                <w:rFonts w:hint="eastAsia"/>
                <w:sz w:val="24"/>
              </w:rPr>
              <w:t>第八條</w:t>
            </w:r>
          </w:p>
          <w:p w:rsidR="004C2146" w:rsidRPr="000C5495" w:rsidRDefault="004C2146" w:rsidP="00B45A6B">
            <w:pPr>
              <w:pStyle w:val="aa"/>
              <w:kinsoku w:val="0"/>
              <w:adjustRightInd w:val="0"/>
              <w:snapToGrid w:val="0"/>
              <w:spacing w:line="300" w:lineRule="auto"/>
              <w:ind w:left="2"/>
              <w:jc w:val="both"/>
              <w:rPr>
                <w:sz w:val="24"/>
              </w:rPr>
            </w:pPr>
            <w:r w:rsidRPr="000C5495">
              <w:rPr>
                <w:rFonts w:hint="eastAsia"/>
                <w:sz w:val="24"/>
              </w:rPr>
              <w:t xml:space="preserve">    </w:t>
            </w:r>
            <w:r w:rsidRPr="000C5495">
              <w:rPr>
                <w:rFonts w:hint="eastAsia"/>
                <w:sz w:val="24"/>
              </w:rPr>
              <w:t>第五條第三款所稱各項費用及交易處理程序說明，應記載下列事項：</w:t>
            </w:r>
          </w:p>
          <w:p w:rsidR="004C2146" w:rsidRPr="000C5495" w:rsidRDefault="004C2146" w:rsidP="004C2146">
            <w:pPr>
              <w:pStyle w:val="aa"/>
              <w:kinsoku w:val="0"/>
              <w:adjustRightInd w:val="0"/>
              <w:snapToGrid w:val="0"/>
              <w:spacing w:line="300" w:lineRule="auto"/>
              <w:ind w:leftChars="200" w:left="965" w:hangingChars="202" w:hanging="485"/>
              <w:jc w:val="both"/>
              <w:rPr>
                <w:sz w:val="24"/>
              </w:rPr>
            </w:pPr>
            <w:r w:rsidRPr="000C5495">
              <w:rPr>
                <w:rFonts w:hint="eastAsia"/>
                <w:sz w:val="24"/>
              </w:rPr>
              <w:t>一、對交易條件標準化之商品應說明商品開始受理投資、提前到期結算及客戶申請提前終止日期。</w:t>
            </w:r>
          </w:p>
          <w:p w:rsidR="004C2146" w:rsidRPr="000C5495" w:rsidRDefault="004C2146" w:rsidP="004C2146">
            <w:pPr>
              <w:pStyle w:val="aa"/>
              <w:kinsoku w:val="0"/>
              <w:adjustRightInd w:val="0"/>
              <w:snapToGrid w:val="0"/>
              <w:spacing w:line="300" w:lineRule="auto"/>
              <w:ind w:leftChars="200" w:left="965" w:hangingChars="202" w:hanging="485"/>
              <w:jc w:val="both"/>
              <w:rPr>
                <w:sz w:val="24"/>
              </w:rPr>
            </w:pPr>
            <w:r w:rsidRPr="000C5495">
              <w:rPr>
                <w:rFonts w:hint="eastAsia"/>
                <w:sz w:val="24"/>
              </w:rPr>
              <w:t>二、槓桿交易商提供結構型商品服務應說明商品最低投資金額及投資金額給付方式，惟給付方式如另有約定則從其約定。若有交易不成立之情形，亦應說明，交易前預先收取投資金額者，並應說明返還投資金額之方式及日期。</w:t>
            </w:r>
          </w:p>
          <w:p w:rsidR="004C2146" w:rsidRPr="000C5495" w:rsidRDefault="004C2146" w:rsidP="004C2146">
            <w:pPr>
              <w:pStyle w:val="aa"/>
              <w:kinsoku w:val="0"/>
              <w:adjustRightInd w:val="0"/>
              <w:snapToGrid w:val="0"/>
              <w:spacing w:line="300" w:lineRule="auto"/>
              <w:ind w:leftChars="200" w:left="965" w:hangingChars="202" w:hanging="485"/>
              <w:jc w:val="both"/>
              <w:rPr>
                <w:sz w:val="24"/>
              </w:rPr>
            </w:pPr>
            <w:r w:rsidRPr="000C5495">
              <w:rPr>
                <w:rFonts w:hint="eastAsia"/>
                <w:sz w:val="24"/>
              </w:rPr>
              <w:t>三、槓桿交易商應說明客戶應負擔的各項費用</w:t>
            </w:r>
            <w:r w:rsidRPr="000C5495">
              <w:rPr>
                <w:rFonts w:hint="eastAsia"/>
                <w:sz w:val="24"/>
              </w:rPr>
              <w:t>(</w:t>
            </w:r>
            <w:r w:rsidRPr="000C5495">
              <w:rPr>
                <w:rFonts w:hint="eastAsia"/>
                <w:sz w:val="24"/>
              </w:rPr>
              <w:t>如有適用</w:t>
            </w:r>
            <w:r w:rsidRPr="000C5495">
              <w:rPr>
                <w:rFonts w:hint="eastAsia"/>
                <w:sz w:val="24"/>
              </w:rPr>
              <w:t>)</w:t>
            </w:r>
            <w:r w:rsidRPr="000C5495">
              <w:rPr>
                <w:rFonts w:hint="eastAsia"/>
                <w:sz w:val="24"/>
              </w:rPr>
              <w:t>與其收取方式，例如：申請投資</w:t>
            </w:r>
            <w:r w:rsidRPr="000C5495">
              <w:rPr>
                <w:rFonts w:hint="eastAsia"/>
                <w:sz w:val="24"/>
              </w:rPr>
              <w:lastRenderedPageBreak/>
              <w:t>或提前終止之手續費或處理費用、及其他費用等。</w:t>
            </w:r>
          </w:p>
          <w:p w:rsidR="004C2146" w:rsidRPr="000C5495" w:rsidRDefault="004C2146" w:rsidP="004C2146">
            <w:pPr>
              <w:pStyle w:val="aa"/>
              <w:kinsoku w:val="0"/>
              <w:adjustRightInd w:val="0"/>
              <w:snapToGrid w:val="0"/>
              <w:spacing w:line="300" w:lineRule="auto"/>
              <w:ind w:leftChars="200" w:left="965" w:hangingChars="202" w:hanging="485"/>
              <w:jc w:val="both"/>
              <w:rPr>
                <w:sz w:val="24"/>
              </w:rPr>
            </w:pPr>
            <w:r w:rsidRPr="000C5495">
              <w:rPr>
                <w:rFonts w:hint="eastAsia"/>
                <w:sz w:val="24"/>
              </w:rPr>
              <w:t>四、若客戶得提前終止交易，槓桿交易商應說明終止交易時得領取金額之計算方式及給付方式。</w:t>
            </w:r>
          </w:p>
          <w:p w:rsidR="004C2146" w:rsidRPr="000C5495" w:rsidRDefault="004C2146" w:rsidP="004C2146">
            <w:pPr>
              <w:pStyle w:val="aa"/>
              <w:kinsoku w:val="0"/>
              <w:adjustRightInd w:val="0"/>
              <w:snapToGrid w:val="0"/>
              <w:spacing w:line="300" w:lineRule="auto"/>
              <w:ind w:leftChars="200" w:left="965" w:hangingChars="202" w:hanging="485"/>
              <w:jc w:val="both"/>
              <w:rPr>
                <w:sz w:val="24"/>
              </w:rPr>
            </w:pPr>
            <w:r w:rsidRPr="000C5495">
              <w:rPr>
                <w:rFonts w:hint="eastAsia"/>
                <w:sz w:val="24"/>
              </w:rPr>
              <w:t>五、載明交易糾紛申訴管道。</w:t>
            </w:r>
          </w:p>
          <w:p w:rsidR="004C2146" w:rsidRPr="000C5495" w:rsidRDefault="004C2146" w:rsidP="004C2146">
            <w:pPr>
              <w:pStyle w:val="aa"/>
              <w:kinsoku w:val="0"/>
              <w:adjustRightInd w:val="0"/>
              <w:snapToGrid w:val="0"/>
              <w:spacing w:line="300" w:lineRule="auto"/>
              <w:ind w:leftChars="200" w:left="965" w:hangingChars="202" w:hanging="485"/>
              <w:jc w:val="both"/>
              <w:rPr>
                <w:sz w:val="24"/>
              </w:rPr>
            </w:pPr>
            <w:r w:rsidRPr="000C5495">
              <w:rPr>
                <w:rFonts w:hint="eastAsia"/>
                <w:sz w:val="24"/>
              </w:rPr>
              <w:t>六、其他依主管機關規定應說明或認為對客戶權益有重大影響，而應於產品說明書記載之事項。</w:t>
            </w:r>
          </w:p>
          <w:p w:rsidR="004C2146" w:rsidRPr="000C5495" w:rsidRDefault="004C2146" w:rsidP="00B45A6B">
            <w:pPr>
              <w:pStyle w:val="aa"/>
              <w:kinsoku w:val="0"/>
              <w:adjustRightInd w:val="0"/>
              <w:snapToGrid w:val="0"/>
              <w:spacing w:line="300" w:lineRule="auto"/>
              <w:ind w:left="2"/>
              <w:jc w:val="both"/>
              <w:rPr>
                <w:sz w:val="24"/>
              </w:rPr>
            </w:pPr>
            <w:r w:rsidRPr="000C5495">
              <w:rPr>
                <w:rFonts w:hint="eastAsia"/>
                <w:sz w:val="24"/>
              </w:rPr>
              <w:t xml:space="preserve">    </w:t>
            </w:r>
            <w:r w:rsidRPr="000C5495">
              <w:rPr>
                <w:rFonts w:hint="eastAsia"/>
                <w:sz w:val="24"/>
              </w:rPr>
              <w:t>本注意事項所稱交易條件標準化之商品，係指槓桿交易商對不特定多數人提供交易條件（如存續時間、利率、匯率、轉換條件、連結標的等）固定之商品。</w:t>
            </w:r>
          </w:p>
          <w:p w:rsidR="004C2146" w:rsidRPr="000C5495" w:rsidRDefault="004C2146" w:rsidP="00B45A6B">
            <w:pPr>
              <w:pStyle w:val="aa"/>
              <w:kinsoku w:val="0"/>
              <w:adjustRightInd w:val="0"/>
              <w:snapToGrid w:val="0"/>
              <w:spacing w:line="300" w:lineRule="auto"/>
              <w:ind w:left="2"/>
              <w:jc w:val="both"/>
              <w:rPr>
                <w:sz w:val="24"/>
              </w:rPr>
            </w:pPr>
          </w:p>
        </w:tc>
      </w:tr>
      <w:tr w:rsidR="004C2146" w:rsidRPr="000C5495" w:rsidTr="004C2146">
        <w:trPr>
          <w:trHeight w:val="535"/>
        </w:trPr>
        <w:tc>
          <w:tcPr>
            <w:tcW w:w="9918" w:type="dxa"/>
          </w:tcPr>
          <w:p w:rsidR="004C2146" w:rsidRPr="000C5495" w:rsidRDefault="004C2146" w:rsidP="00B45A6B">
            <w:pPr>
              <w:pStyle w:val="aa"/>
              <w:kinsoku w:val="0"/>
              <w:adjustRightInd w:val="0"/>
              <w:snapToGrid w:val="0"/>
              <w:spacing w:line="300" w:lineRule="auto"/>
              <w:ind w:left="0"/>
              <w:jc w:val="both"/>
              <w:rPr>
                <w:sz w:val="24"/>
              </w:rPr>
            </w:pPr>
            <w:r w:rsidRPr="000C5495">
              <w:rPr>
                <w:rFonts w:hint="eastAsia"/>
                <w:sz w:val="24"/>
              </w:rPr>
              <w:lastRenderedPageBreak/>
              <w:t>第九條</w:t>
            </w:r>
          </w:p>
          <w:p w:rsidR="004C2146" w:rsidRPr="000C5495" w:rsidRDefault="004C2146" w:rsidP="00B45A6B">
            <w:pPr>
              <w:pStyle w:val="aa"/>
              <w:kinsoku w:val="0"/>
              <w:adjustRightInd w:val="0"/>
              <w:snapToGrid w:val="0"/>
              <w:spacing w:line="300" w:lineRule="auto"/>
              <w:ind w:leftChars="-9" w:left="-22"/>
              <w:jc w:val="both"/>
              <w:rPr>
                <w:sz w:val="24"/>
              </w:rPr>
            </w:pPr>
            <w:r w:rsidRPr="000C5495">
              <w:rPr>
                <w:rFonts w:hint="eastAsia"/>
                <w:sz w:val="24"/>
              </w:rPr>
              <w:t xml:space="preserve">    </w:t>
            </w:r>
            <w:r w:rsidRPr="000C5495">
              <w:rPr>
                <w:rFonts w:hint="eastAsia"/>
                <w:sz w:val="24"/>
              </w:rPr>
              <w:t>第三條第二項所稱之向客戶告知可能涉及之風險，係指應向客戶說明下列事項：</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一、該結構型商品因利率、匯率、有價證券市價或其他指標之變動，有直接導致本金損失或超過當初本金損失之虞者。</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二、該結構型商品因槓桿交易商或他人之業務或財產狀況之變化，有直接導致本金損失或超過當初本金損失之虞者。</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三、該結構型商品因其他經主管機關規定足以影響投資人判斷之重要事項，有直接導致本金損失或超過當初本金損失之虞者。</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四、該結構型商品之最大損失金額。</w:t>
            </w:r>
          </w:p>
          <w:p w:rsidR="004C2146" w:rsidRPr="000C5495" w:rsidRDefault="004C2146" w:rsidP="00B45A6B">
            <w:pPr>
              <w:pStyle w:val="aa"/>
              <w:kinsoku w:val="0"/>
              <w:adjustRightInd w:val="0"/>
              <w:snapToGrid w:val="0"/>
              <w:spacing w:line="300" w:lineRule="auto"/>
              <w:ind w:left="0" w:firstLineChars="200" w:firstLine="480"/>
              <w:jc w:val="both"/>
              <w:rPr>
                <w:sz w:val="24"/>
              </w:rPr>
            </w:pPr>
            <w:r w:rsidRPr="000C5495">
              <w:rPr>
                <w:rFonts w:hint="eastAsia"/>
                <w:sz w:val="24"/>
              </w:rPr>
              <w:t>對客戶提供結構型商品交易服務，應提供風險預告書，其內容應包括投資風險警語及商品風險說明。</w:t>
            </w:r>
          </w:p>
          <w:p w:rsidR="004C2146" w:rsidRPr="000C5495" w:rsidRDefault="004C2146" w:rsidP="00B45A6B">
            <w:pPr>
              <w:pStyle w:val="aa"/>
              <w:kinsoku w:val="0"/>
              <w:adjustRightInd w:val="0"/>
              <w:snapToGrid w:val="0"/>
              <w:spacing w:line="300" w:lineRule="auto"/>
              <w:ind w:left="0" w:firstLineChars="200" w:firstLine="480"/>
              <w:jc w:val="both"/>
              <w:rPr>
                <w:sz w:val="24"/>
              </w:rPr>
            </w:pPr>
          </w:p>
        </w:tc>
      </w:tr>
      <w:tr w:rsidR="004C2146" w:rsidRPr="000C5495" w:rsidTr="004C2146">
        <w:trPr>
          <w:trHeight w:val="535"/>
        </w:trPr>
        <w:tc>
          <w:tcPr>
            <w:tcW w:w="9918" w:type="dxa"/>
          </w:tcPr>
          <w:p w:rsidR="004C2146" w:rsidRPr="000C5495" w:rsidRDefault="004C2146" w:rsidP="00B45A6B">
            <w:pPr>
              <w:pStyle w:val="aa"/>
              <w:kinsoku w:val="0"/>
              <w:adjustRightInd w:val="0"/>
              <w:snapToGrid w:val="0"/>
              <w:spacing w:line="300" w:lineRule="auto"/>
              <w:ind w:left="0"/>
              <w:jc w:val="both"/>
              <w:rPr>
                <w:sz w:val="24"/>
              </w:rPr>
            </w:pPr>
            <w:r w:rsidRPr="000C5495">
              <w:rPr>
                <w:rFonts w:hint="eastAsia"/>
                <w:sz w:val="24"/>
              </w:rPr>
              <w:t>第十條</w:t>
            </w:r>
          </w:p>
          <w:p w:rsidR="004C2146" w:rsidRPr="000C5495" w:rsidRDefault="004C2146" w:rsidP="00B45A6B">
            <w:pPr>
              <w:pStyle w:val="aa"/>
              <w:kinsoku w:val="0"/>
              <w:adjustRightInd w:val="0"/>
              <w:snapToGrid w:val="0"/>
              <w:spacing w:line="300" w:lineRule="auto"/>
              <w:ind w:leftChars="-9" w:left="-22"/>
              <w:jc w:val="both"/>
              <w:rPr>
                <w:sz w:val="24"/>
              </w:rPr>
            </w:pPr>
            <w:r w:rsidRPr="000C5495">
              <w:rPr>
                <w:rFonts w:hint="eastAsia"/>
                <w:sz w:val="24"/>
              </w:rPr>
              <w:t xml:space="preserve">    </w:t>
            </w:r>
            <w:r w:rsidRPr="000C5495">
              <w:rPr>
                <w:rFonts w:hint="eastAsia"/>
                <w:sz w:val="24"/>
              </w:rPr>
              <w:t>前條第二項所稱風險預告書之投資風險警語，應記載下列文字：</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一、本商品係複雜金融商品，必須經過專人解說後再進行投資。客戶如果無法充分理解本商品，請勿投資。</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二、本商品並非存款，而係一項投資，投資不受存款保險之保障。</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三、客戶投資前應詳閱產品說明書及風險預告書，並應自行了解判斷並自負盈虧。</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四、本商品係投資型商品，投資人應自行負擔本商品之市場風險及槓桿交易商之信用風險。</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五、客戶未清楚瞭解產品說明書、契約條款及所有文件內容前，請勿於相關文件簽名或蓋章。</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六、客戶提前終止可能導致可領回金額低於投資本金。</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七、最大可能損失為全部投資本金。</w:t>
            </w:r>
          </w:p>
          <w:p w:rsidR="004C2146" w:rsidRPr="000C5495" w:rsidRDefault="004C2146" w:rsidP="00B45A6B">
            <w:pPr>
              <w:pStyle w:val="aa"/>
              <w:kinsoku w:val="0"/>
              <w:adjustRightInd w:val="0"/>
              <w:snapToGrid w:val="0"/>
              <w:spacing w:line="300" w:lineRule="auto"/>
              <w:ind w:leftChars="-9" w:left="482" w:hangingChars="210" w:hanging="504"/>
              <w:jc w:val="both"/>
              <w:rPr>
                <w:sz w:val="24"/>
              </w:rPr>
            </w:pPr>
          </w:p>
        </w:tc>
      </w:tr>
      <w:tr w:rsidR="004C2146" w:rsidRPr="000C5495" w:rsidTr="004C2146">
        <w:trPr>
          <w:trHeight w:val="535"/>
        </w:trPr>
        <w:tc>
          <w:tcPr>
            <w:tcW w:w="9918" w:type="dxa"/>
          </w:tcPr>
          <w:p w:rsidR="004C2146" w:rsidRPr="000C5495" w:rsidRDefault="004C2146" w:rsidP="00B45A6B">
            <w:pPr>
              <w:pStyle w:val="aa"/>
              <w:kinsoku w:val="0"/>
              <w:adjustRightInd w:val="0"/>
              <w:snapToGrid w:val="0"/>
              <w:spacing w:line="300" w:lineRule="auto"/>
              <w:ind w:left="0"/>
              <w:jc w:val="both"/>
              <w:rPr>
                <w:sz w:val="24"/>
              </w:rPr>
            </w:pPr>
            <w:r w:rsidRPr="000C5495">
              <w:rPr>
                <w:rFonts w:hint="eastAsia"/>
                <w:sz w:val="24"/>
              </w:rPr>
              <w:t>第十一條</w:t>
            </w:r>
          </w:p>
          <w:p w:rsidR="004C2146" w:rsidRPr="000C5495" w:rsidRDefault="004C2146" w:rsidP="00B45A6B">
            <w:pPr>
              <w:pStyle w:val="aa"/>
              <w:kinsoku w:val="0"/>
              <w:adjustRightInd w:val="0"/>
              <w:snapToGrid w:val="0"/>
              <w:spacing w:line="300" w:lineRule="auto"/>
              <w:ind w:leftChars="-9" w:left="-22"/>
              <w:jc w:val="both"/>
              <w:rPr>
                <w:sz w:val="24"/>
              </w:rPr>
            </w:pPr>
            <w:r w:rsidRPr="000C5495">
              <w:rPr>
                <w:rFonts w:hint="eastAsia"/>
                <w:sz w:val="24"/>
              </w:rPr>
              <w:lastRenderedPageBreak/>
              <w:t xml:space="preserve">    </w:t>
            </w:r>
            <w:r w:rsidRPr="000C5495">
              <w:rPr>
                <w:rFonts w:hint="eastAsia"/>
                <w:sz w:val="24"/>
              </w:rPr>
              <w:t>第九條第二項所稱商品風險揭露，應記載包括但不限於下列事項：</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一、連結標的風險：如標的資產的市場價格風險等項目。</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二、其他風險：如交易提前終止風險、利率風險、流動性風險、信用風險、匯兌風險、國家風險、賦税風險、法律風險及再投資風險等項目。</w:t>
            </w:r>
          </w:p>
          <w:p w:rsidR="004C2146" w:rsidRPr="000C5495" w:rsidRDefault="004C2146" w:rsidP="00B45A6B">
            <w:pPr>
              <w:pStyle w:val="aa"/>
              <w:kinsoku w:val="0"/>
              <w:adjustRightInd w:val="0"/>
              <w:snapToGrid w:val="0"/>
              <w:spacing w:line="300" w:lineRule="auto"/>
              <w:ind w:leftChars="-9" w:left="-22" w:firstLineChars="200" w:firstLine="480"/>
              <w:jc w:val="both"/>
              <w:rPr>
                <w:sz w:val="24"/>
              </w:rPr>
            </w:pPr>
            <w:r w:rsidRPr="000C5495">
              <w:rPr>
                <w:rFonts w:hint="eastAsia"/>
                <w:sz w:val="24"/>
              </w:rPr>
              <w:t>交易提前終止風險應特別記載交易提前終止風險提示：「本商品到期前如申請提前終止，將導致您可領回金額低於原始投資金額（在最壞情形下，領回金額甚至可能為零），或者根本無法進行提前終止。」</w:t>
            </w:r>
          </w:p>
          <w:p w:rsidR="004C2146" w:rsidRPr="000C5495" w:rsidRDefault="004C2146" w:rsidP="00B45A6B">
            <w:pPr>
              <w:pStyle w:val="aa"/>
              <w:kinsoku w:val="0"/>
              <w:adjustRightInd w:val="0"/>
              <w:snapToGrid w:val="0"/>
              <w:spacing w:line="300" w:lineRule="auto"/>
              <w:ind w:leftChars="-9" w:left="-22"/>
              <w:jc w:val="both"/>
              <w:rPr>
                <w:sz w:val="24"/>
              </w:rPr>
            </w:pPr>
            <w:r w:rsidRPr="000C5495">
              <w:rPr>
                <w:rFonts w:hint="eastAsia"/>
                <w:sz w:val="24"/>
              </w:rPr>
              <w:t xml:space="preserve">    </w:t>
            </w:r>
            <w:r w:rsidRPr="000C5495">
              <w:rPr>
                <w:rFonts w:hint="eastAsia"/>
                <w:sz w:val="24"/>
              </w:rPr>
              <w:t>除應遵守前項各類風險揭露外，槓桿交易商應於交易文件中提醒客戶</w:t>
            </w:r>
            <w:proofErr w:type="gramStart"/>
            <w:r w:rsidRPr="000C5495">
              <w:rPr>
                <w:rFonts w:hint="eastAsia"/>
                <w:sz w:val="24"/>
              </w:rPr>
              <w:t>承作</w:t>
            </w:r>
            <w:proofErr w:type="gramEnd"/>
            <w:r w:rsidRPr="000C5495">
              <w:rPr>
                <w:rFonts w:hint="eastAsia"/>
                <w:sz w:val="24"/>
              </w:rPr>
              <w:t>本商品之重要注意事項如下：</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一、結構型商品依商品設計或條件不同，客戶所暴露之風險程度可能不同，如為現金交割，可能發生部分或全部利息、本金減損或其他損失之風險；如為非現金交割，則可能發生本金將依約定</w:t>
            </w:r>
            <w:proofErr w:type="gramStart"/>
            <w:r w:rsidRPr="000C5495">
              <w:rPr>
                <w:rFonts w:hint="eastAsia"/>
                <w:sz w:val="24"/>
              </w:rPr>
              <w:t>轉換成標的</w:t>
            </w:r>
            <w:proofErr w:type="gramEnd"/>
            <w:r w:rsidRPr="000C5495">
              <w:rPr>
                <w:rFonts w:hint="eastAsia"/>
                <w:sz w:val="24"/>
              </w:rPr>
              <w:t>資產之情事，可能必須承擔槓桿交易商及標的資產發行人之信用風險。</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二、影響衍生性金融商品價格變動之因素極為複雜，槓桿交易商所揭露之風險預告事項係列舉大端，對於交易風險與影響市場行情的因素或許無法詳盡描述，因此應提醒客戶於交易前仍應充分瞭解結構型商品之性質，及相關之財務、會計、稅制或法律等事宜，自行審度本身財務狀況及風險承受度，始決定是否進行投資。</w:t>
            </w:r>
          </w:p>
          <w:p w:rsidR="004C2146" w:rsidRPr="000C5495" w:rsidRDefault="004C2146" w:rsidP="00C12FDF">
            <w:pPr>
              <w:pStyle w:val="aa"/>
              <w:kinsoku w:val="0"/>
              <w:adjustRightInd w:val="0"/>
              <w:snapToGrid w:val="0"/>
              <w:spacing w:line="300" w:lineRule="auto"/>
              <w:ind w:leftChars="-9" w:left="482" w:hangingChars="210" w:hanging="504"/>
              <w:jc w:val="both"/>
              <w:rPr>
                <w:sz w:val="24"/>
              </w:rPr>
            </w:pPr>
          </w:p>
        </w:tc>
      </w:tr>
      <w:tr w:rsidR="004C2146" w:rsidRPr="000C5495" w:rsidTr="004C2146">
        <w:trPr>
          <w:trHeight w:val="535"/>
        </w:trPr>
        <w:tc>
          <w:tcPr>
            <w:tcW w:w="9918" w:type="dxa"/>
          </w:tcPr>
          <w:p w:rsidR="004C2146" w:rsidRPr="000C5495" w:rsidRDefault="004C2146" w:rsidP="00B45A6B">
            <w:pPr>
              <w:pStyle w:val="aa"/>
              <w:kinsoku w:val="0"/>
              <w:adjustRightInd w:val="0"/>
              <w:snapToGrid w:val="0"/>
              <w:spacing w:line="300" w:lineRule="auto"/>
              <w:ind w:left="0"/>
              <w:jc w:val="both"/>
              <w:rPr>
                <w:sz w:val="24"/>
              </w:rPr>
            </w:pPr>
            <w:r w:rsidRPr="000C5495">
              <w:rPr>
                <w:rFonts w:hint="eastAsia"/>
                <w:sz w:val="24"/>
              </w:rPr>
              <w:lastRenderedPageBreak/>
              <w:t>第十二條</w:t>
            </w:r>
          </w:p>
          <w:p w:rsidR="004C2146" w:rsidRPr="000C5495" w:rsidRDefault="004C2146" w:rsidP="00B45A6B">
            <w:pPr>
              <w:pStyle w:val="aa"/>
              <w:kinsoku w:val="0"/>
              <w:adjustRightInd w:val="0"/>
              <w:snapToGrid w:val="0"/>
              <w:spacing w:line="300" w:lineRule="auto"/>
              <w:ind w:left="0"/>
              <w:jc w:val="both"/>
              <w:rPr>
                <w:sz w:val="24"/>
              </w:rPr>
            </w:pPr>
            <w:r w:rsidRPr="000C5495">
              <w:rPr>
                <w:rFonts w:hint="eastAsia"/>
                <w:sz w:val="24"/>
              </w:rPr>
              <w:t xml:space="preserve">    </w:t>
            </w:r>
            <w:r w:rsidRPr="000C5495">
              <w:rPr>
                <w:rFonts w:hint="eastAsia"/>
                <w:sz w:val="24"/>
              </w:rPr>
              <w:t>槓桿交易商向一般客戶提供結構型商品服務應編製不超過四頁且內文至少不得小於</w:t>
            </w:r>
            <w:r w:rsidRPr="000C5495">
              <w:rPr>
                <w:rFonts w:hint="eastAsia"/>
                <w:sz w:val="24"/>
              </w:rPr>
              <w:t>12</w:t>
            </w:r>
            <w:r w:rsidRPr="000C5495">
              <w:rPr>
                <w:rFonts w:hint="eastAsia"/>
                <w:sz w:val="24"/>
              </w:rPr>
              <w:t>字體之中文客戶須知，並提供客戶。</w:t>
            </w:r>
          </w:p>
          <w:p w:rsidR="004C2146" w:rsidRPr="000C5495" w:rsidRDefault="004C2146" w:rsidP="00B45A6B">
            <w:pPr>
              <w:pStyle w:val="aa"/>
              <w:kinsoku w:val="0"/>
              <w:adjustRightInd w:val="0"/>
              <w:snapToGrid w:val="0"/>
              <w:spacing w:line="300" w:lineRule="auto"/>
              <w:ind w:left="0"/>
              <w:jc w:val="both"/>
              <w:rPr>
                <w:sz w:val="24"/>
              </w:rPr>
            </w:pPr>
          </w:p>
        </w:tc>
      </w:tr>
      <w:tr w:rsidR="004C2146" w:rsidRPr="000C5495" w:rsidTr="004C2146">
        <w:trPr>
          <w:trHeight w:val="535"/>
        </w:trPr>
        <w:tc>
          <w:tcPr>
            <w:tcW w:w="9918" w:type="dxa"/>
          </w:tcPr>
          <w:p w:rsidR="004C2146" w:rsidRPr="000C5495" w:rsidRDefault="004C2146" w:rsidP="00B45A6B">
            <w:pPr>
              <w:pStyle w:val="aa"/>
              <w:kinsoku w:val="0"/>
              <w:adjustRightInd w:val="0"/>
              <w:snapToGrid w:val="0"/>
              <w:spacing w:line="300" w:lineRule="auto"/>
              <w:ind w:left="0"/>
              <w:jc w:val="both"/>
              <w:rPr>
                <w:sz w:val="24"/>
              </w:rPr>
            </w:pPr>
            <w:r w:rsidRPr="000C5495">
              <w:rPr>
                <w:rFonts w:hint="eastAsia"/>
                <w:sz w:val="24"/>
              </w:rPr>
              <w:t>第十三條</w:t>
            </w:r>
          </w:p>
          <w:p w:rsidR="004C2146" w:rsidRPr="000C5495" w:rsidRDefault="004C2146" w:rsidP="00B45A6B">
            <w:pPr>
              <w:pStyle w:val="aa"/>
              <w:kinsoku w:val="0"/>
              <w:adjustRightInd w:val="0"/>
              <w:snapToGrid w:val="0"/>
              <w:spacing w:line="300" w:lineRule="auto"/>
              <w:ind w:left="0"/>
              <w:jc w:val="both"/>
              <w:rPr>
                <w:sz w:val="24"/>
              </w:rPr>
            </w:pPr>
            <w:r w:rsidRPr="000C5495">
              <w:rPr>
                <w:rFonts w:hint="eastAsia"/>
                <w:sz w:val="24"/>
              </w:rPr>
              <w:t xml:space="preserve">    </w:t>
            </w:r>
            <w:r w:rsidRPr="000C5495">
              <w:rPr>
                <w:rFonts w:hint="eastAsia"/>
                <w:sz w:val="24"/>
              </w:rPr>
              <w:t>前條所稱客戶須知應至少記載下列事項：</w:t>
            </w:r>
          </w:p>
          <w:p w:rsidR="004C2146" w:rsidRPr="000C5495" w:rsidRDefault="004C2146" w:rsidP="004C2146">
            <w:pPr>
              <w:pStyle w:val="aa"/>
              <w:kinsoku w:val="0"/>
              <w:adjustRightInd w:val="0"/>
              <w:snapToGrid w:val="0"/>
              <w:spacing w:line="300" w:lineRule="auto"/>
              <w:ind w:leftChars="224" w:left="538"/>
              <w:jc w:val="both"/>
              <w:rPr>
                <w:sz w:val="24"/>
              </w:rPr>
            </w:pPr>
            <w:r w:rsidRPr="000C5495">
              <w:rPr>
                <w:rFonts w:hint="eastAsia"/>
                <w:sz w:val="24"/>
              </w:rPr>
              <w:t>一、商品內容摘要。</w:t>
            </w:r>
          </w:p>
          <w:p w:rsidR="004C2146" w:rsidRPr="000C5495" w:rsidRDefault="004C2146" w:rsidP="004C2146">
            <w:pPr>
              <w:pStyle w:val="aa"/>
              <w:kinsoku w:val="0"/>
              <w:adjustRightInd w:val="0"/>
              <w:snapToGrid w:val="0"/>
              <w:spacing w:line="300" w:lineRule="auto"/>
              <w:ind w:leftChars="224" w:left="538"/>
              <w:jc w:val="both"/>
              <w:rPr>
                <w:sz w:val="24"/>
              </w:rPr>
            </w:pPr>
            <w:r w:rsidRPr="000C5495">
              <w:rPr>
                <w:rFonts w:hint="eastAsia"/>
                <w:sz w:val="24"/>
              </w:rPr>
              <w:t>二、投資風險說明。</w:t>
            </w:r>
          </w:p>
          <w:p w:rsidR="004C2146" w:rsidRPr="000C5495" w:rsidRDefault="004C2146" w:rsidP="004C2146">
            <w:pPr>
              <w:pStyle w:val="aa"/>
              <w:kinsoku w:val="0"/>
              <w:adjustRightInd w:val="0"/>
              <w:snapToGrid w:val="0"/>
              <w:spacing w:line="300" w:lineRule="auto"/>
              <w:ind w:leftChars="224" w:left="538"/>
              <w:jc w:val="both"/>
              <w:rPr>
                <w:sz w:val="24"/>
              </w:rPr>
            </w:pPr>
            <w:r w:rsidRPr="000C5495">
              <w:rPr>
                <w:rFonts w:hint="eastAsia"/>
                <w:sz w:val="24"/>
              </w:rPr>
              <w:t>三、市價評估說明。</w:t>
            </w:r>
          </w:p>
          <w:p w:rsidR="004C2146" w:rsidRPr="000C5495" w:rsidRDefault="004C2146" w:rsidP="004C2146">
            <w:pPr>
              <w:pStyle w:val="aa"/>
              <w:kinsoku w:val="0"/>
              <w:adjustRightInd w:val="0"/>
              <w:snapToGrid w:val="0"/>
              <w:spacing w:line="300" w:lineRule="auto"/>
              <w:ind w:leftChars="224" w:left="538"/>
              <w:jc w:val="both"/>
              <w:rPr>
                <w:sz w:val="24"/>
              </w:rPr>
            </w:pPr>
            <w:r w:rsidRPr="000C5495">
              <w:rPr>
                <w:rFonts w:hint="eastAsia"/>
                <w:sz w:val="24"/>
              </w:rPr>
              <w:t>四、交易糾紛申訴管道。</w:t>
            </w:r>
          </w:p>
          <w:p w:rsidR="004C2146" w:rsidRPr="000C5495" w:rsidRDefault="004C2146" w:rsidP="00B45A6B">
            <w:pPr>
              <w:pStyle w:val="aa"/>
              <w:kinsoku w:val="0"/>
              <w:adjustRightInd w:val="0"/>
              <w:snapToGrid w:val="0"/>
              <w:spacing w:line="300" w:lineRule="auto"/>
              <w:ind w:left="0"/>
              <w:jc w:val="both"/>
              <w:rPr>
                <w:sz w:val="24"/>
              </w:rPr>
            </w:pPr>
          </w:p>
        </w:tc>
      </w:tr>
      <w:tr w:rsidR="004C2146" w:rsidRPr="000C5495" w:rsidTr="004C2146">
        <w:trPr>
          <w:trHeight w:val="535"/>
        </w:trPr>
        <w:tc>
          <w:tcPr>
            <w:tcW w:w="9918" w:type="dxa"/>
          </w:tcPr>
          <w:p w:rsidR="004C2146" w:rsidRPr="000C5495" w:rsidRDefault="004C2146" w:rsidP="00B45A6B">
            <w:pPr>
              <w:pStyle w:val="aa"/>
              <w:kinsoku w:val="0"/>
              <w:adjustRightInd w:val="0"/>
              <w:snapToGrid w:val="0"/>
              <w:spacing w:line="300" w:lineRule="auto"/>
              <w:ind w:left="0"/>
              <w:jc w:val="both"/>
              <w:rPr>
                <w:sz w:val="24"/>
              </w:rPr>
            </w:pPr>
            <w:r w:rsidRPr="000C5495">
              <w:rPr>
                <w:rFonts w:hint="eastAsia"/>
                <w:sz w:val="24"/>
              </w:rPr>
              <w:t>第十四條</w:t>
            </w:r>
          </w:p>
          <w:p w:rsidR="004C2146" w:rsidRPr="000C5495" w:rsidRDefault="004C2146" w:rsidP="00B45A6B">
            <w:pPr>
              <w:pStyle w:val="aa"/>
              <w:kinsoku w:val="0"/>
              <w:adjustRightInd w:val="0"/>
              <w:snapToGrid w:val="0"/>
              <w:spacing w:line="300" w:lineRule="auto"/>
              <w:ind w:leftChars="-9" w:left="-22"/>
              <w:jc w:val="both"/>
              <w:rPr>
                <w:sz w:val="24"/>
              </w:rPr>
            </w:pPr>
            <w:r w:rsidRPr="000C5495">
              <w:rPr>
                <w:rFonts w:hint="eastAsia"/>
                <w:sz w:val="24"/>
              </w:rPr>
              <w:t xml:space="preserve">    </w:t>
            </w:r>
            <w:r w:rsidRPr="000C5495">
              <w:rPr>
                <w:rFonts w:hint="eastAsia"/>
                <w:sz w:val="24"/>
              </w:rPr>
              <w:t>客戶須知應載明結構型商品之名稱以及下列警語，置於「客戶須知」明顯易見之處，並以粗黑或紅色字體刊印：</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一、本商品風險程度為</w:t>
            </w:r>
            <w:proofErr w:type="gramStart"/>
            <w:r w:rsidRPr="000C5495">
              <w:rPr>
                <w:rFonts w:hint="eastAsia"/>
                <w:sz w:val="24"/>
              </w:rPr>
              <w:t>＿＿＿</w:t>
            </w:r>
            <w:proofErr w:type="gramEnd"/>
            <w:r w:rsidRPr="000C5495">
              <w:rPr>
                <w:rFonts w:hint="eastAsia"/>
                <w:sz w:val="24"/>
              </w:rPr>
              <w:t>，銷售對象之風險等級為</w:t>
            </w:r>
            <w:proofErr w:type="gramStart"/>
            <w:r w:rsidRPr="000C5495">
              <w:rPr>
                <w:rFonts w:hint="eastAsia"/>
                <w:sz w:val="24"/>
              </w:rPr>
              <w:t>＿＿</w:t>
            </w:r>
            <w:proofErr w:type="gramEnd"/>
            <w:r w:rsidRPr="000C5495">
              <w:rPr>
                <w:rFonts w:hint="eastAsia"/>
                <w:sz w:val="24"/>
              </w:rPr>
              <w:t>。</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二、本商品係複雜金融商品，必須經過專人解說後再進行投資。　貴客戶如果無法充分理</w:t>
            </w:r>
            <w:r w:rsidRPr="000C5495">
              <w:rPr>
                <w:rFonts w:hint="eastAsia"/>
                <w:sz w:val="24"/>
              </w:rPr>
              <w:lastRenderedPageBreak/>
              <w:t>解本商品，請勿投資。</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三、本商品並非存款，而係一項投資，投資不受存款保險之保障。</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四、貴客戶申請投資前應詳閱產品說明書及風險預告書，並應自行了解判斷並自負盈虧。</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五、貴客戶應自行負擔本商品之市場風險及槓桿交易商之信用風險，最大可能損失為全部投資本金。</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六、貴客戶未清楚瞭解產品說明書、契約條款及所有文件內容前，請勿於相關文件簽名或蓋章。</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七、貴客戶提前終止可能導致可領回金額低於投資本金。</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八、應說明該商品之審閱期或對無須提供審閱期之商品加</w:t>
            </w:r>
            <w:proofErr w:type="gramStart"/>
            <w:r w:rsidRPr="000C5495">
              <w:rPr>
                <w:rFonts w:hint="eastAsia"/>
                <w:sz w:val="24"/>
              </w:rPr>
              <w:t>註</w:t>
            </w:r>
            <w:proofErr w:type="gramEnd"/>
            <w:r w:rsidRPr="000C5495">
              <w:rPr>
                <w:rFonts w:hint="eastAsia"/>
                <w:sz w:val="24"/>
              </w:rPr>
              <w:t>說明。</w:t>
            </w:r>
          </w:p>
          <w:p w:rsidR="004C2146" w:rsidRPr="000C5495" w:rsidRDefault="004C2146" w:rsidP="00B45A6B">
            <w:pPr>
              <w:pStyle w:val="aa"/>
              <w:kinsoku w:val="0"/>
              <w:adjustRightInd w:val="0"/>
              <w:snapToGrid w:val="0"/>
              <w:spacing w:line="300" w:lineRule="auto"/>
              <w:ind w:leftChars="-9" w:left="482" w:hangingChars="210" w:hanging="504"/>
              <w:jc w:val="both"/>
              <w:rPr>
                <w:sz w:val="24"/>
              </w:rPr>
            </w:pPr>
          </w:p>
        </w:tc>
      </w:tr>
      <w:tr w:rsidR="004C2146" w:rsidRPr="000C5495" w:rsidTr="004C2146">
        <w:trPr>
          <w:trHeight w:val="535"/>
        </w:trPr>
        <w:tc>
          <w:tcPr>
            <w:tcW w:w="9918" w:type="dxa"/>
          </w:tcPr>
          <w:p w:rsidR="004C2146" w:rsidRPr="000C5495" w:rsidRDefault="004C2146" w:rsidP="00B45A6B">
            <w:pPr>
              <w:pStyle w:val="aa"/>
              <w:kinsoku w:val="0"/>
              <w:adjustRightInd w:val="0"/>
              <w:snapToGrid w:val="0"/>
              <w:spacing w:line="300" w:lineRule="auto"/>
              <w:ind w:left="0"/>
              <w:jc w:val="both"/>
              <w:rPr>
                <w:sz w:val="24"/>
              </w:rPr>
            </w:pPr>
            <w:r w:rsidRPr="000C5495">
              <w:rPr>
                <w:rFonts w:hint="eastAsia"/>
                <w:sz w:val="24"/>
              </w:rPr>
              <w:lastRenderedPageBreak/>
              <w:t>第十五條</w:t>
            </w:r>
          </w:p>
          <w:p w:rsidR="004C2146" w:rsidRPr="000C5495" w:rsidRDefault="004C2146" w:rsidP="00B45A6B">
            <w:pPr>
              <w:pStyle w:val="aa"/>
              <w:kinsoku w:val="0"/>
              <w:adjustRightInd w:val="0"/>
              <w:snapToGrid w:val="0"/>
              <w:spacing w:line="300" w:lineRule="auto"/>
              <w:ind w:leftChars="-9" w:left="-22"/>
              <w:jc w:val="both"/>
              <w:rPr>
                <w:sz w:val="24"/>
              </w:rPr>
            </w:pPr>
            <w:r w:rsidRPr="000C5495">
              <w:rPr>
                <w:rFonts w:hint="eastAsia"/>
                <w:sz w:val="24"/>
              </w:rPr>
              <w:t xml:space="preserve">    </w:t>
            </w:r>
            <w:r w:rsidRPr="000C5495">
              <w:rPr>
                <w:rFonts w:hint="eastAsia"/>
                <w:sz w:val="24"/>
              </w:rPr>
              <w:t>客戶須知應載明結構型商品事項如下：</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一、商品簡介：商品中文名稱、計價幣別、計價幣別到期本金</w:t>
            </w:r>
            <w:proofErr w:type="gramStart"/>
            <w:r w:rsidRPr="000C5495">
              <w:rPr>
                <w:rFonts w:hint="eastAsia"/>
                <w:sz w:val="24"/>
              </w:rPr>
              <w:t>保本率</w:t>
            </w:r>
            <w:proofErr w:type="gramEnd"/>
            <w:r w:rsidRPr="000C5495">
              <w:rPr>
                <w:rFonts w:hint="eastAsia"/>
                <w:sz w:val="24"/>
              </w:rPr>
              <w:t>、交易日</w:t>
            </w:r>
            <w:r w:rsidRPr="000C5495">
              <w:rPr>
                <w:rFonts w:hint="eastAsia"/>
                <w:sz w:val="24"/>
              </w:rPr>
              <w:t>/</w:t>
            </w:r>
            <w:r w:rsidRPr="000C5495">
              <w:rPr>
                <w:rFonts w:hint="eastAsia"/>
                <w:sz w:val="24"/>
              </w:rPr>
              <w:t>生效日</w:t>
            </w:r>
            <w:r w:rsidRPr="000C5495">
              <w:rPr>
                <w:rFonts w:hint="eastAsia"/>
                <w:sz w:val="24"/>
              </w:rPr>
              <w:t>/</w:t>
            </w:r>
            <w:r w:rsidRPr="000C5495">
              <w:rPr>
                <w:rFonts w:hint="eastAsia"/>
                <w:sz w:val="24"/>
              </w:rPr>
              <w:t>到期日等。</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二、連結標的類別或資產。</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三、客戶應負擔的各項費用</w:t>
            </w:r>
            <w:r w:rsidRPr="000C5495">
              <w:rPr>
                <w:rFonts w:hint="eastAsia"/>
                <w:sz w:val="24"/>
              </w:rPr>
              <w:t>(</w:t>
            </w:r>
            <w:r w:rsidRPr="000C5495">
              <w:rPr>
                <w:rFonts w:hint="eastAsia"/>
                <w:sz w:val="24"/>
              </w:rPr>
              <w:t>如有適用</w:t>
            </w:r>
            <w:r w:rsidRPr="000C5495">
              <w:rPr>
                <w:rFonts w:hint="eastAsia"/>
                <w:sz w:val="24"/>
              </w:rPr>
              <w:t>)</w:t>
            </w:r>
            <w:r w:rsidRPr="000C5495">
              <w:rPr>
                <w:rFonts w:hint="eastAsia"/>
                <w:sz w:val="24"/>
              </w:rPr>
              <w:t>與其收取方式，例如：申請投資或提前終止之手續費或處理費用、及其他費用等。</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四、投資收益本息給付及其計算方式。</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五、說明交易如有提前到期約定時之條件、結算應付款數額之金額或計算方式。</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六、對於交易條件標準化之商品，應說明後續受理提前終止交易的時間，最低投資金額、最低增加投資金額、各項費用的表列（若有）、及交易不成立之情形。</w:t>
            </w:r>
          </w:p>
          <w:p w:rsidR="004C2146" w:rsidRPr="000C5495" w:rsidRDefault="004C2146" w:rsidP="00B45A6B">
            <w:pPr>
              <w:pStyle w:val="aa"/>
              <w:kinsoku w:val="0"/>
              <w:adjustRightInd w:val="0"/>
              <w:snapToGrid w:val="0"/>
              <w:spacing w:line="300" w:lineRule="auto"/>
              <w:ind w:leftChars="-9" w:left="482" w:hangingChars="210" w:hanging="504"/>
              <w:jc w:val="both"/>
              <w:rPr>
                <w:sz w:val="24"/>
              </w:rPr>
            </w:pPr>
          </w:p>
        </w:tc>
      </w:tr>
      <w:tr w:rsidR="004C2146" w:rsidRPr="000C5495" w:rsidTr="004C2146">
        <w:trPr>
          <w:trHeight w:val="535"/>
        </w:trPr>
        <w:tc>
          <w:tcPr>
            <w:tcW w:w="9918" w:type="dxa"/>
          </w:tcPr>
          <w:p w:rsidR="004C2146" w:rsidRPr="000C5495" w:rsidRDefault="004C2146" w:rsidP="00B45A6B">
            <w:pPr>
              <w:pStyle w:val="aa"/>
              <w:kinsoku w:val="0"/>
              <w:adjustRightInd w:val="0"/>
              <w:snapToGrid w:val="0"/>
              <w:spacing w:line="300" w:lineRule="auto"/>
              <w:ind w:left="0"/>
              <w:jc w:val="both"/>
              <w:rPr>
                <w:sz w:val="24"/>
              </w:rPr>
            </w:pPr>
            <w:r w:rsidRPr="000C5495">
              <w:rPr>
                <w:rFonts w:hint="eastAsia"/>
                <w:sz w:val="24"/>
              </w:rPr>
              <w:t>第十六條</w:t>
            </w:r>
          </w:p>
          <w:p w:rsidR="004C2146" w:rsidRPr="000C5495" w:rsidRDefault="004C2146" w:rsidP="00B45A6B">
            <w:pPr>
              <w:pStyle w:val="aa"/>
              <w:kinsoku w:val="0"/>
              <w:adjustRightInd w:val="0"/>
              <w:snapToGrid w:val="0"/>
              <w:spacing w:line="300" w:lineRule="auto"/>
              <w:ind w:leftChars="-9" w:left="-22"/>
              <w:jc w:val="both"/>
              <w:rPr>
                <w:sz w:val="24"/>
              </w:rPr>
            </w:pPr>
            <w:r w:rsidRPr="000C5495">
              <w:rPr>
                <w:rFonts w:hint="eastAsia"/>
                <w:sz w:val="24"/>
              </w:rPr>
              <w:t xml:space="preserve">    </w:t>
            </w:r>
            <w:r w:rsidRPr="000C5495">
              <w:rPr>
                <w:rFonts w:hint="eastAsia"/>
                <w:sz w:val="24"/>
              </w:rPr>
              <w:t>客戶須知揭露結構型商品各類投資風險之說明，應包含下列內容：</w:t>
            </w:r>
          </w:p>
          <w:p w:rsidR="004C2146" w:rsidRPr="000C5495" w:rsidRDefault="004C2146" w:rsidP="004C2146">
            <w:pPr>
              <w:pStyle w:val="aa"/>
              <w:kinsoku w:val="0"/>
              <w:adjustRightInd w:val="0"/>
              <w:snapToGrid w:val="0"/>
              <w:spacing w:line="300" w:lineRule="auto"/>
              <w:ind w:leftChars="200" w:left="965" w:hangingChars="202" w:hanging="485"/>
              <w:jc w:val="both"/>
              <w:rPr>
                <w:sz w:val="24"/>
              </w:rPr>
            </w:pPr>
            <w:r w:rsidRPr="000C5495">
              <w:rPr>
                <w:rFonts w:hint="eastAsia"/>
                <w:sz w:val="24"/>
              </w:rPr>
              <w:t>一、連結標的風險：如標的資產的市場價格風險等項目。</w:t>
            </w:r>
          </w:p>
          <w:p w:rsidR="004C2146" w:rsidRPr="000C5495" w:rsidRDefault="004C2146" w:rsidP="004C2146">
            <w:pPr>
              <w:pStyle w:val="aa"/>
              <w:kinsoku w:val="0"/>
              <w:adjustRightInd w:val="0"/>
              <w:snapToGrid w:val="0"/>
              <w:spacing w:line="300" w:lineRule="auto"/>
              <w:ind w:leftChars="200" w:left="965" w:hangingChars="202" w:hanging="485"/>
              <w:jc w:val="both"/>
              <w:rPr>
                <w:sz w:val="24"/>
              </w:rPr>
            </w:pPr>
            <w:r w:rsidRPr="000C5495">
              <w:rPr>
                <w:rFonts w:hint="eastAsia"/>
                <w:sz w:val="24"/>
              </w:rPr>
              <w:t>二、其他風險：以列舉方式告知各類次要風險項目，如交易提前終止風險、利率風險、流動性風險、信用風險、匯兌風險、國家風險、賦稅風險、法律風險及再投資風險等項目。</w:t>
            </w:r>
          </w:p>
          <w:p w:rsidR="004C2146" w:rsidRPr="000C5495" w:rsidRDefault="004C2146" w:rsidP="00B45A6B">
            <w:pPr>
              <w:pStyle w:val="aa"/>
              <w:kinsoku w:val="0"/>
              <w:adjustRightInd w:val="0"/>
              <w:snapToGrid w:val="0"/>
              <w:spacing w:line="300" w:lineRule="auto"/>
              <w:ind w:leftChars="-9" w:left="-22" w:firstLineChars="200" w:firstLine="480"/>
              <w:jc w:val="both"/>
              <w:rPr>
                <w:sz w:val="24"/>
              </w:rPr>
            </w:pPr>
            <w:r w:rsidRPr="000C5495">
              <w:rPr>
                <w:rFonts w:hint="eastAsia"/>
                <w:sz w:val="24"/>
              </w:rPr>
              <w:t>交易提前終止風險應特別記載交易提前終止風險提示：「本商品到期前如申請提前終止，將導致您可領回金額低於原始投資金額（在最壞情形下，領回金額甚至可能為零），或者根本無法進行提前終止。」</w:t>
            </w:r>
          </w:p>
          <w:p w:rsidR="004C2146" w:rsidRPr="000C5495" w:rsidRDefault="004C2146" w:rsidP="00B45A6B">
            <w:pPr>
              <w:pStyle w:val="aa"/>
              <w:kinsoku w:val="0"/>
              <w:adjustRightInd w:val="0"/>
              <w:snapToGrid w:val="0"/>
              <w:spacing w:line="300" w:lineRule="auto"/>
              <w:ind w:left="0"/>
              <w:jc w:val="both"/>
              <w:rPr>
                <w:sz w:val="24"/>
              </w:rPr>
            </w:pPr>
            <w:r w:rsidRPr="000C5495">
              <w:rPr>
                <w:rFonts w:hint="eastAsia"/>
                <w:sz w:val="24"/>
              </w:rPr>
              <w:t xml:space="preserve">    </w:t>
            </w:r>
            <w:r w:rsidRPr="000C5495">
              <w:rPr>
                <w:rFonts w:hint="eastAsia"/>
                <w:sz w:val="24"/>
              </w:rPr>
              <w:t>除前項風險說明內容外，如有其他對客戶有重大影響之事項，應揭露相關投資風險。</w:t>
            </w:r>
          </w:p>
          <w:p w:rsidR="004C2146" w:rsidRPr="000C5495" w:rsidRDefault="004C2146" w:rsidP="00B45A6B">
            <w:pPr>
              <w:pStyle w:val="aa"/>
              <w:kinsoku w:val="0"/>
              <w:adjustRightInd w:val="0"/>
              <w:snapToGrid w:val="0"/>
              <w:spacing w:line="300" w:lineRule="auto"/>
              <w:ind w:left="0"/>
              <w:jc w:val="both"/>
              <w:rPr>
                <w:sz w:val="24"/>
              </w:rPr>
            </w:pPr>
          </w:p>
        </w:tc>
      </w:tr>
      <w:tr w:rsidR="004C2146" w:rsidRPr="000C5495" w:rsidTr="004C2146">
        <w:trPr>
          <w:trHeight w:val="535"/>
        </w:trPr>
        <w:tc>
          <w:tcPr>
            <w:tcW w:w="9918" w:type="dxa"/>
          </w:tcPr>
          <w:p w:rsidR="004C2146" w:rsidRPr="000C5495" w:rsidRDefault="004C2146" w:rsidP="00B45A6B">
            <w:pPr>
              <w:pStyle w:val="aa"/>
              <w:kinsoku w:val="0"/>
              <w:adjustRightInd w:val="0"/>
              <w:snapToGrid w:val="0"/>
              <w:spacing w:line="300" w:lineRule="auto"/>
              <w:ind w:left="0"/>
              <w:jc w:val="both"/>
              <w:rPr>
                <w:sz w:val="24"/>
              </w:rPr>
            </w:pPr>
            <w:r w:rsidRPr="000C5495">
              <w:rPr>
                <w:rFonts w:hint="eastAsia"/>
                <w:sz w:val="24"/>
              </w:rPr>
              <w:t>第十七條</w:t>
            </w:r>
          </w:p>
          <w:p w:rsidR="004C2146" w:rsidRPr="000C5495" w:rsidRDefault="004C2146" w:rsidP="00B45A6B">
            <w:pPr>
              <w:pStyle w:val="aa"/>
              <w:kinsoku w:val="0"/>
              <w:adjustRightInd w:val="0"/>
              <w:snapToGrid w:val="0"/>
              <w:spacing w:line="300" w:lineRule="auto"/>
              <w:ind w:leftChars="-9" w:left="-22"/>
              <w:jc w:val="both"/>
              <w:rPr>
                <w:sz w:val="24"/>
              </w:rPr>
            </w:pPr>
            <w:r w:rsidRPr="000C5495">
              <w:rPr>
                <w:rFonts w:hint="eastAsia"/>
                <w:sz w:val="24"/>
              </w:rPr>
              <w:lastRenderedPageBreak/>
              <w:t xml:space="preserve">    </w:t>
            </w:r>
            <w:r w:rsidRPr="000C5495">
              <w:rPr>
                <w:rFonts w:hint="eastAsia"/>
                <w:sz w:val="24"/>
              </w:rPr>
              <w:t>客戶須知應載明槓桿交易商將提供交易確認書、對</w:t>
            </w:r>
            <w:proofErr w:type="gramStart"/>
            <w:r w:rsidRPr="000C5495">
              <w:rPr>
                <w:rFonts w:hint="eastAsia"/>
                <w:sz w:val="24"/>
              </w:rPr>
              <w:t>帳單</w:t>
            </w:r>
            <w:proofErr w:type="gramEnd"/>
            <w:r w:rsidRPr="000C5495">
              <w:rPr>
                <w:rFonts w:hint="eastAsia"/>
                <w:sz w:val="24"/>
              </w:rPr>
              <w:t>或其他證明文件予客戶，並說明提供予客戶之市價評估資訊僅提供客戶參考，客戶若欲提前終止交易，得領取之金額應依產品說明書或其他相關交易文件所載交易提前終止之計算方式為</w:t>
            </w:r>
            <w:proofErr w:type="gramStart"/>
            <w:r w:rsidRPr="000C5495">
              <w:rPr>
                <w:rFonts w:hint="eastAsia"/>
                <w:sz w:val="24"/>
              </w:rPr>
              <w:t>準</w:t>
            </w:r>
            <w:proofErr w:type="gramEnd"/>
            <w:r w:rsidRPr="000C5495">
              <w:rPr>
                <w:rFonts w:hint="eastAsia"/>
                <w:sz w:val="24"/>
              </w:rPr>
              <w:t>。</w:t>
            </w:r>
          </w:p>
          <w:p w:rsidR="004C2146" w:rsidRPr="000C5495" w:rsidRDefault="004C2146" w:rsidP="00B45A6B">
            <w:pPr>
              <w:pStyle w:val="aa"/>
              <w:kinsoku w:val="0"/>
              <w:adjustRightInd w:val="0"/>
              <w:snapToGrid w:val="0"/>
              <w:spacing w:line="300" w:lineRule="auto"/>
              <w:ind w:leftChars="-9" w:left="-22"/>
              <w:jc w:val="both"/>
              <w:rPr>
                <w:sz w:val="24"/>
              </w:rPr>
            </w:pPr>
          </w:p>
        </w:tc>
      </w:tr>
      <w:tr w:rsidR="004C2146" w:rsidRPr="000C5495" w:rsidTr="004C2146">
        <w:trPr>
          <w:trHeight w:val="535"/>
        </w:trPr>
        <w:tc>
          <w:tcPr>
            <w:tcW w:w="9918" w:type="dxa"/>
          </w:tcPr>
          <w:p w:rsidR="004C2146" w:rsidRPr="000C5495" w:rsidRDefault="004C2146" w:rsidP="00B45A6B">
            <w:pPr>
              <w:pStyle w:val="aa"/>
              <w:kinsoku w:val="0"/>
              <w:adjustRightInd w:val="0"/>
              <w:snapToGrid w:val="0"/>
              <w:spacing w:line="300" w:lineRule="auto"/>
              <w:ind w:left="0"/>
              <w:jc w:val="both"/>
              <w:rPr>
                <w:sz w:val="24"/>
              </w:rPr>
            </w:pPr>
            <w:r w:rsidRPr="000C5495">
              <w:rPr>
                <w:rFonts w:hint="eastAsia"/>
                <w:sz w:val="24"/>
              </w:rPr>
              <w:lastRenderedPageBreak/>
              <w:t>第十八條</w:t>
            </w:r>
          </w:p>
          <w:p w:rsidR="004C2146" w:rsidRPr="000C5495" w:rsidRDefault="004C2146" w:rsidP="00B45A6B">
            <w:pPr>
              <w:pStyle w:val="aa"/>
              <w:kinsoku w:val="0"/>
              <w:adjustRightInd w:val="0"/>
              <w:snapToGrid w:val="0"/>
              <w:spacing w:line="300" w:lineRule="auto"/>
              <w:ind w:leftChars="-9" w:left="-22"/>
              <w:jc w:val="both"/>
              <w:rPr>
                <w:sz w:val="24"/>
              </w:rPr>
            </w:pPr>
            <w:r w:rsidRPr="000C5495">
              <w:rPr>
                <w:rFonts w:hint="eastAsia"/>
                <w:sz w:val="24"/>
              </w:rPr>
              <w:t xml:space="preserve">    </w:t>
            </w:r>
            <w:r w:rsidRPr="000C5495">
              <w:rPr>
                <w:rFonts w:hint="eastAsia"/>
                <w:sz w:val="24"/>
              </w:rPr>
              <w:t>客戶須知應載明協助投資人權益之保護方式，包含下列項目：</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一、糾紛之申訴管道。</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二、與槓桿交易商發生爭議、訴訟之處理方式。</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三、客戶與槓桿交易商發生爭議時得向中華民國期貨商業同業公會、財團法人金融消費評議中心及金融監督管理委員會申訴。</w:t>
            </w:r>
          </w:p>
          <w:p w:rsidR="004C2146" w:rsidRPr="000C5495" w:rsidRDefault="004C2146" w:rsidP="00CD5064">
            <w:pPr>
              <w:pStyle w:val="aa"/>
              <w:kinsoku w:val="0"/>
              <w:adjustRightInd w:val="0"/>
              <w:snapToGrid w:val="0"/>
              <w:spacing w:line="300" w:lineRule="auto"/>
              <w:ind w:leftChars="-9" w:left="482" w:hangingChars="210" w:hanging="504"/>
              <w:jc w:val="both"/>
              <w:rPr>
                <w:sz w:val="24"/>
              </w:rPr>
            </w:pPr>
          </w:p>
        </w:tc>
      </w:tr>
      <w:tr w:rsidR="004C2146" w:rsidRPr="000C5495" w:rsidTr="004C2146">
        <w:trPr>
          <w:trHeight w:val="535"/>
        </w:trPr>
        <w:tc>
          <w:tcPr>
            <w:tcW w:w="9918" w:type="dxa"/>
          </w:tcPr>
          <w:p w:rsidR="004C2146" w:rsidRPr="000C5495" w:rsidRDefault="004C2146" w:rsidP="00B45A6B">
            <w:pPr>
              <w:pStyle w:val="aa"/>
              <w:kinsoku w:val="0"/>
              <w:adjustRightInd w:val="0"/>
              <w:snapToGrid w:val="0"/>
              <w:spacing w:line="300" w:lineRule="auto"/>
              <w:ind w:left="0"/>
              <w:jc w:val="both"/>
              <w:rPr>
                <w:sz w:val="24"/>
              </w:rPr>
            </w:pPr>
            <w:r w:rsidRPr="000C5495">
              <w:rPr>
                <w:rFonts w:hint="eastAsia"/>
                <w:sz w:val="24"/>
              </w:rPr>
              <w:t>第十九條</w:t>
            </w:r>
          </w:p>
          <w:p w:rsidR="00697E21" w:rsidRPr="000C5495" w:rsidRDefault="004C2146" w:rsidP="00697E21">
            <w:pPr>
              <w:pStyle w:val="aa"/>
              <w:kinsoku w:val="0"/>
              <w:adjustRightInd w:val="0"/>
              <w:snapToGrid w:val="0"/>
              <w:spacing w:line="300" w:lineRule="auto"/>
              <w:ind w:leftChars="-9" w:left="-22"/>
              <w:jc w:val="both"/>
              <w:rPr>
                <w:sz w:val="24"/>
              </w:rPr>
            </w:pPr>
            <w:r w:rsidRPr="000C5495">
              <w:rPr>
                <w:rFonts w:hint="eastAsia"/>
                <w:sz w:val="24"/>
              </w:rPr>
              <w:t xml:space="preserve">    </w:t>
            </w:r>
            <w:r w:rsidR="00697E21" w:rsidRPr="000C5495">
              <w:rPr>
                <w:rFonts w:hint="eastAsia"/>
                <w:sz w:val="24"/>
              </w:rPr>
              <w:t>第三條第一項第三款向一般客戶宣讀或以電子設備說明客戶須知之重要內容，並以錄音方式保留紀錄或以電子設備留存相關作業過程之軌跡，應依以下原則辦理：</w:t>
            </w:r>
          </w:p>
          <w:p w:rsidR="00697E21" w:rsidRPr="000C5495" w:rsidRDefault="00697E21" w:rsidP="00697E21">
            <w:pPr>
              <w:pStyle w:val="aa"/>
              <w:kinsoku w:val="0"/>
              <w:adjustRightInd w:val="0"/>
              <w:snapToGrid w:val="0"/>
              <w:spacing w:line="300" w:lineRule="auto"/>
              <w:ind w:leftChars="200" w:left="965" w:hangingChars="202" w:hanging="485"/>
              <w:jc w:val="both"/>
              <w:rPr>
                <w:sz w:val="24"/>
              </w:rPr>
            </w:pPr>
            <w:r w:rsidRPr="000C5495">
              <w:rPr>
                <w:rFonts w:hint="eastAsia"/>
                <w:sz w:val="24"/>
              </w:rPr>
              <w:t>一、槓桿交易</w:t>
            </w:r>
            <w:proofErr w:type="gramStart"/>
            <w:r w:rsidRPr="000C5495">
              <w:rPr>
                <w:rFonts w:hint="eastAsia"/>
                <w:sz w:val="24"/>
              </w:rPr>
              <w:t>商向屬自然人</w:t>
            </w:r>
            <w:proofErr w:type="gramEnd"/>
            <w:r w:rsidRPr="000C5495">
              <w:rPr>
                <w:rFonts w:hint="eastAsia"/>
                <w:sz w:val="24"/>
              </w:rPr>
              <w:t>之一般客戶提供結構型商品交易服務，應向其宣讀或以電子設備說明客戶須知之重要內容，至少</w:t>
            </w:r>
            <w:proofErr w:type="gramStart"/>
            <w:r w:rsidRPr="000C5495">
              <w:rPr>
                <w:rFonts w:hint="eastAsia"/>
                <w:sz w:val="24"/>
              </w:rPr>
              <w:t>應含本注意事項</w:t>
            </w:r>
            <w:proofErr w:type="gramEnd"/>
            <w:r w:rsidRPr="000C5495">
              <w:rPr>
                <w:rFonts w:hint="eastAsia"/>
                <w:sz w:val="24"/>
              </w:rPr>
              <w:t>第十四條、第十五條第一款與第二款及第十六條。</w:t>
            </w:r>
          </w:p>
          <w:p w:rsidR="00697E21" w:rsidRPr="000C5495" w:rsidRDefault="00697E21" w:rsidP="00697E21">
            <w:pPr>
              <w:pStyle w:val="aa"/>
              <w:kinsoku w:val="0"/>
              <w:adjustRightInd w:val="0"/>
              <w:snapToGrid w:val="0"/>
              <w:spacing w:line="300" w:lineRule="auto"/>
              <w:ind w:leftChars="200" w:left="965" w:hangingChars="202" w:hanging="485"/>
              <w:jc w:val="both"/>
              <w:rPr>
                <w:sz w:val="24"/>
              </w:rPr>
            </w:pPr>
            <w:r w:rsidRPr="000C5495">
              <w:rPr>
                <w:rFonts w:hint="eastAsia"/>
                <w:sz w:val="24"/>
              </w:rPr>
              <w:t>二、槓桿交易</w:t>
            </w:r>
            <w:proofErr w:type="gramStart"/>
            <w:r w:rsidRPr="000C5495">
              <w:rPr>
                <w:rFonts w:hint="eastAsia"/>
                <w:sz w:val="24"/>
              </w:rPr>
              <w:t>商向屬法人</w:t>
            </w:r>
            <w:proofErr w:type="gramEnd"/>
            <w:r w:rsidRPr="000C5495">
              <w:rPr>
                <w:rFonts w:hint="eastAsia"/>
                <w:sz w:val="24"/>
              </w:rPr>
              <w:t>之一般客戶提供結構型商品交易服務後，得經客戶逐次簽署書面同意未來就同類型之結構型商品，得免依前項規定向客戶宣讀或以電子設備說明客戶須知之重要內容及以錄音方式保留紀錄或以電子設備留存相關作業過程之軌跡。</w:t>
            </w:r>
          </w:p>
          <w:p w:rsidR="00697E21" w:rsidRPr="000C5495" w:rsidRDefault="00697E21" w:rsidP="00697E21">
            <w:pPr>
              <w:pStyle w:val="aa"/>
              <w:kinsoku w:val="0"/>
              <w:adjustRightInd w:val="0"/>
              <w:snapToGrid w:val="0"/>
              <w:spacing w:line="300" w:lineRule="auto"/>
              <w:ind w:leftChars="200" w:left="965" w:hangingChars="202" w:hanging="485"/>
              <w:jc w:val="both"/>
              <w:rPr>
                <w:sz w:val="24"/>
              </w:rPr>
            </w:pPr>
            <w:r w:rsidRPr="000C5495">
              <w:rPr>
                <w:rFonts w:hint="eastAsia"/>
                <w:sz w:val="24"/>
              </w:rPr>
              <w:t>三、槓桿交易商對同一客戶於同日交易同類型之結構型商品時，得免重覆宣讀或以電子設備說明第十四條及第十六條規定之內容。</w:t>
            </w:r>
          </w:p>
          <w:p w:rsidR="00697E21" w:rsidRPr="000C5495" w:rsidRDefault="00697E21" w:rsidP="00697E21">
            <w:pPr>
              <w:pStyle w:val="aa"/>
              <w:kinsoku w:val="0"/>
              <w:adjustRightInd w:val="0"/>
              <w:snapToGrid w:val="0"/>
              <w:spacing w:line="300" w:lineRule="auto"/>
              <w:ind w:leftChars="-9" w:left="-22"/>
              <w:jc w:val="both"/>
              <w:rPr>
                <w:sz w:val="24"/>
              </w:rPr>
            </w:pPr>
            <w:r w:rsidRPr="000C5495">
              <w:rPr>
                <w:rFonts w:hint="eastAsia"/>
                <w:sz w:val="24"/>
              </w:rPr>
              <w:t xml:space="preserve">    </w:t>
            </w:r>
            <w:r w:rsidRPr="000C5495">
              <w:rPr>
                <w:rFonts w:hint="eastAsia"/>
                <w:sz w:val="24"/>
              </w:rPr>
              <w:t>本條所稱以錄音方式保留紀錄或以電子設備留存相關作業過程之軌跡者，其保存期限應不得少於該商品存續期間加計三個月之</w:t>
            </w:r>
            <w:proofErr w:type="gramStart"/>
            <w:r w:rsidRPr="000C5495">
              <w:rPr>
                <w:rFonts w:hint="eastAsia"/>
                <w:sz w:val="24"/>
              </w:rPr>
              <w:t>期間，</w:t>
            </w:r>
            <w:proofErr w:type="gramEnd"/>
            <w:r w:rsidRPr="000C5495">
              <w:rPr>
                <w:rFonts w:hint="eastAsia"/>
                <w:sz w:val="24"/>
              </w:rPr>
              <w:t>如未滿五年應至少保存五年以上。但發生金融消費爭議時，應保存至該爭議終結為止。</w:t>
            </w:r>
          </w:p>
          <w:p w:rsidR="004C2146" w:rsidRPr="000C5495" w:rsidRDefault="00697E21" w:rsidP="00697E21">
            <w:pPr>
              <w:pStyle w:val="aa"/>
              <w:kinsoku w:val="0"/>
              <w:adjustRightInd w:val="0"/>
              <w:snapToGrid w:val="0"/>
              <w:spacing w:line="300" w:lineRule="auto"/>
              <w:ind w:left="0"/>
              <w:jc w:val="both"/>
              <w:rPr>
                <w:sz w:val="24"/>
              </w:rPr>
            </w:pPr>
            <w:r w:rsidRPr="000C5495">
              <w:rPr>
                <w:rFonts w:hint="eastAsia"/>
                <w:sz w:val="24"/>
              </w:rPr>
              <w:t xml:space="preserve">    </w:t>
            </w:r>
            <w:r w:rsidRPr="000C5495">
              <w:rPr>
                <w:rFonts w:hint="eastAsia"/>
                <w:sz w:val="24"/>
              </w:rPr>
              <w:t>槓桿交易商於前項保存期限內應配合客戶要求，提供前項錄音紀錄，並得向客戶收取單筆紀錄不超過新臺幣</w:t>
            </w:r>
            <w:r w:rsidRPr="000C5495">
              <w:rPr>
                <w:rFonts w:hint="eastAsia"/>
                <w:sz w:val="24"/>
              </w:rPr>
              <w:t>100</w:t>
            </w:r>
            <w:r w:rsidRPr="000C5495">
              <w:rPr>
                <w:rFonts w:hint="eastAsia"/>
                <w:sz w:val="24"/>
              </w:rPr>
              <w:t>元之費用。</w:t>
            </w:r>
          </w:p>
          <w:p w:rsidR="004C2146" w:rsidRPr="000C5495" w:rsidRDefault="004C2146" w:rsidP="00CD5064">
            <w:pPr>
              <w:pStyle w:val="aa"/>
              <w:kinsoku w:val="0"/>
              <w:adjustRightInd w:val="0"/>
              <w:snapToGrid w:val="0"/>
              <w:spacing w:line="300" w:lineRule="auto"/>
              <w:ind w:left="0"/>
              <w:jc w:val="both"/>
              <w:rPr>
                <w:sz w:val="24"/>
              </w:rPr>
            </w:pPr>
          </w:p>
        </w:tc>
      </w:tr>
      <w:tr w:rsidR="004C2146" w:rsidRPr="000C5495" w:rsidTr="004C2146">
        <w:trPr>
          <w:trHeight w:val="535"/>
        </w:trPr>
        <w:tc>
          <w:tcPr>
            <w:tcW w:w="9918" w:type="dxa"/>
          </w:tcPr>
          <w:p w:rsidR="004C2146" w:rsidRPr="000C5495" w:rsidRDefault="004C2146" w:rsidP="00B45A6B">
            <w:pPr>
              <w:pStyle w:val="aa"/>
              <w:kinsoku w:val="0"/>
              <w:adjustRightInd w:val="0"/>
              <w:snapToGrid w:val="0"/>
              <w:spacing w:line="300" w:lineRule="auto"/>
              <w:ind w:left="0"/>
              <w:jc w:val="both"/>
              <w:rPr>
                <w:sz w:val="24"/>
              </w:rPr>
            </w:pPr>
            <w:r w:rsidRPr="000C5495">
              <w:rPr>
                <w:rFonts w:hint="eastAsia"/>
                <w:sz w:val="24"/>
              </w:rPr>
              <w:t>第二十條</w:t>
            </w:r>
          </w:p>
          <w:p w:rsidR="004C2146" w:rsidRPr="000C5495" w:rsidRDefault="004C2146" w:rsidP="00B45A6B">
            <w:pPr>
              <w:pStyle w:val="aa"/>
              <w:kinsoku w:val="0"/>
              <w:adjustRightInd w:val="0"/>
              <w:snapToGrid w:val="0"/>
              <w:spacing w:line="300" w:lineRule="auto"/>
              <w:ind w:left="0"/>
              <w:jc w:val="both"/>
              <w:rPr>
                <w:sz w:val="24"/>
              </w:rPr>
            </w:pPr>
            <w:r w:rsidRPr="000C5495">
              <w:rPr>
                <w:rFonts w:hint="eastAsia"/>
                <w:sz w:val="24"/>
              </w:rPr>
              <w:t xml:space="preserve">    </w:t>
            </w:r>
            <w:r w:rsidRPr="000C5495">
              <w:rPr>
                <w:rFonts w:hint="eastAsia"/>
                <w:sz w:val="24"/>
              </w:rPr>
              <w:t>槓桿交易商於提供產品說明書或客戶須知前，應先確定內容無不當、不實陳述及違反相關法令之情事。</w:t>
            </w:r>
          </w:p>
          <w:p w:rsidR="004C2146" w:rsidRPr="000C5495" w:rsidRDefault="004C2146" w:rsidP="00B45A6B">
            <w:pPr>
              <w:pStyle w:val="aa"/>
              <w:kinsoku w:val="0"/>
              <w:adjustRightInd w:val="0"/>
              <w:snapToGrid w:val="0"/>
              <w:spacing w:line="300" w:lineRule="auto"/>
              <w:ind w:left="0"/>
              <w:jc w:val="both"/>
              <w:rPr>
                <w:sz w:val="24"/>
              </w:rPr>
            </w:pPr>
          </w:p>
        </w:tc>
      </w:tr>
      <w:tr w:rsidR="004C2146" w:rsidRPr="000C5495" w:rsidTr="004C2146">
        <w:trPr>
          <w:trHeight w:val="535"/>
        </w:trPr>
        <w:tc>
          <w:tcPr>
            <w:tcW w:w="9918" w:type="dxa"/>
          </w:tcPr>
          <w:p w:rsidR="004C2146" w:rsidRPr="000C5495" w:rsidRDefault="004C2146" w:rsidP="00B45A6B">
            <w:pPr>
              <w:pStyle w:val="aa"/>
              <w:kinsoku w:val="0"/>
              <w:adjustRightInd w:val="0"/>
              <w:snapToGrid w:val="0"/>
              <w:spacing w:line="300" w:lineRule="auto"/>
              <w:ind w:left="0"/>
              <w:jc w:val="both"/>
              <w:rPr>
                <w:sz w:val="24"/>
              </w:rPr>
            </w:pPr>
            <w:r w:rsidRPr="000C5495">
              <w:rPr>
                <w:rFonts w:hint="eastAsia"/>
                <w:b/>
                <w:sz w:val="28"/>
                <w:szCs w:val="28"/>
              </w:rPr>
              <w:t>第三章</w:t>
            </w:r>
            <w:r w:rsidRPr="000C5495">
              <w:rPr>
                <w:rFonts w:hint="eastAsia"/>
                <w:b/>
                <w:sz w:val="28"/>
                <w:szCs w:val="28"/>
              </w:rPr>
              <w:t xml:space="preserve">  </w:t>
            </w:r>
            <w:r w:rsidRPr="000C5495">
              <w:rPr>
                <w:rFonts w:hint="eastAsia"/>
                <w:b/>
                <w:sz w:val="28"/>
                <w:szCs w:val="28"/>
              </w:rPr>
              <w:t>對自然人之交易服務種類</w:t>
            </w:r>
          </w:p>
        </w:tc>
      </w:tr>
      <w:tr w:rsidR="004C2146" w:rsidRPr="000C5495" w:rsidTr="004C2146">
        <w:trPr>
          <w:trHeight w:val="535"/>
        </w:trPr>
        <w:tc>
          <w:tcPr>
            <w:tcW w:w="9918" w:type="dxa"/>
          </w:tcPr>
          <w:p w:rsidR="00B45A6B" w:rsidRPr="000C5495" w:rsidRDefault="00B45A6B" w:rsidP="00B45A6B">
            <w:pPr>
              <w:pStyle w:val="aa"/>
              <w:kinsoku w:val="0"/>
              <w:adjustRightInd w:val="0"/>
              <w:snapToGrid w:val="0"/>
              <w:spacing w:line="300" w:lineRule="auto"/>
              <w:ind w:left="0"/>
              <w:rPr>
                <w:sz w:val="24"/>
              </w:rPr>
            </w:pPr>
            <w:r w:rsidRPr="000C5495">
              <w:rPr>
                <w:rFonts w:hint="eastAsia"/>
                <w:sz w:val="24"/>
              </w:rPr>
              <w:t>第二十一條</w:t>
            </w:r>
          </w:p>
          <w:p w:rsidR="004C2146" w:rsidRPr="000C5495" w:rsidRDefault="00B45A6B" w:rsidP="00B45A6B">
            <w:pPr>
              <w:pStyle w:val="aa"/>
              <w:kinsoku w:val="0"/>
              <w:adjustRightInd w:val="0"/>
              <w:snapToGrid w:val="0"/>
              <w:spacing w:line="300" w:lineRule="auto"/>
              <w:ind w:left="7" w:firstLineChars="200" w:firstLine="480"/>
              <w:jc w:val="both"/>
              <w:rPr>
                <w:sz w:val="24"/>
              </w:rPr>
            </w:pPr>
            <w:r w:rsidRPr="000C5495">
              <w:rPr>
                <w:rFonts w:hint="eastAsia"/>
                <w:sz w:val="24"/>
              </w:rPr>
              <w:lastRenderedPageBreak/>
              <w:t>槓桿交易商對屬自然人之</w:t>
            </w:r>
            <w:proofErr w:type="gramStart"/>
            <w:r w:rsidRPr="000C5495">
              <w:rPr>
                <w:rFonts w:hint="eastAsia"/>
                <w:sz w:val="24"/>
              </w:rPr>
              <w:t>ㄧ</w:t>
            </w:r>
            <w:proofErr w:type="gramEnd"/>
            <w:r w:rsidRPr="000C5495">
              <w:rPr>
                <w:rFonts w:hint="eastAsia"/>
                <w:sz w:val="24"/>
              </w:rPr>
              <w:t>般客戶提供結構型商品以外之槓桿保證金契約交易服務，應以買入</w:t>
            </w:r>
            <w:proofErr w:type="gramStart"/>
            <w:r w:rsidRPr="000C5495">
              <w:rPr>
                <w:rFonts w:hint="eastAsia"/>
                <w:sz w:val="24"/>
              </w:rPr>
              <w:t>臺</w:t>
            </w:r>
            <w:proofErr w:type="gramEnd"/>
            <w:r w:rsidRPr="000C5495">
              <w:rPr>
                <w:rFonts w:hint="eastAsia"/>
                <w:sz w:val="24"/>
              </w:rPr>
              <w:t>股股權選擇權、買入轉（交）換公司債資產交換選擇權及外幣保證金為限。槓桿交易商並應制定及執行適用以自然人為交易對手之信用風險評估政策及作業流程，若涉及外匯商品，同時依中央銀行相關外匯規定辦理。</w:t>
            </w:r>
          </w:p>
          <w:p w:rsidR="004C2146" w:rsidRDefault="004C2146" w:rsidP="00683673">
            <w:pPr>
              <w:pStyle w:val="aa"/>
              <w:kinsoku w:val="0"/>
              <w:adjustRightInd w:val="0"/>
              <w:snapToGrid w:val="0"/>
              <w:spacing w:line="300" w:lineRule="auto"/>
              <w:ind w:left="0" w:firstLineChars="200" w:firstLine="561"/>
              <w:jc w:val="both"/>
              <w:rPr>
                <w:rFonts w:hint="eastAsia"/>
                <w:b/>
                <w:sz w:val="28"/>
                <w:szCs w:val="28"/>
              </w:rPr>
            </w:pPr>
          </w:p>
          <w:p w:rsidR="006F2A33" w:rsidRPr="000C5495" w:rsidRDefault="006F2A33" w:rsidP="006F2A33">
            <w:pPr>
              <w:pStyle w:val="aa"/>
              <w:kinsoku w:val="0"/>
              <w:adjustRightInd w:val="0"/>
              <w:snapToGrid w:val="0"/>
              <w:spacing w:line="300" w:lineRule="auto"/>
              <w:ind w:left="0"/>
              <w:rPr>
                <w:sz w:val="24"/>
              </w:rPr>
            </w:pPr>
            <w:r w:rsidRPr="000C5495">
              <w:rPr>
                <w:rFonts w:hint="eastAsia"/>
                <w:sz w:val="24"/>
              </w:rPr>
              <w:t>第二十一條</w:t>
            </w:r>
            <w:r>
              <w:rPr>
                <w:rFonts w:hint="eastAsia"/>
                <w:sz w:val="24"/>
              </w:rPr>
              <w:t>之</w:t>
            </w:r>
            <w:proofErr w:type="gramStart"/>
            <w:r>
              <w:rPr>
                <w:rFonts w:hint="eastAsia"/>
                <w:sz w:val="24"/>
              </w:rPr>
              <w:t>一</w:t>
            </w:r>
            <w:proofErr w:type="gramEnd"/>
          </w:p>
          <w:p w:rsidR="006F2A33" w:rsidRPr="006F2A33" w:rsidRDefault="006F2A33" w:rsidP="006F2A33">
            <w:pPr>
              <w:pStyle w:val="aa"/>
              <w:kinsoku w:val="0"/>
              <w:adjustRightInd w:val="0"/>
              <w:snapToGrid w:val="0"/>
              <w:spacing w:line="300" w:lineRule="auto"/>
              <w:ind w:left="7" w:firstLineChars="200" w:firstLine="480"/>
              <w:jc w:val="both"/>
              <w:rPr>
                <w:rFonts w:hint="eastAsia"/>
                <w:sz w:val="24"/>
              </w:rPr>
            </w:pPr>
            <w:r w:rsidRPr="006F2A33">
              <w:rPr>
                <w:rFonts w:hint="eastAsia"/>
                <w:sz w:val="24"/>
              </w:rPr>
              <w:t>槓桿交易商不得向一般客戶提供二元選擇權交易服務。</w:t>
            </w:r>
          </w:p>
          <w:p w:rsidR="006F2A33" w:rsidRDefault="006F2A33" w:rsidP="006F2A33">
            <w:pPr>
              <w:pStyle w:val="aa"/>
              <w:kinsoku w:val="0"/>
              <w:adjustRightInd w:val="0"/>
              <w:snapToGrid w:val="0"/>
              <w:spacing w:line="300" w:lineRule="auto"/>
              <w:ind w:left="7" w:firstLineChars="200" w:firstLine="480"/>
              <w:jc w:val="both"/>
              <w:rPr>
                <w:rFonts w:hint="eastAsia"/>
                <w:sz w:val="24"/>
              </w:rPr>
            </w:pPr>
            <w:r w:rsidRPr="006F2A33">
              <w:rPr>
                <w:rFonts w:hint="eastAsia"/>
                <w:sz w:val="24"/>
              </w:rPr>
              <w:t>槓桿交易商向一般客戶提供差價契約交易服務，應依下列規定辦理：</w:t>
            </w:r>
          </w:p>
          <w:p w:rsidR="006F2A33" w:rsidRDefault="006F2A33" w:rsidP="006F2A33">
            <w:pPr>
              <w:pStyle w:val="aa"/>
              <w:numPr>
                <w:ilvl w:val="0"/>
                <w:numId w:val="13"/>
              </w:numPr>
              <w:kinsoku w:val="0"/>
              <w:adjustRightInd w:val="0"/>
              <w:snapToGrid w:val="0"/>
              <w:spacing w:line="300" w:lineRule="auto"/>
              <w:jc w:val="both"/>
              <w:rPr>
                <w:rFonts w:hint="eastAsia"/>
                <w:sz w:val="24"/>
              </w:rPr>
            </w:pPr>
            <w:r w:rsidRPr="006F2A33">
              <w:rPr>
                <w:rFonts w:hint="eastAsia"/>
                <w:sz w:val="24"/>
              </w:rPr>
              <w:t>應向客戶收取期初保證金，且期初保證金占名目本金之比率不得低於下列比率：</w:t>
            </w:r>
          </w:p>
          <w:p w:rsidR="00DF48A0" w:rsidRPr="000C5495" w:rsidRDefault="00DF48A0" w:rsidP="00DF48A0">
            <w:pPr>
              <w:adjustRightInd w:val="0"/>
              <w:snapToGrid w:val="0"/>
              <w:spacing w:line="300" w:lineRule="auto"/>
              <w:ind w:leftChars="380" w:left="1673" w:rightChars="17" w:right="41" w:hangingChars="317" w:hanging="761"/>
              <w:jc w:val="both"/>
              <w:rPr>
                <w:rFonts w:eastAsia="標楷體"/>
                <w:szCs w:val="24"/>
              </w:rPr>
            </w:pPr>
            <w:r w:rsidRPr="000C5495">
              <w:rPr>
                <w:rFonts w:eastAsia="標楷體" w:hint="eastAsia"/>
                <w:szCs w:val="24"/>
              </w:rPr>
              <w:t>（一）</w:t>
            </w:r>
            <w:r w:rsidRPr="00DF48A0">
              <w:rPr>
                <w:rFonts w:eastAsia="標楷體"/>
                <w:szCs w:val="24"/>
              </w:rPr>
              <w:t>3.33%</w:t>
            </w:r>
            <w:r w:rsidRPr="00DF48A0">
              <w:rPr>
                <w:rFonts w:eastAsia="標楷體" w:hint="eastAsia"/>
                <w:szCs w:val="24"/>
              </w:rPr>
              <w:t>：標的資產為美元（</w:t>
            </w:r>
            <w:r w:rsidRPr="00DF48A0">
              <w:rPr>
                <w:rFonts w:eastAsia="標楷體"/>
                <w:szCs w:val="24"/>
              </w:rPr>
              <w:t>USD</w:t>
            </w:r>
            <w:r w:rsidRPr="00DF48A0">
              <w:rPr>
                <w:rFonts w:eastAsia="標楷體" w:hint="eastAsia"/>
                <w:szCs w:val="24"/>
              </w:rPr>
              <w:t>）、歐元（</w:t>
            </w:r>
            <w:r w:rsidRPr="00DF48A0">
              <w:rPr>
                <w:rFonts w:eastAsia="標楷體"/>
                <w:szCs w:val="24"/>
              </w:rPr>
              <w:t>EUR</w:t>
            </w:r>
            <w:r w:rsidRPr="00DF48A0">
              <w:rPr>
                <w:rFonts w:eastAsia="標楷體" w:hint="eastAsia"/>
                <w:szCs w:val="24"/>
              </w:rPr>
              <w:t>）、日圓（</w:t>
            </w:r>
            <w:r w:rsidRPr="00DF48A0">
              <w:rPr>
                <w:rFonts w:eastAsia="標楷體"/>
                <w:szCs w:val="24"/>
              </w:rPr>
              <w:t>JPY</w:t>
            </w:r>
            <w:r w:rsidRPr="00DF48A0">
              <w:rPr>
                <w:rFonts w:eastAsia="標楷體" w:hint="eastAsia"/>
                <w:szCs w:val="24"/>
              </w:rPr>
              <w:t>）、</w:t>
            </w:r>
            <w:proofErr w:type="gramStart"/>
            <w:r w:rsidRPr="00DF48A0">
              <w:rPr>
                <w:rFonts w:eastAsia="標楷體" w:hint="eastAsia"/>
                <w:szCs w:val="24"/>
              </w:rPr>
              <w:t>英鎊（</w:t>
            </w:r>
            <w:proofErr w:type="gramEnd"/>
            <w:r w:rsidRPr="00DF48A0">
              <w:rPr>
                <w:rFonts w:eastAsia="標楷體"/>
                <w:szCs w:val="24"/>
              </w:rPr>
              <w:t>GBP</w:t>
            </w:r>
            <w:r w:rsidRPr="00DF48A0">
              <w:rPr>
                <w:rFonts w:eastAsia="標楷體" w:hint="eastAsia"/>
                <w:szCs w:val="24"/>
              </w:rPr>
              <w:t>）、加幣（</w:t>
            </w:r>
            <w:r w:rsidRPr="00DF48A0">
              <w:rPr>
                <w:rFonts w:eastAsia="標楷體"/>
                <w:szCs w:val="24"/>
              </w:rPr>
              <w:t>CAD</w:t>
            </w:r>
            <w:r w:rsidRPr="00DF48A0">
              <w:rPr>
                <w:rFonts w:eastAsia="標楷體" w:hint="eastAsia"/>
                <w:szCs w:val="24"/>
              </w:rPr>
              <w:t>）或瑞士法郞（</w:t>
            </w:r>
            <w:r w:rsidRPr="00DF48A0">
              <w:rPr>
                <w:rFonts w:eastAsia="標楷體"/>
                <w:szCs w:val="24"/>
              </w:rPr>
              <w:t>CHF</w:t>
            </w:r>
            <w:r w:rsidRPr="00DF48A0">
              <w:rPr>
                <w:rFonts w:eastAsia="標楷體" w:hint="eastAsia"/>
                <w:szCs w:val="24"/>
              </w:rPr>
              <w:t>）相互間組成之匯率。</w:t>
            </w:r>
          </w:p>
          <w:p w:rsidR="00DF48A0" w:rsidRDefault="00DF48A0" w:rsidP="00DF48A0">
            <w:pPr>
              <w:adjustRightInd w:val="0"/>
              <w:snapToGrid w:val="0"/>
              <w:spacing w:line="300" w:lineRule="auto"/>
              <w:ind w:leftChars="380" w:left="1673" w:rightChars="17" w:right="41" w:hangingChars="317" w:hanging="761"/>
              <w:jc w:val="both"/>
              <w:rPr>
                <w:rFonts w:eastAsia="標楷體" w:hint="eastAsia"/>
                <w:szCs w:val="24"/>
              </w:rPr>
            </w:pPr>
            <w:r w:rsidRPr="000C5495">
              <w:rPr>
                <w:rFonts w:eastAsia="標楷體" w:hint="eastAsia"/>
                <w:szCs w:val="24"/>
              </w:rPr>
              <w:t>（二）</w:t>
            </w:r>
            <w:r w:rsidRPr="00DF48A0">
              <w:rPr>
                <w:rFonts w:eastAsia="標楷體" w:hint="eastAsia"/>
                <w:szCs w:val="24"/>
              </w:rPr>
              <w:t>5%</w:t>
            </w:r>
            <w:r w:rsidRPr="00DF48A0">
              <w:rPr>
                <w:rFonts w:eastAsia="標楷體" w:hint="eastAsia"/>
                <w:szCs w:val="24"/>
              </w:rPr>
              <w:t>：</w:t>
            </w:r>
          </w:p>
          <w:p w:rsidR="00DF48A0" w:rsidRPr="00DF48A0" w:rsidRDefault="00DF48A0" w:rsidP="00DF48A0">
            <w:pPr>
              <w:pStyle w:val="a3"/>
              <w:numPr>
                <w:ilvl w:val="0"/>
                <w:numId w:val="15"/>
              </w:numPr>
              <w:adjustRightInd w:val="0"/>
              <w:snapToGrid w:val="0"/>
              <w:spacing w:line="300" w:lineRule="auto"/>
              <w:ind w:leftChars="0" w:left="1985" w:rightChars="17" w:right="41" w:hanging="284"/>
              <w:jc w:val="both"/>
              <w:rPr>
                <w:rFonts w:eastAsia="標楷體" w:hint="eastAsia"/>
                <w:szCs w:val="24"/>
              </w:rPr>
            </w:pPr>
            <w:r w:rsidRPr="00DF48A0">
              <w:rPr>
                <w:rFonts w:eastAsia="標楷體" w:hint="eastAsia"/>
                <w:szCs w:val="24"/>
              </w:rPr>
              <w:t>標的資產</w:t>
            </w:r>
            <w:proofErr w:type="gramStart"/>
            <w:r w:rsidRPr="00DF48A0">
              <w:rPr>
                <w:rFonts w:eastAsia="標楷體" w:hint="eastAsia"/>
                <w:szCs w:val="24"/>
              </w:rPr>
              <w:t>非前目貨幣</w:t>
            </w:r>
            <w:proofErr w:type="gramEnd"/>
            <w:r w:rsidRPr="00DF48A0">
              <w:rPr>
                <w:rFonts w:eastAsia="標楷體" w:hint="eastAsia"/>
                <w:szCs w:val="24"/>
              </w:rPr>
              <w:t>所組成之匯率。</w:t>
            </w:r>
          </w:p>
          <w:p w:rsidR="00DF48A0" w:rsidRPr="00DF48A0" w:rsidRDefault="00DF48A0" w:rsidP="00DF48A0">
            <w:pPr>
              <w:pStyle w:val="a3"/>
              <w:numPr>
                <w:ilvl w:val="0"/>
                <w:numId w:val="15"/>
              </w:numPr>
              <w:adjustRightInd w:val="0"/>
              <w:snapToGrid w:val="0"/>
              <w:spacing w:line="300" w:lineRule="auto"/>
              <w:ind w:leftChars="0" w:left="1985" w:rightChars="17" w:right="41" w:hanging="284"/>
              <w:jc w:val="both"/>
              <w:rPr>
                <w:rFonts w:eastAsia="標楷體" w:hint="eastAsia"/>
                <w:szCs w:val="24"/>
              </w:rPr>
            </w:pPr>
            <w:r w:rsidRPr="00DF48A0">
              <w:rPr>
                <w:rFonts w:eastAsia="標楷體" w:hint="eastAsia"/>
                <w:szCs w:val="24"/>
              </w:rPr>
              <w:t>標的資產為倫敦金融時報</w:t>
            </w:r>
            <w:r w:rsidRPr="00DF48A0">
              <w:rPr>
                <w:rFonts w:eastAsia="標楷體" w:hint="eastAsia"/>
                <w:szCs w:val="24"/>
              </w:rPr>
              <w:t>100</w:t>
            </w:r>
            <w:r w:rsidRPr="00DF48A0">
              <w:rPr>
                <w:rFonts w:eastAsia="標楷體" w:hint="eastAsia"/>
                <w:szCs w:val="24"/>
              </w:rPr>
              <w:t>指數（</w:t>
            </w:r>
            <w:r w:rsidRPr="00DF48A0">
              <w:rPr>
                <w:rFonts w:eastAsia="標楷體" w:hint="eastAsia"/>
                <w:szCs w:val="24"/>
              </w:rPr>
              <w:t>FTSE 100</w:t>
            </w:r>
            <w:r w:rsidRPr="00DF48A0">
              <w:rPr>
                <w:rFonts w:eastAsia="標楷體" w:hint="eastAsia"/>
                <w:szCs w:val="24"/>
              </w:rPr>
              <w:t>）、巴黎券商公會指數（</w:t>
            </w:r>
            <w:r w:rsidRPr="00DF48A0">
              <w:rPr>
                <w:rFonts w:eastAsia="標楷體" w:hint="eastAsia"/>
                <w:szCs w:val="24"/>
              </w:rPr>
              <w:t>CAC 40</w:t>
            </w:r>
            <w:r w:rsidRPr="00DF48A0">
              <w:rPr>
                <w:rFonts w:eastAsia="標楷體" w:hint="eastAsia"/>
                <w:szCs w:val="24"/>
              </w:rPr>
              <w:t>）、德國</w:t>
            </w:r>
            <w:r w:rsidRPr="00DF48A0">
              <w:rPr>
                <w:rFonts w:eastAsia="標楷體" w:hint="eastAsia"/>
                <w:szCs w:val="24"/>
              </w:rPr>
              <w:t>DAX</w:t>
            </w:r>
            <w:r w:rsidRPr="00DF48A0">
              <w:rPr>
                <w:rFonts w:eastAsia="標楷體" w:hint="eastAsia"/>
                <w:szCs w:val="24"/>
              </w:rPr>
              <w:t>指數（</w:t>
            </w:r>
            <w:r w:rsidRPr="00DF48A0">
              <w:rPr>
                <w:rFonts w:eastAsia="標楷體" w:hint="eastAsia"/>
                <w:szCs w:val="24"/>
              </w:rPr>
              <w:t>DAX 30</w:t>
            </w:r>
            <w:r w:rsidRPr="00DF48A0">
              <w:rPr>
                <w:rFonts w:eastAsia="標楷體" w:hint="eastAsia"/>
                <w:szCs w:val="24"/>
              </w:rPr>
              <w:t>）、道瓊工業平均指數（</w:t>
            </w:r>
            <w:r w:rsidRPr="00DF48A0">
              <w:rPr>
                <w:rFonts w:eastAsia="標楷體" w:hint="eastAsia"/>
                <w:szCs w:val="24"/>
              </w:rPr>
              <w:t>DJIA</w:t>
            </w:r>
            <w:r w:rsidRPr="00DF48A0">
              <w:rPr>
                <w:rFonts w:eastAsia="標楷體" w:hint="eastAsia"/>
                <w:szCs w:val="24"/>
              </w:rPr>
              <w:t>）、標準普爾</w:t>
            </w:r>
            <w:r w:rsidRPr="00DF48A0">
              <w:rPr>
                <w:rFonts w:eastAsia="標楷體" w:hint="eastAsia"/>
                <w:szCs w:val="24"/>
              </w:rPr>
              <w:t>500</w:t>
            </w:r>
            <w:r w:rsidRPr="00DF48A0">
              <w:rPr>
                <w:rFonts w:eastAsia="標楷體" w:hint="eastAsia"/>
                <w:szCs w:val="24"/>
              </w:rPr>
              <w:t>指數（</w:t>
            </w:r>
            <w:r w:rsidRPr="00DF48A0">
              <w:rPr>
                <w:rFonts w:eastAsia="標楷體" w:hint="eastAsia"/>
                <w:szCs w:val="24"/>
              </w:rPr>
              <w:t>S&amp;P 500</w:t>
            </w:r>
            <w:r w:rsidRPr="00DF48A0">
              <w:rPr>
                <w:rFonts w:eastAsia="標楷體" w:hint="eastAsia"/>
                <w:szCs w:val="24"/>
              </w:rPr>
              <w:t>）、納斯達克綜合指數（</w:t>
            </w:r>
            <w:r w:rsidRPr="00DF48A0">
              <w:rPr>
                <w:rFonts w:eastAsia="標楷體" w:hint="eastAsia"/>
                <w:szCs w:val="24"/>
              </w:rPr>
              <w:t>NASDAQ</w:t>
            </w:r>
            <w:r w:rsidRPr="00DF48A0">
              <w:rPr>
                <w:rFonts w:eastAsia="標楷體" w:hint="eastAsia"/>
                <w:szCs w:val="24"/>
              </w:rPr>
              <w:t>）、納斯達克</w:t>
            </w:r>
            <w:r w:rsidRPr="00DF48A0">
              <w:rPr>
                <w:rFonts w:eastAsia="標楷體" w:hint="eastAsia"/>
                <w:szCs w:val="24"/>
              </w:rPr>
              <w:t>100</w:t>
            </w:r>
            <w:r w:rsidRPr="00DF48A0">
              <w:rPr>
                <w:rFonts w:eastAsia="標楷體" w:hint="eastAsia"/>
                <w:szCs w:val="24"/>
              </w:rPr>
              <w:t>指數（</w:t>
            </w:r>
            <w:r w:rsidRPr="00DF48A0">
              <w:rPr>
                <w:rFonts w:eastAsia="標楷體" w:hint="eastAsia"/>
                <w:szCs w:val="24"/>
              </w:rPr>
              <w:t>NASDAQ 100</w:t>
            </w:r>
            <w:r w:rsidRPr="00DF48A0">
              <w:rPr>
                <w:rFonts w:eastAsia="標楷體" w:hint="eastAsia"/>
                <w:szCs w:val="24"/>
              </w:rPr>
              <w:t>）、日經</w:t>
            </w:r>
            <w:r w:rsidRPr="00DF48A0">
              <w:rPr>
                <w:rFonts w:eastAsia="標楷體" w:hint="eastAsia"/>
                <w:szCs w:val="24"/>
              </w:rPr>
              <w:t>225</w:t>
            </w:r>
            <w:r w:rsidRPr="00DF48A0">
              <w:rPr>
                <w:rFonts w:eastAsia="標楷體" w:hint="eastAsia"/>
                <w:szCs w:val="24"/>
              </w:rPr>
              <w:t>指數（</w:t>
            </w:r>
            <w:r w:rsidRPr="00DF48A0">
              <w:rPr>
                <w:rFonts w:eastAsia="標楷體" w:hint="eastAsia"/>
                <w:szCs w:val="24"/>
              </w:rPr>
              <w:t>Nikkei 225</w:t>
            </w:r>
            <w:r w:rsidRPr="00DF48A0">
              <w:rPr>
                <w:rFonts w:eastAsia="標楷體" w:hint="eastAsia"/>
                <w:szCs w:val="24"/>
              </w:rPr>
              <w:t>）、</w:t>
            </w:r>
            <w:proofErr w:type="gramStart"/>
            <w:r w:rsidRPr="00DF48A0">
              <w:rPr>
                <w:rFonts w:eastAsia="標楷體" w:hint="eastAsia"/>
                <w:szCs w:val="24"/>
              </w:rPr>
              <w:t>標普</w:t>
            </w:r>
            <w:r w:rsidRPr="00DF48A0">
              <w:rPr>
                <w:rFonts w:eastAsia="標楷體" w:hint="eastAsia"/>
                <w:szCs w:val="24"/>
              </w:rPr>
              <w:t>/</w:t>
            </w:r>
            <w:r w:rsidRPr="00DF48A0">
              <w:rPr>
                <w:rFonts w:eastAsia="標楷體" w:hint="eastAsia"/>
                <w:szCs w:val="24"/>
              </w:rPr>
              <w:t>澳證</w:t>
            </w:r>
            <w:proofErr w:type="gramEnd"/>
            <w:r w:rsidRPr="00DF48A0">
              <w:rPr>
                <w:rFonts w:eastAsia="標楷體" w:hint="eastAsia"/>
                <w:szCs w:val="24"/>
              </w:rPr>
              <w:t>200</w:t>
            </w:r>
            <w:r w:rsidRPr="00DF48A0">
              <w:rPr>
                <w:rFonts w:eastAsia="標楷體" w:hint="eastAsia"/>
                <w:szCs w:val="24"/>
              </w:rPr>
              <w:t>指數（</w:t>
            </w:r>
            <w:r w:rsidRPr="00DF48A0">
              <w:rPr>
                <w:rFonts w:eastAsia="標楷體" w:hint="eastAsia"/>
                <w:szCs w:val="24"/>
              </w:rPr>
              <w:t>S&amp;P/ASX 200</w:t>
            </w:r>
            <w:r w:rsidRPr="00DF48A0">
              <w:rPr>
                <w:rFonts w:eastAsia="標楷體" w:hint="eastAsia"/>
                <w:szCs w:val="24"/>
              </w:rPr>
              <w:t>）、道瓊歐盟</w:t>
            </w:r>
            <w:r w:rsidRPr="00DF48A0">
              <w:rPr>
                <w:rFonts w:eastAsia="標楷體" w:hint="eastAsia"/>
                <w:szCs w:val="24"/>
              </w:rPr>
              <w:t>50</w:t>
            </w:r>
            <w:r w:rsidRPr="00DF48A0">
              <w:rPr>
                <w:rFonts w:eastAsia="標楷體" w:hint="eastAsia"/>
                <w:szCs w:val="24"/>
              </w:rPr>
              <w:t>指數（</w:t>
            </w:r>
            <w:r w:rsidRPr="00DF48A0">
              <w:rPr>
                <w:rFonts w:eastAsia="標楷體" w:hint="eastAsia"/>
                <w:szCs w:val="24"/>
              </w:rPr>
              <w:t>EURO STOXX 50</w:t>
            </w:r>
            <w:r w:rsidRPr="00DF48A0">
              <w:rPr>
                <w:rFonts w:eastAsia="標楷體" w:hint="eastAsia"/>
                <w:szCs w:val="24"/>
              </w:rPr>
              <w:t>）、臺灣證券交易所發行量加權股價指數、臺灣</w:t>
            </w:r>
            <w:r w:rsidRPr="00DF48A0">
              <w:rPr>
                <w:rFonts w:eastAsia="標楷體" w:hint="eastAsia"/>
                <w:szCs w:val="24"/>
              </w:rPr>
              <w:t>50</w:t>
            </w:r>
            <w:r w:rsidRPr="00DF48A0">
              <w:rPr>
                <w:rFonts w:eastAsia="標楷體" w:hint="eastAsia"/>
                <w:szCs w:val="24"/>
              </w:rPr>
              <w:t>指數、櫃買中心發行量加權股價指數、</w:t>
            </w:r>
            <w:proofErr w:type="gramStart"/>
            <w:r w:rsidRPr="00DF48A0">
              <w:rPr>
                <w:rFonts w:eastAsia="標楷體" w:hint="eastAsia"/>
                <w:szCs w:val="24"/>
              </w:rPr>
              <w:t>富櫃</w:t>
            </w:r>
            <w:proofErr w:type="gramEnd"/>
            <w:r w:rsidRPr="00DF48A0">
              <w:rPr>
                <w:rFonts w:eastAsia="標楷體" w:hint="eastAsia"/>
                <w:szCs w:val="24"/>
              </w:rPr>
              <w:t>50</w:t>
            </w:r>
            <w:r w:rsidRPr="00DF48A0">
              <w:rPr>
                <w:rFonts w:eastAsia="標楷體" w:hint="eastAsia"/>
                <w:szCs w:val="24"/>
              </w:rPr>
              <w:t>指數。</w:t>
            </w:r>
          </w:p>
          <w:p w:rsidR="00DF48A0" w:rsidRPr="000C5495" w:rsidRDefault="00DF48A0" w:rsidP="00DF48A0">
            <w:pPr>
              <w:pStyle w:val="a3"/>
              <w:numPr>
                <w:ilvl w:val="0"/>
                <w:numId w:val="15"/>
              </w:numPr>
              <w:adjustRightInd w:val="0"/>
              <w:snapToGrid w:val="0"/>
              <w:spacing w:line="300" w:lineRule="auto"/>
              <w:ind w:leftChars="0" w:left="1985" w:rightChars="17" w:right="41" w:hanging="284"/>
              <w:jc w:val="both"/>
              <w:rPr>
                <w:rFonts w:eastAsia="標楷體"/>
                <w:szCs w:val="24"/>
              </w:rPr>
            </w:pPr>
            <w:r w:rsidRPr="00DF48A0">
              <w:rPr>
                <w:rFonts w:eastAsia="標楷體" w:hint="eastAsia"/>
                <w:szCs w:val="24"/>
              </w:rPr>
              <w:t>標的資產為黃金。</w:t>
            </w:r>
          </w:p>
          <w:p w:rsidR="00DF48A0" w:rsidRDefault="00DF48A0" w:rsidP="00DF48A0">
            <w:pPr>
              <w:adjustRightInd w:val="0"/>
              <w:snapToGrid w:val="0"/>
              <w:spacing w:line="300" w:lineRule="auto"/>
              <w:ind w:leftChars="380" w:left="1673" w:rightChars="17" w:right="41" w:hangingChars="317" w:hanging="761"/>
              <w:jc w:val="both"/>
              <w:rPr>
                <w:rFonts w:eastAsia="標楷體" w:hint="eastAsia"/>
                <w:szCs w:val="24"/>
              </w:rPr>
            </w:pPr>
            <w:r w:rsidRPr="000C5495">
              <w:rPr>
                <w:rFonts w:eastAsia="標楷體"/>
                <w:szCs w:val="24"/>
              </w:rPr>
              <w:t>（三）</w:t>
            </w:r>
            <w:r w:rsidRPr="00DF48A0">
              <w:rPr>
                <w:rFonts w:eastAsia="標楷體" w:hint="eastAsia"/>
                <w:szCs w:val="24"/>
              </w:rPr>
              <w:t>10%</w:t>
            </w:r>
            <w:r w:rsidRPr="00DF48A0">
              <w:rPr>
                <w:rFonts w:eastAsia="標楷體" w:hint="eastAsia"/>
                <w:szCs w:val="24"/>
              </w:rPr>
              <w:t>：標的資產為其他非</w:t>
            </w:r>
            <w:proofErr w:type="gramStart"/>
            <w:r w:rsidRPr="00DF48A0">
              <w:rPr>
                <w:rFonts w:eastAsia="標楷體" w:hint="eastAsia"/>
                <w:szCs w:val="24"/>
              </w:rPr>
              <w:t>前二目者</w:t>
            </w:r>
            <w:proofErr w:type="gramEnd"/>
            <w:r w:rsidRPr="00DF48A0">
              <w:rPr>
                <w:rFonts w:eastAsia="標楷體" w:hint="eastAsia"/>
                <w:szCs w:val="24"/>
              </w:rPr>
              <w:t>。</w:t>
            </w:r>
          </w:p>
          <w:p w:rsidR="00DF48A0" w:rsidRPr="00DF48A0" w:rsidRDefault="00DF48A0" w:rsidP="00DF48A0">
            <w:pPr>
              <w:pStyle w:val="aa"/>
              <w:numPr>
                <w:ilvl w:val="0"/>
                <w:numId w:val="13"/>
              </w:numPr>
              <w:kinsoku w:val="0"/>
              <w:adjustRightInd w:val="0"/>
              <w:snapToGrid w:val="0"/>
              <w:spacing w:line="300" w:lineRule="auto"/>
              <w:jc w:val="both"/>
              <w:rPr>
                <w:sz w:val="24"/>
              </w:rPr>
            </w:pPr>
            <w:r w:rsidRPr="00DF48A0">
              <w:rPr>
                <w:rFonts w:hint="eastAsia"/>
                <w:sz w:val="24"/>
              </w:rPr>
              <w:t>對同一客戶從事差價契約之帳戶價值低於期初保證金之</w:t>
            </w:r>
            <w:r w:rsidRPr="00DF48A0">
              <w:rPr>
                <w:rFonts w:hint="eastAsia"/>
                <w:sz w:val="24"/>
              </w:rPr>
              <w:t>50%</w:t>
            </w:r>
            <w:r w:rsidRPr="00DF48A0">
              <w:rPr>
                <w:rFonts w:hint="eastAsia"/>
                <w:sz w:val="24"/>
              </w:rPr>
              <w:t>時，槓桿交易商應依事先約定之方式，辦理客戶帳戶停損措施。</w:t>
            </w:r>
          </w:p>
          <w:p w:rsidR="006F2A33" w:rsidRPr="00DF48A0" w:rsidRDefault="006F2A33" w:rsidP="00683673">
            <w:pPr>
              <w:pStyle w:val="aa"/>
              <w:kinsoku w:val="0"/>
              <w:adjustRightInd w:val="0"/>
              <w:snapToGrid w:val="0"/>
              <w:spacing w:line="300" w:lineRule="auto"/>
              <w:ind w:left="0" w:firstLineChars="200" w:firstLine="561"/>
              <w:jc w:val="both"/>
              <w:rPr>
                <w:b/>
                <w:sz w:val="28"/>
                <w:szCs w:val="28"/>
              </w:rPr>
            </w:pPr>
          </w:p>
        </w:tc>
      </w:tr>
      <w:tr w:rsidR="004C2146" w:rsidRPr="000C5495" w:rsidTr="004C2146">
        <w:trPr>
          <w:trHeight w:val="535"/>
        </w:trPr>
        <w:tc>
          <w:tcPr>
            <w:tcW w:w="9918" w:type="dxa"/>
          </w:tcPr>
          <w:p w:rsidR="00B45A6B" w:rsidRPr="000C5495" w:rsidRDefault="00B45A6B" w:rsidP="00B45A6B">
            <w:pPr>
              <w:pStyle w:val="aa"/>
              <w:kinsoku w:val="0"/>
              <w:adjustRightInd w:val="0"/>
              <w:snapToGrid w:val="0"/>
              <w:spacing w:line="300" w:lineRule="auto"/>
              <w:ind w:left="0"/>
              <w:rPr>
                <w:sz w:val="24"/>
              </w:rPr>
            </w:pPr>
            <w:r w:rsidRPr="000C5495">
              <w:rPr>
                <w:rFonts w:hint="eastAsia"/>
                <w:sz w:val="24"/>
              </w:rPr>
              <w:lastRenderedPageBreak/>
              <w:t>第二十二條</w:t>
            </w:r>
          </w:p>
          <w:p w:rsidR="00B45A6B" w:rsidRPr="000C5495" w:rsidRDefault="00B45A6B" w:rsidP="00B45A6B">
            <w:pPr>
              <w:pStyle w:val="aa"/>
              <w:kinsoku w:val="0"/>
              <w:adjustRightInd w:val="0"/>
              <w:snapToGrid w:val="0"/>
              <w:spacing w:line="300" w:lineRule="auto"/>
              <w:ind w:leftChars="-11" w:left="-26" w:firstLineChars="211" w:firstLine="506"/>
              <w:rPr>
                <w:sz w:val="24"/>
              </w:rPr>
            </w:pPr>
            <w:r w:rsidRPr="000C5495">
              <w:rPr>
                <w:rFonts w:hint="eastAsia"/>
                <w:sz w:val="24"/>
              </w:rPr>
              <w:t>槓桿交易商對屬自然人之</w:t>
            </w:r>
            <w:proofErr w:type="gramStart"/>
            <w:r w:rsidRPr="000C5495">
              <w:rPr>
                <w:rFonts w:hint="eastAsia"/>
                <w:sz w:val="24"/>
              </w:rPr>
              <w:t>ㄧ</w:t>
            </w:r>
            <w:proofErr w:type="gramEnd"/>
            <w:r w:rsidRPr="000C5495">
              <w:rPr>
                <w:rFonts w:hint="eastAsia"/>
                <w:sz w:val="24"/>
              </w:rPr>
              <w:t>般客戶銷售結構型商品，其銷售對象</w:t>
            </w:r>
            <w:proofErr w:type="gramStart"/>
            <w:r w:rsidRPr="000C5495">
              <w:rPr>
                <w:rFonts w:hint="eastAsia"/>
                <w:sz w:val="24"/>
              </w:rPr>
              <w:t>應有衍生性</w:t>
            </w:r>
            <w:proofErr w:type="gramEnd"/>
            <w:r w:rsidRPr="000C5495">
              <w:rPr>
                <w:rFonts w:hint="eastAsia"/>
                <w:sz w:val="24"/>
              </w:rPr>
              <w:t>金融商品或結構型商品交易經驗或曾從事金融、證券、保險及期貨等相關行業之經歷。</w:t>
            </w:r>
          </w:p>
          <w:p w:rsidR="00B45A6B" w:rsidRPr="000C5495" w:rsidRDefault="00B45A6B" w:rsidP="00B45A6B">
            <w:pPr>
              <w:pStyle w:val="aa"/>
              <w:kinsoku w:val="0"/>
              <w:adjustRightInd w:val="0"/>
              <w:snapToGrid w:val="0"/>
              <w:spacing w:line="300" w:lineRule="auto"/>
              <w:ind w:left="0"/>
              <w:rPr>
                <w:sz w:val="24"/>
              </w:rPr>
            </w:pPr>
            <w:r w:rsidRPr="000C5495">
              <w:rPr>
                <w:rFonts w:hint="eastAsia"/>
                <w:sz w:val="24"/>
              </w:rPr>
              <w:t xml:space="preserve">　　前項所稱之交易經驗係指客戶曾</w:t>
            </w:r>
            <w:proofErr w:type="gramStart"/>
            <w:r w:rsidRPr="000C5495">
              <w:rPr>
                <w:rFonts w:hint="eastAsia"/>
                <w:sz w:val="24"/>
              </w:rPr>
              <w:t>承作</w:t>
            </w:r>
            <w:proofErr w:type="gramEnd"/>
            <w:r w:rsidRPr="000C5495">
              <w:rPr>
                <w:rFonts w:hint="eastAsia"/>
                <w:sz w:val="24"/>
              </w:rPr>
              <w:t>或投資單項或</w:t>
            </w:r>
            <w:proofErr w:type="gramStart"/>
            <w:r w:rsidRPr="000C5495">
              <w:rPr>
                <w:rFonts w:hint="eastAsia"/>
                <w:sz w:val="24"/>
              </w:rPr>
              <w:t>組合之衍生性</w:t>
            </w:r>
            <w:proofErr w:type="gramEnd"/>
            <w:r w:rsidRPr="000C5495">
              <w:rPr>
                <w:rFonts w:hint="eastAsia"/>
                <w:sz w:val="24"/>
              </w:rPr>
              <w:t>金融商品、期貨、保證金交易、認購（售）權證、可轉</w:t>
            </w:r>
            <w:r w:rsidRPr="000C5495">
              <w:rPr>
                <w:rFonts w:hint="eastAsia"/>
                <w:sz w:val="24"/>
              </w:rPr>
              <w:t>(</w:t>
            </w:r>
            <w:r w:rsidRPr="000C5495">
              <w:rPr>
                <w:rFonts w:hint="eastAsia"/>
                <w:sz w:val="24"/>
              </w:rPr>
              <w:t>交</w:t>
            </w:r>
            <w:r w:rsidRPr="000C5495">
              <w:rPr>
                <w:rFonts w:hint="eastAsia"/>
                <w:sz w:val="24"/>
              </w:rPr>
              <w:t>)</w:t>
            </w:r>
            <w:r w:rsidRPr="000C5495">
              <w:rPr>
                <w:rFonts w:hint="eastAsia"/>
                <w:sz w:val="24"/>
              </w:rPr>
              <w:t>換公司債、</w:t>
            </w:r>
            <w:proofErr w:type="gramStart"/>
            <w:r w:rsidRPr="000C5495">
              <w:rPr>
                <w:rFonts w:hint="eastAsia"/>
                <w:sz w:val="24"/>
              </w:rPr>
              <w:t>附認股權</w:t>
            </w:r>
            <w:proofErr w:type="gramEnd"/>
            <w:r w:rsidRPr="000C5495">
              <w:rPr>
                <w:rFonts w:hint="eastAsia"/>
                <w:sz w:val="24"/>
              </w:rPr>
              <w:t>有價證券、認股權憑證等具有衍生性金融商品性質之國內外有價證券、結構型商品、境外結構型商品等交易之經驗。</w:t>
            </w:r>
          </w:p>
          <w:p w:rsidR="004C2146" w:rsidRPr="000C5495" w:rsidRDefault="00B45A6B" w:rsidP="00B45A6B">
            <w:pPr>
              <w:pStyle w:val="aa"/>
              <w:kinsoku w:val="0"/>
              <w:adjustRightInd w:val="0"/>
              <w:snapToGrid w:val="0"/>
              <w:spacing w:line="300" w:lineRule="auto"/>
              <w:ind w:left="0" w:firstLineChars="200" w:firstLine="480"/>
              <w:jc w:val="both"/>
              <w:rPr>
                <w:sz w:val="24"/>
              </w:rPr>
            </w:pPr>
            <w:r w:rsidRPr="000C5495">
              <w:rPr>
                <w:rFonts w:hint="eastAsia"/>
                <w:sz w:val="24"/>
              </w:rPr>
              <w:t>前項銷售對象應具備之交易經驗或經歷之認定，得以客戶聲明或依槓桿交易商內部作業程序辦理。</w:t>
            </w:r>
          </w:p>
          <w:p w:rsidR="004C2146" w:rsidRPr="000C5495" w:rsidRDefault="004C2146" w:rsidP="00B45A6B">
            <w:pPr>
              <w:pStyle w:val="aa"/>
              <w:kinsoku w:val="0"/>
              <w:adjustRightInd w:val="0"/>
              <w:snapToGrid w:val="0"/>
              <w:spacing w:line="300" w:lineRule="auto"/>
              <w:ind w:left="0"/>
              <w:jc w:val="both"/>
              <w:rPr>
                <w:sz w:val="24"/>
              </w:rPr>
            </w:pPr>
          </w:p>
        </w:tc>
      </w:tr>
      <w:tr w:rsidR="004C2146" w:rsidRPr="000C5495" w:rsidTr="004C2146">
        <w:trPr>
          <w:trHeight w:val="535"/>
        </w:trPr>
        <w:tc>
          <w:tcPr>
            <w:tcW w:w="9918" w:type="dxa"/>
          </w:tcPr>
          <w:p w:rsidR="004C2146" w:rsidRPr="000C5495" w:rsidRDefault="004C2146" w:rsidP="00B45A6B">
            <w:pPr>
              <w:pStyle w:val="aa"/>
              <w:kinsoku w:val="0"/>
              <w:adjustRightInd w:val="0"/>
              <w:snapToGrid w:val="0"/>
              <w:spacing w:line="300" w:lineRule="auto"/>
              <w:ind w:left="0"/>
              <w:rPr>
                <w:sz w:val="24"/>
              </w:rPr>
            </w:pPr>
            <w:r w:rsidRPr="000C5495">
              <w:rPr>
                <w:rFonts w:hint="eastAsia"/>
                <w:sz w:val="24"/>
              </w:rPr>
              <w:t>第二十三條</w:t>
            </w:r>
          </w:p>
          <w:p w:rsidR="004C2146" w:rsidRPr="000C5495" w:rsidRDefault="004C2146" w:rsidP="00B45A6B">
            <w:pPr>
              <w:pStyle w:val="aa"/>
              <w:kinsoku w:val="0"/>
              <w:adjustRightInd w:val="0"/>
              <w:snapToGrid w:val="0"/>
              <w:spacing w:line="300" w:lineRule="auto"/>
              <w:ind w:left="-23" w:firstLineChars="200" w:firstLine="480"/>
              <w:rPr>
                <w:sz w:val="24"/>
              </w:rPr>
            </w:pPr>
            <w:r w:rsidRPr="000C5495">
              <w:rPr>
                <w:rFonts w:hint="eastAsia"/>
                <w:sz w:val="24"/>
              </w:rPr>
              <w:lastRenderedPageBreak/>
              <w:t>槓桿交易商對屬自然人之</w:t>
            </w:r>
            <w:proofErr w:type="gramStart"/>
            <w:r w:rsidRPr="000C5495">
              <w:rPr>
                <w:rFonts w:hint="eastAsia"/>
                <w:sz w:val="24"/>
              </w:rPr>
              <w:t>ㄧ</w:t>
            </w:r>
            <w:proofErr w:type="gramEnd"/>
            <w:r w:rsidRPr="000C5495">
              <w:rPr>
                <w:rFonts w:hint="eastAsia"/>
                <w:sz w:val="24"/>
              </w:rPr>
              <w:t>般客戶提供保本型結構型商品業務應符合下列原則：</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一、計價幣別以銀行可</w:t>
            </w:r>
            <w:proofErr w:type="gramStart"/>
            <w:r w:rsidRPr="000C5495">
              <w:rPr>
                <w:rFonts w:hint="eastAsia"/>
                <w:sz w:val="24"/>
              </w:rPr>
              <w:t>受理之幣別</w:t>
            </w:r>
            <w:proofErr w:type="gramEnd"/>
            <w:r w:rsidRPr="000C5495">
              <w:rPr>
                <w:rFonts w:hint="eastAsia"/>
                <w:sz w:val="24"/>
              </w:rPr>
              <w:t>為限。</w:t>
            </w:r>
          </w:p>
          <w:p w:rsidR="004C2146" w:rsidRPr="000C5495" w:rsidRDefault="004C2146" w:rsidP="004C2146">
            <w:pPr>
              <w:pStyle w:val="aa"/>
              <w:kinsoku w:val="0"/>
              <w:adjustRightInd w:val="0"/>
              <w:snapToGrid w:val="0"/>
              <w:spacing w:line="300" w:lineRule="auto"/>
              <w:ind w:leftChars="192" w:left="965" w:hangingChars="210" w:hanging="504"/>
              <w:jc w:val="both"/>
              <w:rPr>
                <w:sz w:val="24"/>
              </w:rPr>
            </w:pPr>
            <w:r w:rsidRPr="000C5495">
              <w:rPr>
                <w:rFonts w:hint="eastAsia"/>
                <w:sz w:val="24"/>
              </w:rPr>
              <w:t>二、產品說明書及推廣文宣資料中之商品中文名稱應於其主標題後以括弧或於下方以副標題方式說明「不受存款保險保障之　　（連結標的名稱）　（選擇權或其他槓桿保證金契約名稱）投資商品」。</w:t>
            </w:r>
          </w:p>
          <w:p w:rsidR="004C2146" w:rsidRPr="000C5495" w:rsidDel="00AB4B69" w:rsidRDefault="004C2146" w:rsidP="00B45A6B">
            <w:pPr>
              <w:pStyle w:val="aa"/>
              <w:kinsoku w:val="0"/>
              <w:adjustRightInd w:val="0"/>
              <w:snapToGrid w:val="0"/>
              <w:spacing w:line="300" w:lineRule="auto"/>
              <w:ind w:leftChars="-8" w:left="485" w:hangingChars="210" w:hanging="504"/>
              <w:jc w:val="both"/>
              <w:rPr>
                <w:sz w:val="24"/>
              </w:rPr>
            </w:pPr>
          </w:p>
        </w:tc>
      </w:tr>
      <w:tr w:rsidR="004C2146" w:rsidRPr="000C5495" w:rsidTr="004C2146">
        <w:trPr>
          <w:trHeight w:val="535"/>
        </w:trPr>
        <w:tc>
          <w:tcPr>
            <w:tcW w:w="9918" w:type="dxa"/>
          </w:tcPr>
          <w:p w:rsidR="004C2146" w:rsidRPr="000C5495" w:rsidRDefault="004C2146" w:rsidP="00B45A6B">
            <w:pPr>
              <w:pStyle w:val="aa"/>
              <w:kinsoku w:val="0"/>
              <w:adjustRightInd w:val="0"/>
              <w:snapToGrid w:val="0"/>
              <w:spacing w:line="300" w:lineRule="auto"/>
              <w:ind w:left="0"/>
              <w:rPr>
                <w:sz w:val="24"/>
              </w:rPr>
            </w:pPr>
            <w:r w:rsidRPr="000C5495">
              <w:rPr>
                <w:rFonts w:hint="eastAsia"/>
                <w:sz w:val="24"/>
              </w:rPr>
              <w:lastRenderedPageBreak/>
              <w:t>第二十四條</w:t>
            </w:r>
          </w:p>
          <w:p w:rsidR="004C2146" w:rsidRPr="000C5495" w:rsidRDefault="004C2146" w:rsidP="00B45A6B">
            <w:pPr>
              <w:pStyle w:val="aa"/>
              <w:kinsoku w:val="0"/>
              <w:adjustRightInd w:val="0"/>
              <w:snapToGrid w:val="0"/>
              <w:spacing w:line="300" w:lineRule="auto"/>
              <w:ind w:left="-23"/>
              <w:jc w:val="both"/>
              <w:rPr>
                <w:sz w:val="24"/>
              </w:rPr>
            </w:pPr>
            <w:r w:rsidRPr="000C5495">
              <w:rPr>
                <w:rFonts w:hint="eastAsia"/>
                <w:sz w:val="24"/>
              </w:rPr>
              <w:t xml:space="preserve">    </w:t>
            </w:r>
            <w:r w:rsidRPr="000C5495">
              <w:rPr>
                <w:rFonts w:hint="eastAsia"/>
                <w:sz w:val="24"/>
              </w:rPr>
              <w:t>槓桿交易商對屬自然人之</w:t>
            </w:r>
            <w:proofErr w:type="gramStart"/>
            <w:r w:rsidRPr="000C5495">
              <w:rPr>
                <w:rFonts w:hint="eastAsia"/>
                <w:sz w:val="24"/>
              </w:rPr>
              <w:t>ㄧ</w:t>
            </w:r>
            <w:proofErr w:type="gramEnd"/>
            <w:r w:rsidRPr="000C5495">
              <w:rPr>
                <w:rFonts w:hint="eastAsia"/>
                <w:sz w:val="24"/>
              </w:rPr>
              <w:t>般客戶提供不保本型結構型商品業務應符合下列原則：</w:t>
            </w:r>
          </w:p>
          <w:p w:rsidR="004C2146" w:rsidRPr="000C5495" w:rsidRDefault="004C2146" w:rsidP="004C2146">
            <w:pPr>
              <w:pStyle w:val="aa"/>
              <w:numPr>
                <w:ilvl w:val="0"/>
                <w:numId w:val="6"/>
              </w:numPr>
              <w:kinsoku w:val="0"/>
              <w:adjustRightInd w:val="0"/>
              <w:snapToGrid w:val="0"/>
              <w:spacing w:line="300" w:lineRule="auto"/>
              <w:ind w:left="1106" w:hanging="590"/>
              <w:jc w:val="both"/>
              <w:rPr>
                <w:sz w:val="24"/>
              </w:rPr>
            </w:pPr>
            <w:r w:rsidRPr="000C5495">
              <w:rPr>
                <w:rFonts w:hint="eastAsia"/>
                <w:sz w:val="24"/>
              </w:rPr>
              <w:t>計價幣別以銀行可</w:t>
            </w:r>
            <w:proofErr w:type="gramStart"/>
            <w:r w:rsidRPr="000C5495">
              <w:rPr>
                <w:rFonts w:hint="eastAsia"/>
                <w:sz w:val="24"/>
              </w:rPr>
              <w:t>受理之幣別</w:t>
            </w:r>
            <w:proofErr w:type="gramEnd"/>
            <w:r w:rsidRPr="000C5495">
              <w:rPr>
                <w:rFonts w:hint="eastAsia"/>
                <w:sz w:val="24"/>
              </w:rPr>
              <w:t>為限。</w:t>
            </w:r>
          </w:p>
          <w:p w:rsidR="004C2146" w:rsidRPr="000C5495" w:rsidRDefault="004C2146" w:rsidP="004C2146">
            <w:pPr>
              <w:pStyle w:val="aa"/>
              <w:numPr>
                <w:ilvl w:val="0"/>
                <w:numId w:val="6"/>
              </w:numPr>
              <w:kinsoku w:val="0"/>
              <w:adjustRightInd w:val="0"/>
              <w:snapToGrid w:val="0"/>
              <w:spacing w:line="300" w:lineRule="auto"/>
              <w:ind w:left="1106" w:hanging="590"/>
              <w:jc w:val="both"/>
              <w:rPr>
                <w:sz w:val="24"/>
              </w:rPr>
            </w:pPr>
            <w:r w:rsidRPr="000C5495">
              <w:rPr>
                <w:rFonts w:hint="eastAsia"/>
                <w:sz w:val="24"/>
              </w:rPr>
              <w:t>連結標的以</w:t>
            </w:r>
            <w:proofErr w:type="gramStart"/>
            <w:r w:rsidRPr="000C5495">
              <w:rPr>
                <w:rFonts w:hint="eastAsia"/>
                <w:sz w:val="24"/>
              </w:rPr>
              <w:t>臺</w:t>
            </w:r>
            <w:proofErr w:type="gramEnd"/>
            <w:r w:rsidRPr="000C5495">
              <w:rPr>
                <w:rFonts w:hint="eastAsia"/>
                <w:sz w:val="24"/>
              </w:rPr>
              <w:t>股股權或其指數為限。</w:t>
            </w:r>
          </w:p>
          <w:p w:rsidR="004C2146" w:rsidRPr="000C5495" w:rsidRDefault="004C2146" w:rsidP="004C2146">
            <w:pPr>
              <w:pStyle w:val="aa"/>
              <w:numPr>
                <w:ilvl w:val="0"/>
                <w:numId w:val="6"/>
              </w:numPr>
              <w:kinsoku w:val="0"/>
              <w:adjustRightInd w:val="0"/>
              <w:snapToGrid w:val="0"/>
              <w:spacing w:line="300" w:lineRule="auto"/>
              <w:ind w:left="1106" w:hanging="590"/>
              <w:jc w:val="both"/>
              <w:rPr>
                <w:sz w:val="24"/>
              </w:rPr>
            </w:pPr>
            <w:r w:rsidRPr="000C5495">
              <w:rPr>
                <w:rFonts w:hint="eastAsia"/>
                <w:sz w:val="24"/>
              </w:rPr>
              <w:t>產品期限不得超過</w:t>
            </w:r>
            <w:r w:rsidRPr="000C5495">
              <w:rPr>
                <w:rFonts w:hint="eastAsia"/>
                <w:sz w:val="24"/>
              </w:rPr>
              <w:t>6</w:t>
            </w:r>
            <w:r w:rsidRPr="000C5495">
              <w:rPr>
                <w:rFonts w:hint="eastAsia"/>
                <w:sz w:val="24"/>
              </w:rPr>
              <w:t>個月，且單筆交易價金應達新臺幣</w:t>
            </w:r>
            <w:r w:rsidRPr="000C5495">
              <w:rPr>
                <w:rFonts w:hint="eastAsia"/>
                <w:sz w:val="24"/>
              </w:rPr>
              <w:t>50</w:t>
            </w:r>
            <w:r w:rsidRPr="000C5495">
              <w:rPr>
                <w:rFonts w:hint="eastAsia"/>
                <w:sz w:val="24"/>
              </w:rPr>
              <w:t>萬元以上。</w:t>
            </w:r>
          </w:p>
          <w:p w:rsidR="004C2146" w:rsidRPr="000C5495" w:rsidRDefault="004C2146" w:rsidP="004C2146">
            <w:pPr>
              <w:pStyle w:val="aa"/>
              <w:numPr>
                <w:ilvl w:val="0"/>
                <w:numId w:val="6"/>
              </w:numPr>
              <w:kinsoku w:val="0"/>
              <w:adjustRightInd w:val="0"/>
              <w:snapToGrid w:val="0"/>
              <w:spacing w:line="300" w:lineRule="auto"/>
              <w:ind w:left="1106" w:hanging="590"/>
              <w:jc w:val="both"/>
              <w:rPr>
                <w:sz w:val="24"/>
              </w:rPr>
            </w:pPr>
            <w:r w:rsidRPr="000C5495">
              <w:rPr>
                <w:rFonts w:hint="eastAsia"/>
                <w:sz w:val="24"/>
              </w:rPr>
              <w:t>產品期限超過</w:t>
            </w:r>
            <w:r w:rsidRPr="000C5495">
              <w:rPr>
                <w:rFonts w:hint="eastAsia"/>
                <w:sz w:val="24"/>
              </w:rPr>
              <w:t>2</w:t>
            </w:r>
            <w:r w:rsidRPr="000C5495">
              <w:rPr>
                <w:rFonts w:hint="eastAsia"/>
                <w:sz w:val="24"/>
              </w:rPr>
              <w:t>個月者，結構型商品到期結算金額或依合約條件提前到期結算金額應達原計價幣別本金（或其等值）</w:t>
            </w:r>
            <w:r w:rsidRPr="000C5495">
              <w:rPr>
                <w:rFonts w:hint="eastAsia"/>
                <w:sz w:val="24"/>
              </w:rPr>
              <w:t>70%</w:t>
            </w:r>
            <w:r w:rsidRPr="000C5495">
              <w:rPr>
                <w:rFonts w:hint="eastAsia"/>
                <w:sz w:val="24"/>
              </w:rPr>
              <w:t>以上。</w:t>
            </w:r>
          </w:p>
          <w:p w:rsidR="004C2146" w:rsidRPr="000C5495" w:rsidRDefault="004C2146" w:rsidP="004C2146">
            <w:pPr>
              <w:pStyle w:val="aa"/>
              <w:numPr>
                <w:ilvl w:val="0"/>
                <w:numId w:val="6"/>
              </w:numPr>
              <w:kinsoku w:val="0"/>
              <w:adjustRightInd w:val="0"/>
              <w:snapToGrid w:val="0"/>
              <w:spacing w:line="300" w:lineRule="auto"/>
              <w:ind w:left="1106" w:hanging="590"/>
              <w:jc w:val="both"/>
              <w:rPr>
                <w:sz w:val="24"/>
              </w:rPr>
            </w:pPr>
            <w:r w:rsidRPr="000C5495">
              <w:rPr>
                <w:rFonts w:hint="eastAsia"/>
                <w:sz w:val="24"/>
              </w:rPr>
              <w:t>產品說明書及推廣文宣資料中之商品中文名稱應於其主標題後以括弧或於下方以副標題方式說明「不受存款保險保障，且交易損失可能達原始投資金額</w:t>
            </w:r>
            <w:r w:rsidRPr="000C5495">
              <w:rPr>
                <w:rFonts w:hint="eastAsia"/>
                <w:sz w:val="24"/>
              </w:rPr>
              <w:t xml:space="preserve"> </w:t>
            </w:r>
            <w:r w:rsidRPr="000C5495">
              <w:rPr>
                <w:rFonts w:hint="eastAsia"/>
                <w:sz w:val="24"/>
              </w:rPr>
              <w:t xml:space="preserve">　</w:t>
            </w:r>
            <w:r w:rsidRPr="000C5495">
              <w:rPr>
                <w:rFonts w:hint="eastAsia"/>
                <w:sz w:val="24"/>
              </w:rPr>
              <w:t>%</w:t>
            </w:r>
            <w:r w:rsidRPr="000C5495">
              <w:rPr>
                <w:rFonts w:hint="eastAsia"/>
                <w:sz w:val="24"/>
              </w:rPr>
              <w:t>之</w:t>
            </w:r>
            <w:proofErr w:type="gramStart"/>
            <w:r w:rsidRPr="000C5495">
              <w:rPr>
                <w:rFonts w:hint="eastAsia"/>
                <w:sz w:val="24"/>
              </w:rPr>
              <w:t>臺</w:t>
            </w:r>
            <w:proofErr w:type="gramEnd"/>
            <w:r w:rsidRPr="000C5495">
              <w:rPr>
                <w:rFonts w:hint="eastAsia"/>
                <w:sz w:val="24"/>
              </w:rPr>
              <w:t>股股權投資商品。」</w:t>
            </w:r>
          </w:p>
          <w:p w:rsidR="004C2146" w:rsidRPr="000C5495" w:rsidRDefault="004C2146" w:rsidP="004C2146">
            <w:pPr>
              <w:pStyle w:val="aa"/>
              <w:kinsoku w:val="0"/>
              <w:adjustRightInd w:val="0"/>
              <w:snapToGrid w:val="0"/>
              <w:spacing w:line="300" w:lineRule="auto"/>
              <w:ind w:left="567"/>
              <w:jc w:val="both"/>
              <w:rPr>
                <w:sz w:val="24"/>
              </w:rPr>
            </w:pPr>
          </w:p>
        </w:tc>
      </w:tr>
      <w:tr w:rsidR="004C2146" w:rsidRPr="000C5495" w:rsidTr="004C2146">
        <w:trPr>
          <w:trHeight w:val="535"/>
        </w:trPr>
        <w:tc>
          <w:tcPr>
            <w:tcW w:w="9918" w:type="dxa"/>
          </w:tcPr>
          <w:p w:rsidR="004C2146" w:rsidRPr="000C5495" w:rsidRDefault="004C2146" w:rsidP="00B45A6B">
            <w:pPr>
              <w:pStyle w:val="aa"/>
              <w:kinsoku w:val="0"/>
              <w:adjustRightInd w:val="0"/>
              <w:snapToGrid w:val="0"/>
              <w:spacing w:line="300" w:lineRule="auto"/>
              <w:ind w:left="0"/>
              <w:rPr>
                <w:b/>
                <w:sz w:val="28"/>
                <w:szCs w:val="28"/>
              </w:rPr>
            </w:pPr>
            <w:r w:rsidRPr="000C5495">
              <w:rPr>
                <w:rFonts w:hint="eastAsia"/>
                <w:b/>
                <w:sz w:val="28"/>
                <w:szCs w:val="28"/>
              </w:rPr>
              <w:t>第四章</w:t>
            </w:r>
            <w:r w:rsidRPr="000C5495">
              <w:rPr>
                <w:rFonts w:hint="eastAsia"/>
                <w:b/>
                <w:sz w:val="28"/>
                <w:szCs w:val="28"/>
              </w:rPr>
              <w:t xml:space="preserve">  </w:t>
            </w:r>
            <w:r w:rsidR="00B45A6B" w:rsidRPr="000C5495">
              <w:rPr>
                <w:rFonts w:hint="eastAsia"/>
                <w:b/>
                <w:sz w:val="28"/>
                <w:szCs w:val="28"/>
              </w:rPr>
              <w:t>商品適合度、風險告知與揭露及廣告行銷</w:t>
            </w:r>
          </w:p>
        </w:tc>
      </w:tr>
      <w:tr w:rsidR="00B45A6B" w:rsidRPr="000C5495" w:rsidTr="00B45A6B">
        <w:trPr>
          <w:trHeight w:val="535"/>
        </w:trPr>
        <w:tc>
          <w:tcPr>
            <w:tcW w:w="9918" w:type="dxa"/>
            <w:shd w:val="clear" w:color="auto" w:fill="auto"/>
          </w:tcPr>
          <w:p w:rsidR="00B45A6B" w:rsidRPr="000C5495" w:rsidRDefault="00B45A6B" w:rsidP="00B45A6B">
            <w:pPr>
              <w:adjustRightInd w:val="0"/>
              <w:snapToGrid w:val="0"/>
              <w:spacing w:line="300" w:lineRule="auto"/>
              <w:ind w:rightChars="17" w:right="41"/>
              <w:jc w:val="both"/>
              <w:rPr>
                <w:rFonts w:eastAsia="標楷體"/>
                <w:szCs w:val="24"/>
              </w:rPr>
            </w:pPr>
            <w:r w:rsidRPr="000C5495">
              <w:rPr>
                <w:rFonts w:eastAsia="標楷體"/>
                <w:szCs w:val="24"/>
              </w:rPr>
              <w:t>第二十五條</w:t>
            </w:r>
          </w:p>
          <w:p w:rsidR="00697E21" w:rsidRPr="000C5495" w:rsidRDefault="00682A51" w:rsidP="00697E21">
            <w:pPr>
              <w:adjustRightInd w:val="0"/>
              <w:snapToGrid w:val="0"/>
              <w:spacing w:line="300" w:lineRule="auto"/>
              <w:ind w:rightChars="17" w:right="41" w:firstLineChars="200" w:firstLine="480"/>
              <w:jc w:val="both"/>
              <w:rPr>
                <w:rFonts w:eastAsia="標楷體"/>
                <w:szCs w:val="24"/>
              </w:rPr>
            </w:pPr>
            <w:r w:rsidRPr="000C5495">
              <w:rPr>
                <w:rFonts w:eastAsia="標楷體" w:hint="eastAsia"/>
                <w:szCs w:val="24"/>
              </w:rPr>
              <w:t>槓桿交易商向專業機構投資人</w:t>
            </w:r>
            <w:r w:rsidRPr="000C5495">
              <w:rPr>
                <w:rFonts w:ascii="標楷體" w:eastAsia="標楷體" w:hAnsi="標楷體" w:hint="eastAsia"/>
              </w:rPr>
              <w:t>及高淨值投資法人以外之</w:t>
            </w:r>
            <w:r w:rsidRPr="000C5495">
              <w:rPr>
                <w:rFonts w:eastAsia="標楷體" w:hint="eastAsia"/>
                <w:szCs w:val="24"/>
              </w:rPr>
              <w:t>客戶提供非屬結構型商品之槓桿保證金契約交易服務，槓桿交易商就商品適合度建立之內部作業程序應依下列原則辦理：</w:t>
            </w:r>
          </w:p>
          <w:p w:rsidR="00697E21" w:rsidRPr="000C5495" w:rsidRDefault="00697E21" w:rsidP="00697E21">
            <w:pPr>
              <w:adjustRightInd w:val="0"/>
              <w:snapToGrid w:val="0"/>
              <w:spacing w:line="300" w:lineRule="auto"/>
              <w:ind w:leftChars="200" w:left="960" w:rightChars="17" w:right="41" w:hangingChars="200" w:hanging="480"/>
              <w:jc w:val="both"/>
              <w:rPr>
                <w:rFonts w:eastAsia="標楷體"/>
                <w:szCs w:val="24"/>
              </w:rPr>
            </w:pPr>
            <w:r w:rsidRPr="000C5495">
              <w:rPr>
                <w:rFonts w:eastAsia="標楷體" w:hint="eastAsia"/>
                <w:szCs w:val="24"/>
              </w:rPr>
              <w:t>一、建立商品風險分級制度，且分級方式應考量多重風險因子，例如波動幅度、連結標的資產類別及產品天期等。複雜性高風險商品，應核予該商品最高風險評級。</w:t>
            </w:r>
          </w:p>
          <w:p w:rsidR="00697E21" w:rsidRPr="000C5495" w:rsidRDefault="00697E21" w:rsidP="00697E21">
            <w:pPr>
              <w:adjustRightInd w:val="0"/>
              <w:snapToGrid w:val="0"/>
              <w:spacing w:line="300" w:lineRule="auto"/>
              <w:ind w:leftChars="200" w:left="960" w:rightChars="17" w:right="41" w:hangingChars="200" w:hanging="480"/>
              <w:jc w:val="both"/>
              <w:rPr>
                <w:rFonts w:eastAsia="標楷體"/>
                <w:szCs w:val="24"/>
              </w:rPr>
            </w:pPr>
            <w:r w:rsidRPr="000C5495">
              <w:rPr>
                <w:rFonts w:eastAsia="標楷體" w:hint="eastAsia"/>
                <w:szCs w:val="24"/>
              </w:rPr>
              <w:t>二、複雜性高風險商品限專業客戶及以避險為目的之一般客戶</w:t>
            </w:r>
            <w:proofErr w:type="gramStart"/>
            <w:r w:rsidRPr="000C5495">
              <w:rPr>
                <w:rFonts w:eastAsia="標楷體" w:hint="eastAsia"/>
                <w:szCs w:val="24"/>
              </w:rPr>
              <w:t>承作</w:t>
            </w:r>
            <w:proofErr w:type="gramEnd"/>
            <w:r w:rsidRPr="000C5495">
              <w:rPr>
                <w:rFonts w:eastAsia="標楷體" w:hint="eastAsia"/>
                <w:szCs w:val="24"/>
              </w:rPr>
              <w:t>，且客戶應具備賣出選擇權之知識與經驗。</w:t>
            </w:r>
          </w:p>
          <w:p w:rsidR="00697E21" w:rsidRPr="000C5495" w:rsidRDefault="00697E21" w:rsidP="00697E21">
            <w:pPr>
              <w:adjustRightInd w:val="0"/>
              <w:snapToGrid w:val="0"/>
              <w:spacing w:line="300" w:lineRule="auto"/>
              <w:ind w:leftChars="200" w:left="960" w:rightChars="17" w:right="41" w:hangingChars="200" w:hanging="480"/>
              <w:jc w:val="both"/>
              <w:rPr>
                <w:rFonts w:eastAsia="標楷體"/>
                <w:szCs w:val="24"/>
              </w:rPr>
            </w:pPr>
            <w:r w:rsidRPr="000C5495">
              <w:rPr>
                <w:rFonts w:eastAsia="標楷體" w:hint="eastAsia"/>
                <w:szCs w:val="24"/>
              </w:rPr>
              <w:t>三、核給客戶槓桿保證金契約額度或進行額度展延時，應請客戶提供與其他金融機構</w:t>
            </w:r>
            <w:proofErr w:type="gramStart"/>
            <w:r w:rsidRPr="000C5495">
              <w:rPr>
                <w:rFonts w:eastAsia="標楷體" w:hint="eastAsia"/>
                <w:szCs w:val="24"/>
              </w:rPr>
              <w:t>承作</w:t>
            </w:r>
            <w:proofErr w:type="gramEnd"/>
            <w:r w:rsidRPr="000C5495">
              <w:rPr>
                <w:rFonts w:eastAsia="標楷體" w:hint="eastAsia"/>
                <w:szCs w:val="24"/>
              </w:rPr>
              <w:t>槓桿保證金契約之額度。</w:t>
            </w:r>
          </w:p>
          <w:p w:rsidR="00697E21" w:rsidRPr="000C5495" w:rsidRDefault="00697E21" w:rsidP="00697E21">
            <w:pPr>
              <w:adjustRightInd w:val="0"/>
              <w:snapToGrid w:val="0"/>
              <w:spacing w:line="300" w:lineRule="auto"/>
              <w:ind w:leftChars="200" w:left="960" w:rightChars="17" w:right="41" w:hangingChars="200" w:hanging="480"/>
              <w:jc w:val="both"/>
              <w:rPr>
                <w:rFonts w:eastAsia="標楷體"/>
                <w:szCs w:val="24"/>
              </w:rPr>
            </w:pPr>
            <w:r w:rsidRPr="000C5495">
              <w:rPr>
                <w:rFonts w:eastAsia="標楷體" w:hint="eastAsia"/>
                <w:szCs w:val="24"/>
              </w:rPr>
              <w:t>四、應考量客戶之營業收入、淨值、與其他金融機構交易額度等因素，審慎衡酌客戶承受風險能力，核給客戶交易額度。非以避險為目的之客戶應</w:t>
            </w:r>
            <w:proofErr w:type="gramStart"/>
            <w:r w:rsidRPr="000C5495">
              <w:rPr>
                <w:rFonts w:eastAsia="標楷體" w:hint="eastAsia"/>
                <w:szCs w:val="24"/>
              </w:rPr>
              <w:t>設有徵提擔保</w:t>
            </w:r>
            <w:proofErr w:type="gramEnd"/>
            <w:r w:rsidRPr="000C5495">
              <w:rPr>
                <w:rFonts w:eastAsia="標楷體" w:hint="eastAsia"/>
                <w:szCs w:val="24"/>
              </w:rPr>
              <w:t>品機制。</w:t>
            </w:r>
            <w:r w:rsidRPr="000C5495">
              <w:rPr>
                <w:rFonts w:eastAsia="標楷體" w:hint="eastAsia"/>
                <w:szCs w:val="24"/>
              </w:rPr>
              <w:t xml:space="preserve"> </w:t>
            </w:r>
          </w:p>
          <w:p w:rsidR="00682A51" w:rsidRPr="000C5495" w:rsidRDefault="00697E21" w:rsidP="00682A51">
            <w:pPr>
              <w:adjustRightInd w:val="0"/>
              <w:snapToGrid w:val="0"/>
              <w:spacing w:line="300" w:lineRule="auto"/>
              <w:ind w:leftChars="200" w:left="960" w:rightChars="17" w:right="41" w:hangingChars="200" w:hanging="480"/>
              <w:jc w:val="both"/>
              <w:rPr>
                <w:rFonts w:eastAsia="標楷體"/>
                <w:szCs w:val="24"/>
              </w:rPr>
            </w:pPr>
            <w:r w:rsidRPr="000C5495">
              <w:rPr>
                <w:rFonts w:eastAsia="標楷體" w:hint="eastAsia"/>
                <w:szCs w:val="24"/>
              </w:rPr>
              <w:t>五、</w:t>
            </w:r>
            <w:r w:rsidR="00682A51" w:rsidRPr="000C5495">
              <w:rPr>
                <w:rFonts w:eastAsia="標楷體" w:hint="eastAsia"/>
                <w:szCs w:val="24"/>
              </w:rPr>
              <w:t>槓桿交易商應就非以避險為目的</w:t>
            </w:r>
            <w:proofErr w:type="gramStart"/>
            <w:r w:rsidR="00682A51" w:rsidRPr="000C5495">
              <w:rPr>
                <w:rFonts w:eastAsia="標楷體" w:hint="eastAsia"/>
                <w:szCs w:val="24"/>
              </w:rPr>
              <w:t>承作</w:t>
            </w:r>
            <w:proofErr w:type="gramEnd"/>
            <w:r w:rsidR="00682A51" w:rsidRPr="000C5495">
              <w:rPr>
                <w:rFonts w:eastAsia="標楷體" w:hint="eastAsia"/>
                <w:szCs w:val="24"/>
              </w:rPr>
              <w:t>之複雜性高風險商品，個別交易設有客戶最大損失上限。非避險交易之個別交易損失上限如下：</w:t>
            </w:r>
          </w:p>
          <w:p w:rsidR="00682A51" w:rsidRPr="000C5495" w:rsidRDefault="00682A51" w:rsidP="00682A51">
            <w:pPr>
              <w:adjustRightInd w:val="0"/>
              <w:snapToGrid w:val="0"/>
              <w:spacing w:line="300" w:lineRule="auto"/>
              <w:ind w:leftChars="380" w:left="1673" w:rightChars="17" w:right="41" w:hangingChars="317" w:hanging="761"/>
              <w:jc w:val="both"/>
              <w:rPr>
                <w:rFonts w:eastAsia="標楷體"/>
                <w:szCs w:val="24"/>
              </w:rPr>
            </w:pPr>
            <w:r w:rsidRPr="000C5495">
              <w:rPr>
                <w:rFonts w:eastAsia="標楷體" w:hint="eastAsia"/>
                <w:szCs w:val="24"/>
              </w:rPr>
              <w:t>（一）比價期數十二期以下（含）者，個別交易損失上限不得超過平均單期名目本金之六倍。</w:t>
            </w:r>
          </w:p>
          <w:p w:rsidR="00682A51" w:rsidRPr="000C5495" w:rsidRDefault="00682A51" w:rsidP="00682A51">
            <w:pPr>
              <w:adjustRightInd w:val="0"/>
              <w:snapToGrid w:val="0"/>
              <w:spacing w:line="300" w:lineRule="auto"/>
              <w:ind w:leftChars="380" w:left="1673" w:rightChars="17" w:right="41" w:hangingChars="317" w:hanging="761"/>
              <w:jc w:val="both"/>
              <w:rPr>
                <w:rFonts w:eastAsia="標楷體"/>
                <w:szCs w:val="24"/>
              </w:rPr>
            </w:pPr>
            <w:r w:rsidRPr="000C5495">
              <w:rPr>
                <w:rFonts w:eastAsia="標楷體" w:hint="eastAsia"/>
                <w:szCs w:val="24"/>
              </w:rPr>
              <w:t>（二）比價期數超過</w:t>
            </w:r>
            <w:proofErr w:type="gramStart"/>
            <w:r w:rsidRPr="000C5495">
              <w:rPr>
                <w:rFonts w:eastAsia="標楷體" w:hint="eastAsia"/>
                <w:szCs w:val="24"/>
              </w:rPr>
              <w:t>十二期者</w:t>
            </w:r>
            <w:proofErr w:type="gramEnd"/>
            <w:r w:rsidRPr="000C5495">
              <w:rPr>
                <w:rFonts w:eastAsia="標楷體" w:hint="eastAsia"/>
                <w:szCs w:val="24"/>
              </w:rPr>
              <w:t>，個別交易損失上限不得超過平均單期名目本金之九點</w:t>
            </w:r>
            <w:r w:rsidRPr="000C5495">
              <w:rPr>
                <w:rFonts w:eastAsia="標楷體" w:hint="eastAsia"/>
                <w:szCs w:val="24"/>
              </w:rPr>
              <w:lastRenderedPageBreak/>
              <w:t>六</w:t>
            </w:r>
            <w:proofErr w:type="gramStart"/>
            <w:r w:rsidRPr="000C5495">
              <w:rPr>
                <w:rFonts w:eastAsia="標楷體" w:hint="eastAsia"/>
                <w:szCs w:val="24"/>
              </w:rPr>
              <w:t>倍</w:t>
            </w:r>
            <w:proofErr w:type="gramEnd"/>
            <w:r w:rsidRPr="000C5495">
              <w:rPr>
                <w:rFonts w:eastAsia="標楷體" w:hint="eastAsia"/>
                <w:szCs w:val="24"/>
              </w:rPr>
              <w:t>。</w:t>
            </w:r>
          </w:p>
          <w:p w:rsidR="00697E21" w:rsidRPr="000C5495" w:rsidRDefault="00682A51" w:rsidP="00682A51">
            <w:pPr>
              <w:adjustRightInd w:val="0"/>
              <w:snapToGrid w:val="0"/>
              <w:spacing w:line="300" w:lineRule="auto"/>
              <w:ind w:leftChars="380" w:left="1673" w:rightChars="17" w:right="41" w:hangingChars="317" w:hanging="761"/>
              <w:jc w:val="both"/>
              <w:rPr>
                <w:rFonts w:eastAsia="標楷體"/>
                <w:szCs w:val="24"/>
              </w:rPr>
            </w:pPr>
            <w:r w:rsidRPr="000C5495">
              <w:rPr>
                <w:rFonts w:eastAsia="標楷體"/>
                <w:szCs w:val="24"/>
              </w:rPr>
              <w:t>（三）</w:t>
            </w:r>
            <w:r w:rsidRPr="000C5495">
              <w:rPr>
                <w:rFonts w:eastAsia="標楷體" w:hint="eastAsia"/>
                <w:szCs w:val="24"/>
              </w:rPr>
              <w:t>所稱平均單期名目本金為不計槓桿之總名目本金除以期數之金額。</w:t>
            </w:r>
          </w:p>
          <w:p w:rsidR="00697E21" w:rsidRPr="000C5495" w:rsidRDefault="00697E21" w:rsidP="00697E21">
            <w:pPr>
              <w:adjustRightInd w:val="0"/>
              <w:snapToGrid w:val="0"/>
              <w:spacing w:line="300" w:lineRule="auto"/>
              <w:ind w:leftChars="200" w:left="960" w:rightChars="17" w:right="41" w:hangingChars="200" w:hanging="480"/>
              <w:jc w:val="both"/>
              <w:rPr>
                <w:rFonts w:eastAsia="標楷體"/>
                <w:szCs w:val="24"/>
              </w:rPr>
            </w:pPr>
            <w:r w:rsidRPr="000C5495">
              <w:rPr>
                <w:rFonts w:eastAsia="標楷體" w:hint="eastAsia"/>
                <w:szCs w:val="24"/>
              </w:rPr>
              <w:t>六、槓桿交易商應就非以避險為目的</w:t>
            </w:r>
            <w:proofErr w:type="gramStart"/>
            <w:r w:rsidRPr="000C5495">
              <w:rPr>
                <w:rFonts w:eastAsia="標楷體" w:hint="eastAsia"/>
                <w:szCs w:val="24"/>
              </w:rPr>
              <w:t>承作</w:t>
            </w:r>
            <w:proofErr w:type="gramEnd"/>
            <w:r w:rsidRPr="000C5495">
              <w:rPr>
                <w:rFonts w:eastAsia="標楷體" w:hint="eastAsia"/>
                <w:szCs w:val="24"/>
              </w:rPr>
              <w:t>之複雜性高風險商品建立客戶風險</w:t>
            </w:r>
            <w:proofErr w:type="gramStart"/>
            <w:r w:rsidRPr="000C5495">
              <w:rPr>
                <w:rFonts w:eastAsia="標楷體" w:hint="eastAsia"/>
                <w:szCs w:val="24"/>
              </w:rPr>
              <w:t>集中度控管</w:t>
            </w:r>
            <w:proofErr w:type="gramEnd"/>
            <w:r w:rsidRPr="000C5495">
              <w:rPr>
                <w:rFonts w:eastAsia="標楷體" w:hint="eastAsia"/>
                <w:szCs w:val="24"/>
              </w:rPr>
              <w:t>機制。明確訂定客戶投資複雜性高風險商品之每期名目本金總和占其在該槓桿交易商槓桿保證金</w:t>
            </w:r>
            <w:proofErr w:type="gramStart"/>
            <w:r w:rsidRPr="000C5495">
              <w:rPr>
                <w:rFonts w:eastAsia="標楷體" w:hint="eastAsia"/>
                <w:szCs w:val="24"/>
              </w:rPr>
              <w:t>契約契約</w:t>
            </w:r>
            <w:proofErr w:type="gramEnd"/>
            <w:r w:rsidRPr="000C5495">
              <w:rPr>
                <w:rFonts w:eastAsia="標楷體" w:hint="eastAsia"/>
                <w:szCs w:val="24"/>
              </w:rPr>
              <w:t>名目本金總金額之最高比重或客戶投資複雜性高風險商品所使用之未來潛在</w:t>
            </w:r>
            <w:proofErr w:type="gramStart"/>
            <w:r w:rsidRPr="000C5495">
              <w:rPr>
                <w:rFonts w:eastAsia="標楷體" w:hint="eastAsia"/>
                <w:szCs w:val="24"/>
              </w:rPr>
              <w:t>曝險額</w:t>
            </w:r>
            <w:proofErr w:type="gramEnd"/>
            <w:r w:rsidRPr="000C5495">
              <w:rPr>
                <w:rFonts w:eastAsia="標楷體" w:hint="eastAsia"/>
                <w:szCs w:val="24"/>
              </w:rPr>
              <w:t>（</w:t>
            </w:r>
            <w:r w:rsidRPr="000C5495">
              <w:rPr>
                <w:rFonts w:eastAsia="標楷體" w:hint="eastAsia"/>
                <w:szCs w:val="24"/>
              </w:rPr>
              <w:t>MLIV</w:t>
            </w:r>
            <w:r w:rsidRPr="000C5495">
              <w:rPr>
                <w:rFonts w:eastAsia="標楷體" w:hint="eastAsia"/>
                <w:szCs w:val="24"/>
              </w:rPr>
              <w:t>）總和占其衍生性</w:t>
            </w:r>
            <w:proofErr w:type="gramStart"/>
            <w:r w:rsidRPr="000C5495">
              <w:rPr>
                <w:rFonts w:eastAsia="標楷體" w:hint="eastAsia"/>
                <w:szCs w:val="24"/>
              </w:rPr>
              <w:t>商品曝險額度</w:t>
            </w:r>
            <w:proofErr w:type="gramEnd"/>
            <w:r w:rsidRPr="000C5495">
              <w:rPr>
                <w:rFonts w:eastAsia="標楷體" w:hint="eastAsia"/>
                <w:szCs w:val="24"/>
              </w:rPr>
              <w:t>之最高比重。</w:t>
            </w:r>
          </w:p>
          <w:p w:rsidR="00697E21" w:rsidRPr="000C5495" w:rsidRDefault="00697E21" w:rsidP="00697E21">
            <w:pPr>
              <w:adjustRightInd w:val="0"/>
              <w:snapToGrid w:val="0"/>
              <w:spacing w:line="300" w:lineRule="auto"/>
              <w:ind w:leftChars="200" w:left="960" w:rightChars="17" w:right="41" w:hangingChars="200" w:hanging="480"/>
              <w:jc w:val="both"/>
              <w:rPr>
                <w:rFonts w:eastAsia="標楷體"/>
                <w:szCs w:val="24"/>
              </w:rPr>
            </w:pPr>
            <w:r w:rsidRPr="000C5495">
              <w:rPr>
                <w:rFonts w:eastAsia="標楷體" w:hint="eastAsia"/>
                <w:szCs w:val="24"/>
              </w:rPr>
              <w:t>七、槓桿交易商與客戶</w:t>
            </w:r>
            <w:proofErr w:type="gramStart"/>
            <w:r w:rsidRPr="000C5495">
              <w:rPr>
                <w:rFonts w:eastAsia="標楷體" w:hint="eastAsia"/>
                <w:szCs w:val="24"/>
              </w:rPr>
              <w:t>承作</w:t>
            </w:r>
            <w:proofErr w:type="gramEnd"/>
            <w:r w:rsidRPr="000C5495">
              <w:rPr>
                <w:rFonts w:eastAsia="標楷體" w:hint="eastAsia"/>
                <w:szCs w:val="24"/>
              </w:rPr>
              <w:t>複雜性高風險商品交易應充分告知該金融商品、服務及契約之重要內容，包括交易條件重要內容及揭露相關風險，上該說明及揭露，除</w:t>
            </w:r>
            <w:proofErr w:type="gramStart"/>
            <w:r w:rsidRPr="000C5495">
              <w:rPr>
                <w:rFonts w:eastAsia="標楷體" w:hint="eastAsia"/>
                <w:szCs w:val="24"/>
              </w:rPr>
              <w:t>以非臨櫃</w:t>
            </w:r>
            <w:proofErr w:type="gramEnd"/>
            <w:r w:rsidRPr="000C5495">
              <w:rPr>
                <w:rFonts w:eastAsia="標楷體" w:hint="eastAsia"/>
                <w:szCs w:val="24"/>
              </w:rPr>
              <w:t>之自動化通路交易或客戶不予同意之情形外，應以錄音或錄影方式保留紀錄。錄音或錄影內容至少應保存該商品存續期間加計三個月之</w:t>
            </w:r>
            <w:proofErr w:type="gramStart"/>
            <w:r w:rsidRPr="000C5495">
              <w:rPr>
                <w:rFonts w:eastAsia="標楷體" w:hint="eastAsia"/>
                <w:szCs w:val="24"/>
              </w:rPr>
              <w:t>期間，</w:t>
            </w:r>
            <w:proofErr w:type="gramEnd"/>
            <w:r w:rsidRPr="000C5495">
              <w:rPr>
                <w:rFonts w:eastAsia="標楷體" w:hint="eastAsia"/>
                <w:szCs w:val="24"/>
              </w:rPr>
              <w:t>如未滿五年應至少保存五年以上。但發生金融消費爭議時，應保存至該爭議終結為止。</w:t>
            </w:r>
          </w:p>
          <w:p w:rsidR="00682A51" w:rsidRPr="000C5495" w:rsidRDefault="00682A51" w:rsidP="00682A51">
            <w:pPr>
              <w:adjustRightInd w:val="0"/>
              <w:snapToGrid w:val="0"/>
              <w:spacing w:line="300" w:lineRule="auto"/>
              <w:ind w:leftChars="200" w:left="960" w:rightChars="17" w:right="41" w:hangingChars="200" w:hanging="480"/>
              <w:jc w:val="both"/>
              <w:rPr>
                <w:rFonts w:eastAsia="標楷體"/>
                <w:szCs w:val="24"/>
              </w:rPr>
            </w:pPr>
            <w:r w:rsidRPr="000C5495">
              <w:rPr>
                <w:rFonts w:eastAsia="標楷體" w:hint="eastAsia"/>
                <w:szCs w:val="24"/>
              </w:rPr>
              <w:t>八、槓桿交易商應落實執行瞭解客戶及商品適合度制度，與非避險客戶辦理複雜性高風險商品時，所訂定之個別契約最大損失上限應有合理考量基礎。提供予客戶之交易文件應揭露該契約最大損失金額，並要求客戶於該處簽名、</w:t>
            </w:r>
            <w:proofErr w:type="gramStart"/>
            <w:r w:rsidRPr="000C5495">
              <w:rPr>
                <w:rFonts w:eastAsia="標楷體" w:hint="eastAsia"/>
                <w:szCs w:val="24"/>
              </w:rPr>
              <w:t>蓋用原</w:t>
            </w:r>
            <w:proofErr w:type="gramEnd"/>
            <w:r w:rsidRPr="000C5495">
              <w:rPr>
                <w:rFonts w:eastAsia="標楷體" w:hint="eastAsia"/>
                <w:szCs w:val="24"/>
              </w:rPr>
              <w:t>留印鑑或其他雙方同意之方式確認，以提高客戶風險意識。</w:t>
            </w:r>
          </w:p>
          <w:p w:rsidR="00682A51" w:rsidRPr="000C5495" w:rsidRDefault="00682A51" w:rsidP="00682A51">
            <w:pPr>
              <w:adjustRightInd w:val="0"/>
              <w:snapToGrid w:val="0"/>
              <w:spacing w:line="300" w:lineRule="auto"/>
              <w:ind w:leftChars="200" w:left="960" w:rightChars="17" w:right="41" w:hangingChars="200" w:hanging="480"/>
              <w:jc w:val="both"/>
              <w:rPr>
                <w:rFonts w:eastAsia="標楷體"/>
                <w:szCs w:val="24"/>
              </w:rPr>
            </w:pPr>
            <w:r w:rsidRPr="000C5495">
              <w:rPr>
                <w:rFonts w:eastAsia="標楷體" w:hint="eastAsia"/>
                <w:szCs w:val="24"/>
              </w:rPr>
              <w:t>九、槓桿交易商應合理控管客戶整體信用風險，避免客戶</w:t>
            </w:r>
            <w:proofErr w:type="gramStart"/>
            <w:r w:rsidRPr="000C5495">
              <w:rPr>
                <w:rFonts w:eastAsia="標楷體" w:hint="eastAsia"/>
                <w:szCs w:val="24"/>
              </w:rPr>
              <w:t>整體暴險情形</w:t>
            </w:r>
            <w:proofErr w:type="gramEnd"/>
            <w:r w:rsidRPr="000C5495">
              <w:rPr>
                <w:rFonts w:eastAsia="標楷體" w:hint="eastAsia"/>
                <w:szCs w:val="24"/>
              </w:rPr>
              <w:t>超過其風險承受能力，並應每日按市價評估，確實</w:t>
            </w:r>
            <w:proofErr w:type="gramStart"/>
            <w:r w:rsidRPr="000C5495">
              <w:rPr>
                <w:rFonts w:eastAsia="標楷體" w:hint="eastAsia"/>
                <w:szCs w:val="24"/>
              </w:rPr>
              <w:t>執行徵提保證金</w:t>
            </w:r>
            <w:proofErr w:type="gramEnd"/>
            <w:r w:rsidRPr="000C5495">
              <w:rPr>
                <w:rFonts w:eastAsia="標楷體" w:hint="eastAsia"/>
                <w:szCs w:val="24"/>
              </w:rPr>
              <w:t>或擔保品機制。</w:t>
            </w:r>
          </w:p>
          <w:p w:rsidR="00697E21" w:rsidRPr="000C5495" w:rsidRDefault="00697E21" w:rsidP="00697E21">
            <w:pPr>
              <w:adjustRightInd w:val="0"/>
              <w:snapToGrid w:val="0"/>
              <w:spacing w:line="300" w:lineRule="auto"/>
              <w:ind w:rightChars="17" w:right="41" w:firstLineChars="200" w:firstLine="480"/>
              <w:jc w:val="both"/>
              <w:rPr>
                <w:rFonts w:eastAsia="標楷體"/>
                <w:szCs w:val="24"/>
              </w:rPr>
            </w:pPr>
            <w:r w:rsidRPr="000C5495">
              <w:rPr>
                <w:rFonts w:eastAsia="標楷體" w:hint="eastAsia"/>
                <w:szCs w:val="24"/>
              </w:rPr>
              <w:t>第一項第二款</w:t>
            </w:r>
            <w:proofErr w:type="gramStart"/>
            <w:r w:rsidRPr="000C5495">
              <w:rPr>
                <w:rFonts w:eastAsia="標楷體" w:hint="eastAsia"/>
                <w:szCs w:val="24"/>
              </w:rPr>
              <w:t>所稱避險</w:t>
            </w:r>
            <w:proofErr w:type="gramEnd"/>
            <w:r w:rsidRPr="000C5495">
              <w:rPr>
                <w:rFonts w:eastAsia="標楷體" w:hint="eastAsia"/>
                <w:szCs w:val="24"/>
              </w:rPr>
              <w:t>目的，係指客戶有實際相對應之需求。槓桿交易商應有適當之控管制度以確認各類商品是否為避險目的而</w:t>
            </w:r>
            <w:proofErr w:type="gramStart"/>
            <w:r w:rsidRPr="000C5495">
              <w:rPr>
                <w:rFonts w:eastAsia="標楷體" w:hint="eastAsia"/>
                <w:szCs w:val="24"/>
              </w:rPr>
              <w:t>承作</w:t>
            </w:r>
            <w:proofErr w:type="gramEnd"/>
            <w:r w:rsidRPr="000C5495">
              <w:rPr>
                <w:rFonts w:eastAsia="標楷體" w:hint="eastAsia"/>
                <w:szCs w:val="24"/>
              </w:rPr>
              <w:t>，及</w:t>
            </w:r>
            <w:proofErr w:type="gramStart"/>
            <w:r w:rsidRPr="000C5495">
              <w:rPr>
                <w:rFonts w:eastAsia="標楷體" w:hint="eastAsia"/>
                <w:szCs w:val="24"/>
              </w:rPr>
              <w:t>其曝險</w:t>
            </w:r>
            <w:proofErr w:type="gramEnd"/>
            <w:r w:rsidRPr="000C5495">
              <w:rPr>
                <w:rFonts w:eastAsia="標楷體" w:hint="eastAsia"/>
                <w:szCs w:val="24"/>
              </w:rPr>
              <w:t>與應避險部位是否相當，並應徵提相關文件。</w:t>
            </w:r>
          </w:p>
          <w:p w:rsidR="00B45A6B" w:rsidRPr="000C5495" w:rsidRDefault="00697E21" w:rsidP="00697E21">
            <w:pPr>
              <w:adjustRightInd w:val="0"/>
              <w:snapToGrid w:val="0"/>
              <w:spacing w:line="300" w:lineRule="auto"/>
              <w:ind w:rightChars="17" w:right="41" w:firstLineChars="200" w:firstLine="480"/>
              <w:jc w:val="both"/>
              <w:rPr>
                <w:rFonts w:eastAsia="標楷體"/>
                <w:szCs w:val="24"/>
              </w:rPr>
            </w:pPr>
            <w:r w:rsidRPr="000C5495">
              <w:rPr>
                <w:rFonts w:eastAsia="標楷體" w:hint="eastAsia"/>
                <w:szCs w:val="24"/>
              </w:rPr>
              <w:t>內部作業程序至少應包含商品分級依據、商品風險分類、客戶交易目的評估及風險</w:t>
            </w:r>
            <w:proofErr w:type="gramStart"/>
            <w:r w:rsidRPr="000C5495">
              <w:rPr>
                <w:rFonts w:eastAsia="標楷體" w:hint="eastAsia"/>
                <w:szCs w:val="24"/>
              </w:rPr>
              <w:t>集中度控管</w:t>
            </w:r>
            <w:proofErr w:type="gramEnd"/>
            <w:r w:rsidRPr="000C5495">
              <w:rPr>
                <w:rFonts w:eastAsia="標楷體" w:hint="eastAsia"/>
                <w:szCs w:val="24"/>
              </w:rPr>
              <w:t>機制。</w:t>
            </w:r>
          </w:p>
          <w:p w:rsidR="00682A51" w:rsidRPr="000C5495" w:rsidRDefault="00682A51" w:rsidP="00682A51">
            <w:pPr>
              <w:adjustRightInd w:val="0"/>
              <w:snapToGrid w:val="0"/>
              <w:spacing w:line="300" w:lineRule="auto"/>
              <w:ind w:rightChars="17" w:right="41" w:firstLineChars="200" w:firstLine="480"/>
              <w:jc w:val="both"/>
              <w:rPr>
                <w:rFonts w:eastAsia="標楷體"/>
                <w:szCs w:val="24"/>
              </w:rPr>
            </w:pPr>
            <w:r w:rsidRPr="000C5495">
              <w:rPr>
                <w:rFonts w:eastAsia="標楷體" w:hint="eastAsia"/>
                <w:szCs w:val="24"/>
              </w:rPr>
              <w:t>第一項第七款所稱之交易條件重要內容及揭露相關風險係指下列事項：</w:t>
            </w:r>
          </w:p>
          <w:p w:rsidR="00682A51" w:rsidRPr="000C5495" w:rsidRDefault="00682A51" w:rsidP="00682A51">
            <w:pPr>
              <w:adjustRightInd w:val="0"/>
              <w:snapToGrid w:val="0"/>
              <w:spacing w:line="300" w:lineRule="auto"/>
              <w:ind w:rightChars="17" w:right="41" w:firstLineChars="200" w:firstLine="480"/>
              <w:jc w:val="both"/>
              <w:rPr>
                <w:rFonts w:eastAsia="標楷體"/>
                <w:szCs w:val="24"/>
              </w:rPr>
            </w:pPr>
            <w:r w:rsidRPr="000C5495">
              <w:rPr>
                <w:rFonts w:eastAsia="標楷體" w:hint="eastAsia"/>
                <w:szCs w:val="24"/>
              </w:rPr>
              <w:t>一、交易條件及重要內容</w:t>
            </w:r>
          </w:p>
          <w:p w:rsidR="00682A51" w:rsidRPr="000C5495" w:rsidRDefault="00682A51" w:rsidP="00682A51">
            <w:pPr>
              <w:adjustRightInd w:val="0"/>
              <w:snapToGrid w:val="0"/>
              <w:spacing w:line="300" w:lineRule="auto"/>
              <w:ind w:leftChars="165" w:left="396" w:rightChars="17" w:right="41" w:firstLineChars="200" w:firstLine="480"/>
              <w:jc w:val="both"/>
              <w:rPr>
                <w:rFonts w:eastAsia="標楷體"/>
                <w:szCs w:val="24"/>
              </w:rPr>
            </w:pPr>
            <w:r w:rsidRPr="000C5495">
              <w:rPr>
                <w:rFonts w:eastAsia="標楷體" w:hint="eastAsia"/>
                <w:szCs w:val="24"/>
              </w:rPr>
              <w:t>（一）計價幣別。</w:t>
            </w:r>
          </w:p>
          <w:p w:rsidR="00682A51" w:rsidRPr="000C5495" w:rsidRDefault="00682A51" w:rsidP="00682A51">
            <w:pPr>
              <w:adjustRightInd w:val="0"/>
              <w:snapToGrid w:val="0"/>
              <w:spacing w:line="300" w:lineRule="auto"/>
              <w:ind w:leftChars="165" w:left="396" w:rightChars="17" w:right="41" w:firstLineChars="200" w:firstLine="480"/>
              <w:jc w:val="both"/>
              <w:rPr>
                <w:rFonts w:eastAsia="標楷體"/>
                <w:szCs w:val="24"/>
              </w:rPr>
            </w:pPr>
            <w:r w:rsidRPr="000C5495">
              <w:rPr>
                <w:rFonts w:eastAsia="標楷體" w:hint="eastAsia"/>
                <w:szCs w:val="24"/>
              </w:rPr>
              <w:t>（二）交易日</w:t>
            </w:r>
            <w:r w:rsidRPr="000C5495">
              <w:rPr>
                <w:rFonts w:eastAsia="標楷體" w:hint="eastAsia"/>
                <w:szCs w:val="24"/>
              </w:rPr>
              <w:t>/</w:t>
            </w:r>
            <w:r w:rsidRPr="000C5495">
              <w:rPr>
                <w:rFonts w:eastAsia="標楷體" w:hint="eastAsia"/>
                <w:szCs w:val="24"/>
              </w:rPr>
              <w:t>生效日</w:t>
            </w:r>
            <w:r w:rsidRPr="000C5495">
              <w:rPr>
                <w:rFonts w:eastAsia="標楷體" w:hint="eastAsia"/>
                <w:szCs w:val="24"/>
              </w:rPr>
              <w:t>/</w:t>
            </w:r>
            <w:r w:rsidRPr="000C5495">
              <w:rPr>
                <w:rFonts w:eastAsia="標楷體" w:hint="eastAsia"/>
                <w:szCs w:val="24"/>
              </w:rPr>
              <w:t>到期日及其他依個別商品性質而定之日期。</w:t>
            </w:r>
          </w:p>
          <w:p w:rsidR="00682A51" w:rsidRPr="000C5495" w:rsidRDefault="00682A51" w:rsidP="00682A51">
            <w:pPr>
              <w:adjustRightInd w:val="0"/>
              <w:snapToGrid w:val="0"/>
              <w:spacing w:line="300" w:lineRule="auto"/>
              <w:ind w:leftChars="165" w:left="396" w:rightChars="17" w:right="41" w:firstLineChars="200" w:firstLine="480"/>
              <w:jc w:val="both"/>
              <w:rPr>
                <w:rFonts w:eastAsia="標楷體"/>
                <w:szCs w:val="24"/>
              </w:rPr>
            </w:pPr>
            <w:r w:rsidRPr="000C5495">
              <w:rPr>
                <w:rFonts w:eastAsia="標楷體" w:hint="eastAsia"/>
                <w:szCs w:val="24"/>
              </w:rPr>
              <w:t>（三）連結標的類別或資產。</w:t>
            </w:r>
          </w:p>
          <w:p w:rsidR="00682A51" w:rsidRPr="000C5495" w:rsidRDefault="00682A51" w:rsidP="00682A51">
            <w:pPr>
              <w:adjustRightInd w:val="0"/>
              <w:snapToGrid w:val="0"/>
              <w:spacing w:line="300" w:lineRule="auto"/>
              <w:ind w:leftChars="165" w:left="396" w:rightChars="17" w:right="41" w:firstLineChars="200" w:firstLine="480"/>
              <w:jc w:val="both"/>
              <w:rPr>
                <w:rFonts w:eastAsia="標楷體"/>
                <w:szCs w:val="24"/>
              </w:rPr>
            </w:pPr>
            <w:r w:rsidRPr="000C5495">
              <w:rPr>
                <w:rFonts w:eastAsia="標楷體" w:hint="eastAsia"/>
                <w:szCs w:val="24"/>
              </w:rPr>
              <w:t>（四）收益計算給付及其計算方式。</w:t>
            </w:r>
            <w:bookmarkStart w:id="0" w:name="_GoBack"/>
            <w:bookmarkEnd w:id="0"/>
          </w:p>
          <w:p w:rsidR="00682A51" w:rsidRPr="000C5495" w:rsidRDefault="00682A51" w:rsidP="00682A51">
            <w:pPr>
              <w:adjustRightInd w:val="0"/>
              <w:snapToGrid w:val="0"/>
              <w:spacing w:line="300" w:lineRule="auto"/>
              <w:ind w:leftChars="165" w:left="396" w:rightChars="17" w:right="41" w:firstLineChars="200" w:firstLine="480"/>
              <w:jc w:val="both"/>
              <w:rPr>
                <w:rFonts w:eastAsia="標楷體"/>
                <w:szCs w:val="24"/>
              </w:rPr>
            </w:pPr>
            <w:r w:rsidRPr="000C5495">
              <w:rPr>
                <w:rFonts w:eastAsia="標楷體" w:hint="eastAsia"/>
                <w:szCs w:val="24"/>
              </w:rPr>
              <w:t>（五）說明交易如有提前到期約定時之條件、結算應付款數額之金額或計算方式。</w:t>
            </w:r>
          </w:p>
          <w:p w:rsidR="00682A51" w:rsidRPr="000C5495" w:rsidRDefault="00682A51" w:rsidP="00682A51">
            <w:pPr>
              <w:adjustRightInd w:val="0"/>
              <w:snapToGrid w:val="0"/>
              <w:spacing w:line="300" w:lineRule="auto"/>
              <w:ind w:rightChars="17" w:right="41" w:firstLineChars="200" w:firstLine="480"/>
              <w:jc w:val="both"/>
              <w:rPr>
                <w:rFonts w:eastAsia="標楷體"/>
                <w:szCs w:val="24"/>
              </w:rPr>
            </w:pPr>
            <w:r w:rsidRPr="000C5495">
              <w:rPr>
                <w:rFonts w:eastAsia="標楷體" w:hint="eastAsia"/>
                <w:szCs w:val="24"/>
              </w:rPr>
              <w:t>二、所須告知之交易相關風險至少</w:t>
            </w:r>
            <w:proofErr w:type="gramStart"/>
            <w:r w:rsidRPr="000C5495">
              <w:rPr>
                <w:rFonts w:eastAsia="標楷體" w:hint="eastAsia"/>
                <w:szCs w:val="24"/>
              </w:rPr>
              <w:t>應含本注意事項</w:t>
            </w:r>
            <w:proofErr w:type="gramEnd"/>
            <w:r w:rsidRPr="000C5495">
              <w:rPr>
                <w:rFonts w:eastAsia="標楷體" w:hint="eastAsia"/>
                <w:szCs w:val="24"/>
              </w:rPr>
              <w:t>第二十六條第一款至第六款。</w:t>
            </w:r>
          </w:p>
          <w:p w:rsidR="00B45A6B" w:rsidRPr="000C5495" w:rsidRDefault="00B45A6B" w:rsidP="00B45A6B">
            <w:pPr>
              <w:adjustRightInd w:val="0"/>
              <w:snapToGrid w:val="0"/>
              <w:ind w:rightChars="17" w:right="41" w:firstLineChars="200" w:firstLine="480"/>
              <w:jc w:val="both"/>
              <w:rPr>
                <w:rFonts w:eastAsia="標楷體"/>
                <w:szCs w:val="24"/>
              </w:rPr>
            </w:pPr>
          </w:p>
        </w:tc>
      </w:tr>
      <w:tr w:rsidR="00B45A6B" w:rsidRPr="000C5495" w:rsidTr="00B45A6B">
        <w:trPr>
          <w:trHeight w:val="535"/>
        </w:trPr>
        <w:tc>
          <w:tcPr>
            <w:tcW w:w="9918" w:type="dxa"/>
            <w:shd w:val="clear" w:color="auto" w:fill="auto"/>
          </w:tcPr>
          <w:p w:rsidR="00B45A6B" w:rsidRPr="000C5495" w:rsidRDefault="00B45A6B" w:rsidP="00B45A6B">
            <w:pPr>
              <w:adjustRightInd w:val="0"/>
              <w:snapToGrid w:val="0"/>
              <w:spacing w:line="300" w:lineRule="auto"/>
              <w:ind w:rightChars="17" w:right="41"/>
              <w:jc w:val="both"/>
              <w:rPr>
                <w:rFonts w:eastAsia="標楷體"/>
                <w:szCs w:val="24"/>
              </w:rPr>
            </w:pPr>
            <w:r w:rsidRPr="000C5495">
              <w:rPr>
                <w:rFonts w:eastAsia="標楷體"/>
                <w:szCs w:val="24"/>
              </w:rPr>
              <w:lastRenderedPageBreak/>
              <w:t>第二十六條</w:t>
            </w:r>
          </w:p>
          <w:p w:rsidR="00B45A6B" w:rsidRPr="000C5495" w:rsidRDefault="00682A51" w:rsidP="00B45A6B">
            <w:pPr>
              <w:adjustRightInd w:val="0"/>
              <w:snapToGrid w:val="0"/>
              <w:spacing w:line="300" w:lineRule="auto"/>
              <w:ind w:rightChars="17" w:right="41" w:firstLineChars="200" w:firstLine="480"/>
              <w:jc w:val="both"/>
              <w:rPr>
                <w:rFonts w:eastAsia="標楷體"/>
                <w:szCs w:val="24"/>
              </w:rPr>
            </w:pPr>
            <w:r w:rsidRPr="000C5495">
              <w:rPr>
                <w:rFonts w:eastAsia="標楷體" w:hint="eastAsia"/>
                <w:szCs w:val="24"/>
              </w:rPr>
              <w:t>槓桿交易商向專業機構投資人</w:t>
            </w:r>
            <w:r w:rsidRPr="000C5495">
              <w:rPr>
                <w:rFonts w:ascii="標楷體" w:eastAsia="標楷體" w:hAnsi="標楷體" w:hint="eastAsia"/>
              </w:rPr>
              <w:t>及高淨值投資法人以外之</w:t>
            </w:r>
            <w:r w:rsidRPr="000C5495">
              <w:rPr>
                <w:rFonts w:eastAsia="標楷體" w:hint="eastAsia"/>
                <w:szCs w:val="24"/>
              </w:rPr>
              <w:t>客戶提供非屬結構型商品之槓桿保證金契約交易服務，槓桿交易商就商品風險之告知及揭露至少應包含下列事項，並應妥善保</w:t>
            </w:r>
            <w:r w:rsidRPr="000C5495">
              <w:rPr>
                <w:rFonts w:eastAsia="標楷體" w:hint="eastAsia"/>
                <w:szCs w:val="24"/>
              </w:rPr>
              <w:lastRenderedPageBreak/>
              <w:t>存紀錄證明已告知客戶相關風險：</w:t>
            </w:r>
          </w:p>
          <w:p w:rsidR="00B45A6B" w:rsidRPr="000C5495" w:rsidRDefault="00B45A6B" w:rsidP="00DA7183">
            <w:pPr>
              <w:adjustRightInd w:val="0"/>
              <w:snapToGrid w:val="0"/>
              <w:spacing w:line="300" w:lineRule="auto"/>
              <w:ind w:leftChars="204" w:left="963" w:rightChars="17" w:right="41" w:hangingChars="197" w:hanging="473"/>
              <w:jc w:val="both"/>
              <w:rPr>
                <w:rFonts w:eastAsia="標楷體"/>
                <w:szCs w:val="24"/>
              </w:rPr>
            </w:pPr>
            <w:r w:rsidRPr="000C5495">
              <w:rPr>
                <w:rFonts w:eastAsia="標楷體"/>
                <w:szCs w:val="24"/>
              </w:rPr>
              <w:t>一、槓桿保證金契約如屬非以避險為目的者，其最大可能損失金額。如為具有乘數條款之組合式交易，當市場價格不利於客戶交易時，交易損失將因具有乘數效果而擴大。</w:t>
            </w:r>
          </w:p>
          <w:p w:rsidR="00B45A6B" w:rsidRPr="000C5495" w:rsidRDefault="00B45A6B" w:rsidP="00DA7183">
            <w:pPr>
              <w:adjustRightInd w:val="0"/>
              <w:snapToGrid w:val="0"/>
              <w:spacing w:line="300" w:lineRule="auto"/>
              <w:ind w:leftChars="204" w:left="963" w:rightChars="17" w:right="41" w:hangingChars="197" w:hanging="473"/>
              <w:jc w:val="both"/>
              <w:rPr>
                <w:rFonts w:eastAsia="標楷體"/>
                <w:szCs w:val="24"/>
              </w:rPr>
            </w:pPr>
            <w:r w:rsidRPr="000C5495">
              <w:rPr>
                <w:rFonts w:eastAsia="標楷體"/>
                <w:szCs w:val="24"/>
              </w:rPr>
              <w:t>二、槓桿保證金契約之市價評估</w:t>
            </w:r>
            <w:r w:rsidRPr="000C5495">
              <w:rPr>
                <w:rFonts w:eastAsia="標楷體"/>
                <w:szCs w:val="24"/>
              </w:rPr>
              <w:t>(mark-to-market)</w:t>
            </w:r>
            <w:r w:rsidRPr="000C5495">
              <w:rPr>
                <w:rFonts w:eastAsia="標楷體"/>
                <w:szCs w:val="24"/>
              </w:rPr>
              <w:t>損益係受連結標的市場價格等因素影響而變動。當市場價格不利於客戶之交易時，該交易市價評估損失，有可能遠大於預期。</w:t>
            </w:r>
          </w:p>
          <w:p w:rsidR="00B45A6B" w:rsidRPr="000C5495" w:rsidRDefault="00B45A6B" w:rsidP="00DA7183">
            <w:pPr>
              <w:adjustRightInd w:val="0"/>
              <w:snapToGrid w:val="0"/>
              <w:spacing w:line="300" w:lineRule="auto"/>
              <w:ind w:leftChars="204" w:left="963" w:rightChars="17" w:right="41" w:hangingChars="197" w:hanging="473"/>
              <w:jc w:val="both"/>
              <w:rPr>
                <w:rFonts w:eastAsia="標楷體"/>
                <w:szCs w:val="24"/>
              </w:rPr>
            </w:pPr>
            <w:r w:rsidRPr="000C5495">
              <w:rPr>
                <w:rFonts w:eastAsia="標楷體"/>
                <w:szCs w:val="24"/>
              </w:rPr>
              <w:t>三、客戶於契約到期前提前終止交易，如市場價格不利於客戶交易時，客戶有可能承受鉅額交易損失。</w:t>
            </w:r>
          </w:p>
          <w:p w:rsidR="00B45A6B" w:rsidRPr="000C5495" w:rsidRDefault="00B45A6B" w:rsidP="00DA7183">
            <w:pPr>
              <w:adjustRightInd w:val="0"/>
              <w:snapToGrid w:val="0"/>
              <w:spacing w:line="300" w:lineRule="auto"/>
              <w:ind w:leftChars="204" w:left="963" w:rightChars="17" w:right="41" w:hangingChars="197" w:hanging="473"/>
              <w:jc w:val="both"/>
              <w:rPr>
                <w:rFonts w:eastAsia="標楷體"/>
                <w:szCs w:val="24"/>
              </w:rPr>
            </w:pPr>
            <w:r w:rsidRPr="000C5495">
              <w:rPr>
                <w:rFonts w:eastAsia="標楷體"/>
                <w:szCs w:val="24"/>
              </w:rPr>
              <w:t>四、天期較長之槓桿保證金契約將承受較高之風險。於市場價格不利於客戶交易時，客戶將承受較高之提前終止交易損失。</w:t>
            </w:r>
          </w:p>
          <w:p w:rsidR="00B45A6B" w:rsidRPr="000C5495" w:rsidRDefault="00B45A6B" w:rsidP="00DA7183">
            <w:pPr>
              <w:adjustRightInd w:val="0"/>
              <w:snapToGrid w:val="0"/>
              <w:spacing w:line="300" w:lineRule="auto"/>
              <w:ind w:leftChars="204" w:left="963" w:rightChars="17" w:right="41" w:hangingChars="197" w:hanging="473"/>
              <w:jc w:val="both"/>
              <w:rPr>
                <w:rFonts w:eastAsia="標楷體"/>
                <w:szCs w:val="24"/>
              </w:rPr>
            </w:pPr>
            <w:r w:rsidRPr="000C5495">
              <w:rPr>
                <w:rFonts w:eastAsia="標楷體"/>
                <w:szCs w:val="24"/>
              </w:rPr>
              <w:t>五、客戶如負有依市價評估結果計算應提供擔保品義務，當市場價格不利於客戶交易，致產生市價評估損失時，客戶應履行提供擔保品之義務。客戶應提供擔保品數額遠大於預期時，可能產生資金調度之流動性風險。如客戶未能履行提供擔保品義務，致槓桿交易商提前終止交易，客戶將可能承受鉅額損失。</w:t>
            </w:r>
          </w:p>
          <w:p w:rsidR="00B45A6B" w:rsidRPr="000C5495" w:rsidRDefault="00B45A6B" w:rsidP="00DA7183">
            <w:pPr>
              <w:adjustRightInd w:val="0"/>
              <w:snapToGrid w:val="0"/>
              <w:spacing w:line="300" w:lineRule="auto"/>
              <w:ind w:leftChars="204" w:left="963" w:rightChars="17" w:right="41" w:hangingChars="197" w:hanging="473"/>
              <w:jc w:val="both"/>
              <w:rPr>
                <w:rFonts w:eastAsia="標楷體"/>
                <w:szCs w:val="24"/>
              </w:rPr>
            </w:pPr>
            <w:r w:rsidRPr="000C5495">
              <w:rPr>
                <w:rFonts w:eastAsia="標楷體"/>
                <w:szCs w:val="24"/>
              </w:rPr>
              <w:t>六、以避險目的</w:t>
            </w:r>
            <w:proofErr w:type="gramStart"/>
            <w:r w:rsidRPr="000C5495">
              <w:rPr>
                <w:rFonts w:eastAsia="標楷體"/>
                <w:szCs w:val="24"/>
              </w:rPr>
              <w:t>承作</w:t>
            </w:r>
            <w:proofErr w:type="gramEnd"/>
            <w:r w:rsidRPr="000C5495">
              <w:rPr>
                <w:rFonts w:eastAsia="標楷體"/>
                <w:szCs w:val="24"/>
              </w:rPr>
              <w:t>之槓桿保證金契約，如契約金額大於實質需求，超額部分將承受無實質部位覆蓋之風險。</w:t>
            </w:r>
          </w:p>
          <w:p w:rsidR="00B45A6B" w:rsidRPr="000C5495" w:rsidRDefault="00B45A6B" w:rsidP="00B45A6B">
            <w:pPr>
              <w:adjustRightInd w:val="0"/>
              <w:snapToGrid w:val="0"/>
              <w:ind w:left="391" w:rightChars="17" w:right="41" w:hangingChars="163" w:hanging="391"/>
              <w:jc w:val="both"/>
              <w:rPr>
                <w:rFonts w:eastAsia="標楷體"/>
                <w:szCs w:val="24"/>
              </w:rPr>
            </w:pPr>
          </w:p>
        </w:tc>
      </w:tr>
      <w:tr w:rsidR="00B45A6B" w:rsidRPr="000C5495" w:rsidTr="00B45A6B">
        <w:trPr>
          <w:trHeight w:val="535"/>
        </w:trPr>
        <w:tc>
          <w:tcPr>
            <w:tcW w:w="9918" w:type="dxa"/>
          </w:tcPr>
          <w:p w:rsidR="00B45A6B" w:rsidRPr="000C5495" w:rsidRDefault="00B45A6B" w:rsidP="00B45A6B">
            <w:pPr>
              <w:adjustRightInd w:val="0"/>
              <w:snapToGrid w:val="0"/>
              <w:spacing w:line="300" w:lineRule="auto"/>
              <w:ind w:rightChars="17" w:right="41"/>
              <w:jc w:val="both"/>
              <w:rPr>
                <w:rFonts w:eastAsia="標楷體"/>
                <w:szCs w:val="24"/>
              </w:rPr>
            </w:pPr>
            <w:r w:rsidRPr="000C5495">
              <w:rPr>
                <w:rFonts w:eastAsia="標楷體"/>
                <w:szCs w:val="24"/>
              </w:rPr>
              <w:lastRenderedPageBreak/>
              <w:t>第二十七條</w:t>
            </w:r>
          </w:p>
          <w:p w:rsidR="00B45A6B" w:rsidRPr="000C5495" w:rsidRDefault="00682A51" w:rsidP="00B45A6B">
            <w:pPr>
              <w:adjustRightInd w:val="0"/>
              <w:snapToGrid w:val="0"/>
              <w:spacing w:line="300" w:lineRule="auto"/>
              <w:ind w:rightChars="17" w:right="41" w:firstLineChars="200" w:firstLine="480"/>
              <w:jc w:val="both"/>
              <w:rPr>
                <w:rFonts w:eastAsia="標楷體"/>
                <w:szCs w:val="24"/>
              </w:rPr>
            </w:pPr>
            <w:r w:rsidRPr="000C5495">
              <w:rPr>
                <w:rFonts w:eastAsia="標楷體" w:hint="eastAsia"/>
                <w:szCs w:val="24"/>
              </w:rPr>
              <w:t>槓桿交易商向專業機構投資人及高淨值投資法人以外之客戶提供槓桿保證金契約交易服務之推廣文宣資料，應清楚、公正及</w:t>
            </w:r>
            <w:proofErr w:type="gramStart"/>
            <w:r w:rsidRPr="000C5495">
              <w:rPr>
                <w:rFonts w:eastAsia="標楷體" w:hint="eastAsia"/>
                <w:szCs w:val="24"/>
              </w:rPr>
              <w:t>不</w:t>
            </w:r>
            <w:proofErr w:type="gramEnd"/>
            <w:r w:rsidRPr="000C5495">
              <w:rPr>
                <w:rFonts w:eastAsia="標楷體" w:hint="eastAsia"/>
                <w:szCs w:val="24"/>
              </w:rPr>
              <w:t>誤導客戶，對商品之可能報酬與風險之揭露，</w:t>
            </w:r>
            <w:proofErr w:type="gramStart"/>
            <w:r w:rsidRPr="000C5495">
              <w:rPr>
                <w:rFonts w:eastAsia="標楷體" w:hint="eastAsia"/>
                <w:szCs w:val="24"/>
              </w:rPr>
              <w:t>應以衡平</w:t>
            </w:r>
            <w:proofErr w:type="gramEnd"/>
            <w:r w:rsidRPr="000C5495">
              <w:rPr>
                <w:rFonts w:eastAsia="標楷體" w:hint="eastAsia"/>
                <w:szCs w:val="24"/>
              </w:rPr>
              <w:t>且顯著方式表達，且不得藉主管機關或相關機構對槓桿保證金契約業務之核准、核備或備查，而使客戶認為政府已對該槓桿保證金契約提供保證。</w:t>
            </w:r>
          </w:p>
          <w:p w:rsidR="00B45A6B" w:rsidRPr="000C5495" w:rsidRDefault="00B45A6B" w:rsidP="00B45A6B">
            <w:pPr>
              <w:adjustRightInd w:val="0"/>
              <w:snapToGrid w:val="0"/>
              <w:ind w:rightChars="17" w:right="41"/>
              <w:jc w:val="both"/>
              <w:rPr>
                <w:rFonts w:eastAsia="標楷體"/>
                <w:szCs w:val="24"/>
              </w:rPr>
            </w:pPr>
          </w:p>
        </w:tc>
      </w:tr>
      <w:tr w:rsidR="00B45A6B" w:rsidRPr="000C5495" w:rsidTr="00B45A6B">
        <w:trPr>
          <w:trHeight w:val="535"/>
        </w:trPr>
        <w:tc>
          <w:tcPr>
            <w:tcW w:w="9918" w:type="dxa"/>
          </w:tcPr>
          <w:p w:rsidR="00B45A6B" w:rsidRPr="000C5495" w:rsidRDefault="00B45A6B" w:rsidP="00B45A6B">
            <w:pPr>
              <w:adjustRightInd w:val="0"/>
              <w:snapToGrid w:val="0"/>
              <w:spacing w:line="300" w:lineRule="auto"/>
              <w:ind w:rightChars="17" w:right="41"/>
              <w:jc w:val="both"/>
              <w:rPr>
                <w:rFonts w:eastAsia="標楷體"/>
                <w:szCs w:val="24"/>
              </w:rPr>
            </w:pPr>
            <w:r w:rsidRPr="000C5495">
              <w:rPr>
                <w:rFonts w:eastAsia="標楷體"/>
                <w:szCs w:val="24"/>
              </w:rPr>
              <w:t>第二十八條</w:t>
            </w:r>
          </w:p>
          <w:p w:rsidR="00B45A6B" w:rsidRPr="000C5495" w:rsidRDefault="00B45A6B" w:rsidP="00B45A6B">
            <w:pPr>
              <w:adjustRightInd w:val="0"/>
              <w:snapToGrid w:val="0"/>
              <w:spacing w:line="300" w:lineRule="auto"/>
              <w:ind w:rightChars="17" w:right="41" w:firstLineChars="200" w:firstLine="480"/>
              <w:jc w:val="both"/>
              <w:rPr>
                <w:rFonts w:eastAsia="標楷體"/>
                <w:szCs w:val="24"/>
              </w:rPr>
            </w:pPr>
            <w:r w:rsidRPr="000C5495">
              <w:rPr>
                <w:rFonts w:eastAsia="標楷體"/>
                <w:szCs w:val="24"/>
              </w:rPr>
              <w:t>槓桿交易商從事結構型商品之銷售或提供相關資訊及行銷文件，不得有下列情形：</w:t>
            </w:r>
          </w:p>
          <w:p w:rsidR="00B45A6B" w:rsidRPr="000C5495" w:rsidRDefault="00B45A6B" w:rsidP="00DA7183">
            <w:pPr>
              <w:pStyle w:val="a3"/>
              <w:numPr>
                <w:ilvl w:val="0"/>
                <w:numId w:val="12"/>
              </w:numPr>
              <w:adjustRightInd w:val="0"/>
              <w:snapToGrid w:val="0"/>
              <w:spacing w:line="300" w:lineRule="auto"/>
              <w:ind w:leftChars="0" w:left="965" w:rightChars="17" w:right="41"/>
              <w:jc w:val="both"/>
              <w:rPr>
                <w:rFonts w:eastAsia="標楷體"/>
                <w:szCs w:val="24"/>
              </w:rPr>
            </w:pPr>
            <w:r w:rsidRPr="000C5495">
              <w:rPr>
                <w:rFonts w:eastAsia="標楷體"/>
                <w:szCs w:val="24"/>
              </w:rPr>
              <w:t>藉主管機關或相關機構對金融商品之核准、核備或備查，作為證實申請事項或保證結構型商品價值之陳述或推</w:t>
            </w:r>
            <w:proofErr w:type="gramStart"/>
            <w:r w:rsidRPr="000C5495">
              <w:rPr>
                <w:rFonts w:eastAsia="標楷體"/>
                <w:szCs w:val="24"/>
              </w:rPr>
              <w:t>介</w:t>
            </w:r>
            <w:proofErr w:type="gramEnd"/>
            <w:r w:rsidRPr="000C5495">
              <w:rPr>
                <w:rFonts w:eastAsia="標楷體"/>
                <w:szCs w:val="24"/>
              </w:rPr>
              <w:t>。</w:t>
            </w:r>
          </w:p>
          <w:p w:rsidR="00B45A6B" w:rsidRPr="000C5495" w:rsidRDefault="00B45A6B" w:rsidP="00DA7183">
            <w:pPr>
              <w:pStyle w:val="a3"/>
              <w:numPr>
                <w:ilvl w:val="0"/>
                <w:numId w:val="12"/>
              </w:numPr>
              <w:adjustRightInd w:val="0"/>
              <w:snapToGrid w:val="0"/>
              <w:spacing w:line="300" w:lineRule="auto"/>
              <w:ind w:leftChars="0" w:left="965" w:rightChars="17" w:right="41"/>
              <w:jc w:val="both"/>
              <w:rPr>
                <w:rFonts w:eastAsia="標楷體"/>
                <w:szCs w:val="24"/>
              </w:rPr>
            </w:pPr>
            <w:r w:rsidRPr="000C5495">
              <w:rPr>
                <w:rFonts w:eastAsia="標楷體"/>
                <w:szCs w:val="24"/>
              </w:rPr>
              <w:t>使人誤信能保證本金之安全或保證獲利。</w:t>
            </w:r>
          </w:p>
          <w:p w:rsidR="00B45A6B" w:rsidRPr="000C5495" w:rsidRDefault="00B45A6B" w:rsidP="00DA7183">
            <w:pPr>
              <w:pStyle w:val="a3"/>
              <w:numPr>
                <w:ilvl w:val="0"/>
                <w:numId w:val="12"/>
              </w:numPr>
              <w:adjustRightInd w:val="0"/>
              <w:snapToGrid w:val="0"/>
              <w:spacing w:line="300" w:lineRule="auto"/>
              <w:ind w:leftChars="0" w:left="965" w:rightChars="17" w:right="41"/>
              <w:jc w:val="both"/>
              <w:rPr>
                <w:rFonts w:eastAsia="標楷體"/>
                <w:szCs w:val="24"/>
              </w:rPr>
            </w:pPr>
            <w:r w:rsidRPr="000C5495">
              <w:rPr>
                <w:rFonts w:eastAsia="標楷體"/>
                <w:szCs w:val="24"/>
              </w:rPr>
              <w:t>結構型商品使用可能誤導客戶之名稱。</w:t>
            </w:r>
          </w:p>
          <w:p w:rsidR="00B45A6B" w:rsidRPr="000C5495" w:rsidRDefault="00B45A6B" w:rsidP="00DA7183">
            <w:pPr>
              <w:pStyle w:val="a3"/>
              <w:numPr>
                <w:ilvl w:val="0"/>
                <w:numId w:val="12"/>
              </w:numPr>
              <w:adjustRightInd w:val="0"/>
              <w:snapToGrid w:val="0"/>
              <w:spacing w:line="300" w:lineRule="auto"/>
              <w:ind w:leftChars="0" w:left="965" w:rightChars="17" w:right="41"/>
              <w:jc w:val="both"/>
              <w:rPr>
                <w:rFonts w:eastAsia="標楷體"/>
                <w:szCs w:val="24"/>
              </w:rPr>
            </w:pPr>
            <w:r w:rsidRPr="000C5495">
              <w:rPr>
                <w:rFonts w:eastAsia="標楷體"/>
                <w:szCs w:val="24"/>
              </w:rPr>
              <w:t>提供贈品或以其他利益勸誘他人購買結構型商品。</w:t>
            </w:r>
          </w:p>
          <w:p w:rsidR="00B45A6B" w:rsidRPr="000C5495" w:rsidRDefault="00B45A6B" w:rsidP="00DA7183">
            <w:pPr>
              <w:pStyle w:val="a3"/>
              <w:numPr>
                <w:ilvl w:val="0"/>
                <w:numId w:val="12"/>
              </w:numPr>
              <w:adjustRightInd w:val="0"/>
              <w:snapToGrid w:val="0"/>
              <w:spacing w:line="300" w:lineRule="auto"/>
              <w:ind w:leftChars="0" w:left="965" w:rightChars="17" w:right="41"/>
              <w:jc w:val="both"/>
              <w:rPr>
                <w:rFonts w:eastAsia="標楷體"/>
                <w:szCs w:val="24"/>
              </w:rPr>
            </w:pPr>
            <w:r w:rsidRPr="000C5495">
              <w:rPr>
                <w:rFonts w:eastAsia="標楷體"/>
                <w:szCs w:val="24"/>
              </w:rPr>
              <w:t>誇大過去之業績或為攻訐同業之陳述。</w:t>
            </w:r>
          </w:p>
          <w:p w:rsidR="00B45A6B" w:rsidRPr="000C5495" w:rsidRDefault="00B45A6B" w:rsidP="00DA7183">
            <w:pPr>
              <w:pStyle w:val="a3"/>
              <w:numPr>
                <w:ilvl w:val="0"/>
                <w:numId w:val="12"/>
              </w:numPr>
              <w:adjustRightInd w:val="0"/>
              <w:snapToGrid w:val="0"/>
              <w:spacing w:line="300" w:lineRule="auto"/>
              <w:ind w:leftChars="0" w:left="965" w:rightChars="17" w:right="41"/>
              <w:jc w:val="both"/>
              <w:rPr>
                <w:rFonts w:eastAsia="標楷體"/>
                <w:szCs w:val="24"/>
              </w:rPr>
            </w:pPr>
            <w:r w:rsidRPr="000C5495">
              <w:rPr>
                <w:rFonts w:eastAsia="標楷體"/>
                <w:szCs w:val="24"/>
              </w:rPr>
              <w:t>為虛偽、欺</w:t>
            </w:r>
            <w:proofErr w:type="gramStart"/>
            <w:r w:rsidRPr="000C5495">
              <w:rPr>
                <w:rFonts w:eastAsia="標楷體"/>
                <w:szCs w:val="24"/>
              </w:rPr>
              <w:t>罔</w:t>
            </w:r>
            <w:proofErr w:type="gramEnd"/>
            <w:r w:rsidRPr="000C5495">
              <w:rPr>
                <w:rFonts w:eastAsia="標楷體"/>
                <w:szCs w:val="24"/>
              </w:rPr>
              <w:t>、或其他顯著有違事實或故意使他人誤信之行為。</w:t>
            </w:r>
          </w:p>
          <w:p w:rsidR="00B45A6B" w:rsidRPr="000C5495" w:rsidRDefault="00B45A6B" w:rsidP="00DA7183">
            <w:pPr>
              <w:pStyle w:val="a3"/>
              <w:numPr>
                <w:ilvl w:val="0"/>
                <w:numId w:val="12"/>
              </w:numPr>
              <w:adjustRightInd w:val="0"/>
              <w:snapToGrid w:val="0"/>
              <w:spacing w:line="300" w:lineRule="auto"/>
              <w:ind w:leftChars="0" w:left="965" w:rightChars="17" w:right="41"/>
              <w:jc w:val="both"/>
              <w:rPr>
                <w:rFonts w:eastAsia="標楷體"/>
                <w:szCs w:val="24"/>
              </w:rPr>
            </w:pPr>
            <w:r w:rsidRPr="000C5495">
              <w:rPr>
                <w:rFonts w:eastAsia="標楷體"/>
                <w:szCs w:val="24"/>
              </w:rPr>
              <w:t>內容違反法令、契約、產品說明書內容。</w:t>
            </w:r>
          </w:p>
          <w:p w:rsidR="00B45A6B" w:rsidRPr="000C5495" w:rsidRDefault="00B45A6B" w:rsidP="00DA7183">
            <w:pPr>
              <w:pStyle w:val="a3"/>
              <w:numPr>
                <w:ilvl w:val="0"/>
                <w:numId w:val="12"/>
              </w:numPr>
              <w:adjustRightInd w:val="0"/>
              <w:snapToGrid w:val="0"/>
              <w:spacing w:line="300" w:lineRule="auto"/>
              <w:ind w:leftChars="0" w:left="965" w:rightChars="17" w:right="41"/>
              <w:jc w:val="both"/>
              <w:rPr>
                <w:rFonts w:eastAsia="標楷體"/>
                <w:szCs w:val="24"/>
              </w:rPr>
            </w:pPr>
            <w:r w:rsidRPr="000C5495">
              <w:rPr>
                <w:rFonts w:eastAsia="標楷體"/>
                <w:szCs w:val="24"/>
              </w:rPr>
              <w:t>為結構型商品績效之臆測。</w:t>
            </w:r>
          </w:p>
          <w:p w:rsidR="00B45A6B" w:rsidRPr="000C5495" w:rsidRDefault="00B45A6B" w:rsidP="00DA7183">
            <w:pPr>
              <w:pStyle w:val="a3"/>
              <w:numPr>
                <w:ilvl w:val="0"/>
                <w:numId w:val="12"/>
              </w:numPr>
              <w:adjustRightInd w:val="0"/>
              <w:snapToGrid w:val="0"/>
              <w:spacing w:line="300" w:lineRule="auto"/>
              <w:ind w:leftChars="0" w:left="965" w:rightChars="17" w:right="41"/>
              <w:jc w:val="both"/>
              <w:rPr>
                <w:rFonts w:eastAsia="標楷體"/>
                <w:szCs w:val="24"/>
              </w:rPr>
            </w:pPr>
            <w:r w:rsidRPr="000C5495">
              <w:rPr>
                <w:rFonts w:eastAsia="標楷體"/>
                <w:szCs w:val="24"/>
              </w:rPr>
              <w:t>違反中華民國期貨商業同業公會訂定廣告及促銷活動之自律規範。</w:t>
            </w:r>
          </w:p>
          <w:p w:rsidR="00B45A6B" w:rsidRPr="000C5495" w:rsidRDefault="00B45A6B" w:rsidP="00DA7183">
            <w:pPr>
              <w:pStyle w:val="a3"/>
              <w:numPr>
                <w:ilvl w:val="0"/>
                <w:numId w:val="12"/>
              </w:numPr>
              <w:adjustRightInd w:val="0"/>
              <w:snapToGrid w:val="0"/>
              <w:spacing w:line="300" w:lineRule="auto"/>
              <w:ind w:leftChars="0" w:left="965" w:rightChars="17" w:right="41"/>
              <w:jc w:val="both"/>
              <w:rPr>
                <w:rFonts w:eastAsia="標楷體"/>
                <w:szCs w:val="24"/>
              </w:rPr>
            </w:pPr>
            <w:r w:rsidRPr="000C5495">
              <w:rPr>
                <w:rFonts w:eastAsia="標楷體"/>
                <w:szCs w:val="24"/>
              </w:rPr>
              <w:lastRenderedPageBreak/>
              <w:t>其他影響投資人權益之事項。</w:t>
            </w:r>
          </w:p>
          <w:p w:rsidR="00B45A6B" w:rsidRPr="000C5495" w:rsidRDefault="00B45A6B" w:rsidP="00DA7183">
            <w:pPr>
              <w:adjustRightInd w:val="0"/>
              <w:snapToGrid w:val="0"/>
              <w:spacing w:line="300" w:lineRule="auto"/>
              <w:ind w:rightChars="17" w:right="41" w:firstLineChars="200" w:firstLine="480"/>
              <w:jc w:val="both"/>
              <w:rPr>
                <w:rFonts w:eastAsia="標楷體"/>
                <w:szCs w:val="24"/>
              </w:rPr>
            </w:pPr>
            <w:r w:rsidRPr="000C5495">
              <w:rPr>
                <w:rFonts w:eastAsia="標楷體"/>
                <w:szCs w:val="24"/>
              </w:rPr>
              <w:t>結構型商品限於專業客戶交易者，不得為一般性廣告或公開勸誘之行為。</w:t>
            </w:r>
          </w:p>
          <w:p w:rsidR="00DA7183" w:rsidRPr="000C5495" w:rsidRDefault="00DA7183" w:rsidP="00DA7183">
            <w:pPr>
              <w:adjustRightInd w:val="0"/>
              <w:snapToGrid w:val="0"/>
              <w:spacing w:line="300" w:lineRule="auto"/>
              <w:ind w:rightChars="17" w:right="41" w:firstLineChars="200" w:firstLine="480"/>
              <w:jc w:val="both"/>
              <w:rPr>
                <w:rFonts w:eastAsia="標楷體"/>
                <w:szCs w:val="24"/>
              </w:rPr>
            </w:pPr>
          </w:p>
        </w:tc>
      </w:tr>
      <w:tr w:rsidR="00B45A6B" w:rsidRPr="000C5495" w:rsidTr="00B45A6B">
        <w:trPr>
          <w:trHeight w:val="535"/>
        </w:trPr>
        <w:tc>
          <w:tcPr>
            <w:tcW w:w="9918" w:type="dxa"/>
          </w:tcPr>
          <w:p w:rsidR="00B45A6B" w:rsidRPr="000C5495" w:rsidRDefault="00DA7183" w:rsidP="00B45A6B">
            <w:pPr>
              <w:pStyle w:val="aa"/>
              <w:kinsoku w:val="0"/>
              <w:adjustRightInd w:val="0"/>
              <w:snapToGrid w:val="0"/>
              <w:spacing w:line="300" w:lineRule="auto"/>
              <w:ind w:left="0"/>
              <w:rPr>
                <w:sz w:val="24"/>
              </w:rPr>
            </w:pPr>
            <w:r w:rsidRPr="000C5495">
              <w:rPr>
                <w:b/>
                <w:sz w:val="28"/>
                <w:szCs w:val="28"/>
              </w:rPr>
              <w:lastRenderedPageBreak/>
              <w:t>第五章</w:t>
            </w:r>
            <w:r w:rsidRPr="000C5495">
              <w:rPr>
                <w:b/>
                <w:sz w:val="28"/>
                <w:szCs w:val="28"/>
              </w:rPr>
              <w:t xml:space="preserve">  </w:t>
            </w:r>
            <w:r w:rsidRPr="000C5495">
              <w:rPr>
                <w:b/>
                <w:sz w:val="28"/>
                <w:szCs w:val="28"/>
              </w:rPr>
              <w:t>附則</w:t>
            </w:r>
          </w:p>
        </w:tc>
      </w:tr>
      <w:tr w:rsidR="004C2146" w:rsidRPr="000C5495" w:rsidTr="004C2146">
        <w:trPr>
          <w:trHeight w:val="535"/>
        </w:trPr>
        <w:tc>
          <w:tcPr>
            <w:tcW w:w="9918" w:type="dxa"/>
          </w:tcPr>
          <w:p w:rsidR="004C2146" w:rsidRPr="000C5495" w:rsidRDefault="00DA7183" w:rsidP="00B45A6B">
            <w:pPr>
              <w:pStyle w:val="aa"/>
              <w:kinsoku w:val="0"/>
              <w:adjustRightInd w:val="0"/>
              <w:snapToGrid w:val="0"/>
              <w:spacing w:line="300" w:lineRule="auto"/>
              <w:ind w:left="0"/>
              <w:rPr>
                <w:sz w:val="24"/>
              </w:rPr>
            </w:pPr>
            <w:r w:rsidRPr="000C5495">
              <w:rPr>
                <w:rFonts w:hint="eastAsia"/>
                <w:sz w:val="24"/>
              </w:rPr>
              <w:t>第二十九</w:t>
            </w:r>
            <w:r w:rsidR="004C2146" w:rsidRPr="000C5495">
              <w:rPr>
                <w:rFonts w:hint="eastAsia"/>
                <w:sz w:val="24"/>
              </w:rPr>
              <w:t>條</w:t>
            </w:r>
          </w:p>
          <w:p w:rsidR="004C2146" w:rsidRPr="000C5495" w:rsidRDefault="004C2146" w:rsidP="00847AA7">
            <w:pPr>
              <w:pStyle w:val="aa"/>
              <w:kinsoku w:val="0"/>
              <w:adjustRightInd w:val="0"/>
              <w:snapToGrid w:val="0"/>
              <w:spacing w:line="300" w:lineRule="auto"/>
              <w:ind w:left="0" w:firstLineChars="200" w:firstLine="480"/>
              <w:jc w:val="both"/>
              <w:rPr>
                <w:sz w:val="24"/>
              </w:rPr>
            </w:pPr>
            <w:r w:rsidRPr="000C5495">
              <w:rPr>
                <w:rFonts w:hint="eastAsia"/>
                <w:sz w:val="24"/>
              </w:rPr>
              <w:t>本注意事項經報請主管機關核定後，公告施行，修正時亦同。</w:t>
            </w:r>
          </w:p>
        </w:tc>
      </w:tr>
    </w:tbl>
    <w:p w:rsidR="00B45A6B" w:rsidRPr="000C5495" w:rsidRDefault="00B45A6B"/>
    <w:sectPr w:rsidR="00B45A6B" w:rsidRPr="000C5495" w:rsidSect="00617DA1">
      <w:footerReference w:type="default" r:id="rId9"/>
      <w:pgSz w:w="11906" w:h="16838"/>
      <w:pgMar w:top="1440" w:right="964"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8A0" w:rsidRDefault="00DF48A0" w:rsidP="00F06138">
      <w:r>
        <w:separator/>
      </w:r>
    </w:p>
  </w:endnote>
  <w:endnote w:type="continuationSeparator" w:id="0">
    <w:p w:rsidR="00DF48A0" w:rsidRDefault="00DF48A0" w:rsidP="00F0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2016"/>
      <w:docPartObj>
        <w:docPartGallery w:val="Page Numbers (Bottom of Page)"/>
        <w:docPartUnique/>
      </w:docPartObj>
    </w:sdtPr>
    <w:sdtContent>
      <w:p w:rsidR="00DF48A0" w:rsidRDefault="00DF48A0">
        <w:pPr>
          <w:pStyle w:val="a6"/>
          <w:jc w:val="center"/>
        </w:pPr>
        <w:r>
          <w:fldChar w:fldCharType="begin"/>
        </w:r>
        <w:r>
          <w:instrText xml:space="preserve"> PAGE   \* MERGEFORMAT </w:instrText>
        </w:r>
        <w:r>
          <w:fldChar w:fldCharType="separate"/>
        </w:r>
        <w:r w:rsidR="00204D8A" w:rsidRPr="00204D8A">
          <w:rPr>
            <w:noProof/>
            <w:lang w:val="zh-TW"/>
          </w:rPr>
          <w:t>1</w:t>
        </w:r>
        <w:r>
          <w:rPr>
            <w:noProof/>
            <w:lang w:val="zh-TW"/>
          </w:rPr>
          <w:fldChar w:fldCharType="end"/>
        </w:r>
      </w:p>
    </w:sdtContent>
  </w:sdt>
  <w:p w:rsidR="00DF48A0" w:rsidRDefault="00DF48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8A0" w:rsidRDefault="00DF48A0" w:rsidP="00F06138">
      <w:r>
        <w:separator/>
      </w:r>
    </w:p>
  </w:footnote>
  <w:footnote w:type="continuationSeparator" w:id="0">
    <w:p w:rsidR="00DF48A0" w:rsidRDefault="00DF48A0" w:rsidP="00F06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1FC2"/>
    <w:multiLevelType w:val="hybridMultilevel"/>
    <w:tmpl w:val="BDA4AE7A"/>
    <w:lvl w:ilvl="0" w:tplc="9580C3CA">
      <w:start w:val="4"/>
      <w:numFmt w:val="taiwaneseCountingThousand"/>
      <w:lvlText w:val="%1、"/>
      <w:lvlJc w:val="left"/>
      <w:pPr>
        <w:tabs>
          <w:tab w:val="num" w:pos="540"/>
        </w:tabs>
        <w:ind w:left="5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8E0842"/>
    <w:multiLevelType w:val="hybridMultilevel"/>
    <w:tmpl w:val="ECBEDEB6"/>
    <w:lvl w:ilvl="0" w:tplc="412CB8AC">
      <w:start w:val="1"/>
      <w:numFmt w:val="taiwaneseCountingThousand"/>
      <w:lvlText w:val="%1、"/>
      <w:lvlJc w:val="left"/>
      <w:pPr>
        <w:ind w:left="69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8A6996"/>
    <w:multiLevelType w:val="hybridMultilevel"/>
    <w:tmpl w:val="E110CA1E"/>
    <w:lvl w:ilvl="0" w:tplc="E598AC50">
      <w:start w:val="1"/>
      <w:numFmt w:val="taiwaneseCountingThousand"/>
      <w:lvlText w:val="%1、"/>
      <w:lvlJc w:val="left"/>
      <w:pPr>
        <w:tabs>
          <w:tab w:val="num" w:pos="540"/>
        </w:tabs>
        <w:ind w:left="5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A100A4"/>
    <w:multiLevelType w:val="hybridMultilevel"/>
    <w:tmpl w:val="6AC0BCD4"/>
    <w:lvl w:ilvl="0" w:tplc="79289536">
      <w:start w:val="1"/>
      <w:numFmt w:val="taiwaneseCountingThousand"/>
      <w:lvlText w:val="(%1)"/>
      <w:lvlJc w:val="left"/>
      <w:pPr>
        <w:ind w:left="1392" w:hanging="480"/>
      </w:pPr>
      <w:rPr>
        <w:rFonts w:hint="eastAsia"/>
      </w:rPr>
    </w:lvl>
    <w:lvl w:ilvl="1" w:tplc="04090019" w:tentative="1">
      <w:start w:val="1"/>
      <w:numFmt w:val="ideographTraditional"/>
      <w:lvlText w:val="%2、"/>
      <w:lvlJc w:val="left"/>
      <w:pPr>
        <w:ind w:left="1872" w:hanging="480"/>
      </w:pPr>
    </w:lvl>
    <w:lvl w:ilvl="2" w:tplc="0409001B" w:tentative="1">
      <w:start w:val="1"/>
      <w:numFmt w:val="lowerRoman"/>
      <w:lvlText w:val="%3."/>
      <w:lvlJc w:val="right"/>
      <w:pPr>
        <w:ind w:left="2352" w:hanging="480"/>
      </w:pPr>
    </w:lvl>
    <w:lvl w:ilvl="3" w:tplc="0409000F" w:tentative="1">
      <w:start w:val="1"/>
      <w:numFmt w:val="decimal"/>
      <w:lvlText w:val="%4."/>
      <w:lvlJc w:val="left"/>
      <w:pPr>
        <w:ind w:left="2832" w:hanging="480"/>
      </w:pPr>
    </w:lvl>
    <w:lvl w:ilvl="4" w:tplc="04090019" w:tentative="1">
      <w:start w:val="1"/>
      <w:numFmt w:val="ideographTraditional"/>
      <w:lvlText w:val="%5、"/>
      <w:lvlJc w:val="left"/>
      <w:pPr>
        <w:ind w:left="3312" w:hanging="480"/>
      </w:pPr>
    </w:lvl>
    <w:lvl w:ilvl="5" w:tplc="0409001B" w:tentative="1">
      <w:start w:val="1"/>
      <w:numFmt w:val="lowerRoman"/>
      <w:lvlText w:val="%6."/>
      <w:lvlJc w:val="right"/>
      <w:pPr>
        <w:ind w:left="3792" w:hanging="480"/>
      </w:pPr>
    </w:lvl>
    <w:lvl w:ilvl="6" w:tplc="0409000F" w:tentative="1">
      <w:start w:val="1"/>
      <w:numFmt w:val="decimal"/>
      <w:lvlText w:val="%7."/>
      <w:lvlJc w:val="left"/>
      <w:pPr>
        <w:ind w:left="4272" w:hanging="480"/>
      </w:pPr>
    </w:lvl>
    <w:lvl w:ilvl="7" w:tplc="04090019" w:tentative="1">
      <w:start w:val="1"/>
      <w:numFmt w:val="ideographTraditional"/>
      <w:lvlText w:val="%8、"/>
      <w:lvlJc w:val="left"/>
      <w:pPr>
        <w:ind w:left="4752" w:hanging="480"/>
      </w:pPr>
    </w:lvl>
    <w:lvl w:ilvl="8" w:tplc="0409001B" w:tentative="1">
      <w:start w:val="1"/>
      <w:numFmt w:val="lowerRoman"/>
      <w:lvlText w:val="%9."/>
      <w:lvlJc w:val="right"/>
      <w:pPr>
        <w:ind w:left="5232" w:hanging="480"/>
      </w:pPr>
    </w:lvl>
  </w:abstractNum>
  <w:abstractNum w:abstractNumId="4">
    <w:nsid w:val="1AA60563"/>
    <w:multiLevelType w:val="hybridMultilevel"/>
    <w:tmpl w:val="B15E0E18"/>
    <w:lvl w:ilvl="0" w:tplc="37645C4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1FB4948"/>
    <w:multiLevelType w:val="hybridMultilevel"/>
    <w:tmpl w:val="7494E708"/>
    <w:lvl w:ilvl="0" w:tplc="A85C85C4">
      <w:start w:val="1"/>
      <w:numFmt w:val="taiwaneseCountingThousand"/>
      <w:lvlText w:val="%1、"/>
      <w:lvlJc w:val="left"/>
      <w:pPr>
        <w:tabs>
          <w:tab w:val="num" w:pos="984"/>
        </w:tabs>
        <w:ind w:left="984" w:hanging="504"/>
      </w:pPr>
      <w:rPr>
        <w:rFonts w:ascii="標楷體" w:hAnsi="標楷體" w:hint="default"/>
        <w:color w:val="000000"/>
      </w:rPr>
    </w:lvl>
    <w:lvl w:ilvl="1" w:tplc="A85C85C4">
      <w:start w:val="1"/>
      <w:numFmt w:val="taiwaneseCountingThousand"/>
      <w:lvlText w:val="%2、"/>
      <w:lvlJc w:val="left"/>
      <w:pPr>
        <w:ind w:left="960" w:hanging="480"/>
      </w:pPr>
      <w:rPr>
        <w:rFonts w:ascii="標楷體" w:hAnsi="標楷體" w:hint="default"/>
        <w:color w:val="000000"/>
      </w:rPr>
    </w:lvl>
    <w:lvl w:ilvl="2" w:tplc="79289536">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98F1D73"/>
    <w:multiLevelType w:val="hybridMultilevel"/>
    <w:tmpl w:val="15B657AA"/>
    <w:lvl w:ilvl="0" w:tplc="53B853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CC3C7A"/>
    <w:multiLevelType w:val="hybridMultilevel"/>
    <w:tmpl w:val="A6B03D30"/>
    <w:lvl w:ilvl="0" w:tplc="FFF89808">
      <w:start w:val="1"/>
      <w:numFmt w:val="taiwaneseCountingThousand"/>
      <w:lvlText w:val="%1、"/>
      <w:lvlJc w:val="left"/>
      <w:pPr>
        <w:ind w:left="480" w:hanging="480"/>
      </w:pPr>
      <w:rPr>
        <w:rFonts w:ascii="Arial Unicode MS" w:eastAsia="標楷體" w:hAnsi="Arial Unicode MS" w:cs="Arial Unicode M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B517973"/>
    <w:multiLevelType w:val="hybridMultilevel"/>
    <w:tmpl w:val="04C20402"/>
    <w:lvl w:ilvl="0" w:tplc="9FAAEE52">
      <w:start w:val="1"/>
      <w:numFmt w:val="taiwaneseCountingThousand"/>
      <w:lvlText w:val="%1、"/>
      <w:lvlJc w:val="left"/>
      <w:pPr>
        <w:ind w:left="480" w:hanging="480"/>
      </w:pPr>
      <w:rPr>
        <w:rFonts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CB92952"/>
    <w:multiLevelType w:val="hybridMultilevel"/>
    <w:tmpl w:val="B3B823F4"/>
    <w:lvl w:ilvl="0" w:tplc="D7F098BA">
      <w:start w:val="1"/>
      <w:numFmt w:val="taiwaneseCountingThousand"/>
      <w:lvlText w:val="%1、"/>
      <w:lvlJc w:val="left"/>
      <w:pPr>
        <w:ind w:left="697" w:hanging="720"/>
      </w:pPr>
      <w:rPr>
        <w:rFonts w:hint="default"/>
      </w:rPr>
    </w:lvl>
    <w:lvl w:ilvl="1" w:tplc="04090019" w:tentative="1">
      <w:start w:val="1"/>
      <w:numFmt w:val="ideographTraditional"/>
      <w:lvlText w:val="%2、"/>
      <w:lvlJc w:val="left"/>
      <w:pPr>
        <w:ind w:left="937" w:hanging="480"/>
      </w:pPr>
    </w:lvl>
    <w:lvl w:ilvl="2" w:tplc="0409001B" w:tentative="1">
      <w:start w:val="1"/>
      <w:numFmt w:val="lowerRoman"/>
      <w:lvlText w:val="%3."/>
      <w:lvlJc w:val="right"/>
      <w:pPr>
        <w:ind w:left="1417" w:hanging="480"/>
      </w:pPr>
    </w:lvl>
    <w:lvl w:ilvl="3" w:tplc="0409000F" w:tentative="1">
      <w:start w:val="1"/>
      <w:numFmt w:val="decimal"/>
      <w:lvlText w:val="%4."/>
      <w:lvlJc w:val="left"/>
      <w:pPr>
        <w:ind w:left="1897" w:hanging="480"/>
      </w:pPr>
    </w:lvl>
    <w:lvl w:ilvl="4" w:tplc="04090019" w:tentative="1">
      <w:start w:val="1"/>
      <w:numFmt w:val="ideographTraditional"/>
      <w:lvlText w:val="%5、"/>
      <w:lvlJc w:val="left"/>
      <w:pPr>
        <w:ind w:left="2377" w:hanging="480"/>
      </w:pPr>
    </w:lvl>
    <w:lvl w:ilvl="5" w:tplc="0409001B" w:tentative="1">
      <w:start w:val="1"/>
      <w:numFmt w:val="lowerRoman"/>
      <w:lvlText w:val="%6."/>
      <w:lvlJc w:val="right"/>
      <w:pPr>
        <w:ind w:left="2857" w:hanging="480"/>
      </w:pPr>
    </w:lvl>
    <w:lvl w:ilvl="6" w:tplc="0409000F" w:tentative="1">
      <w:start w:val="1"/>
      <w:numFmt w:val="decimal"/>
      <w:lvlText w:val="%7."/>
      <w:lvlJc w:val="left"/>
      <w:pPr>
        <w:ind w:left="3337" w:hanging="480"/>
      </w:pPr>
    </w:lvl>
    <w:lvl w:ilvl="7" w:tplc="04090019" w:tentative="1">
      <w:start w:val="1"/>
      <w:numFmt w:val="ideographTraditional"/>
      <w:lvlText w:val="%8、"/>
      <w:lvlJc w:val="left"/>
      <w:pPr>
        <w:ind w:left="3817" w:hanging="480"/>
      </w:pPr>
    </w:lvl>
    <w:lvl w:ilvl="8" w:tplc="0409001B" w:tentative="1">
      <w:start w:val="1"/>
      <w:numFmt w:val="lowerRoman"/>
      <w:lvlText w:val="%9."/>
      <w:lvlJc w:val="right"/>
      <w:pPr>
        <w:ind w:left="4297" w:hanging="480"/>
      </w:pPr>
    </w:lvl>
  </w:abstractNum>
  <w:abstractNum w:abstractNumId="10">
    <w:nsid w:val="51711B44"/>
    <w:multiLevelType w:val="hybridMultilevel"/>
    <w:tmpl w:val="5FF0EB40"/>
    <w:lvl w:ilvl="0" w:tplc="FFF89808">
      <w:start w:val="1"/>
      <w:numFmt w:val="taiwaneseCountingThousand"/>
      <w:lvlText w:val="%1、"/>
      <w:lvlJc w:val="left"/>
      <w:pPr>
        <w:ind w:left="480" w:hanging="480"/>
      </w:pPr>
      <w:rPr>
        <w:rFonts w:ascii="Arial Unicode MS" w:eastAsia="標楷體" w:hAnsi="Arial Unicode MS" w:cs="Arial Unicode M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0D05EA4"/>
    <w:multiLevelType w:val="hybridMultilevel"/>
    <w:tmpl w:val="F62240B6"/>
    <w:lvl w:ilvl="0" w:tplc="0409000F">
      <w:start w:val="1"/>
      <w:numFmt w:val="decimal"/>
      <w:lvlText w:val="%1."/>
      <w:lvlJc w:val="left"/>
      <w:pPr>
        <w:ind w:left="2179" w:hanging="480"/>
      </w:p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12">
    <w:nsid w:val="6F542E14"/>
    <w:multiLevelType w:val="hybridMultilevel"/>
    <w:tmpl w:val="CE345298"/>
    <w:lvl w:ilvl="0" w:tplc="D4F41966">
      <w:start w:val="1"/>
      <w:numFmt w:val="taiwaneseCountingThousand"/>
      <w:lvlText w:val="%1、"/>
      <w:lvlJc w:val="left"/>
      <w:pPr>
        <w:ind w:left="965" w:hanging="504"/>
      </w:pPr>
      <w:rPr>
        <w:rFonts w:hint="default"/>
      </w:rPr>
    </w:lvl>
    <w:lvl w:ilvl="1" w:tplc="04090019" w:tentative="1">
      <w:start w:val="1"/>
      <w:numFmt w:val="ideographTraditional"/>
      <w:lvlText w:val="%2、"/>
      <w:lvlJc w:val="left"/>
      <w:pPr>
        <w:ind w:left="1421" w:hanging="480"/>
      </w:pPr>
    </w:lvl>
    <w:lvl w:ilvl="2" w:tplc="0409001B" w:tentative="1">
      <w:start w:val="1"/>
      <w:numFmt w:val="lowerRoman"/>
      <w:lvlText w:val="%3."/>
      <w:lvlJc w:val="right"/>
      <w:pPr>
        <w:ind w:left="1901" w:hanging="480"/>
      </w:p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abstractNum w:abstractNumId="13">
    <w:nsid w:val="707D4755"/>
    <w:multiLevelType w:val="hybridMultilevel"/>
    <w:tmpl w:val="A104C608"/>
    <w:lvl w:ilvl="0" w:tplc="53B8538E">
      <w:start w:val="1"/>
      <w:numFmt w:val="taiwaneseCountingThousand"/>
      <w:lvlText w:val="%1、"/>
      <w:lvlJc w:val="left"/>
      <w:pPr>
        <w:tabs>
          <w:tab w:val="num" w:pos="540"/>
        </w:tabs>
        <w:ind w:left="5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1F3544B"/>
    <w:multiLevelType w:val="hybridMultilevel"/>
    <w:tmpl w:val="3704DE92"/>
    <w:lvl w:ilvl="0" w:tplc="FFF89808">
      <w:start w:val="1"/>
      <w:numFmt w:val="taiwaneseCountingThousand"/>
      <w:lvlText w:val="%1、"/>
      <w:lvlJc w:val="left"/>
      <w:pPr>
        <w:ind w:left="480" w:hanging="480"/>
      </w:pPr>
      <w:rPr>
        <w:rFonts w:ascii="Arial Unicode MS" w:eastAsia="標楷體" w:hAnsi="Arial Unicode MS" w:cs="Arial Unicode M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3"/>
  </w:num>
  <w:num w:numId="3">
    <w:abstractNumId w:val="5"/>
  </w:num>
  <w:num w:numId="4">
    <w:abstractNumId w:val="6"/>
  </w:num>
  <w:num w:numId="5">
    <w:abstractNumId w:val="2"/>
  </w:num>
  <w:num w:numId="6">
    <w:abstractNumId w:val="9"/>
  </w:num>
  <w:num w:numId="7">
    <w:abstractNumId w:val="1"/>
  </w:num>
  <w:num w:numId="8">
    <w:abstractNumId w:val="4"/>
  </w:num>
  <w:num w:numId="9">
    <w:abstractNumId w:val="7"/>
  </w:num>
  <w:num w:numId="10">
    <w:abstractNumId w:val="10"/>
  </w:num>
  <w:num w:numId="11">
    <w:abstractNumId w:val="14"/>
  </w:num>
  <w:num w:numId="12">
    <w:abstractNumId w:val="8"/>
  </w:num>
  <w:num w:numId="13">
    <w:abstractNumId w:val="12"/>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FC5"/>
    <w:rsid w:val="00002AB9"/>
    <w:rsid w:val="00013BCE"/>
    <w:rsid w:val="00031DA2"/>
    <w:rsid w:val="00070729"/>
    <w:rsid w:val="00072431"/>
    <w:rsid w:val="00075261"/>
    <w:rsid w:val="000A4330"/>
    <w:rsid w:val="000A5683"/>
    <w:rsid w:val="000C5495"/>
    <w:rsid w:val="000E378E"/>
    <w:rsid w:val="00103F91"/>
    <w:rsid w:val="001053CE"/>
    <w:rsid w:val="00105918"/>
    <w:rsid w:val="00112CEB"/>
    <w:rsid w:val="00147089"/>
    <w:rsid w:val="00150452"/>
    <w:rsid w:val="00150B04"/>
    <w:rsid w:val="00153611"/>
    <w:rsid w:val="0018457F"/>
    <w:rsid w:val="001A4ABB"/>
    <w:rsid w:val="001B1206"/>
    <w:rsid w:val="001B2382"/>
    <w:rsid w:val="001E7590"/>
    <w:rsid w:val="001F406D"/>
    <w:rsid w:val="00204D8A"/>
    <w:rsid w:val="00206018"/>
    <w:rsid w:val="00223214"/>
    <w:rsid w:val="00235A70"/>
    <w:rsid w:val="00243ABA"/>
    <w:rsid w:val="00270C4C"/>
    <w:rsid w:val="00291681"/>
    <w:rsid w:val="002923BA"/>
    <w:rsid w:val="002A4AD5"/>
    <w:rsid w:val="002B22C3"/>
    <w:rsid w:val="002D5042"/>
    <w:rsid w:val="002D68ED"/>
    <w:rsid w:val="002E635F"/>
    <w:rsid w:val="002E75B7"/>
    <w:rsid w:val="003113F5"/>
    <w:rsid w:val="00311400"/>
    <w:rsid w:val="0035401B"/>
    <w:rsid w:val="003620AB"/>
    <w:rsid w:val="0038100F"/>
    <w:rsid w:val="003841B2"/>
    <w:rsid w:val="003865CC"/>
    <w:rsid w:val="003B47E4"/>
    <w:rsid w:val="003E0118"/>
    <w:rsid w:val="004127AF"/>
    <w:rsid w:val="00414630"/>
    <w:rsid w:val="004157C9"/>
    <w:rsid w:val="00420F95"/>
    <w:rsid w:val="00426608"/>
    <w:rsid w:val="004411A4"/>
    <w:rsid w:val="00444F5B"/>
    <w:rsid w:val="004477AB"/>
    <w:rsid w:val="00456218"/>
    <w:rsid w:val="0045692D"/>
    <w:rsid w:val="00460E66"/>
    <w:rsid w:val="004642A3"/>
    <w:rsid w:val="004646BA"/>
    <w:rsid w:val="0049160A"/>
    <w:rsid w:val="004931E1"/>
    <w:rsid w:val="004A67F1"/>
    <w:rsid w:val="004A6B91"/>
    <w:rsid w:val="004B164F"/>
    <w:rsid w:val="004C2146"/>
    <w:rsid w:val="004C35CC"/>
    <w:rsid w:val="004D1C84"/>
    <w:rsid w:val="004D2546"/>
    <w:rsid w:val="004D564F"/>
    <w:rsid w:val="004E24F2"/>
    <w:rsid w:val="004E2904"/>
    <w:rsid w:val="00506790"/>
    <w:rsid w:val="00525E18"/>
    <w:rsid w:val="00537418"/>
    <w:rsid w:val="005420BD"/>
    <w:rsid w:val="00544E36"/>
    <w:rsid w:val="00564819"/>
    <w:rsid w:val="005721BD"/>
    <w:rsid w:val="005A71D7"/>
    <w:rsid w:val="005B1728"/>
    <w:rsid w:val="005D40BB"/>
    <w:rsid w:val="005E1173"/>
    <w:rsid w:val="00613F75"/>
    <w:rsid w:val="00613F7A"/>
    <w:rsid w:val="00614432"/>
    <w:rsid w:val="006177BF"/>
    <w:rsid w:val="00617DA1"/>
    <w:rsid w:val="00642230"/>
    <w:rsid w:val="00643918"/>
    <w:rsid w:val="00680921"/>
    <w:rsid w:val="00682A51"/>
    <w:rsid w:val="00683673"/>
    <w:rsid w:val="00690C79"/>
    <w:rsid w:val="00697E21"/>
    <w:rsid w:val="006B026F"/>
    <w:rsid w:val="006C7506"/>
    <w:rsid w:val="006E711B"/>
    <w:rsid w:val="006F0A8B"/>
    <w:rsid w:val="006F2A33"/>
    <w:rsid w:val="006F2BDF"/>
    <w:rsid w:val="00710E7C"/>
    <w:rsid w:val="007216C0"/>
    <w:rsid w:val="0079450E"/>
    <w:rsid w:val="007A4D86"/>
    <w:rsid w:val="007E007F"/>
    <w:rsid w:val="007F7EFA"/>
    <w:rsid w:val="00806B7F"/>
    <w:rsid w:val="00813D13"/>
    <w:rsid w:val="00832FC5"/>
    <w:rsid w:val="0084383F"/>
    <w:rsid w:val="00844BEC"/>
    <w:rsid w:val="00847AA7"/>
    <w:rsid w:val="00864037"/>
    <w:rsid w:val="008827D4"/>
    <w:rsid w:val="008A0400"/>
    <w:rsid w:val="008A0F3F"/>
    <w:rsid w:val="008A50F8"/>
    <w:rsid w:val="008B2BA4"/>
    <w:rsid w:val="00914D61"/>
    <w:rsid w:val="0093793F"/>
    <w:rsid w:val="0094267F"/>
    <w:rsid w:val="00982DA8"/>
    <w:rsid w:val="009938B7"/>
    <w:rsid w:val="009E740A"/>
    <w:rsid w:val="009F2DA5"/>
    <w:rsid w:val="009F35CA"/>
    <w:rsid w:val="009F445E"/>
    <w:rsid w:val="00A217B7"/>
    <w:rsid w:val="00A34173"/>
    <w:rsid w:val="00A36BC4"/>
    <w:rsid w:val="00A37700"/>
    <w:rsid w:val="00A70254"/>
    <w:rsid w:val="00A73747"/>
    <w:rsid w:val="00A76A32"/>
    <w:rsid w:val="00A770EF"/>
    <w:rsid w:val="00AA497B"/>
    <w:rsid w:val="00AB3790"/>
    <w:rsid w:val="00AF34CE"/>
    <w:rsid w:val="00AF7383"/>
    <w:rsid w:val="00B02311"/>
    <w:rsid w:val="00B32DC0"/>
    <w:rsid w:val="00B43D25"/>
    <w:rsid w:val="00B45A6B"/>
    <w:rsid w:val="00B84DDE"/>
    <w:rsid w:val="00B961FD"/>
    <w:rsid w:val="00BA0A77"/>
    <w:rsid w:val="00BC4A0A"/>
    <w:rsid w:val="00BE00EB"/>
    <w:rsid w:val="00BF27BE"/>
    <w:rsid w:val="00BF4B5A"/>
    <w:rsid w:val="00BF6D20"/>
    <w:rsid w:val="00BF7E85"/>
    <w:rsid w:val="00C12FDF"/>
    <w:rsid w:val="00C13452"/>
    <w:rsid w:val="00C137FE"/>
    <w:rsid w:val="00C30C50"/>
    <w:rsid w:val="00C5452A"/>
    <w:rsid w:val="00C7475B"/>
    <w:rsid w:val="00C75ED1"/>
    <w:rsid w:val="00C83765"/>
    <w:rsid w:val="00CB3B0C"/>
    <w:rsid w:val="00CB5CE1"/>
    <w:rsid w:val="00CD2815"/>
    <w:rsid w:val="00CD5064"/>
    <w:rsid w:val="00CD7C65"/>
    <w:rsid w:val="00CE4C5B"/>
    <w:rsid w:val="00CE6099"/>
    <w:rsid w:val="00D02E15"/>
    <w:rsid w:val="00D05D48"/>
    <w:rsid w:val="00D14AB2"/>
    <w:rsid w:val="00D50309"/>
    <w:rsid w:val="00D81942"/>
    <w:rsid w:val="00D862B5"/>
    <w:rsid w:val="00DA7183"/>
    <w:rsid w:val="00DD7A89"/>
    <w:rsid w:val="00DE66B5"/>
    <w:rsid w:val="00DF2C87"/>
    <w:rsid w:val="00DF306C"/>
    <w:rsid w:val="00DF48A0"/>
    <w:rsid w:val="00E147AA"/>
    <w:rsid w:val="00E148D1"/>
    <w:rsid w:val="00E24E57"/>
    <w:rsid w:val="00E27C06"/>
    <w:rsid w:val="00E403E9"/>
    <w:rsid w:val="00E44A94"/>
    <w:rsid w:val="00E4789D"/>
    <w:rsid w:val="00E53D08"/>
    <w:rsid w:val="00E63840"/>
    <w:rsid w:val="00E67710"/>
    <w:rsid w:val="00E6781D"/>
    <w:rsid w:val="00E82C99"/>
    <w:rsid w:val="00E83473"/>
    <w:rsid w:val="00EE002F"/>
    <w:rsid w:val="00F06138"/>
    <w:rsid w:val="00F14FB7"/>
    <w:rsid w:val="00F2095A"/>
    <w:rsid w:val="00F27D29"/>
    <w:rsid w:val="00F517CA"/>
    <w:rsid w:val="00F85C31"/>
    <w:rsid w:val="00FA5F00"/>
    <w:rsid w:val="00FA6E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FC5"/>
    <w:pPr>
      <w:widowControl w:val="0"/>
      <w:spacing w:line="240" w:lineRule="auto"/>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rsid w:val="00832FC5"/>
    <w:pPr>
      <w:jc w:val="both"/>
    </w:pPr>
    <w:rPr>
      <w:rFonts w:eastAsia="標楷體"/>
      <w:snapToGrid w:val="0"/>
      <w:szCs w:val="24"/>
    </w:rPr>
  </w:style>
  <w:style w:type="character" w:customStyle="1" w:styleId="30">
    <w:name w:val="本文 3 字元"/>
    <w:basedOn w:val="a0"/>
    <w:link w:val="3"/>
    <w:semiHidden/>
    <w:rsid w:val="00832FC5"/>
    <w:rPr>
      <w:rFonts w:ascii="Times New Roman" w:eastAsia="標楷體" w:hAnsi="Times New Roman" w:cs="Times New Roman"/>
      <w:snapToGrid w:val="0"/>
      <w:szCs w:val="24"/>
    </w:rPr>
  </w:style>
  <w:style w:type="paragraph" w:styleId="a3">
    <w:name w:val="List Paragraph"/>
    <w:basedOn w:val="a"/>
    <w:uiPriority w:val="34"/>
    <w:qFormat/>
    <w:rsid w:val="004931E1"/>
    <w:pPr>
      <w:ind w:leftChars="200" w:left="480"/>
    </w:pPr>
  </w:style>
  <w:style w:type="paragraph" w:styleId="a4">
    <w:name w:val="header"/>
    <w:basedOn w:val="a"/>
    <w:link w:val="a5"/>
    <w:uiPriority w:val="99"/>
    <w:unhideWhenUsed/>
    <w:rsid w:val="00F06138"/>
    <w:pPr>
      <w:tabs>
        <w:tab w:val="center" w:pos="4153"/>
        <w:tab w:val="right" w:pos="8306"/>
      </w:tabs>
      <w:snapToGrid w:val="0"/>
    </w:pPr>
    <w:rPr>
      <w:sz w:val="20"/>
    </w:rPr>
  </w:style>
  <w:style w:type="character" w:customStyle="1" w:styleId="a5">
    <w:name w:val="頁首 字元"/>
    <w:basedOn w:val="a0"/>
    <w:link w:val="a4"/>
    <w:uiPriority w:val="99"/>
    <w:rsid w:val="00F06138"/>
    <w:rPr>
      <w:rFonts w:ascii="Times New Roman" w:eastAsia="新細明體" w:hAnsi="Times New Roman" w:cs="Times New Roman"/>
      <w:sz w:val="20"/>
      <w:szCs w:val="20"/>
    </w:rPr>
  </w:style>
  <w:style w:type="paragraph" w:styleId="a6">
    <w:name w:val="footer"/>
    <w:basedOn w:val="a"/>
    <w:link w:val="a7"/>
    <w:uiPriority w:val="99"/>
    <w:unhideWhenUsed/>
    <w:rsid w:val="00F06138"/>
    <w:pPr>
      <w:tabs>
        <w:tab w:val="center" w:pos="4153"/>
        <w:tab w:val="right" w:pos="8306"/>
      </w:tabs>
      <w:snapToGrid w:val="0"/>
    </w:pPr>
    <w:rPr>
      <w:sz w:val="20"/>
    </w:rPr>
  </w:style>
  <w:style w:type="character" w:customStyle="1" w:styleId="a7">
    <w:name w:val="頁尾 字元"/>
    <w:basedOn w:val="a0"/>
    <w:link w:val="a6"/>
    <w:uiPriority w:val="99"/>
    <w:rsid w:val="00F06138"/>
    <w:rPr>
      <w:rFonts w:ascii="Times New Roman" w:eastAsia="新細明體" w:hAnsi="Times New Roman" w:cs="Times New Roman"/>
      <w:sz w:val="20"/>
      <w:szCs w:val="20"/>
    </w:rPr>
  </w:style>
  <w:style w:type="paragraph" w:styleId="a8">
    <w:name w:val="Balloon Text"/>
    <w:basedOn w:val="a"/>
    <w:link w:val="a9"/>
    <w:uiPriority w:val="99"/>
    <w:semiHidden/>
    <w:unhideWhenUsed/>
    <w:rsid w:val="00B84DD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84DDE"/>
    <w:rPr>
      <w:rFonts w:asciiTheme="majorHAnsi" w:eastAsiaTheme="majorEastAsia" w:hAnsiTheme="majorHAnsi" w:cstheme="majorBidi"/>
      <w:sz w:val="18"/>
      <w:szCs w:val="18"/>
    </w:rPr>
  </w:style>
  <w:style w:type="paragraph" w:customStyle="1" w:styleId="aa">
    <w:name w:val="公文(後續段落)"/>
    <w:basedOn w:val="a"/>
    <w:rsid w:val="00AB3790"/>
    <w:pPr>
      <w:spacing w:line="500" w:lineRule="exact"/>
      <w:ind w:left="317"/>
    </w:pPr>
    <w:rPr>
      <w:rFonts w:eastAsia="標楷體"/>
      <w:sz w:val="32"/>
      <w:szCs w:val="24"/>
    </w:rPr>
  </w:style>
  <w:style w:type="paragraph" w:styleId="2">
    <w:name w:val="List 2"/>
    <w:basedOn w:val="a"/>
    <w:autoRedefine/>
    <w:rsid w:val="0084383F"/>
    <w:pPr>
      <w:tabs>
        <w:tab w:val="left" w:pos="720"/>
      </w:tabs>
      <w:ind w:left="720" w:hanging="539"/>
    </w:pPr>
    <w:rPr>
      <w:color w:val="0000F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FC5"/>
    <w:pPr>
      <w:widowControl w:val="0"/>
      <w:spacing w:line="240" w:lineRule="auto"/>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rsid w:val="00832FC5"/>
    <w:pPr>
      <w:jc w:val="both"/>
    </w:pPr>
    <w:rPr>
      <w:rFonts w:eastAsia="標楷體"/>
      <w:snapToGrid w:val="0"/>
      <w:szCs w:val="24"/>
    </w:rPr>
  </w:style>
  <w:style w:type="character" w:customStyle="1" w:styleId="30">
    <w:name w:val="本文 3 字元"/>
    <w:basedOn w:val="a0"/>
    <w:link w:val="3"/>
    <w:semiHidden/>
    <w:rsid w:val="00832FC5"/>
    <w:rPr>
      <w:rFonts w:ascii="Times New Roman" w:eastAsia="標楷體" w:hAnsi="Times New Roman" w:cs="Times New Roman"/>
      <w:snapToGrid w:val="0"/>
      <w:szCs w:val="24"/>
    </w:rPr>
  </w:style>
  <w:style w:type="paragraph" w:styleId="a3">
    <w:name w:val="List Paragraph"/>
    <w:basedOn w:val="a"/>
    <w:uiPriority w:val="34"/>
    <w:qFormat/>
    <w:rsid w:val="004931E1"/>
    <w:pPr>
      <w:ind w:leftChars="200" w:left="480"/>
    </w:pPr>
  </w:style>
  <w:style w:type="paragraph" w:styleId="a4">
    <w:name w:val="header"/>
    <w:basedOn w:val="a"/>
    <w:link w:val="a5"/>
    <w:uiPriority w:val="99"/>
    <w:unhideWhenUsed/>
    <w:rsid w:val="00F06138"/>
    <w:pPr>
      <w:tabs>
        <w:tab w:val="center" w:pos="4153"/>
        <w:tab w:val="right" w:pos="8306"/>
      </w:tabs>
      <w:snapToGrid w:val="0"/>
    </w:pPr>
    <w:rPr>
      <w:sz w:val="20"/>
    </w:rPr>
  </w:style>
  <w:style w:type="character" w:customStyle="1" w:styleId="a5">
    <w:name w:val="頁首 字元"/>
    <w:basedOn w:val="a0"/>
    <w:link w:val="a4"/>
    <w:uiPriority w:val="99"/>
    <w:rsid w:val="00F06138"/>
    <w:rPr>
      <w:rFonts w:ascii="Times New Roman" w:eastAsia="新細明體" w:hAnsi="Times New Roman" w:cs="Times New Roman"/>
      <w:sz w:val="20"/>
      <w:szCs w:val="20"/>
    </w:rPr>
  </w:style>
  <w:style w:type="paragraph" w:styleId="a6">
    <w:name w:val="footer"/>
    <w:basedOn w:val="a"/>
    <w:link w:val="a7"/>
    <w:uiPriority w:val="99"/>
    <w:unhideWhenUsed/>
    <w:rsid w:val="00F06138"/>
    <w:pPr>
      <w:tabs>
        <w:tab w:val="center" w:pos="4153"/>
        <w:tab w:val="right" w:pos="8306"/>
      </w:tabs>
      <w:snapToGrid w:val="0"/>
    </w:pPr>
    <w:rPr>
      <w:sz w:val="20"/>
    </w:rPr>
  </w:style>
  <w:style w:type="character" w:customStyle="1" w:styleId="a7">
    <w:name w:val="頁尾 字元"/>
    <w:basedOn w:val="a0"/>
    <w:link w:val="a6"/>
    <w:uiPriority w:val="99"/>
    <w:rsid w:val="00F06138"/>
    <w:rPr>
      <w:rFonts w:ascii="Times New Roman" w:eastAsia="新細明體" w:hAnsi="Times New Roman" w:cs="Times New Roman"/>
      <w:sz w:val="20"/>
      <w:szCs w:val="20"/>
    </w:rPr>
  </w:style>
  <w:style w:type="paragraph" w:styleId="a8">
    <w:name w:val="Balloon Text"/>
    <w:basedOn w:val="a"/>
    <w:link w:val="a9"/>
    <w:uiPriority w:val="99"/>
    <w:semiHidden/>
    <w:unhideWhenUsed/>
    <w:rsid w:val="00B84DD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84DDE"/>
    <w:rPr>
      <w:rFonts w:asciiTheme="majorHAnsi" w:eastAsiaTheme="majorEastAsia" w:hAnsiTheme="majorHAnsi" w:cstheme="majorBidi"/>
      <w:sz w:val="18"/>
      <w:szCs w:val="18"/>
    </w:rPr>
  </w:style>
  <w:style w:type="paragraph" w:customStyle="1" w:styleId="aa">
    <w:name w:val="公文(後續段落)"/>
    <w:basedOn w:val="a"/>
    <w:rsid w:val="00AB3790"/>
    <w:pPr>
      <w:spacing w:line="500" w:lineRule="exact"/>
      <w:ind w:left="317"/>
    </w:pPr>
    <w:rPr>
      <w:rFonts w:eastAsia="標楷體"/>
      <w:sz w:val="32"/>
      <w:szCs w:val="24"/>
    </w:rPr>
  </w:style>
  <w:style w:type="paragraph" w:styleId="2">
    <w:name w:val="List 2"/>
    <w:basedOn w:val="a"/>
    <w:autoRedefine/>
    <w:rsid w:val="0084383F"/>
    <w:pPr>
      <w:tabs>
        <w:tab w:val="left" w:pos="720"/>
      </w:tabs>
      <w:ind w:left="720" w:hanging="539"/>
    </w:pPr>
    <w:rPr>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DA67F-554E-4247-8386-764ABC485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1249</Words>
  <Characters>7125</Characters>
  <Application>Microsoft Office Word</Application>
  <DocSecurity>4</DocSecurity>
  <Lines>59</Lines>
  <Paragraphs>16</Paragraphs>
  <ScaleCrop>false</ScaleCrop>
  <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李彥穎</cp:lastModifiedBy>
  <cp:revision>2</cp:revision>
  <cp:lastPrinted>2014-02-11T07:06:00Z</cp:lastPrinted>
  <dcterms:created xsi:type="dcterms:W3CDTF">2018-12-17T02:34:00Z</dcterms:created>
  <dcterms:modified xsi:type="dcterms:W3CDTF">2018-12-17T02:34:00Z</dcterms:modified>
</cp:coreProperties>
</file>