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29" w:rsidRDefault="001021E1" w:rsidP="00B120E5">
      <w:pPr>
        <w:pStyle w:val="3"/>
        <w:adjustRightInd w:val="0"/>
        <w:snapToGrid w:val="0"/>
        <w:spacing w:line="300" w:lineRule="auto"/>
        <w:ind w:leftChars="-354" w:left="-850" w:rightChars="-373" w:right="-895"/>
        <w:jc w:val="left"/>
        <w:rPr>
          <w:b/>
          <w:bCs/>
          <w:sz w:val="36"/>
        </w:rPr>
      </w:pPr>
      <w:r w:rsidRPr="000F7764">
        <w:rPr>
          <w:b/>
          <w:bCs/>
          <w:sz w:val="36"/>
        </w:rPr>
        <w:t>「</w:t>
      </w:r>
      <w:r w:rsidR="00846F1A" w:rsidRPr="00846F1A">
        <w:rPr>
          <w:rFonts w:hint="eastAsia"/>
          <w:b/>
          <w:bCs/>
          <w:sz w:val="36"/>
        </w:rPr>
        <w:t>財團法人中華民國證券櫃檯買賣中心槓桿交易商辦理槓桿保證金契約交易業務應注意事項</w:t>
      </w:r>
      <w:r w:rsidR="003278F1" w:rsidRPr="000F7764">
        <w:rPr>
          <w:b/>
          <w:bCs/>
          <w:sz w:val="36"/>
        </w:rPr>
        <w:t>」</w:t>
      </w:r>
      <w:r w:rsidR="00D92FE6">
        <w:rPr>
          <w:b/>
          <w:bCs/>
          <w:sz w:val="36"/>
        </w:rPr>
        <w:t>部分條文</w:t>
      </w:r>
      <w:r w:rsidR="002B12F1" w:rsidRPr="000F7764">
        <w:rPr>
          <w:b/>
          <w:bCs/>
          <w:sz w:val="36"/>
        </w:rPr>
        <w:t>修正</w:t>
      </w:r>
      <w:r w:rsidRPr="000F7764">
        <w:rPr>
          <w:b/>
          <w:bCs/>
          <w:sz w:val="36"/>
        </w:rPr>
        <w:t>條文對照表</w:t>
      </w:r>
    </w:p>
    <w:p w:rsidR="001021E1" w:rsidRPr="00BD7D29" w:rsidRDefault="00BD7D29" w:rsidP="00BD7D29">
      <w:pPr>
        <w:pStyle w:val="3"/>
        <w:adjustRightInd w:val="0"/>
        <w:snapToGrid w:val="0"/>
        <w:spacing w:line="300" w:lineRule="auto"/>
        <w:ind w:leftChars="-354" w:left="-850" w:rightChars="-373" w:right="-895"/>
        <w:jc w:val="right"/>
        <w:rPr>
          <w:b/>
          <w:bCs/>
          <w:sz w:val="28"/>
          <w:szCs w:val="28"/>
        </w:rPr>
      </w:pPr>
      <w:bookmarkStart w:id="0" w:name="_GoBack"/>
      <w:r w:rsidRPr="00BD7D29">
        <w:rPr>
          <w:bCs/>
          <w:sz w:val="20"/>
          <w:szCs w:val="20"/>
        </w:rPr>
        <w:t>金融監督管理委員會</w:t>
      </w:r>
      <w:r w:rsidRPr="00BD7D29">
        <w:rPr>
          <w:rFonts w:hint="eastAsia"/>
          <w:bCs/>
          <w:sz w:val="20"/>
          <w:szCs w:val="20"/>
        </w:rPr>
        <w:t>104</w:t>
      </w:r>
      <w:r w:rsidRPr="00BD7D29">
        <w:rPr>
          <w:rFonts w:hint="eastAsia"/>
          <w:bCs/>
          <w:sz w:val="20"/>
          <w:szCs w:val="20"/>
        </w:rPr>
        <w:t>年</w:t>
      </w:r>
      <w:r w:rsidRPr="00BD7D29">
        <w:rPr>
          <w:rFonts w:hint="eastAsia"/>
          <w:bCs/>
          <w:sz w:val="20"/>
          <w:szCs w:val="20"/>
        </w:rPr>
        <w:t>7</w:t>
      </w:r>
      <w:r w:rsidRPr="00BD7D29">
        <w:rPr>
          <w:rFonts w:hint="eastAsia"/>
          <w:bCs/>
          <w:sz w:val="20"/>
          <w:szCs w:val="20"/>
        </w:rPr>
        <w:t>月</w:t>
      </w:r>
      <w:r w:rsidRPr="00BD7D29">
        <w:rPr>
          <w:rFonts w:hint="eastAsia"/>
          <w:bCs/>
          <w:sz w:val="20"/>
          <w:szCs w:val="20"/>
        </w:rPr>
        <w:t>9</w:t>
      </w:r>
      <w:r w:rsidRPr="00BD7D29">
        <w:rPr>
          <w:rFonts w:hint="eastAsia"/>
          <w:bCs/>
          <w:sz w:val="20"/>
          <w:szCs w:val="20"/>
        </w:rPr>
        <w:t>日金</w:t>
      </w:r>
      <w:proofErr w:type="gramStart"/>
      <w:r w:rsidRPr="00BD7D29">
        <w:rPr>
          <w:rFonts w:hint="eastAsia"/>
          <w:bCs/>
          <w:sz w:val="20"/>
          <w:szCs w:val="20"/>
        </w:rPr>
        <w:t>管證期字</w:t>
      </w:r>
      <w:proofErr w:type="gramEnd"/>
      <w:r w:rsidRPr="00BD7D29">
        <w:rPr>
          <w:rFonts w:hint="eastAsia"/>
          <w:bCs/>
          <w:sz w:val="20"/>
          <w:szCs w:val="20"/>
        </w:rPr>
        <w:t>第</w:t>
      </w:r>
      <w:r w:rsidRPr="00BD7D29">
        <w:rPr>
          <w:rFonts w:hint="eastAsia"/>
          <w:bCs/>
          <w:sz w:val="20"/>
          <w:szCs w:val="20"/>
        </w:rPr>
        <w:t>1040026068</w:t>
      </w:r>
      <w:r w:rsidRPr="00BD7D29">
        <w:rPr>
          <w:rFonts w:hint="eastAsia"/>
          <w:bCs/>
          <w:sz w:val="20"/>
          <w:szCs w:val="20"/>
        </w:rPr>
        <w:t>號函准予備查</w:t>
      </w:r>
      <w:bookmarkEnd w:id="0"/>
      <w:r w:rsidR="00033B87" w:rsidRPr="00BD7D29">
        <w:rPr>
          <w:bCs/>
          <w:sz w:val="36"/>
        </w:rPr>
        <w:t xml:space="preserve"> </w:t>
      </w:r>
      <w:r w:rsidR="00CD1A8B" w:rsidRPr="00BD7D29">
        <w:rPr>
          <w:bCs/>
          <w:sz w:val="36"/>
        </w:rPr>
        <w:t xml:space="preserve">  </w:t>
      </w:r>
      <w:r w:rsidR="00CD1A8B" w:rsidRPr="00BD7D29">
        <w:rPr>
          <w:b/>
          <w:bCs/>
          <w:sz w:val="28"/>
          <w:szCs w:val="28"/>
        </w:rPr>
        <w:t xml:space="preserve">   </w:t>
      </w:r>
      <w:r w:rsidR="00511A95" w:rsidRPr="00BD7D29">
        <w:rPr>
          <w:b/>
          <w:bCs/>
          <w:sz w:val="28"/>
          <w:szCs w:val="28"/>
        </w:rPr>
        <w:t xml:space="preserve">                              </w:t>
      </w:r>
      <w:r w:rsidR="00CD1A8B" w:rsidRPr="00BD7D29">
        <w:rPr>
          <w:b/>
          <w:bCs/>
          <w:sz w:val="28"/>
          <w:szCs w:val="28"/>
        </w:rPr>
        <w:t xml:space="preserve">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5"/>
        <w:gridCol w:w="3355"/>
        <w:gridCol w:w="3355"/>
      </w:tblGrid>
      <w:tr w:rsidR="006D6124" w:rsidRPr="00CC7E05" w:rsidTr="00846F1A">
        <w:trPr>
          <w:trHeight w:val="535"/>
          <w:tblHeader/>
        </w:trPr>
        <w:tc>
          <w:tcPr>
            <w:tcW w:w="3355" w:type="dxa"/>
          </w:tcPr>
          <w:p w:rsidR="006D6124" w:rsidRPr="00CC7E05" w:rsidRDefault="006D6124"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修正條文</w:t>
            </w:r>
          </w:p>
        </w:tc>
        <w:tc>
          <w:tcPr>
            <w:tcW w:w="3355" w:type="dxa"/>
          </w:tcPr>
          <w:p w:rsidR="006D6124" w:rsidRPr="00CC7E05" w:rsidRDefault="006D6124"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原條文</w:t>
            </w:r>
          </w:p>
        </w:tc>
        <w:tc>
          <w:tcPr>
            <w:tcW w:w="3355" w:type="dxa"/>
          </w:tcPr>
          <w:p w:rsidR="006D6124" w:rsidRPr="00CC7E05" w:rsidRDefault="006D6124"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說明</w:t>
            </w:r>
          </w:p>
        </w:tc>
      </w:tr>
      <w:tr w:rsidR="006D6124" w:rsidRPr="00CC7E05" w:rsidTr="00846F1A">
        <w:trPr>
          <w:trHeight w:val="535"/>
        </w:trPr>
        <w:tc>
          <w:tcPr>
            <w:tcW w:w="3355" w:type="dxa"/>
            <w:tcBorders>
              <w:top w:val="single" w:sz="4" w:space="0" w:color="auto"/>
              <w:left w:val="single" w:sz="4" w:space="0" w:color="auto"/>
              <w:bottom w:val="single" w:sz="4" w:space="0" w:color="auto"/>
              <w:right w:val="single" w:sz="4" w:space="0" w:color="auto"/>
            </w:tcBorders>
          </w:tcPr>
          <w:p w:rsidR="00846F1A" w:rsidRPr="00846F1A"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第三條</w:t>
            </w:r>
          </w:p>
          <w:p w:rsidR="00846F1A" w:rsidRPr="00846F1A"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 xml:space="preserve">    </w:t>
            </w:r>
            <w:r w:rsidRPr="00846F1A">
              <w:rPr>
                <w:rFonts w:ascii="Times New Roman" w:eastAsia="標楷體" w:hAnsi="Times New Roman" w:cs="Times New Roman" w:hint="eastAsia"/>
                <w:szCs w:val="24"/>
              </w:rPr>
              <w:t>槓桿交易商向一般客戶提供結構型商品交易服務，應進行下列行銷過程控制：</w:t>
            </w:r>
            <w:r w:rsidRPr="00846F1A">
              <w:rPr>
                <w:rFonts w:ascii="Times New Roman" w:eastAsia="標楷體" w:hAnsi="Times New Roman" w:cs="Times New Roman" w:hint="eastAsia"/>
                <w:szCs w:val="24"/>
              </w:rPr>
              <w:t xml:space="preserve"> </w:t>
            </w:r>
          </w:p>
          <w:p w:rsidR="00846F1A" w:rsidRPr="00846F1A"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一、提供產品說明書。</w:t>
            </w:r>
          </w:p>
          <w:p w:rsidR="00846F1A" w:rsidRPr="00846F1A"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二、提供客戶須知。</w:t>
            </w:r>
          </w:p>
          <w:p w:rsidR="00846F1A" w:rsidRPr="00846F1A" w:rsidRDefault="00846F1A" w:rsidP="00846F1A">
            <w:pPr>
              <w:adjustRightInd w:val="0"/>
              <w:snapToGrid w:val="0"/>
              <w:spacing w:line="300" w:lineRule="auto"/>
              <w:ind w:left="480" w:rightChars="27" w:right="65" w:hangingChars="200" w:hanging="480"/>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三、</w:t>
            </w:r>
            <w:r w:rsidRPr="00D104F0">
              <w:rPr>
                <w:rFonts w:ascii="Times New Roman" w:eastAsia="標楷體" w:hAnsi="Times New Roman" w:cs="Times New Roman" w:hint="eastAsia"/>
                <w:szCs w:val="24"/>
              </w:rPr>
              <w:t>向客戶宣讀</w:t>
            </w:r>
            <w:r w:rsidRPr="0095588D">
              <w:rPr>
                <w:rFonts w:ascii="Times New Roman" w:eastAsia="標楷體" w:hAnsi="Times New Roman" w:cs="Times New Roman"/>
                <w:szCs w:val="24"/>
                <w:u w:val="single"/>
              </w:rPr>
              <w:t>或以電子設備說明</w:t>
            </w:r>
            <w:r w:rsidRPr="00D104F0">
              <w:rPr>
                <w:rFonts w:ascii="Times New Roman" w:eastAsia="標楷體" w:hAnsi="Times New Roman" w:cs="Times New Roman" w:hint="eastAsia"/>
                <w:szCs w:val="24"/>
              </w:rPr>
              <w:t>客戶須知之重要內容，並以錄音方式保留紀錄</w:t>
            </w:r>
            <w:r w:rsidRPr="00CC7E05">
              <w:rPr>
                <w:rFonts w:ascii="Times New Roman" w:eastAsia="標楷體" w:hAnsi="Times New Roman" w:cs="Times New Roman"/>
                <w:szCs w:val="24"/>
                <w:u w:val="single"/>
              </w:rPr>
              <w:t>或</w:t>
            </w:r>
            <w:r>
              <w:rPr>
                <w:rFonts w:ascii="Times New Roman" w:eastAsia="標楷體" w:hAnsi="Times New Roman" w:cs="Times New Roman" w:hint="eastAsia"/>
                <w:szCs w:val="24"/>
                <w:u w:val="single"/>
              </w:rPr>
              <w:t>以</w:t>
            </w:r>
            <w:r w:rsidRPr="00CC7E05">
              <w:rPr>
                <w:rFonts w:ascii="Times New Roman" w:eastAsia="標楷體" w:hAnsi="Times New Roman" w:cs="Times New Roman"/>
                <w:szCs w:val="24"/>
                <w:u w:val="single"/>
              </w:rPr>
              <w:t>電子設備</w:t>
            </w:r>
            <w:r>
              <w:rPr>
                <w:rFonts w:ascii="Times New Roman" w:eastAsia="標楷體" w:hAnsi="Times New Roman" w:cs="Times New Roman"/>
                <w:szCs w:val="24"/>
                <w:u w:val="single"/>
              </w:rPr>
              <w:t>留存相關作業過程之軌跡</w:t>
            </w:r>
            <w:r w:rsidRPr="00D104F0">
              <w:rPr>
                <w:rFonts w:ascii="Times New Roman" w:eastAsia="標楷體" w:hAnsi="Times New Roman" w:cs="Times New Roman" w:hint="eastAsia"/>
                <w:szCs w:val="24"/>
              </w:rPr>
              <w:t>。</w:t>
            </w:r>
          </w:p>
          <w:p w:rsidR="00846F1A" w:rsidRPr="00846F1A"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 xml:space="preserve">    </w:t>
            </w:r>
            <w:r w:rsidRPr="00846F1A">
              <w:rPr>
                <w:rFonts w:ascii="Times New Roman" w:eastAsia="標楷體" w:hAnsi="Times New Roman" w:cs="Times New Roman" w:hint="eastAsia"/>
                <w:szCs w:val="24"/>
              </w:rPr>
              <w:t>槓桿交易商向客戶提供結構型商品交易服務，應向客戶充分揭露並明確告知各項費用與其收取方式、交易架構，及可能涉及之風險等相關資訊。</w:t>
            </w:r>
          </w:p>
          <w:p w:rsidR="006D6124" w:rsidRPr="00CC7E05" w:rsidRDefault="00846F1A" w:rsidP="00846F1A">
            <w:pPr>
              <w:adjustRightInd w:val="0"/>
              <w:snapToGrid w:val="0"/>
              <w:spacing w:line="300" w:lineRule="auto"/>
              <w:ind w:rightChars="27" w:right="65" w:firstLineChars="200" w:firstLine="480"/>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前項應向客戶告知之各項費用與其收取方式及交易架構，應依本注意事項第四條至第八條規定於產品說明書中載明。</w:t>
            </w:r>
          </w:p>
        </w:tc>
        <w:tc>
          <w:tcPr>
            <w:tcW w:w="3355" w:type="dxa"/>
            <w:tcBorders>
              <w:top w:val="single" w:sz="4" w:space="0" w:color="auto"/>
              <w:left w:val="single" w:sz="4" w:space="0" w:color="auto"/>
              <w:bottom w:val="single" w:sz="4" w:space="0" w:color="auto"/>
              <w:right w:val="single" w:sz="4" w:space="0" w:color="auto"/>
            </w:tcBorders>
          </w:tcPr>
          <w:p w:rsidR="00846F1A" w:rsidRPr="00846F1A"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t>第三條</w:t>
            </w:r>
          </w:p>
          <w:p w:rsidR="00846F1A" w:rsidRPr="00846F1A"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t xml:space="preserve">    </w:t>
            </w:r>
            <w:r w:rsidRPr="00846F1A">
              <w:rPr>
                <w:rFonts w:hint="eastAsia"/>
                <w:sz w:val="24"/>
              </w:rPr>
              <w:t>槓桿交易商向一般客戶提供結構型商品交易服務，應進行下列行銷過程控制：</w:t>
            </w:r>
            <w:r w:rsidRPr="00846F1A">
              <w:rPr>
                <w:rFonts w:hint="eastAsia"/>
                <w:sz w:val="24"/>
              </w:rPr>
              <w:t xml:space="preserve"> </w:t>
            </w:r>
          </w:p>
          <w:p w:rsidR="00846F1A" w:rsidRPr="00846F1A"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t>一、提供產品說明書。</w:t>
            </w:r>
          </w:p>
          <w:p w:rsidR="00846F1A" w:rsidRPr="00846F1A"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t>二、提供客戶須知。</w:t>
            </w:r>
          </w:p>
          <w:p w:rsidR="00846F1A" w:rsidRPr="00846F1A" w:rsidRDefault="00846F1A" w:rsidP="00846F1A">
            <w:pPr>
              <w:pStyle w:val="a4"/>
              <w:kinsoku w:val="0"/>
              <w:adjustRightInd w:val="0"/>
              <w:snapToGrid w:val="0"/>
              <w:spacing w:line="300" w:lineRule="auto"/>
              <w:ind w:left="360" w:rightChars="7" w:right="17" w:hangingChars="150" w:hanging="360"/>
              <w:jc w:val="both"/>
              <w:rPr>
                <w:sz w:val="24"/>
              </w:rPr>
            </w:pPr>
            <w:r w:rsidRPr="00846F1A">
              <w:rPr>
                <w:rFonts w:hint="eastAsia"/>
                <w:sz w:val="24"/>
              </w:rPr>
              <w:t>三、向客戶宣讀客戶須知之重要內容，並以錄音方式保留紀錄。</w:t>
            </w:r>
          </w:p>
          <w:p w:rsidR="00846F1A"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t xml:space="preserve">    </w:t>
            </w:r>
          </w:p>
          <w:p w:rsidR="00846F1A" w:rsidRDefault="00846F1A" w:rsidP="00846F1A">
            <w:pPr>
              <w:pStyle w:val="a4"/>
              <w:kinsoku w:val="0"/>
              <w:adjustRightInd w:val="0"/>
              <w:snapToGrid w:val="0"/>
              <w:spacing w:beforeLines="50" w:before="180" w:line="300" w:lineRule="auto"/>
              <w:ind w:left="0" w:rightChars="7" w:right="17"/>
              <w:jc w:val="both"/>
              <w:rPr>
                <w:sz w:val="24"/>
              </w:rPr>
            </w:pPr>
          </w:p>
          <w:p w:rsidR="00846F1A" w:rsidRPr="00846F1A" w:rsidRDefault="00846F1A" w:rsidP="00846F1A">
            <w:pPr>
              <w:pStyle w:val="a4"/>
              <w:kinsoku w:val="0"/>
              <w:adjustRightInd w:val="0"/>
              <w:snapToGrid w:val="0"/>
              <w:spacing w:line="300" w:lineRule="auto"/>
              <w:ind w:left="0" w:rightChars="7" w:right="17" w:firstLineChars="200" w:firstLine="480"/>
              <w:jc w:val="both"/>
              <w:rPr>
                <w:sz w:val="24"/>
              </w:rPr>
            </w:pPr>
            <w:r w:rsidRPr="00846F1A">
              <w:rPr>
                <w:rFonts w:hint="eastAsia"/>
                <w:sz w:val="24"/>
              </w:rPr>
              <w:t>槓桿交易商向客戶提供結構型商品交易服務，應向客戶充分揭露並明確告知各項費用與其收取方式、交易架構，及可能涉及之風險等相關資訊。</w:t>
            </w:r>
          </w:p>
          <w:p w:rsidR="006D6124" w:rsidRPr="006F36A1" w:rsidRDefault="00846F1A" w:rsidP="00846F1A">
            <w:pPr>
              <w:pStyle w:val="a4"/>
              <w:kinsoku w:val="0"/>
              <w:adjustRightInd w:val="0"/>
              <w:snapToGrid w:val="0"/>
              <w:spacing w:line="300" w:lineRule="auto"/>
              <w:ind w:left="0" w:rightChars="7" w:right="17" w:firstLineChars="200" w:firstLine="480"/>
              <w:jc w:val="both"/>
              <w:rPr>
                <w:sz w:val="24"/>
              </w:rPr>
            </w:pPr>
            <w:r w:rsidRPr="00846F1A">
              <w:rPr>
                <w:rFonts w:hint="eastAsia"/>
                <w:sz w:val="24"/>
              </w:rPr>
              <w:t>前項應向客戶告知之各項費用與其收取方式及交易架構，應依本注意事項第四條至第八條規定於產品說明書中載明。</w:t>
            </w:r>
          </w:p>
        </w:tc>
        <w:tc>
          <w:tcPr>
            <w:tcW w:w="3355" w:type="dxa"/>
            <w:tcBorders>
              <w:top w:val="single" w:sz="4" w:space="0" w:color="auto"/>
              <w:left w:val="single" w:sz="4" w:space="0" w:color="auto"/>
              <w:bottom w:val="single" w:sz="4" w:space="0" w:color="auto"/>
              <w:right w:val="single" w:sz="4" w:space="0" w:color="auto"/>
            </w:tcBorders>
          </w:tcPr>
          <w:p w:rsidR="006D6124" w:rsidRPr="00D104F0" w:rsidRDefault="00846F1A" w:rsidP="00846F1A">
            <w:pPr>
              <w:adjustRightInd w:val="0"/>
              <w:snapToGrid w:val="0"/>
              <w:spacing w:line="300" w:lineRule="auto"/>
              <w:ind w:rightChars="-14" w:right="-34"/>
              <w:jc w:val="both"/>
              <w:rPr>
                <w:rFonts w:ascii="Times New Roman" w:eastAsia="標楷體" w:hAnsi="Times New Roman" w:cs="Times New Roman"/>
                <w:kern w:val="0"/>
                <w:szCs w:val="24"/>
              </w:rPr>
            </w:pPr>
            <w:r w:rsidRPr="00846F1A">
              <w:rPr>
                <w:rFonts w:ascii="Times New Roman" w:eastAsia="標楷體" w:hAnsi="Times New Roman" w:cs="Times New Roman" w:hint="eastAsia"/>
                <w:kern w:val="0"/>
                <w:szCs w:val="24"/>
              </w:rPr>
              <w:t>為因應行動通訊及網路時代來臨，考量實務上電子交易模式已蔚為趨勢，</w:t>
            </w:r>
            <w:proofErr w:type="gramStart"/>
            <w:r w:rsidRPr="00846F1A">
              <w:rPr>
                <w:rFonts w:ascii="Times New Roman" w:eastAsia="標楷體" w:hAnsi="Times New Roman" w:cs="Times New Roman" w:hint="eastAsia"/>
                <w:kern w:val="0"/>
                <w:szCs w:val="24"/>
              </w:rPr>
              <w:t>爰</w:t>
            </w:r>
            <w:proofErr w:type="gramEnd"/>
            <w:r w:rsidRPr="00846F1A">
              <w:rPr>
                <w:rFonts w:ascii="Times New Roman" w:eastAsia="標楷體" w:hAnsi="Times New Roman" w:cs="Times New Roman" w:hint="eastAsia"/>
                <w:kern w:val="0"/>
                <w:szCs w:val="24"/>
              </w:rPr>
              <w:t>參照本中心「證券商</w:t>
            </w:r>
            <w:r>
              <w:rPr>
                <w:rFonts w:ascii="Times New Roman" w:eastAsia="標楷體" w:hAnsi="Times New Roman" w:cs="Times New Roman" w:hint="eastAsia"/>
                <w:kern w:val="0"/>
                <w:szCs w:val="24"/>
              </w:rPr>
              <w:t>辦理衍生性金融商品交易業務應注意事項</w:t>
            </w:r>
            <w:r w:rsidRPr="00846F1A">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3</w:t>
            </w:r>
            <w:r w:rsidRPr="00846F1A">
              <w:rPr>
                <w:rFonts w:ascii="Times New Roman" w:eastAsia="標楷體" w:hAnsi="Times New Roman" w:cs="Times New Roman" w:hint="eastAsia"/>
                <w:kern w:val="0"/>
                <w:szCs w:val="24"/>
              </w:rPr>
              <w:t>條第</w:t>
            </w:r>
            <w:r>
              <w:rPr>
                <w:rFonts w:ascii="Times New Roman" w:eastAsia="標楷體" w:hAnsi="Times New Roman" w:cs="Times New Roman" w:hint="eastAsia"/>
                <w:kern w:val="0"/>
                <w:szCs w:val="24"/>
              </w:rPr>
              <w:t>1</w:t>
            </w:r>
            <w:r w:rsidRPr="00846F1A">
              <w:rPr>
                <w:rFonts w:ascii="Times New Roman" w:eastAsia="標楷體" w:hAnsi="Times New Roman" w:cs="Times New Roman" w:hint="eastAsia"/>
                <w:kern w:val="0"/>
                <w:szCs w:val="24"/>
              </w:rPr>
              <w:t>項</w:t>
            </w:r>
            <w:r>
              <w:rPr>
                <w:rFonts w:ascii="Times New Roman" w:eastAsia="標楷體" w:hAnsi="Times New Roman" w:cs="Times New Roman" w:hint="eastAsia"/>
                <w:kern w:val="0"/>
                <w:szCs w:val="24"/>
              </w:rPr>
              <w:t>修正本條第</w:t>
            </w:r>
            <w:r>
              <w:rPr>
                <w:rFonts w:ascii="Times New Roman" w:eastAsia="標楷體" w:hAnsi="Times New Roman" w:cs="Times New Roman"/>
                <w:kern w:val="0"/>
                <w:szCs w:val="24"/>
              </w:rPr>
              <w:t>1</w:t>
            </w:r>
            <w:r w:rsidR="00A63B4C">
              <w:rPr>
                <w:rFonts w:ascii="Times New Roman" w:eastAsia="標楷體" w:hAnsi="Times New Roman" w:cs="Times New Roman" w:hint="eastAsia"/>
                <w:kern w:val="0"/>
                <w:szCs w:val="24"/>
              </w:rPr>
              <w:t>項規定。</w:t>
            </w:r>
          </w:p>
        </w:tc>
      </w:tr>
      <w:tr w:rsidR="00846F1A" w:rsidRPr="00CC7E05" w:rsidTr="00846F1A">
        <w:trPr>
          <w:trHeight w:val="535"/>
        </w:trPr>
        <w:tc>
          <w:tcPr>
            <w:tcW w:w="3355" w:type="dxa"/>
            <w:tcBorders>
              <w:top w:val="single" w:sz="4" w:space="0" w:color="auto"/>
              <w:left w:val="single" w:sz="4" w:space="0" w:color="auto"/>
              <w:bottom w:val="single" w:sz="4" w:space="0" w:color="auto"/>
              <w:right w:val="single" w:sz="4" w:space="0" w:color="auto"/>
            </w:tcBorders>
          </w:tcPr>
          <w:p w:rsidR="00846F1A" w:rsidRPr="00846F1A"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第十九條</w:t>
            </w:r>
          </w:p>
          <w:p w:rsidR="00846F1A" w:rsidRPr="00846F1A"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 xml:space="preserve">    </w:t>
            </w:r>
            <w:r w:rsidRPr="00846F1A">
              <w:rPr>
                <w:rFonts w:ascii="Times New Roman" w:eastAsia="標楷體" w:hAnsi="Times New Roman" w:cs="Times New Roman" w:hint="eastAsia"/>
                <w:szCs w:val="24"/>
              </w:rPr>
              <w:t>第三條第一項第三款向一般客戶宣讀</w:t>
            </w:r>
            <w:r w:rsidR="00A63B4C" w:rsidRPr="00A63B4C">
              <w:rPr>
                <w:rFonts w:ascii="Times New Roman" w:eastAsia="標楷體" w:hAnsi="Times New Roman" w:cs="Times New Roman"/>
                <w:szCs w:val="24"/>
                <w:u w:val="single"/>
              </w:rPr>
              <w:t>或以電子設備說明</w:t>
            </w:r>
            <w:r w:rsidR="00A63B4C" w:rsidRPr="00A63B4C">
              <w:rPr>
                <w:rFonts w:ascii="Times New Roman" w:eastAsia="標楷體" w:hAnsi="Times New Roman" w:cs="Times New Roman" w:hint="eastAsia"/>
                <w:szCs w:val="24"/>
              </w:rPr>
              <w:t>客戶須知之重要內容，並以錄音方式保留紀錄</w:t>
            </w:r>
            <w:r w:rsidR="00A63B4C" w:rsidRPr="00A63B4C">
              <w:rPr>
                <w:rFonts w:ascii="Times New Roman" w:eastAsia="標楷體" w:hAnsi="Times New Roman" w:cs="Times New Roman"/>
                <w:szCs w:val="24"/>
                <w:u w:val="single"/>
              </w:rPr>
              <w:t>或</w:t>
            </w:r>
            <w:r w:rsidR="00A63B4C" w:rsidRPr="00A63B4C">
              <w:rPr>
                <w:rFonts w:ascii="Times New Roman" w:eastAsia="標楷體" w:hAnsi="Times New Roman" w:cs="Times New Roman" w:hint="eastAsia"/>
                <w:szCs w:val="24"/>
                <w:u w:val="single"/>
              </w:rPr>
              <w:t>以</w:t>
            </w:r>
            <w:r w:rsidR="00A63B4C" w:rsidRPr="00A63B4C">
              <w:rPr>
                <w:rFonts w:ascii="Times New Roman" w:eastAsia="標楷體" w:hAnsi="Times New Roman" w:cs="Times New Roman"/>
                <w:szCs w:val="24"/>
                <w:u w:val="single"/>
              </w:rPr>
              <w:t>電子設備留存相關作業過程之軌跡</w:t>
            </w:r>
            <w:r w:rsidR="00A63B4C" w:rsidRPr="00A63B4C">
              <w:rPr>
                <w:rFonts w:ascii="Times New Roman" w:eastAsia="標楷體" w:hAnsi="Times New Roman" w:cs="Times New Roman" w:hint="eastAsia"/>
                <w:szCs w:val="24"/>
              </w:rPr>
              <w:t>，應依以下原則辦理：</w:t>
            </w:r>
          </w:p>
          <w:p w:rsidR="00846F1A" w:rsidRPr="00846F1A" w:rsidRDefault="00846F1A" w:rsidP="00846F1A">
            <w:pPr>
              <w:adjustRightInd w:val="0"/>
              <w:snapToGrid w:val="0"/>
              <w:spacing w:line="300" w:lineRule="auto"/>
              <w:ind w:left="480" w:rightChars="27" w:right="65" w:hangingChars="200" w:hanging="480"/>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一、槓桿交易</w:t>
            </w:r>
            <w:proofErr w:type="gramStart"/>
            <w:r w:rsidRPr="00846F1A">
              <w:rPr>
                <w:rFonts w:ascii="Times New Roman" w:eastAsia="標楷體" w:hAnsi="Times New Roman" w:cs="Times New Roman" w:hint="eastAsia"/>
                <w:szCs w:val="24"/>
              </w:rPr>
              <w:t>商向屬自然人</w:t>
            </w:r>
            <w:proofErr w:type="gramEnd"/>
            <w:r w:rsidRPr="00846F1A">
              <w:rPr>
                <w:rFonts w:ascii="Times New Roman" w:eastAsia="標楷體" w:hAnsi="Times New Roman" w:cs="Times New Roman" w:hint="eastAsia"/>
                <w:szCs w:val="24"/>
              </w:rPr>
              <w:t>之</w:t>
            </w:r>
            <w:r w:rsidRPr="00846F1A">
              <w:rPr>
                <w:rFonts w:ascii="Times New Roman" w:eastAsia="標楷體" w:hAnsi="Times New Roman" w:cs="Times New Roman" w:hint="eastAsia"/>
                <w:szCs w:val="24"/>
              </w:rPr>
              <w:lastRenderedPageBreak/>
              <w:t>一般客戶提供結構型商品交易服務，應向其宣讀</w:t>
            </w:r>
            <w:r w:rsidR="00A63B4C" w:rsidRPr="00A63B4C">
              <w:rPr>
                <w:rFonts w:ascii="Times New Roman" w:eastAsia="標楷體" w:hAnsi="Times New Roman" w:cs="Times New Roman"/>
                <w:szCs w:val="24"/>
                <w:u w:val="single"/>
              </w:rPr>
              <w:t>或以電子設備說明</w:t>
            </w:r>
            <w:r w:rsidRPr="00846F1A">
              <w:rPr>
                <w:rFonts w:ascii="Times New Roman" w:eastAsia="標楷體" w:hAnsi="Times New Roman" w:cs="Times New Roman" w:hint="eastAsia"/>
                <w:szCs w:val="24"/>
              </w:rPr>
              <w:t>客戶須知之重要內容，至少</w:t>
            </w:r>
            <w:proofErr w:type="gramStart"/>
            <w:r w:rsidRPr="00846F1A">
              <w:rPr>
                <w:rFonts w:ascii="Times New Roman" w:eastAsia="標楷體" w:hAnsi="Times New Roman" w:cs="Times New Roman" w:hint="eastAsia"/>
                <w:szCs w:val="24"/>
              </w:rPr>
              <w:t>應含本注意事項</w:t>
            </w:r>
            <w:proofErr w:type="gramEnd"/>
            <w:r w:rsidRPr="00846F1A">
              <w:rPr>
                <w:rFonts w:ascii="Times New Roman" w:eastAsia="標楷體" w:hAnsi="Times New Roman" w:cs="Times New Roman" w:hint="eastAsia"/>
                <w:szCs w:val="24"/>
              </w:rPr>
              <w:t>第十四條、第十五條第一款與第二款及第十六條。</w:t>
            </w:r>
          </w:p>
          <w:p w:rsidR="00846F1A" w:rsidRPr="00846F1A" w:rsidRDefault="00846F1A" w:rsidP="00846F1A">
            <w:pPr>
              <w:adjustRightInd w:val="0"/>
              <w:snapToGrid w:val="0"/>
              <w:spacing w:line="300" w:lineRule="auto"/>
              <w:ind w:left="480" w:rightChars="27" w:right="65" w:hangingChars="200" w:hanging="480"/>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二、槓桿交易</w:t>
            </w:r>
            <w:proofErr w:type="gramStart"/>
            <w:r w:rsidRPr="00846F1A">
              <w:rPr>
                <w:rFonts w:ascii="Times New Roman" w:eastAsia="標楷體" w:hAnsi="Times New Roman" w:cs="Times New Roman" w:hint="eastAsia"/>
                <w:szCs w:val="24"/>
              </w:rPr>
              <w:t>商向屬法人</w:t>
            </w:r>
            <w:proofErr w:type="gramEnd"/>
            <w:r w:rsidRPr="00846F1A">
              <w:rPr>
                <w:rFonts w:ascii="Times New Roman" w:eastAsia="標楷體" w:hAnsi="Times New Roman" w:cs="Times New Roman" w:hint="eastAsia"/>
                <w:szCs w:val="24"/>
              </w:rPr>
              <w:t>之一般客戶提供結構型商品交易服務後，得經客戶逐次簽署書面同意未來就同類型之結構型商品，得免依前項規定向客戶宣讀</w:t>
            </w:r>
            <w:r w:rsidR="00A63B4C" w:rsidRPr="00A63B4C">
              <w:rPr>
                <w:rFonts w:ascii="Times New Roman" w:eastAsia="標楷體" w:hAnsi="Times New Roman" w:cs="Times New Roman" w:hint="eastAsia"/>
                <w:bCs/>
                <w:szCs w:val="24"/>
                <w:u w:val="single"/>
              </w:rPr>
              <w:t>或以電子設備說明</w:t>
            </w:r>
            <w:r w:rsidR="00A63B4C" w:rsidRPr="00A63B4C">
              <w:rPr>
                <w:rFonts w:ascii="Times New Roman" w:eastAsia="標楷體" w:hAnsi="Times New Roman" w:cs="Times New Roman"/>
                <w:szCs w:val="24"/>
              </w:rPr>
              <w:t>客戶須知之重要內容及以錄音方式保留紀錄</w:t>
            </w:r>
            <w:r w:rsidR="00A63B4C" w:rsidRPr="00A63B4C">
              <w:rPr>
                <w:rFonts w:ascii="Times New Roman" w:eastAsia="標楷體" w:hAnsi="Times New Roman" w:cs="Times New Roman"/>
                <w:szCs w:val="24"/>
                <w:u w:val="single"/>
              </w:rPr>
              <w:t>或以電子設備留存相關作業過程之軌跡</w:t>
            </w:r>
            <w:r w:rsidR="00A63B4C" w:rsidRPr="00A63B4C">
              <w:rPr>
                <w:rFonts w:ascii="Times New Roman" w:eastAsia="標楷體" w:hAnsi="Times New Roman" w:cs="Times New Roman"/>
                <w:szCs w:val="24"/>
              </w:rPr>
              <w:t>。</w:t>
            </w:r>
          </w:p>
          <w:p w:rsidR="00846F1A" w:rsidRPr="00846F1A" w:rsidRDefault="00846F1A" w:rsidP="00846F1A">
            <w:pPr>
              <w:adjustRightInd w:val="0"/>
              <w:snapToGrid w:val="0"/>
              <w:spacing w:line="300" w:lineRule="auto"/>
              <w:ind w:left="480" w:rightChars="27" w:right="65" w:hangingChars="200" w:hanging="480"/>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三、槓桿交易商對同一客戶於同日交易同類型之結構型商品時，得免重覆宣讀</w:t>
            </w:r>
            <w:r w:rsidR="00A63B4C" w:rsidRPr="00A63B4C">
              <w:rPr>
                <w:rFonts w:ascii="Times New Roman" w:eastAsia="標楷體" w:hAnsi="Times New Roman" w:cs="Times New Roman" w:hint="eastAsia"/>
                <w:bCs/>
                <w:szCs w:val="24"/>
                <w:u w:val="single"/>
              </w:rPr>
              <w:t>或以電子設備說明</w:t>
            </w:r>
            <w:r w:rsidRPr="00846F1A">
              <w:rPr>
                <w:rFonts w:ascii="Times New Roman" w:eastAsia="標楷體" w:hAnsi="Times New Roman" w:cs="Times New Roman" w:hint="eastAsia"/>
                <w:szCs w:val="24"/>
              </w:rPr>
              <w:t>第十四條及第十六條規定之內容。</w:t>
            </w:r>
          </w:p>
          <w:p w:rsidR="00846F1A" w:rsidRPr="00846F1A"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 xml:space="preserve">    </w:t>
            </w:r>
            <w:r w:rsidR="00A63B4C" w:rsidRPr="00A63B4C">
              <w:rPr>
                <w:rFonts w:ascii="Times New Roman" w:eastAsia="標楷體" w:hAnsi="Times New Roman" w:cs="Times New Roman" w:hint="eastAsia"/>
                <w:szCs w:val="24"/>
              </w:rPr>
              <w:t>本條所稱以錄音方式保留</w:t>
            </w:r>
            <w:r w:rsidR="00A63B4C" w:rsidRPr="00A63B4C">
              <w:rPr>
                <w:rFonts w:ascii="Times New Roman" w:eastAsia="標楷體" w:hAnsi="Times New Roman" w:cs="Times New Roman" w:hint="eastAsia"/>
                <w:szCs w:val="24"/>
                <w:u w:val="single"/>
              </w:rPr>
              <w:t>紀錄</w:t>
            </w:r>
            <w:r w:rsidR="00A63B4C" w:rsidRPr="00A63B4C">
              <w:rPr>
                <w:rFonts w:ascii="Times New Roman" w:eastAsia="標楷體" w:hAnsi="Times New Roman" w:cs="Times New Roman"/>
                <w:szCs w:val="24"/>
                <w:u w:val="single"/>
              </w:rPr>
              <w:t>或以電子設備留存相關作業過程之軌跡者</w:t>
            </w:r>
            <w:r w:rsidR="00A63B4C" w:rsidRPr="00A63B4C">
              <w:rPr>
                <w:rFonts w:ascii="Times New Roman" w:eastAsia="標楷體" w:hAnsi="Times New Roman" w:cs="Times New Roman" w:hint="eastAsia"/>
                <w:szCs w:val="24"/>
              </w:rPr>
              <w:t>，其保存期限應不得少於該商品存續期間加計三個月之</w:t>
            </w:r>
            <w:proofErr w:type="gramStart"/>
            <w:r w:rsidR="00A63B4C" w:rsidRPr="00A63B4C">
              <w:rPr>
                <w:rFonts w:ascii="Times New Roman" w:eastAsia="標楷體" w:hAnsi="Times New Roman" w:cs="Times New Roman" w:hint="eastAsia"/>
                <w:szCs w:val="24"/>
              </w:rPr>
              <w:t>期間，</w:t>
            </w:r>
            <w:proofErr w:type="gramEnd"/>
            <w:r w:rsidR="00A63B4C" w:rsidRPr="00A63B4C">
              <w:rPr>
                <w:rFonts w:ascii="Times New Roman" w:eastAsia="標楷體" w:hAnsi="Times New Roman" w:cs="Times New Roman" w:hint="eastAsia"/>
                <w:szCs w:val="24"/>
              </w:rPr>
              <w:t>如未滿五年應至少保存五年以上。</w:t>
            </w:r>
            <w:r w:rsidR="00A63B4C" w:rsidRPr="00A63B4C">
              <w:rPr>
                <w:rFonts w:ascii="Times New Roman" w:eastAsia="標楷體" w:hAnsi="Times New Roman" w:cs="Times New Roman" w:hint="eastAsia"/>
                <w:szCs w:val="24"/>
                <w:u w:val="single"/>
              </w:rPr>
              <w:t>但發生金融消費爭議時，應保存至該爭議終結為止。</w:t>
            </w:r>
          </w:p>
          <w:p w:rsidR="00846F1A" w:rsidRPr="00CC7E05" w:rsidRDefault="00846F1A" w:rsidP="00846F1A">
            <w:pPr>
              <w:adjustRightInd w:val="0"/>
              <w:snapToGrid w:val="0"/>
              <w:spacing w:line="300" w:lineRule="auto"/>
              <w:ind w:rightChars="27" w:right="65"/>
              <w:jc w:val="both"/>
              <w:rPr>
                <w:rFonts w:ascii="Times New Roman" w:eastAsia="標楷體" w:hAnsi="Times New Roman" w:cs="Times New Roman"/>
                <w:szCs w:val="24"/>
              </w:rPr>
            </w:pPr>
            <w:r w:rsidRPr="00846F1A">
              <w:rPr>
                <w:rFonts w:ascii="Times New Roman" w:eastAsia="標楷體" w:hAnsi="Times New Roman" w:cs="Times New Roman" w:hint="eastAsia"/>
                <w:szCs w:val="24"/>
              </w:rPr>
              <w:t xml:space="preserve">    </w:t>
            </w:r>
            <w:r w:rsidRPr="00846F1A">
              <w:rPr>
                <w:rFonts w:ascii="Times New Roman" w:eastAsia="標楷體" w:hAnsi="Times New Roman" w:cs="Times New Roman" w:hint="eastAsia"/>
                <w:szCs w:val="24"/>
              </w:rPr>
              <w:t>槓桿交易商於前項保存期限內應配合客戶要求，提供前項錄音紀錄，並得向客戶收取</w:t>
            </w:r>
            <w:r w:rsidRPr="00846F1A">
              <w:rPr>
                <w:rFonts w:ascii="Times New Roman" w:eastAsia="標楷體" w:hAnsi="Times New Roman" w:cs="Times New Roman" w:hint="eastAsia"/>
                <w:szCs w:val="24"/>
              </w:rPr>
              <w:lastRenderedPageBreak/>
              <w:t>單筆紀錄不超過新臺幣</w:t>
            </w:r>
            <w:r w:rsidRPr="00846F1A">
              <w:rPr>
                <w:rFonts w:ascii="Times New Roman" w:eastAsia="標楷體" w:hAnsi="Times New Roman" w:cs="Times New Roman" w:hint="eastAsia"/>
                <w:szCs w:val="24"/>
              </w:rPr>
              <w:t>100</w:t>
            </w:r>
            <w:r w:rsidRPr="00846F1A">
              <w:rPr>
                <w:rFonts w:ascii="Times New Roman" w:eastAsia="標楷體" w:hAnsi="Times New Roman" w:cs="Times New Roman" w:hint="eastAsia"/>
                <w:szCs w:val="24"/>
              </w:rPr>
              <w:t>元之費用。</w:t>
            </w:r>
          </w:p>
        </w:tc>
        <w:tc>
          <w:tcPr>
            <w:tcW w:w="3355" w:type="dxa"/>
            <w:tcBorders>
              <w:top w:val="single" w:sz="4" w:space="0" w:color="auto"/>
              <w:left w:val="single" w:sz="4" w:space="0" w:color="auto"/>
              <w:bottom w:val="single" w:sz="4" w:space="0" w:color="auto"/>
              <w:right w:val="single" w:sz="4" w:space="0" w:color="auto"/>
            </w:tcBorders>
          </w:tcPr>
          <w:p w:rsidR="00846F1A" w:rsidRPr="00846F1A"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lastRenderedPageBreak/>
              <w:t>第十九條</w:t>
            </w:r>
          </w:p>
          <w:p w:rsidR="00846F1A"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t xml:space="preserve">    </w:t>
            </w:r>
            <w:r w:rsidRPr="00846F1A">
              <w:rPr>
                <w:rFonts w:hint="eastAsia"/>
                <w:sz w:val="24"/>
              </w:rPr>
              <w:t>第三條第一項第三款向一般客戶宣讀客戶須知之重要內容，並以錄音方式保留紀錄，應依以下原則辦理：</w:t>
            </w:r>
          </w:p>
          <w:p w:rsidR="00A63B4C" w:rsidRDefault="00A63B4C" w:rsidP="00846F1A">
            <w:pPr>
              <w:pStyle w:val="a4"/>
              <w:kinsoku w:val="0"/>
              <w:adjustRightInd w:val="0"/>
              <w:snapToGrid w:val="0"/>
              <w:spacing w:line="300" w:lineRule="auto"/>
              <w:ind w:left="0" w:rightChars="7" w:right="17"/>
              <w:jc w:val="both"/>
              <w:rPr>
                <w:sz w:val="24"/>
              </w:rPr>
            </w:pPr>
          </w:p>
          <w:p w:rsidR="00A63B4C" w:rsidRPr="00846F1A" w:rsidRDefault="00A63B4C" w:rsidP="00846F1A">
            <w:pPr>
              <w:pStyle w:val="a4"/>
              <w:kinsoku w:val="0"/>
              <w:adjustRightInd w:val="0"/>
              <w:snapToGrid w:val="0"/>
              <w:spacing w:line="300" w:lineRule="auto"/>
              <w:ind w:left="0" w:rightChars="7" w:right="17"/>
              <w:jc w:val="both"/>
              <w:rPr>
                <w:sz w:val="24"/>
              </w:rPr>
            </w:pPr>
          </w:p>
          <w:p w:rsidR="00846F1A" w:rsidRDefault="00846F1A" w:rsidP="00A63B4C">
            <w:pPr>
              <w:pStyle w:val="a4"/>
              <w:numPr>
                <w:ilvl w:val="0"/>
                <w:numId w:val="15"/>
              </w:numPr>
              <w:kinsoku w:val="0"/>
              <w:adjustRightInd w:val="0"/>
              <w:snapToGrid w:val="0"/>
              <w:spacing w:line="300" w:lineRule="auto"/>
              <w:ind w:left="533" w:rightChars="7" w:right="17" w:hanging="510"/>
              <w:jc w:val="both"/>
              <w:rPr>
                <w:sz w:val="24"/>
              </w:rPr>
            </w:pPr>
            <w:r w:rsidRPr="00846F1A">
              <w:rPr>
                <w:rFonts w:hint="eastAsia"/>
                <w:sz w:val="24"/>
              </w:rPr>
              <w:t>槓桿交易</w:t>
            </w:r>
            <w:proofErr w:type="gramStart"/>
            <w:r w:rsidRPr="00846F1A">
              <w:rPr>
                <w:rFonts w:hint="eastAsia"/>
                <w:sz w:val="24"/>
              </w:rPr>
              <w:t>商向屬自然人</w:t>
            </w:r>
            <w:proofErr w:type="gramEnd"/>
            <w:r w:rsidRPr="00846F1A">
              <w:rPr>
                <w:rFonts w:hint="eastAsia"/>
                <w:sz w:val="24"/>
              </w:rPr>
              <w:t>之</w:t>
            </w:r>
            <w:r w:rsidRPr="00846F1A">
              <w:rPr>
                <w:rFonts w:hint="eastAsia"/>
                <w:sz w:val="24"/>
              </w:rPr>
              <w:lastRenderedPageBreak/>
              <w:t>一般客戶提供結構型商品交易服務，應向其宣讀客戶須知之重要內容，至少</w:t>
            </w:r>
            <w:proofErr w:type="gramStart"/>
            <w:r w:rsidRPr="00846F1A">
              <w:rPr>
                <w:rFonts w:hint="eastAsia"/>
                <w:sz w:val="24"/>
              </w:rPr>
              <w:t>應含本注意事項</w:t>
            </w:r>
            <w:proofErr w:type="gramEnd"/>
            <w:r w:rsidRPr="00846F1A">
              <w:rPr>
                <w:rFonts w:hint="eastAsia"/>
                <w:sz w:val="24"/>
              </w:rPr>
              <w:t>第十四條、第十五條第一款與第二款及第十六條。</w:t>
            </w:r>
          </w:p>
          <w:p w:rsidR="00A63B4C" w:rsidRPr="00846F1A" w:rsidRDefault="00A63B4C" w:rsidP="00A63B4C">
            <w:pPr>
              <w:pStyle w:val="a4"/>
              <w:kinsoku w:val="0"/>
              <w:adjustRightInd w:val="0"/>
              <w:snapToGrid w:val="0"/>
              <w:spacing w:line="300" w:lineRule="auto"/>
              <w:ind w:left="533" w:rightChars="7" w:right="17" w:hanging="510"/>
              <w:jc w:val="both"/>
              <w:rPr>
                <w:sz w:val="24"/>
              </w:rPr>
            </w:pPr>
          </w:p>
          <w:p w:rsidR="00846F1A" w:rsidRDefault="00846F1A" w:rsidP="00A63B4C">
            <w:pPr>
              <w:pStyle w:val="a4"/>
              <w:numPr>
                <w:ilvl w:val="0"/>
                <w:numId w:val="15"/>
              </w:numPr>
              <w:kinsoku w:val="0"/>
              <w:adjustRightInd w:val="0"/>
              <w:snapToGrid w:val="0"/>
              <w:spacing w:line="300" w:lineRule="auto"/>
              <w:ind w:left="533" w:rightChars="7" w:right="17" w:hanging="510"/>
              <w:jc w:val="both"/>
              <w:rPr>
                <w:sz w:val="24"/>
              </w:rPr>
            </w:pPr>
            <w:r w:rsidRPr="00846F1A">
              <w:rPr>
                <w:rFonts w:hint="eastAsia"/>
                <w:sz w:val="24"/>
              </w:rPr>
              <w:t>槓桿交易</w:t>
            </w:r>
            <w:proofErr w:type="gramStart"/>
            <w:r w:rsidRPr="00846F1A">
              <w:rPr>
                <w:rFonts w:hint="eastAsia"/>
                <w:sz w:val="24"/>
              </w:rPr>
              <w:t>商向屬法人</w:t>
            </w:r>
            <w:proofErr w:type="gramEnd"/>
            <w:r w:rsidRPr="00846F1A">
              <w:rPr>
                <w:rFonts w:hint="eastAsia"/>
                <w:sz w:val="24"/>
              </w:rPr>
              <w:t>之一般客戶提供結構型商品交易服務後，得經客戶逐次簽署書面同意未來就同類型之結構型商品，得免依前項規定向客戶宣讀須知之重要內容及以錄音方式保留紀錄。</w:t>
            </w:r>
          </w:p>
          <w:p w:rsidR="00A63B4C" w:rsidRDefault="00A63B4C" w:rsidP="00A63B4C">
            <w:pPr>
              <w:pStyle w:val="a3"/>
            </w:pPr>
          </w:p>
          <w:p w:rsidR="00A63B4C" w:rsidRPr="00846F1A" w:rsidRDefault="00A63B4C" w:rsidP="00A63B4C">
            <w:pPr>
              <w:pStyle w:val="a4"/>
              <w:kinsoku w:val="0"/>
              <w:adjustRightInd w:val="0"/>
              <w:snapToGrid w:val="0"/>
              <w:spacing w:line="300" w:lineRule="auto"/>
              <w:ind w:left="0" w:rightChars="7" w:right="17"/>
              <w:jc w:val="both"/>
              <w:rPr>
                <w:sz w:val="24"/>
              </w:rPr>
            </w:pPr>
          </w:p>
          <w:p w:rsidR="00846F1A" w:rsidRPr="00846F1A" w:rsidRDefault="00846F1A" w:rsidP="00846F1A">
            <w:pPr>
              <w:pStyle w:val="a4"/>
              <w:kinsoku w:val="0"/>
              <w:adjustRightInd w:val="0"/>
              <w:snapToGrid w:val="0"/>
              <w:spacing w:line="300" w:lineRule="auto"/>
              <w:ind w:leftChars="9" w:left="382" w:rightChars="7" w:right="17" w:hangingChars="150" w:hanging="360"/>
              <w:jc w:val="both"/>
              <w:rPr>
                <w:sz w:val="24"/>
              </w:rPr>
            </w:pPr>
            <w:r w:rsidRPr="00846F1A">
              <w:rPr>
                <w:rFonts w:hint="eastAsia"/>
                <w:sz w:val="24"/>
              </w:rPr>
              <w:t>三、槓桿交易商對同一客戶於同日交易同類型之結構型商品時，得免重覆宣讀第十四條及第十六條規定之內容。</w:t>
            </w:r>
          </w:p>
          <w:p w:rsidR="00A63B4C"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t xml:space="preserve">    </w:t>
            </w:r>
          </w:p>
          <w:p w:rsidR="00846F1A" w:rsidRDefault="00A63B4C" w:rsidP="00A63B4C">
            <w:pPr>
              <w:pStyle w:val="a4"/>
              <w:kinsoku w:val="0"/>
              <w:adjustRightInd w:val="0"/>
              <w:snapToGrid w:val="0"/>
              <w:spacing w:line="300" w:lineRule="auto"/>
              <w:ind w:left="0" w:rightChars="7" w:right="17" w:firstLineChars="200" w:firstLine="480"/>
              <w:jc w:val="both"/>
              <w:rPr>
                <w:sz w:val="24"/>
              </w:rPr>
            </w:pPr>
            <w:r w:rsidRPr="00A63B4C">
              <w:rPr>
                <w:rFonts w:hint="eastAsia"/>
                <w:sz w:val="24"/>
              </w:rPr>
              <w:t>本條所稱以錄音方式保留</w:t>
            </w:r>
            <w:r w:rsidRPr="00A63B4C">
              <w:rPr>
                <w:rFonts w:hint="eastAsia"/>
                <w:sz w:val="24"/>
                <w:u w:val="single"/>
              </w:rPr>
              <w:t>之向一般客戶宣讀結構型商品交易客戶須知之重要內容</w:t>
            </w:r>
            <w:r w:rsidRPr="00A63B4C">
              <w:rPr>
                <w:rFonts w:hint="eastAsia"/>
                <w:sz w:val="24"/>
              </w:rPr>
              <w:t>，其保存期限應不得少於該商品存續期間加計三個月之</w:t>
            </w:r>
            <w:proofErr w:type="gramStart"/>
            <w:r w:rsidRPr="00A63B4C">
              <w:rPr>
                <w:rFonts w:hint="eastAsia"/>
                <w:sz w:val="24"/>
              </w:rPr>
              <w:t>期間，</w:t>
            </w:r>
            <w:proofErr w:type="gramEnd"/>
            <w:r w:rsidRPr="00A63B4C">
              <w:rPr>
                <w:rFonts w:hint="eastAsia"/>
                <w:sz w:val="24"/>
              </w:rPr>
              <w:t>如未滿五年應至少保存五年以上。</w:t>
            </w:r>
          </w:p>
          <w:p w:rsidR="00A63B4C" w:rsidRDefault="00A63B4C" w:rsidP="00A63B4C">
            <w:pPr>
              <w:pStyle w:val="a4"/>
              <w:kinsoku w:val="0"/>
              <w:adjustRightInd w:val="0"/>
              <w:snapToGrid w:val="0"/>
              <w:spacing w:line="300" w:lineRule="auto"/>
              <w:ind w:left="0" w:rightChars="7" w:right="17" w:firstLineChars="200" w:firstLine="480"/>
              <w:jc w:val="both"/>
              <w:rPr>
                <w:sz w:val="24"/>
              </w:rPr>
            </w:pPr>
          </w:p>
          <w:p w:rsidR="00A63B4C" w:rsidRPr="00846F1A" w:rsidRDefault="00A63B4C" w:rsidP="00A63B4C">
            <w:pPr>
              <w:pStyle w:val="a4"/>
              <w:kinsoku w:val="0"/>
              <w:adjustRightInd w:val="0"/>
              <w:snapToGrid w:val="0"/>
              <w:spacing w:line="300" w:lineRule="auto"/>
              <w:ind w:left="0" w:rightChars="7" w:right="17" w:firstLineChars="200" w:firstLine="480"/>
              <w:jc w:val="both"/>
              <w:rPr>
                <w:sz w:val="24"/>
              </w:rPr>
            </w:pPr>
          </w:p>
          <w:p w:rsidR="00846F1A" w:rsidRPr="006F36A1" w:rsidRDefault="00846F1A" w:rsidP="00846F1A">
            <w:pPr>
              <w:pStyle w:val="a4"/>
              <w:kinsoku w:val="0"/>
              <w:adjustRightInd w:val="0"/>
              <w:snapToGrid w:val="0"/>
              <w:spacing w:line="300" w:lineRule="auto"/>
              <w:ind w:left="0" w:rightChars="7" w:right="17"/>
              <w:jc w:val="both"/>
              <w:rPr>
                <w:sz w:val="24"/>
              </w:rPr>
            </w:pPr>
            <w:r w:rsidRPr="00846F1A">
              <w:rPr>
                <w:rFonts w:hint="eastAsia"/>
                <w:sz w:val="24"/>
              </w:rPr>
              <w:t xml:space="preserve">    </w:t>
            </w:r>
            <w:r w:rsidRPr="00846F1A">
              <w:rPr>
                <w:rFonts w:hint="eastAsia"/>
                <w:sz w:val="24"/>
              </w:rPr>
              <w:t>槓桿交易商於前項保存期限內應配合客戶要求，提供前項錄音紀錄，並得向客戶收取單筆</w:t>
            </w:r>
            <w:r w:rsidRPr="00846F1A">
              <w:rPr>
                <w:rFonts w:hint="eastAsia"/>
                <w:sz w:val="24"/>
              </w:rPr>
              <w:lastRenderedPageBreak/>
              <w:t>紀錄不超過新臺幣</w:t>
            </w:r>
            <w:r w:rsidRPr="00846F1A">
              <w:rPr>
                <w:rFonts w:hint="eastAsia"/>
                <w:sz w:val="24"/>
              </w:rPr>
              <w:t>100</w:t>
            </w:r>
            <w:r w:rsidRPr="00846F1A">
              <w:rPr>
                <w:rFonts w:hint="eastAsia"/>
                <w:sz w:val="24"/>
              </w:rPr>
              <w:t>元之費用。</w:t>
            </w:r>
          </w:p>
        </w:tc>
        <w:tc>
          <w:tcPr>
            <w:tcW w:w="3355" w:type="dxa"/>
            <w:tcBorders>
              <w:top w:val="single" w:sz="4" w:space="0" w:color="auto"/>
              <w:left w:val="single" w:sz="4" w:space="0" w:color="auto"/>
              <w:bottom w:val="single" w:sz="4" w:space="0" w:color="auto"/>
              <w:right w:val="single" w:sz="4" w:space="0" w:color="auto"/>
            </w:tcBorders>
          </w:tcPr>
          <w:p w:rsidR="00846F1A" w:rsidRDefault="00A63B4C" w:rsidP="00A63B4C">
            <w:pPr>
              <w:pStyle w:val="a3"/>
              <w:numPr>
                <w:ilvl w:val="0"/>
                <w:numId w:val="16"/>
              </w:numPr>
              <w:adjustRightInd w:val="0"/>
              <w:snapToGrid w:val="0"/>
              <w:spacing w:line="300" w:lineRule="auto"/>
              <w:ind w:leftChars="0" w:rightChars="-14" w:right="-34"/>
              <w:jc w:val="both"/>
              <w:rPr>
                <w:rFonts w:ascii="Times New Roman" w:eastAsia="標楷體" w:hAnsi="Times New Roman" w:cs="Times New Roman"/>
                <w:kern w:val="0"/>
                <w:szCs w:val="24"/>
              </w:rPr>
            </w:pPr>
            <w:r w:rsidRPr="00A63B4C">
              <w:rPr>
                <w:rFonts w:ascii="Times New Roman" w:eastAsia="標楷體" w:hAnsi="Times New Roman" w:cs="Times New Roman" w:hint="eastAsia"/>
                <w:kern w:val="0"/>
                <w:szCs w:val="24"/>
              </w:rPr>
              <w:lastRenderedPageBreak/>
              <w:t>為因應行動通訊及網路時代來臨，考量實務上電子交易模式已蔚為趨勢，</w:t>
            </w:r>
            <w:proofErr w:type="gramStart"/>
            <w:r w:rsidRPr="00A63B4C">
              <w:rPr>
                <w:rFonts w:ascii="Times New Roman" w:eastAsia="標楷體" w:hAnsi="Times New Roman" w:cs="Times New Roman" w:hint="eastAsia"/>
                <w:kern w:val="0"/>
                <w:szCs w:val="24"/>
              </w:rPr>
              <w:t>爰</w:t>
            </w:r>
            <w:proofErr w:type="gramEnd"/>
            <w:r w:rsidRPr="00A63B4C">
              <w:rPr>
                <w:rFonts w:ascii="Times New Roman" w:eastAsia="標楷體" w:hAnsi="Times New Roman" w:cs="Times New Roman" w:hint="eastAsia"/>
                <w:kern w:val="0"/>
                <w:szCs w:val="24"/>
              </w:rPr>
              <w:t>參照本中心「證券商辦理衍生性金融商品交易業務應注意事項」第</w:t>
            </w:r>
            <w:r w:rsidRPr="00A63B4C">
              <w:rPr>
                <w:rFonts w:ascii="Times New Roman" w:eastAsia="標楷體" w:hAnsi="Times New Roman" w:cs="Times New Roman" w:hint="eastAsia"/>
                <w:kern w:val="0"/>
                <w:szCs w:val="24"/>
              </w:rPr>
              <w:t>19</w:t>
            </w:r>
            <w:r w:rsidRPr="00A63B4C">
              <w:rPr>
                <w:rFonts w:ascii="Times New Roman" w:eastAsia="標楷體" w:hAnsi="Times New Roman" w:cs="Times New Roman" w:hint="eastAsia"/>
                <w:kern w:val="0"/>
                <w:szCs w:val="24"/>
              </w:rPr>
              <w:t>條修正本條規定。</w:t>
            </w:r>
          </w:p>
          <w:p w:rsidR="00A63B4C" w:rsidRPr="00A63B4C" w:rsidRDefault="00A63B4C" w:rsidP="00A63B4C">
            <w:pPr>
              <w:pStyle w:val="a3"/>
              <w:numPr>
                <w:ilvl w:val="0"/>
                <w:numId w:val="16"/>
              </w:numPr>
              <w:adjustRightInd w:val="0"/>
              <w:snapToGrid w:val="0"/>
              <w:spacing w:line="300" w:lineRule="auto"/>
              <w:ind w:leftChars="0"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t>配合</w:t>
            </w:r>
            <w:r w:rsidRPr="00A63B4C">
              <w:rPr>
                <w:rFonts w:ascii="Times New Roman" w:eastAsia="標楷體" w:hAnsi="Times New Roman" w:cs="Times New Roman"/>
                <w:kern w:val="0"/>
                <w:szCs w:val="24"/>
              </w:rPr>
              <w:t>金融監督管理委員會</w:t>
            </w:r>
            <w:r w:rsidRPr="00A63B4C">
              <w:rPr>
                <w:rFonts w:ascii="Times New Roman" w:eastAsia="標楷體" w:hAnsi="Times New Roman" w:cs="Times New Roman" w:hint="eastAsia"/>
                <w:kern w:val="0"/>
                <w:szCs w:val="24"/>
              </w:rPr>
              <w:lastRenderedPageBreak/>
              <w:t>104</w:t>
            </w:r>
            <w:r w:rsidRPr="00A63B4C">
              <w:rPr>
                <w:rFonts w:ascii="Times New Roman" w:eastAsia="標楷體" w:hAnsi="Times New Roman" w:cs="Times New Roman" w:hint="eastAsia"/>
                <w:kern w:val="0"/>
                <w:szCs w:val="24"/>
              </w:rPr>
              <w:t>年</w:t>
            </w:r>
            <w:r w:rsidRPr="00A63B4C">
              <w:rPr>
                <w:rFonts w:ascii="Times New Roman" w:eastAsia="標楷體" w:hAnsi="Times New Roman" w:cs="Times New Roman"/>
                <w:kern w:val="0"/>
                <w:szCs w:val="24"/>
              </w:rPr>
              <w:t>5</w:t>
            </w:r>
            <w:r w:rsidRPr="00A63B4C">
              <w:rPr>
                <w:rFonts w:ascii="Times New Roman" w:eastAsia="標楷體" w:hAnsi="Times New Roman" w:cs="Times New Roman"/>
                <w:kern w:val="0"/>
                <w:szCs w:val="24"/>
              </w:rPr>
              <w:t>月</w:t>
            </w:r>
            <w:r w:rsidRPr="00A63B4C">
              <w:rPr>
                <w:rFonts w:ascii="Times New Roman" w:eastAsia="標楷體" w:hAnsi="Times New Roman" w:cs="Times New Roman"/>
                <w:kern w:val="0"/>
                <w:szCs w:val="24"/>
              </w:rPr>
              <w:t>1</w:t>
            </w:r>
            <w:r w:rsidRPr="00A63B4C">
              <w:rPr>
                <w:rFonts w:ascii="Times New Roman" w:eastAsia="標楷體" w:hAnsi="Times New Roman" w:cs="Times New Roman"/>
                <w:kern w:val="0"/>
                <w:szCs w:val="24"/>
              </w:rPr>
              <w:t>日</w:t>
            </w:r>
            <w:r w:rsidRPr="00A63B4C">
              <w:rPr>
                <w:rFonts w:ascii="Times New Roman" w:eastAsia="標楷體" w:hAnsi="Times New Roman" w:cs="Times New Roman" w:hint="eastAsia"/>
                <w:kern w:val="0"/>
                <w:szCs w:val="24"/>
              </w:rPr>
              <w:t>金</w:t>
            </w:r>
            <w:proofErr w:type="gramStart"/>
            <w:r w:rsidRPr="00A63B4C">
              <w:rPr>
                <w:rFonts w:ascii="Times New Roman" w:eastAsia="標楷體" w:hAnsi="Times New Roman" w:cs="Times New Roman" w:hint="eastAsia"/>
                <w:kern w:val="0"/>
                <w:szCs w:val="24"/>
              </w:rPr>
              <w:t>管法字第</w:t>
            </w:r>
            <w:r w:rsidRPr="00A63B4C">
              <w:rPr>
                <w:rFonts w:ascii="Times New Roman" w:eastAsia="標楷體" w:hAnsi="Times New Roman" w:cs="Times New Roman" w:hint="eastAsia"/>
                <w:kern w:val="0"/>
                <w:szCs w:val="24"/>
              </w:rPr>
              <w:t>10400545890</w:t>
            </w:r>
            <w:proofErr w:type="gramEnd"/>
            <w:r w:rsidRPr="00A63B4C">
              <w:rPr>
                <w:rFonts w:ascii="Times New Roman" w:eastAsia="標楷體" w:hAnsi="Times New Roman" w:cs="Times New Roman" w:hint="eastAsia"/>
                <w:kern w:val="0"/>
                <w:szCs w:val="24"/>
              </w:rPr>
              <w:t>號</w:t>
            </w:r>
            <w:r>
              <w:rPr>
                <w:rFonts w:ascii="Times New Roman" w:eastAsia="標楷體" w:hAnsi="Times New Roman" w:cs="Times New Roman" w:hint="eastAsia"/>
                <w:kern w:val="0"/>
                <w:szCs w:val="24"/>
              </w:rPr>
              <w:t>令</w:t>
            </w:r>
            <w:r w:rsidRPr="00A63B4C">
              <w:rPr>
                <w:rFonts w:ascii="Times New Roman" w:eastAsia="標楷體" w:hAnsi="Times New Roman" w:cs="Times New Roman" w:hint="eastAsia"/>
                <w:kern w:val="0"/>
                <w:szCs w:val="24"/>
              </w:rPr>
              <w:t>增訂</w:t>
            </w:r>
            <w:r w:rsidRPr="00A63B4C">
              <w:rPr>
                <w:rFonts w:ascii="Times New Roman" w:eastAsia="標楷體" w:hAnsi="Times New Roman" w:cs="Times New Roman"/>
                <w:kern w:val="0"/>
                <w:szCs w:val="24"/>
              </w:rPr>
              <w:t>「金融服務業提供金融商品或服務前說明契約重要內容及揭露風險辦法」第</w:t>
            </w:r>
            <w:r w:rsidRPr="00A63B4C">
              <w:rPr>
                <w:rFonts w:ascii="Times New Roman" w:eastAsia="標楷體" w:hAnsi="Times New Roman" w:cs="Times New Roman"/>
                <w:kern w:val="0"/>
                <w:szCs w:val="24"/>
              </w:rPr>
              <w:t>9</w:t>
            </w:r>
            <w:r w:rsidRPr="00A63B4C">
              <w:rPr>
                <w:rFonts w:ascii="Times New Roman" w:eastAsia="標楷體" w:hAnsi="Times New Roman" w:cs="Times New Roman"/>
                <w:kern w:val="0"/>
                <w:szCs w:val="24"/>
              </w:rPr>
              <w:t>條第</w:t>
            </w:r>
            <w:r w:rsidRPr="00A63B4C">
              <w:rPr>
                <w:rFonts w:ascii="Times New Roman" w:eastAsia="標楷體" w:hAnsi="Times New Roman" w:cs="Times New Roman"/>
                <w:kern w:val="0"/>
                <w:szCs w:val="24"/>
              </w:rPr>
              <w:t>2</w:t>
            </w:r>
            <w:r w:rsidRPr="00A63B4C">
              <w:rPr>
                <w:rFonts w:ascii="Times New Roman" w:eastAsia="標楷體" w:hAnsi="Times New Roman" w:cs="Times New Roman"/>
                <w:kern w:val="0"/>
                <w:szCs w:val="24"/>
              </w:rPr>
              <w:t>項，有關發生金融消費爭議時應保存至爭議終結為止之規定，</w:t>
            </w:r>
            <w:proofErr w:type="gramStart"/>
            <w:r w:rsidRPr="00A63B4C">
              <w:rPr>
                <w:rFonts w:ascii="Times New Roman" w:eastAsia="標楷體" w:hAnsi="Times New Roman" w:cs="Times New Roman"/>
                <w:kern w:val="0"/>
                <w:szCs w:val="24"/>
              </w:rPr>
              <w:t>爰</w:t>
            </w:r>
            <w:proofErr w:type="gramEnd"/>
            <w:r w:rsidRPr="00A63B4C">
              <w:rPr>
                <w:rFonts w:ascii="Times New Roman" w:eastAsia="標楷體" w:hAnsi="Times New Roman" w:cs="Times New Roman"/>
                <w:kern w:val="0"/>
                <w:szCs w:val="24"/>
              </w:rPr>
              <w:t>修正第</w:t>
            </w:r>
            <w:r w:rsidRPr="00A63B4C">
              <w:rPr>
                <w:rFonts w:ascii="Times New Roman" w:eastAsia="標楷體" w:hAnsi="Times New Roman" w:cs="Times New Roman"/>
                <w:kern w:val="0"/>
                <w:szCs w:val="24"/>
              </w:rPr>
              <w:t>2</w:t>
            </w:r>
            <w:r w:rsidRPr="00A63B4C">
              <w:rPr>
                <w:rFonts w:ascii="Times New Roman" w:eastAsia="標楷體" w:hAnsi="Times New Roman" w:cs="Times New Roman"/>
                <w:kern w:val="0"/>
                <w:szCs w:val="24"/>
              </w:rPr>
              <w:t>項後段規定。</w:t>
            </w:r>
          </w:p>
        </w:tc>
      </w:tr>
      <w:tr w:rsidR="00846F1A" w:rsidRPr="00CC7E05" w:rsidTr="00846F1A">
        <w:trPr>
          <w:trHeight w:val="535"/>
        </w:trPr>
        <w:tc>
          <w:tcPr>
            <w:tcW w:w="3355" w:type="dxa"/>
            <w:tcBorders>
              <w:top w:val="single" w:sz="4" w:space="0" w:color="auto"/>
              <w:left w:val="single" w:sz="4" w:space="0" w:color="auto"/>
              <w:bottom w:val="single" w:sz="4" w:space="0" w:color="auto"/>
              <w:right w:val="single" w:sz="4" w:space="0" w:color="auto"/>
            </w:tcBorders>
          </w:tcPr>
          <w:p w:rsidR="00A63B4C" w:rsidRPr="00A63B4C" w:rsidRDefault="00A63B4C" w:rsidP="00A63B4C">
            <w:pPr>
              <w:adjustRightInd w:val="0"/>
              <w:snapToGrid w:val="0"/>
              <w:spacing w:line="300" w:lineRule="auto"/>
              <w:ind w:rightChars="17" w:right="41"/>
              <w:jc w:val="both"/>
              <w:rPr>
                <w:rFonts w:ascii="Times New Roman" w:eastAsia="標楷體" w:hAnsi="Times New Roman" w:cs="Times New Roman"/>
                <w:szCs w:val="24"/>
              </w:rPr>
            </w:pPr>
            <w:r w:rsidRPr="00A63B4C">
              <w:rPr>
                <w:rFonts w:ascii="Times New Roman" w:eastAsia="標楷體" w:hAnsi="Times New Roman" w:cs="Times New Roman"/>
                <w:szCs w:val="24"/>
              </w:rPr>
              <w:lastRenderedPageBreak/>
              <w:t>第二十五條</w:t>
            </w:r>
          </w:p>
          <w:p w:rsidR="00A63B4C" w:rsidRPr="00A63B4C" w:rsidRDefault="00A63B4C" w:rsidP="00A63B4C">
            <w:pPr>
              <w:adjustRightInd w:val="0"/>
              <w:snapToGrid w:val="0"/>
              <w:spacing w:line="300" w:lineRule="auto"/>
              <w:ind w:rightChars="17" w:right="41" w:firstLineChars="200" w:firstLine="480"/>
              <w:jc w:val="both"/>
              <w:rPr>
                <w:rFonts w:ascii="Times New Roman" w:eastAsia="標楷體" w:hAnsi="Times New Roman" w:cs="Times New Roman"/>
                <w:szCs w:val="24"/>
              </w:rPr>
            </w:pPr>
            <w:r w:rsidRPr="00A63B4C">
              <w:rPr>
                <w:rFonts w:ascii="Times New Roman" w:eastAsia="標楷體" w:hAnsi="Times New Roman" w:cs="Times New Roman"/>
                <w:szCs w:val="24"/>
              </w:rPr>
              <w:t>槓桿交易商向非屬專業機構投資人之專業客戶及一般客戶提供非屬結構型商品之槓桿保證金契約交易服務，槓桿交易商就商品適合度建立之內部作業程序應依下列原則辦理：</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一、建立商品風險分級制度，且分級方式應考量多重風險因子，例如波動幅度、連結標的資產類別及產品天期等。</w:t>
            </w:r>
            <w:r w:rsidR="00760F22">
              <w:rPr>
                <w:rFonts w:ascii="Times New Roman" w:eastAsia="標楷體" w:hAnsi="Times New Roman" w:cs="Times New Roman"/>
                <w:color w:val="000000"/>
                <w:szCs w:val="24"/>
              </w:rPr>
              <w:t>複雜</w:t>
            </w:r>
            <w:r w:rsidR="00760F22" w:rsidRPr="00760F22">
              <w:rPr>
                <w:rFonts w:ascii="Times New Roman" w:eastAsia="標楷體" w:hAnsi="Times New Roman" w:cs="Times New Roman"/>
                <w:color w:val="000000"/>
                <w:szCs w:val="24"/>
                <w:u w:val="single"/>
              </w:rPr>
              <w:t>性</w:t>
            </w:r>
            <w:r w:rsidRPr="00A63B4C">
              <w:rPr>
                <w:rFonts w:ascii="Times New Roman" w:eastAsia="標楷體" w:hAnsi="Times New Roman" w:cs="Times New Roman"/>
                <w:color w:val="000000"/>
                <w:szCs w:val="24"/>
              </w:rPr>
              <w:t>高風險商品</w:t>
            </w:r>
            <w:r w:rsidRPr="00A63B4C">
              <w:rPr>
                <w:rFonts w:ascii="Times New Roman" w:eastAsia="標楷體" w:hAnsi="Times New Roman" w:cs="Times New Roman"/>
                <w:szCs w:val="24"/>
              </w:rPr>
              <w:t>，應核予該商品最高風險評級。</w:t>
            </w:r>
          </w:p>
          <w:p w:rsidR="00A63B4C" w:rsidRPr="00A63B4C" w:rsidRDefault="00760F22"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Pr>
                <w:rFonts w:ascii="Times New Roman" w:eastAsia="標楷體" w:hAnsi="Times New Roman" w:cs="Times New Roman"/>
                <w:szCs w:val="24"/>
              </w:rPr>
              <w:t>二、複雜</w:t>
            </w:r>
            <w:r w:rsidRPr="00760F22">
              <w:rPr>
                <w:rFonts w:ascii="Times New Roman" w:eastAsia="標楷體" w:hAnsi="Times New Roman" w:cs="Times New Roman"/>
                <w:szCs w:val="24"/>
                <w:u w:val="single"/>
              </w:rPr>
              <w:t>性</w:t>
            </w:r>
            <w:r w:rsidR="00A63B4C" w:rsidRPr="00A63B4C">
              <w:rPr>
                <w:rFonts w:ascii="Times New Roman" w:eastAsia="標楷體" w:hAnsi="Times New Roman" w:cs="Times New Roman"/>
                <w:szCs w:val="24"/>
              </w:rPr>
              <w:t>高風險商品限專業客戶及以避險為目的之一般客戶</w:t>
            </w:r>
            <w:proofErr w:type="gramStart"/>
            <w:r w:rsidR="00A63B4C" w:rsidRPr="00A63B4C">
              <w:rPr>
                <w:rFonts w:ascii="Times New Roman" w:eastAsia="標楷體" w:hAnsi="Times New Roman" w:cs="Times New Roman"/>
                <w:szCs w:val="24"/>
              </w:rPr>
              <w:t>承作</w:t>
            </w:r>
            <w:proofErr w:type="gramEnd"/>
            <w:r w:rsidR="00A63B4C" w:rsidRPr="00A63B4C">
              <w:rPr>
                <w:rFonts w:ascii="Times New Roman" w:eastAsia="標楷體" w:hAnsi="Times New Roman" w:cs="Times New Roman"/>
                <w:szCs w:val="24"/>
              </w:rPr>
              <w:t>，且客戶應具備賣出選擇權之知識與經驗。</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color w:val="FF0000"/>
                <w:szCs w:val="24"/>
              </w:rPr>
            </w:pPr>
            <w:r w:rsidRPr="00A63B4C">
              <w:rPr>
                <w:rFonts w:ascii="Times New Roman" w:eastAsia="標楷體" w:hAnsi="Times New Roman" w:cs="Times New Roman"/>
                <w:szCs w:val="24"/>
              </w:rPr>
              <w:t>三、核給客戶槓桿保證金契約額度或進行額度展延時，應請客戶提供與其他金融機</w:t>
            </w:r>
            <w:r w:rsidRPr="00A63B4C">
              <w:rPr>
                <w:rFonts w:ascii="Times New Roman" w:eastAsia="標楷體" w:hAnsi="Times New Roman" w:cs="Times New Roman"/>
                <w:color w:val="000000"/>
                <w:szCs w:val="24"/>
              </w:rPr>
              <w:t>構</w:t>
            </w:r>
            <w:proofErr w:type="gramStart"/>
            <w:r w:rsidRPr="00A63B4C">
              <w:rPr>
                <w:rFonts w:ascii="Times New Roman" w:eastAsia="標楷體" w:hAnsi="Times New Roman" w:cs="Times New Roman"/>
                <w:color w:val="000000"/>
                <w:szCs w:val="24"/>
              </w:rPr>
              <w:t>承作</w:t>
            </w:r>
            <w:proofErr w:type="gramEnd"/>
            <w:r w:rsidRPr="00A63B4C">
              <w:rPr>
                <w:rFonts w:ascii="Times New Roman" w:eastAsia="標楷體" w:hAnsi="Times New Roman" w:cs="Times New Roman"/>
                <w:color w:val="000000"/>
                <w:szCs w:val="24"/>
              </w:rPr>
              <w:t>槓桿保證金契約之額度。</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四、應考量客戶之營業收入、淨值、與其他金融機構交易額度等因素，審慎衡酌客戶承受風險能力，核給客戶交易額度。非以避險為目的之客戶應</w:t>
            </w:r>
            <w:proofErr w:type="gramStart"/>
            <w:r w:rsidRPr="00A63B4C">
              <w:rPr>
                <w:rFonts w:ascii="Times New Roman" w:eastAsia="標楷體" w:hAnsi="Times New Roman" w:cs="Times New Roman"/>
                <w:szCs w:val="24"/>
              </w:rPr>
              <w:t>設有徵提擔保</w:t>
            </w:r>
            <w:proofErr w:type="gramEnd"/>
            <w:r w:rsidRPr="00A63B4C">
              <w:rPr>
                <w:rFonts w:ascii="Times New Roman" w:eastAsia="標楷體" w:hAnsi="Times New Roman" w:cs="Times New Roman"/>
                <w:szCs w:val="24"/>
              </w:rPr>
              <w:t>品機制。</w:t>
            </w:r>
            <w:r w:rsidRPr="00A63B4C">
              <w:rPr>
                <w:rFonts w:ascii="Times New Roman" w:eastAsia="標楷體" w:hAnsi="Times New Roman" w:cs="Times New Roman"/>
                <w:szCs w:val="24"/>
              </w:rPr>
              <w:t xml:space="preserve"> </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五、槓桿交易商應就非以避險為目的</w:t>
            </w:r>
            <w:proofErr w:type="gramStart"/>
            <w:r w:rsidRPr="00A63B4C">
              <w:rPr>
                <w:rFonts w:ascii="Times New Roman" w:eastAsia="標楷體" w:hAnsi="Times New Roman" w:cs="Times New Roman"/>
                <w:szCs w:val="24"/>
              </w:rPr>
              <w:t>承作</w:t>
            </w:r>
            <w:proofErr w:type="gramEnd"/>
            <w:r w:rsidRPr="00A63B4C">
              <w:rPr>
                <w:rFonts w:ascii="Times New Roman" w:eastAsia="標楷體" w:hAnsi="Times New Roman" w:cs="Times New Roman"/>
                <w:szCs w:val="24"/>
              </w:rPr>
              <w:t>之複雜</w:t>
            </w:r>
            <w:r w:rsidR="00760F22" w:rsidRPr="00760F22">
              <w:rPr>
                <w:rFonts w:ascii="Times New Roman" w:eastAsia="標楷體" w:hAnsi="Times New Roman" w:cs="Times New Roman"/>
                <w:szCs w:val="24"/>
                <w:u w:val="single"/>
              </w:rPr>
              <w:t>性</w:t>
            </w:r>
            <w:r w:rsidRPr="00A63B4C">
              <w:rPr>
                <w:rFonts w:ascii="Times New Roman" w:eastAsia="標楷體" w:hAnsi="Times New Roman" w:cs="Times New Roman"/>
                <w:szCs w:val="24"/>
              </w:rPr>
              <w:t>高風險商品，個別交易設有客戶</w:t>
            </w:r>
            <w:r w:rsidRPr="00A63B4C">
              <w:rPr>
                <w:rFonts w:ascii="Times New Roman" w:eastAsia="標楷體" w:hAnsi="Times New Roman" w:cs="Times New Roman"/>
                <w:szCs w:val="24"/>
              </w:rPr>
              <w:lastRenderedPageBreak/>
              <w:t>最大損失上限。</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color w:val="000000"/>
                <w:szCs w:val="24"/>
              </w:rPr>
            </w:pPr>
            <w:r w:rsidRPr="00A63B4C">
              <w:rPr>
                <w:rFonts w:ascii="Times New Roman" w:eastAsia="標楷體" w:hAnsi="Times New Roman" w:cs="Times New Roman"/>
                <w:szCs w:val="24"/>
              </w:rPr>
              <w:t>六、槓桿交易商</w:t>
            </w:r>
            <w:r w:rsidR="00760F22">
              <w:rPr>
                <w:rFonts w:ascii="Times New Roman" w:eastAsia="標楷體" w:hAnsi="Times New Roman" w:cs="Times New Roman"/>
                <w:szCs w:val="24"/>
              </w:rPr>
              <w:t>應就非以避險為目的</w:t>
            </w:r>
            <w:proofErr w:type="gramStart"/>
            <w:r w:rsidR="00760F22">
              <w:rPr>
                <w:rFonts w:ascii="Times New Roman" w:eastAsia="標楷體" w:hAnsi="Times New Roman" w:cs="Times New Roman"/>
                <w:szCs w:val="24"/>
              </w:rPr>
              <w:t>承作</w:t>
            </w:r>
            <w:proofErr w:type="gramEnd"/>
            <w:r w:rsidR="00760F22">
              <w:rPr>
                <w:rFonts w:ascii="Times New Roman" w:eastAsia="標楷體" w:hAnsi="Times New Roman" w:cs="Times New Roman"/>
                <w:szCs w:val="24"/>
              </w:rPr>
              <w:t>之複雜</w:t>
            </w:r>
            <w:r w:rsidR="00760F22" w:rsidRPr="00760F22">
              <w:rPr>
                <w:rFonts w:ascii="Times New Roman" w:eastAsia="標楷體" w:hAnsi="Times New Roman" w:cs="Times New Roman"/>
                <w:szCs w:val="24"/>
                <w:u w:val="single"/>
              </w:rPr>
              <w:t>性</w:t>
            </w:r>
            <w:r w:rsidRPr="00A63B4C">
              <w:rPr>
                <w:rFonts w:ascii="Times New Roman" w:eastAsia="標楷體" w:hAnsi="Times New Roman" w:cs="Times New Roman"/>
                <w:szCs w:val="24"/>
              </w:rPr>
              <w:t>高風險商品建立客戶風險</w:t>
            </w:r>
            <w:proofErr w:type="gramStart"/>
            <w:r w:rsidRPr="00A63B4C">
              <w:rPr>
                <w:rFonts w:ascii="Times New Roman" w:eastAsia="標楷體" w:hAnsi="Times New Roman" w:cs="Times New Roman"/>
                <w:szCs w:val="24"/>
              </w:rPr>
              <w:t>集中度控管</w:t>
            </w:r>
            <w:proofErr w:type="gramEnd"/>
            <w:r w:rsidRPr="00A63B4C">
              <w:rPr>
                <w:rFonts w:ascii="Times New Roman" w:eastAsia="標楷體" w:hAnsi="Times New Roman" w:cs="Times New Roman"/>
                <w:szCs w:val="24"/>
              </w:rPr>
              <w:t>機制</w:t>
            </w:r>
            <w:r w:rsidRPr="00A63B4C">
              <w:rPr>
                <w:rFonts w:ascii="Times New Roman" w:eastAsia="標楷體" w:hAnsi="Times New Roman" w:cs="Times New Roman"/>
                <w:color w:val="000000"/>
                <w:szCs w:val="24"/>
              </w:rPr>
              <w:t>。</w:t>
            </w:r>
            <w:r w:rsidR="00760F22">
              <w:rPr>
                <w:rFonts w:ascii="Times New Roman" w:eastAsia="標楷體" w:hAnsi="Times New Roman" w:cs="Times New Roman"/>
                <w:szCs w:val="24"/>
              </w:rPr>
              <w:t>明確訂定客戶投資複雜</w:t>
            </w:r>
            <w:r w:rsidR="00760F22" w:rsidRPr="00760F22">
              <w:rPr>
                <w:rFonts w:ascii="Times New Roman" w:eastAsia="標楷體" w:hAnsi="Times New Roman" w:cs="Times New Roman"/>
                <w:szCs w:val="24"/>
                <w:u w:val="single"/>
              </w:rPr>
              <w:t>性</w:t>
            </w:r>
            <w:r w:rsidRPr="00A63B4C">
              <w:rPr>
                <w:rFonts w:ascii="Times New Roman" w:eastAsia="標楷體" w:hAnsi="Times New Roman" w:cs="Times New Roman"/>
                <w:szCs w:val="24"/>
              </w:rPr>
              <w:t>高風險商品之每期名目本金總和占其在該槓桿交易商槓桿保證金</w:t>
            </w:r>
            <w:proofErr w:type="gramStart"/>
            <w:r w:rsidRPr="00A63B4C">
              <w:rPr>
                <w:rFonts w:ascii="Times New Roman" w:eastAsia="標楷體" w:hAnsi="Times New Roman" w:cs="Times New Roman"/>
                <w:szCs w:val="24"/>
              </w:rPr>
              <w:t>契約契約</w:t>
            </w:r>
            <w:proofErr w:type="gramEnd"/>
            <w:r w:rsidRPr="00A63B4C">
              <w:rPr>
                <w:rFonts w:ascii="Times New Roman" w:eastAsia="標楷體" w:hAnsi="Times New Roman" w:cs="Times New Roman"/>
                <w:szCs w:val="24"/>
              </w:rPr>
              <w:t>名目本金總金額之最高比重</w:t>
            </w:r>
            <w:r w:rsidRPr="00A63B4C">
              <w:rPr>
                <w:rFonts w:ascii="Times New Roman" w:eastAsia="標楷體" w:hAnsi="Times New Roman" w:cs="Times New Roman"/>
                <w:color w:val="000000"/>
                <w:szCs w:val="24"/>
              </w:rPr>
              <w:t>或客</w:t>
            </w:r>
            <w:r w:rsidR="00760F22">
              <w:rPr>
                <w:rFonts w:ascii="Times New Roman" w:eastAsia="標楷體" w:hAnsi="Times New Roman" w:cs="Times New Roman"/>
                <w:color w:val="000000"/>
                <w:szCs w:val="24"/>
              </w:rPr>
              <w:t>戶投資複雜</w:t>
            </w:r>
            <w:r w:rsidR="00760F22" w:rsidRPr="00760F22">
              <w:rPr>
                <w:rFonts w:ascii="Times New Roman" w:eastAsia="標楷體" w:hAnsi="Times New Roman" w:cs="Times New Roman"/>
                <w:color w:val="000000"/>
                <w:szCs w:val="24"/>
                <w:u w:val="single"/>
              </w:rPr>
              <w:t>性</w:t>
            </w:r>
            <w:r w:rsidRPr="00A63B4C">
              <w:rPr>
                <w:rFonts w:ascii="Times New Roman" w:eastAsia="標楷體" w:hAnsi="Times New Roman" w:cs="Times New Roman"/>
                <w:color w:val="000000"/>
                <w:szCs w:val="24"/>
              </w:rPr>
              <w:t>高風險商品所使用之未來潛在</w:t>
            </w:r>
            <w:proofErr w:type="gramStart"/>
            <w:r w:rsidRPr="00A63B4C">
              <w:rPr>
                <w:rFonts w:ascii="Times New Roman" w:eastAsia="標楷體" w:hAnsi="Times New Roman" w:cs="Times New Roman"/>
                <w:color w:val="000000"/>
                <w:szCs w:val="24"/>
              </w:rPr>
              <w:t>曝險額</w:t>
            </w:r>
            <w:proofErr w:type="gramEnd"/>
            <w:r w:rsidRPr="00A63B4C">
              <w:rPr>
                <w:rFonts w:ascii="Times New Roman" w:eastAsia="標楷體" w:hAnsi="Times New Roman" w:cs="Times New Roman"/>
                <w:color w:val="000000"/>
                <w:szCs w:val="24"/>
              </w:rPr>
              <w:t>（</w:t>
            </w:r>
            <w:r w:rsidRPr="00A63B4C">
              <w:rPr>
                <w:rFonts w:ascii="Times New Roman" w:eastAsia="標楷體" w:hAnsi="Times New Roman" w:cs="Times New Roman"/>
                <w:color w:val="000000"/>
                <w:szCs w:val="24"/>
              </w:rPr>
              <w:t>MLIV</w:t>
            </w:r>
            <w:r w:rsidRPr="00A63B4C">
              <w:rPr>
                <w:rFonts w:ascii="Times New Roman" w:eastAsia="標楷體" w:hAnsi="Times New Roman" w:cs="Times New Roman"/>
                <w:color w:val="000000"/>
                <w:szCs w:val="24"/>
              </w:rPr>
              <w:t>）總和占其衍生性</w:t>
            </w:r>
            <w:proofErr w:type="gramStart"/>
            <w:r w:rsidRPr="00A63B4C">
              <w:rPr>
                <w:rFonts w:ascii="Times New Roman" w:eastAsia="標楷體" w:hAnsi="Times New Roman" w:cs="Times New Roman"/>
                <w:color w:val="000000"/>
                <w:szCs w:val="24"/>
              </w:rPr>
              <w:t>商品曝險額度</w:t>
            </w:r>
            <w:proofErr w:type="gramEnd"/>
            <w:r w:rsidRPr="00A63B4C">
              <w:rPr>
                <w:rFonts w:ascii="Times New Roman" w:eastAsia="標楷體" w:hAnsi="Times New Roman" w:cs="Times New Roman"/>
                <w:color w:val="000000"/>
                <w:szCs w:val="24"/>
              </w:rPr>
              <w:t>之最高比重。</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七、槓桿交易商與客戶</w:t>
            </w:r>
            <w:proofErr w:type="gramStart"/>
            <w:r w:rsidRPr="00A63B4C">
              <w:rPr>
                <w:rFonts w:ascii="Times New Roman" w:eastAsia="標楷體" w:hAnsi="Times New Roman" w:cs="Times New Roman"/>
                <w:szCs w:val="24"/>
              </w:rPr>
              <w:t>承作</w:t>
            </w:r>
            <w:proofErr w:type="gramEnd"/>
            <w:r w:rsidR="00760F22" w:rsidRPr="00CC7E05">
              <w:rPr>
                <w:rFonts w:ascii="Times New Roman" w:eastAsia="標楷體" w:hAnsi="Times New Roman" w:cs="Times New Roman"/>
                <w:szCs w:val="24"/>
              </w:rPr>
              <w:t>複雜</w:t>
            </w:r>
            <w:r w:rsidR="00760F22" w:rsidRPr="00CC7E05">
              <w:rPr>
                <w:rFonts w:ascii="Times New Roman" w:eastAsia="標楷體" w:hAnsi="Times New Roman" w:cs="Times New Roman"/>
                <w:szCs w:val="24"/>
                <w:u w:val="single"/>
              </w:rPr>
              <w:t>性</w:t>
            </w:r>
            <w:r w:rsidR="00760F22" w:rsidRPr="00CC7E05">
              <w:rPr>
                <w:rFonts w:ascii="Times New Roman" w:eastAsia="標楷體" w:hAnsi="Times New Roman" w:cs="Times New Roman"/>
                <w:szCs w:val="24"/>
              </w:rPr>
              <w:t>高風險商品</w:t>
            </w:r>
            <w:r w:rsidR="00760F22">
              <w:rPr>
                <w:rFonts w:ascii="Times New Roman" w:eastAsia="標楷體" w:hAnsi="Times New Roman" w:cs="Times New Roman"/>
                <w:szCs w:val="24"/>
              </w:rPr>
              <w:t>交易</w:t>
            </w:r>
            <w:r w:rsidR="00760F22" w:rsidRPr="00CC7E05">
              <w:rPr>
                <w:rFonts w:ascii="Times New Roman" w:eastAsia="標楷體" w:hAnsi="Times New Roman" w:cs="Times New Roman"/>
                <w:szCs w:val="24"/>
              </w:rPr>
              <w:t>應</w:t>
            </w:r>
            <w:r w:rsidR="00760F22" w:rsidRPr="00CC7E05">
              <w:rPr>
                <w:rFonts w:ascii="Times New Roman" w:eastAsia="標楷體" w:hAnsi="Times New Roman" w:cs="Times New Roman"/>
                <w:szCs w:val="24"/>
                <w:u w:val="single"/>
              </w:rPr>
              <w:t>充分</w:t>
            </w:r>
            <w:r w:rsidR="00760F22" w:rsidRPr="00CC7E05">
              <w:rPr>
                <w:rFonts w:ascii="Times New Roman" w:eastAsia="標楷體" w:hAnsi="Times New Roman" w:cs="Times New Roman"/>
                <w:szCs w:val="24"/>
              </w:rPr>
              <w:t>告知</w:t>
            </w:r>
            <w:r w:rsidR="00760F22" w:rsidRPr="00CC7E05">
              <w:rPr>
                <w:rFonts w:ascii="Times New Roman" w:eastAsia="標楷體" w:hAnsi="Times New Roman" w:cs="Times New Roman"/>
                <w:szCs w:val="24"/>
                <w:u w:val="single"/>
              </w:rPr>
              <w:t>該金融商品、服務及契約之重要內容，包括</w:t>
            </w:r>
            <w:r w:rsidR="00760F22" w:rsidRPr="00CC7E05">
              <w:rPr>
                <w:rFonts w:ascii="Times New Roman" w:eastAsia="標楷體" w:hAnsi="Times New Roman" w:cs="Times New Roman"/>
                <w:szCs w:val="24"/>
              </w:rPr>
              <w:t>交易條件重要內容及</w:t>
            </w:r>
            <w:r w:rsidR="00760F22" w:rsidRPr="00CC7E05">
              <w:rPr>
                <w:rFonts w:ascii="Times New Roman" w:eastAsia="標楷體" w:hAnsi="Times New Roman" w:cs="Times New Roman"/>
                <w:szCs w:val="24"/>
                <w:u w:val="single"/>
              </w:rPr>
              <w:t>揭露</w:t>
            </w:r>
            <w:r w:rsidR="00760F22" w:rsidRPr="00CC7E05">
              <w:rPr>
                <w:rFonts w:ascii="Times New Roman" w:eastAsia="標楷體" w:hAnsi="Times New Roman" w:cs="Times New Roman"/>
                <w:szCs w:val="24"/>
              </w:rPr>
              <w:t>相關風險，</w:t>
            </w:r>
            <w:r w:rsidR="00760F22" w:rsidRPr="00CC7E05">
              <w:rPr>
                <w:rFonts w:ascii="Times New Roman" w:eastAsia="標楷體" w:hAnsi="Times New Roman" w:cs="Times New Roman"/>
                <w:szCs w:val="24"/>
                <w:u w:val="single"/>
              </w:rPr>
              <w:t>上該說明及揭露，除</w:t>
            </w:r>
            <w:proofErr w:type="gramStart"/>
            <w:r w:rsidR="00760F22" w:rsidRPr="00CC7E05">
              <w:rPr>
                <w:rFonts w:ascii="Times New Roman" w:eastAsia="標楷體" w:hAnsi="Times New Roman" w:cs="Times New Roman"/>
                <w:szCs w:val="24"/>
                <w:u w:val="single"/>
              </w:rPr>
              <w:t>以非臨櫃</w:t>
            </w:r>
            <w:proofErr w:type="gramEnd"/>
            <w:r w:rsidR="00760F22" w:rsidRPr="00CC7E05">
              <w:rPr>
                <w:rFonts w:ascii="Times New Roman" w:eastAsia="標楷體" w:hAnsi="Times New Roman" w:cs="Times New Roman"/>
                <w:szCs w:val="24"/>
                <w:u w:val="single"/>
              </w:rPr>
              <w:t>之自動化通路交易或客戶不予同意之情形外，應</w:t>
            </w:r>
            <w:r w:rsidR="00760F22" w:rsidRPr="00CC7E05">
              <w:rPr>
                <w:rFonts w:ascii="Times New Roman" w:eastAsia="標楷體" w:hAnsi="Times New Roman" w:cs="Times New Roman"/>
                <w:szCs w:val="24"/>
              </w:rPr>
              <w:t>以錄音</w:t>
            </w:r>
            <w:r w:rsidR="00760F22" w:rsidRPr="00CC7E05">
              <w:rPr>
                <w:rFonts w:ascii="Times New Roman" w:eastAsia="標楷體" w:hAnsi="Times New Roman" w:cs="Times New Roman"/>
                <w:szCs w:val="24"/>
                <w:u w:val="single"/>
              </w:rPr>
              <w:t>或錄影</w:t>
            </w:r>
            <w:r w:rsidR="00760F22" w:rsidRPr="00CC7E05">
              <w:rPr>
                <w:rFonts w:ascii="Times New Roman" w:eastAsia="標楷體" w:hAnsi="Times New Roman" w:cs="Times New Roman"/>
                <w:szCs w:val="24"/>
              </w:rPr>
              <w:t>方式保留紀錄。</w:t>
            </w:r>
            <w:r w:rsidR="00760F22" w:rsidRPr="00D35C98">
              <w:rPr>
                <w:rFonts w:ascii="Times New Roman" w:eastAsia="標楷體" w:hAnsi="Times New Roman" w:cs="Times New Roman"/>
                <w:szCs w:val="24"/>
                <w:u w:val="single"/>
              </w:rPr>
              <w:t>錄音或錄影內容至少應保</w:t>
            </w:r>
            <w:r w:rsidR="00760F22">
              <w:rPr>
                <w:rFonts w:ascii="Times New Roman" w:eastAsia="標楷體" w:hAnsi="Times New Roman" w:cs="Times New Roman"/>
                <w:szCs w:val="24"/>
                <w:u w:val="single"/>
              </w:rPr>
              <w:t>存該商品存續期間加計三個月之</w:t>
            </w:r>
            <w:proofErr w:type="gramStart"/>
            <w:r w:rsidR="00760F22">
              <w:rPr>
                <w:rFonts w:ascii="Times New Roman" w:eastAsia="標楷體" w:hAnsi="Times New Roman" w:cs="Times New Roman"/>
                <w:szCs w:val="24"/>
                <w:u w:val="single"/>
              </w:rPr>
              <w:t>期間，</w:t>
            </w:r>
            <w:proofErr w:type="gramEnd"/>
            <w:r w:rsidR="00760F22">
              <w:rPr>
                <w:rFonts w:ascii="Times New Roman" w:eastAsia="標楷體" w:hAnsi="Times New Roman" w:cs="Times New Roman"/>
                <w:szCs w:val="24"/>
                <w:u w:val="single"/>
              </w:rPr>
              <w:t>如未滿五年應至少保存五年以上。</w:t>
            </w:r>
            <w:r w:rsidR="00760F22" w:rsidRPr="00D35C98">
              <w:rPr>
                <w:rFonts w:ascii="Times New Roman" w:eastAsia="標楷體" w:hAnsi="Times New Roman" w:cs="Times New Roman"/>
                <w:szCs w:val="24"/>
                <w:u w:val="single"/>
              </w:rPr>
              <w:t>但發生金</w:t>
            </w:r>
            <w:r w:rsidR="00760F22">
              <w:rPr>
                <w:rFonts w:ascii="Times New Roman" w:eastAsia="標楷體" w:hAnsi="Times New Roman" w:cs="Times New Roman"/>
                <w:szCs w:val="24"/>
                <w:u w:val="single"/>
              </w:rPr>
              <w:t>融</w:t>
            </w:r>
            <w:r w:rsidR="00760F22" w:rsidRPr="00D35C98">
              <w:rPr>
                <w:rFonts w:ascii="Times New Roman" w:eastAsia="標楷體" w:hAnsi="Times New Roman" w:cs="Times New Roman"/>
                <w:szCs w:val="24"/>
                <w:u w:val="single"/>
              </w:rPr>
              <w:t>消費爭議時，應保存至該爭議終結為止。</w:t>
            </w:r>
          </w:p>
          <w:p w:rsidR="00A63B4C" w:rsidRPr="00A63B4C" w:rsidRDefault="00A63B4C" w:rsidP="00A63B4C">
            <w:pPr>
              <w:adjustRightInd w:val="0"/>
              <w:snapToGrid w:val="0"/>
              <w:spacing w:line="300" w:lineRule="auto"/>
              <w:ind w:rightChars="17" w:right="41" w:firstLineChars="200" w:firstLine="480"/>
              <w:jc w:val="both"/>
              <w:rPr>
                <w:rFonts w:ascii="Times New Roman" w:eastAsia="標楷體" w:hAnsi="Times New Roman" w:cs="Times New Roman"/>
                <w:szCs w:val="24"/>
              </w:rPr>
            </w:pPr>
            <w:r w:rsidRPr="00A63B4C">
              <w:rPr>
                <w:rFonts w:ascii="Times New Roman" w:eastAsia="標楷體" w:hAnsi="Times New Roman" w:cs="Times New Roman"/>
                <w:szCs w:val="24"/>
              </w:rPr>
              <w:t>第一項第二款</w:t>
            </w:r>
            <w:proofErr w:type="gramStart"/>
            <w:r w:rsidRPr="00A63B4C">
              <w:rPr>
                <w:rFonts w:ascii="Times New Roman" w:eastAsia="標楷體" w:hAnsi="Times New Roman" w:cs="Times New Roman"/>
                <w:szCs w:val="24"/>
              </w:rPr>
              <w:t>所稱避險</w:t>
            </w:r>
            <w:proofErr w:type="gramEnd"/>
            <w:r w:rsidRPr="00A63B4C">
              <w:rPr>
                <w:rFonts w:ascii="Times New Roman" w:eastAsia="標楷體" w:hAnsi="Times New Roman" w:cs="Times New Roman"/>
                <w:szCs w:val="24"/>
              </w:rPr>
              <w:t>目的，係指客戶有實際相對應之需求。槓桿交易商應有適當之控管制度以確認各類商品是否為避</w:t>
            </w:r>
            <w:r w:rsidRPr="00A63B4C">
              <w:rPr>
                <w:rFonts w:ascii="Times New Roman" w:eastAsia="標楷體" w:hAnsi="Times New Roman" w:cs="Times New Roman"/>
                <w:szCs w:val="24"/>
              </w:rPr>
              <w:lastRenderedPageBreak/>
              <w:t>險目的而</w:t>
            </w:r>
            <w:proofErr w:type="gramStart"/>
            <w:r w:rsidRPr="00A63B4C">
              <w:rPr>
                <w:rFonts w:ascii="Times New Roman" w:eastAsia="標楷體" w:hAnsi="Times New Roman" w:cs="Times New Roman"/>
                <w:szCs w:val="24"/>
              </w:rPr>
              <w:t>承作</w:t>
            </w:r>
            <w:proofErr w:type="gramEnd"/>
            <w:r w:rsidRPr="00A63B4C">
              <w:rPr>
                <w:rFonts w:ascii="Times New Roman" w:eastAsia="標楷體" w:hAnsi="Times New Roman" w:cs="Times New Roman"/>
                <w:szCs w:val="24"/>
              </w:rPr>
              <w:t>，及</w:t>
            </w:r>
            <w:proofErr w:type="gramStart"/>
            <w:r w:rsidRPr="00A63B4C">
              <w:rPr>
                <w:rFonts w:ascii="Times New Roman" w:eastAsia="標楷體" w:hAnsi="Times New Roman" w:cs="Times New Roman"/>
                <w:szCs w:val="24"/>
              </w:rPr>
              <w:t>其曝險</w:t>
            </w:r>
            <w:proofErr w:type="gramEnd"/>
            <w:r w:rsidRPr="00A63B4C">
              <w:rPr>
                <w:rFonts w:ascii="Times New Roman" w:eastAsia="標楷體" w:hAnsi="Times New Roman" w:cs="Times New Roman"/>
                <w:szCs w:val="24"/>
              </w:rPr>
              <w:t>與應避險部位是否相當，並應徵提相關文件。</w:t>
            </w:r>
          </w:p>
          <w:p w:rsidR="00846F1A" w:rsidRPr="008E4F30" w:rsidRDefault="00A63B4C" w:rsidP="00A63B4C">
            <w:pPr>
              <w:pStyle w:val="a4"/>
              <w:kinsoku w:val="0"/>
              <w:adjustRightInd w:val="0"/>
              <w:snapToGrid w:val="0"/>
              <w:spacing w:line="300" w:lineRule="auto"/>
              <w:ind w:left="0" w:rightChars="-21" w:right="-50" w:firstLineChars="200" w:firstLine="480"/>
              <w:jc w:val="both"/>
              <w:rPr>
                <w:sz w:val="24"/>
              </w:rPr>
            </w:pPr>
            <w:r w:rsidRPr="00A63B4C">
              <w:rPr>
                <w:sz w:val="24"/>
              </w:rPr>
              <w:t>內部作業程序至少應包含商品分級依據、商品風險分類、客戶交易目的評估及風險</w:t>
            </w:r>
            <w:proofErr w:type="gramStart"/>
            <w:r w:rsidRPr="00A63B4C">
              <w:rPr>
                <w:sz w:val="24"/>
              </w:rPr>
              <w:t>集中度控管</w:t>
            </w:r>
            <w:proofErr w:type="gramEnd"/>
            <w:r w:rsidRPr="00A63B4C">
              <w:rPr>
                <w:sz w:val="24"/>
              </w:rPr>
              <w:t>機制。</w:t>
            </w:r>
          </w:p>
        </w:tc>
        <w:tc>
          <w:tcPr>
            <w:tcW w:w="3355" w:type="dxa"/>
            <w:tcBorders>
              <w:top w:val="single" w:sz="4" w:space="0" w:color="auto"/>
              <w:left w:val="single" w:sz="4" w:space="0" w:color="auto"/>
              <w:bottom w:val="single" w:sz="4" w:space="0" w:color="auto"/>
              <w:right w:val="single" w:sz="4" w:space="0" w:color="auto"/>
            </w:tcBorders>
          </w:tcPr>
          <w:p w:rsidR="00A63B4C" w:rsidRPr="00A63B4C" w:rsidRDefault="00A63B4C" w:rsidP="00A63B4C">
            <w:pPr>
              <w:adjustRightInd w:val="0"/>
              <w:snapToGrid w:val="0"/>
              <w:spacing w:line="300" w:lineRule="auto"/>
              <w:ind w:rightChars="17" w:right="41"/>
              <w:jc w:val="both"/>
              <w:rPr>
                <w:rFonts w:ascii="Times New Roman" w:eastAsia="標楷體" w:hAnsi="Times New Roman" w:cs="Times New Roman"/>
                <w:szCs w:val="24"/>
              </w:rPr>
            </w:pPr>
            <w:r w:rsidRPr="00A63B4C">
              <w:rPr>
                <w:rFonts w:ascii="Times New Roman" w:eastAsia="標楷體" w:hAnsi="Times New Roman" w:cs="Times New Roman"/>
                <w:szCs w:val="24"/>
              </w:rPr>
              <w:lastRenderedPageBreak/>
              <w:t>第二十五條</w:t>
            </w:r>
          </w:p>
          <w:p w:rsidR="00A63B4C" w:rsidRPr="00A63B4C" w:rsidRDefault="00A63B4C" w:rsidP="00A63B4C">
            <w:pPr>
              <w:adjustRightInd w:val="0"/>
              <w:snapToGrid w:val="0"/>
              <w:spacing w:line="300" w:lineRule="auto"/>
              <w:ind w:rightChars="17" w:right="41" w:firstLineChars="200" w:firstLine="480"/>
              <w:jc w:val="both"/>
              <w:rPr>
                <w:rFonts w:ascii="Times New Roman" w:eastAsia="標楷體" w:hAnsi="Times New Roman" w:cs="Times New Roman"/>
                <w:szCs w:val="24"/>
              </w:rPr>
            </w:pPr>
            <w:r w:rsidRPr="00A63B4C">
              <w:rPr>
                <w:rFonts w:ascii="Times New Roman" w:eastAsia="標楷體" w:hAnsi="Times New Roman" w:cs="Times New Roman"/>
                <w:szCs w:val="24"/>
              </w:rPr>
              <w:t>槓桿交易商向非屬專業機構投資人之專業客戶及一般客戶提供非屬結構型商品之槓桿保證金契約交易服務，槓桿交易商就商品適合度建立之內部作業程序應依下列原則辦理：</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一、建立商品風險分級制度，且分級方式應考量多重風險因子，例如波動幅度、連結標的資產類別及產品天期等。</w:t>
            </w:r>
            <w:r w:rsidRPr="00A63B4C">
              <w:rPr>
                <w:rFonts w:ascii="Times New Roman" w:eastAsia="標楷體" w:hAnsi="Times New Roman" w:cs="Times New Roman"/>
                <w:color w:val="000000"/>
                <w:szCs w:val="24"/>
              </w:rPr>
              <w:t>複雜</w:t>
            </w:r>
            <w:r w:rsidRPr="00A63B4C">
              <w:rPr>
                <w:rFonts w:ascii="Times New Roman" w:eastAsia="標楷體" w:hAnsi="Times New Roman" w:cs="Times New Roman"/>
                <w:color w:val="000000"/>
                <w:szCs w:val="24"/>
                <w:u w:val="single"/>
              </w:rPr>
              <w:t>型</w:t>
            </w:r>
            <w:r w:rsidRPr="00A63B4C">
              <w:rPr>
                <w:rFonts w:ascii="Times New Roman" w:eastAsia="標楷體" w:hAnsi="Times New Roman" w:cs="Times New Roman"/>
                <w:color w:val="000000"/>
                <w:szCs w:val="24"/>
              </w:rPr>
              <w:t>高風險商品</w:t>
            </w:r>
            <w:r w:rsidRPr="00A63B4C">
              <w:rPr>
                <w:rFonts w:ascii="Times New Roman" w:eastAsia="標楷體" w:hAnsi="Times New Roman" w:cs="Times New Roman"/>
                <w:szCs w:val="24"/>
              </w:rPr>
              <w:t>，應核予該商品最高風險評級。</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二、複雜</w:t>
            </w:r>
            <w:r w:rsidRPr="00A63B4C">
              <w:rPr>
                <w:rFonts w:ascii="Times New Roman" w:eastAsia="標楷體" w:hAnsi="Times New Roman" w:cs="Times New Roman"/>
                <w:szCs w:val="24"/>
                <w:u w:val="single"/>
              </w:rPr>
              <w:t>型</w:t>
            </w:r>
            <w:r w:rsidRPr="00A63B4C">
              <w:rPr>
                <w:rFonts w:ascii="Times New Roman" w:eastAsia="標楷體" w:hAnsi="Times New Roman" w:cs="Times New Roman"/>
                <w:szCs w:val="24"/>
              </w:rPr>
              <w:t>高風險商品限專業客戶及以避險為目的之一般客戶</w:t>
            </w:r>
            <w:proofErr w:type="gramStart"/>
            <w:r w:rsidRPr="00A63B4C">
              <w:rPr>
                <w:rFonts w:ascii="Times New Roman" w:eastAsia="標楷體" w:hAnsi="Times New Roman" w:cs="Times New Roman"/>
                <w:szCs w:val="24"/>
              </w:rPr>
              <w:t>承作</w:t>
            </w:r>
            <w:proofErr w:type="gramEnd"/>
            <w:r w:rsidRPr="00A63B4C">
              <w:rPr>
                <w:rFonts w:ascii="Times New Roman" w:eastAsia="標楷體" w:hAnsi="Times New Roman" w:cs="Times New Roman"/>
                <w:szCs w:val="24"/>
              </w:rPr>
              <w:t>，且客戶應具備賣出選擇權之知識與經驗。</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color w:val="FF0000"/>
                <w:szCs w:val="24"/>
              </w:rPr>
            </w:pPr>
            <w:r w:rsidRPr="00A63B4C">
              <w:rPr>
                <w:rFonts w:ascii="Times New Roman" w:eastAsia="標楷體" w:hAnsi="Times New Roman" w:cs="Times New Roman"/>
                <w:szCs w:val="24"/>
              </w:rPr>
              <w:t>三、核給客戶槓桿保證金契約額度或進行額度展延時，應請客戶提供與其他金融機</w:t>
            </w:r>
            <w:r w:rsidRPr="00A63B4C">
              <w:rPr>
                <w:rFonts w:ascii="Times New Roman" w:eastAsia="標楷體" w:hAnsi="Times New Roman" w:cs="Times New Roman"/>
                <w:color w:val="000000"/>
                <w:szCs w:val="24"/>
              </w:rPr>
              <w:t>構</w:t>
            </w:r>
            <w:proofErr w:type="gramStart"/>
            <w:r w:rsidRPr="00A63B4C">
              <w:rPr>
                <w:rFonts w:ascii="Times New Roman" w:eastAsia="標楷體" w:hAnsi="Times New Roman" w:cs="Times New Roman"/>
                <w:color w:val="000000"/>
                <w:szCs w:val="24"/>
              </w:rPr>
              <w:t>承作</w:t>
            </w:r>
            <w:proofErr w:type="gramEnd"/>
            <w:r w:rsidRPr="00A63B4C">
              <w:rPr>
                <w:rFonts w:ascii="Times New Roman" w:eastAsia="標楷體" w:hAnsi="Times New Roman" w:cs="Times New Roman"/>
                <w:color w:val="000000"/>
                <w:szCs w:val="24"/>
              </w:rPr>
              <w:t>槓桿保證金契約之額度。</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四、應考量客戶之營業收入、淨值、與其他金融機構交易額度等因素，審慎衡酌客戶承受風險能力，核給客戶交易額度。非以避險為目的之客戶應</w:t>
            </w:r>
            <w:proofErr w:type="gramStart"/>
            <w:r w:rsidRPr="00A63B4C">
              <w:rPr>
                <w:rFonts w:ascii="Times New Roman" w:eastAsia="標楷體" w:hAnsi="Times New Roman" w:cs="Times New Roman"/>
                <w:szCs w:val="24"/>
              </w:rPr>
              <w:t>設有徵提擔保</w:t>
            </w:r>
            <w:proofErr w:type="gramEnd"/>
            <w:r w:rsidRPr="00A63B4C">
              <w:rPr>
                <w:rFonts w:ascii="Times New Roman" w:eastAsia="標楷體" w:hAnsi="Times New Roman" w:cs="Times New Roman"/>
                <w:szCs w:val="24"/>
              </w:rPr>
              <w:t>品機制。</w:t>
            </w:r>
            <w:r w:rsidRPr="00A63B4C">
              <w:rPr>
                <w:rFonts w:ascii="Times New Roman" w:eastAsia="標楷體" w:hAnsi="Times New Roman" w:cs="Times New Roman"/>
                <w:szCs w:val="24"/>
              </w:rPr>
              <w:t xml:space="preserve"> </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五、槓桿交易商應就非以避險為目的</w:t>
            </w:r>
            <w:proofErr w:type="gramStart"/>
            <w:r w:rsidRPr="00A63B4C">
              <w:rPr>
                <w:rFonts w:ascii="Times New Roman" w:eastAsia="標楷體" w:hAnsi="Times New Roman" w:cs="Times New Roman"/>
                <w:szCs w:val="24"/>
              </w:rPr>
              <w:t>承作</w:t>
            </w:r>
            <w:proofErr w:type="gramEnd"/>
            <w:r w:rsidRPr="00A63B4C">
              <w:rPr>
                <w:rFonts w:ascii="Times New Roman" w:eastAsia="標楷體" w:hAnsi="Times New Roman" w:cs="Times New Roman"/>
                <w:szCs w:val="24"/>
              </w:rPr>
              <w:t>之複雜</w:t>
            </w:r>
            <w:r w:rsidRPr="00A63B4C">
              <w:rPr>
                <w:rFonts w:ascii="Times New Roman" w:eastAsia="標楷體" w:hAnsi="Times New Roman" w:cs="Times New Roman"/>
                <w:szCs w:val="24"/>
                <w:u w:val="single"/>
              </w:rPr>
              <w:t>型</w:t>
            </w:r>
            <w:r w:rsidRPr="00A63B4C">
              <w:rPr>
                <w:rFonts w:ascii="Times New Roman" w:eastAsia="標楷體" w:hAnsi="Times New Roman" w:cs="Times New Roman"/>
                <w:szCs w:val="24"/>
              </w:rPr>
              <w:t>高風險商品，個別交易設有客戶</w:t>
            </w:r>
            <w:r w:rsidRPr="00A63B4C">
              <w:rPr>
                <w:rFonts w:ascii="Times New Roman" w:eastAsia="標楷體" w:hAnsi="Times New Roman" w:cs="Times New Roman"/>
                <w:szCs w:val="24"/>
              </w:rPr>
              <w:lastRenderedPageBreak/>
              <w:t>最大損失上限。</w:t>
            </w:r>
          </w:p>
          <w:p w:rsidR="00A63B4C" w:rsidRP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color w:val="000000"/>
                <w:szCs w:val="24"/>
              </w:rPr>
            </w:pPr>
            <w:r w:rsidRPr="00A63B4C">
              <w:rPr>
                <w:rFonts w:ascii="Times New Roman" w:eastAsia="標楷體" w:hAnsi="Times New Roman" w:cs="Times New Roman"/>
                <w:szCs w:val="24"/>
              </w:rPr>
              <w:t>六、槓桿交易商應就非以避險為目的</w:t>
            </w:r>
            <w:proofErr w:type="gramStart"/>
            <w:r w:rsidRPr="00A63B4C">
              <w:rPr>
                <w:rFonts w:ascii="Times New Roman" w:eastAsia="標楷體" w:hAnsi="Times New Roman" w:cs="Times New Roman"/>
                <w:szCs w:val="24"/>
              </w:rPr>
              <w:t>承作</w:t>
            </w:r>
            <w:proofErr w:type="gramEnd"/>
            <w:r w:rsidRPr="00A63B4C">
              <w:rPr>
                <w:rFonts w:ascii="Times New Roman" w:eastAsia="標楷體" w:hAnsi="Times New Roman" w:cs="Times New Roman"/>
                <w:szCs w:val="24"/>
              </w:rPr>
              <w:t>之複雜</w:t>
            </w:r>
            <w:r w:rsidRPr="00A63B4C">
              <w:rPr>
                <w:rFonts w:ascii="Times New Roman" w:eastAsia="標楷體" w:hAnsi="Times New Roman" w:cs="Times New Roman"/>
                <w:szCs w:val="24"/>
                <w:u w:val="single"/>
              </w:rPr>
              <w:t>型</w:t>
            </w:r>
            <w:r w:rsidRPr="00A63B4C">
              <w:rPr>
                <w:rFonts w:ascii="Times New Roman" w:eastAsia="標楷體" w:hAnsi="Times New Roman" w:cs="Times New Roman"/>
                <w:szCs w:val="24"/>
              </w:rPr>
              <w:t>高風險商品建立客戶風險</w:t>
            </w:r>
            <w:proofErr w:type="gramStart"/>
            <w:r w:rsidRPr="00A63B4C">
              <w:rPr>
                <w:rFonts w:ascii="Times New Roman" w:eastAsia="標楷體" w:hAnsi="Times New Roman" w:cs="Times New Roman"/>
                <w:szCs w:val="24"/>
              </w:rPr>
              <w:t>集中度控管</w:t>
            </w:r>
            <w:proofErr w:type="gramEnd"/>
            <w:r w:rsidRPr="00A63B4C">
              <w:rPr>
                <w:rFonts w:ascii="Times New Roman" w:eastAsia="標楷體" w:hAnsi="Times New Roman" w:cs="Times New Roman"/>
                <w:szCs w:val="24"/>
              </w:rPr>
              <w:t>機制</w:t>
            </w:r>
            <w:r w:rsidRPr="00A63B4C">
              <w:rPr>
                <w:rFonts w:ascii="Times New Roman" w:eastAsia="標楷體" w:hAnsi="Times New Roman" w:cs="Times New Roman"/>
                <w:color w:val="000000"/>
                <w:szCs w:val="24"/>
              </w:rPr>
              <w:t>。</w:t>
            </w:r>
            <w:r w:rsidRPr="00A63B4C">
              <w:rPr>
                <w:rFonts w:ascii="Times New Roman" w:eastAsia="標楷體" w:hAnsi="Times New Roman" w:cs="Times New Roman"/>
                <w:szCs w:val="24"/>
              </w:rPr>
              <w:t>明確訂定客戶投資複雜</w:t>
            </w:r>
            <w:r w:rsidRPr="00A63B4C">
              <w:rPr>
                <w:rFonts w:ascii="Times New Roman" w:eastAsia="標楷體" w:hAnsi="Times New Roman" w:cs="Times New Roman"/>
                <w:szCs w:val="24"/>
                <w:u w:val="single"/>
              </w:rPr>
              <w:t>型</w:t>
            </w:r>
            <w:r w:rsidRPr="00A63B4C">
              <w:rPr>
                <w:rFonts w:ascii="Times New Roman" w:eastAsia="標楷體" w:hAnsi="Times New Roman" w:cs="Times New Roman"/>
                <w:szCs w:val="24"/>
              </w:rPr>
              <w:t>高風險商品之每期名目本金總和占其在該槓桿交易商槓桿保證金</w:t>
            </w:r>
            <w:proofErr w:type="gramStart"/>
            <w:r w:rsidRPr="00A63B4C">
              <w:rPr>
                <w:rFonts w:ascii="Times New Roman" w:eastAsia="標楷體" w:hAnsi="Times New Roman" w:cs="Times New Roman"/>
                <w:szCs w:val="24"/>
              </w:rPr>
              <w:t>契約契約</w:t>
            </w:r>
            <w:proofErr w:type="gramEnd"/>
            <w:r w:rsidRPr="00A63B4C">
              <w:rPr>
                <w:rFonts w:ascii="Times New Roman" w:eastAsia="標楷體" w:hAnsi="Times New Roman" w:cs="Times New Roman"/>
                <w:szCs w:val="24"/>
              </w:rPr>
              <w:t>名目本金總金額之最高比重</w:t>
            </w:r>
            <w:r w:rsidRPr="00A63B4C">
              <w:rPr>
                <w:rFonts w:ascii="Times New Roman" w:eastAsia="標楷體" w:hAnsi="Times New Roman" w:cs="Times New Roman"/>
                <w:color w:val="000000"/>
                <w:szCs w:val="24"/>
              </w:rPr>
              <w:t>或客戶投資複雜</w:t>
            </w:r>
            <w:r w:rsidRPr="00A63B4C">
              <w:rPr>
                <w:rFonts w:ascii="Times New Roman" w:eastAsia="標楷體" w:hAnsi="Times New Roman" w:cs="Times New Roman"/>
                <w:color w:val="000000"/>
                <w:szCs w:val="24"/>
                <w:u w:val="single"/>
              </w:rPr>
              <w:t>型</w:t>
            </w:r>
            <w:r w:rsidRPr="00A63B4C">
              <w:rPr>
                <w:rFonts w:ascii="Times New Roman" w:eastAsia="標楷體" w:hAnsi="Times New Roman" w:cs="Times New Roman"/>
                <w:color w:val="000000"/>
                <w:szCs w:val="24"/>
              </w:rPr>
              <w:t>高風險商品所使用之未來潛在</w:t>
            </w:r>
            <w:proofErr w:type="gramStart"/>
            <w:r w:rsidRPr="00A63B4C">
              <w:rPr>
                <w:rFonts w:ascii="Times New Roman" w:eastAsia="標楷體" w:hAnsi="Times New Roman" w:cs="Times New Roman"/>
                <w:color w:val="000000"/>
                <w:szCs w:val="24"/>
              </w:rPr>
              <w:t>曝險額</w:t>
            </w:r>
            <w:proofErr w:type="gramEnd"/>
            <w:r w:rsidRPr="00A63B4C">
              <w:rPr>
                <w:rFonts w:ascii="Times New Roman" w:eastAsia="標楷體" w:hAnsi="Times New Roman" w:cs="Times New Roman"/>
                <w:color w:val="000000"/>
                <w:szCs w:val="24"/>
              </w:rPr>
              <w:t>（</w:t>
            </w:r>
            <w:r w:rsidRPr="00A63B4C">
              <w:rPr>
                <w:rFonts w:ascii="Times New Roman" w:eastAsia="標楷體" w:hAnsi="Times New Roman" w:cs="Times New Roman"/>
                <w:color w:val="000000"/>
                <w:szCs w:val="24"/>
              </w:rPr>
              <w:t>MLIV</w:t>
            </w:r>
            <w:r w:rsidRPr="00A63B4C">
              <w:rPr>
                <w:rFonts w:ascii="Times New Roman" w:eastAsia="標楷體" w:hAnsi="Times New Roman" w:cs="Times New Roman"/>
                <w:color w:val="000000"/>
                <w:szCs w:val="24"/>
              </w:rPr>
              <w:t>）總和占其衍生性</w:t>
            </w:r>
            <w:proofErr w:type="gramStart"/>
            <w:r w:rsidRPr="00A63B4C">
              <w:rPr>
                <w:rFonts w:ascii="Times New Roman" w:eastAsia="標楷體" w:hAnsi="Times New Roman" w:cs="Times New Roman"/>
                <w:color w:val="000000"/>
                <w:szCs w:val="24"/>
              </w:rPr>
              <w:t>商品曝險額度</w:t>
            </w:r>
            <w:proofErr w:type="gramEnd"/>
            <w:r w:rsidRPr="00A63B4C">
              <w:rPr>
                <w:rFonts w:ascii="Times New Roman" w:eastAsia="標楷體" w:hAnsi="Times New Roman" w:cs="Times New Roman"/>
                <w:color w:val="000000"/>
                <w:szCs w:val="24"/>
              </w:rPr>
              <w:t>之最高比重。</w:t>
            </w:r>
          </w:p>
          <w:p w:rsidR="00A63B4C" w:rsidRDefault="00A63B4C"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r w:rsidRPr="00A63B4C">
              <w:rPr>
                <w:rFonts w:ascii="Times New Roman" w:eastAsia="標楷體" w:hAnsi="Times New Roman" w:cs="Times New Roman"/>
                <w:szCs w:val="24"/>
              </w:rPr>
              <w:t>七、槓桿交易商與客戶</w:t>
            </w:r>
            <w:proofErr w:type="gramStart"/>
            <w:r w:rsidRPr="00A63B4C">
              <w:rPr>
                <w:rFonts w:ascii="Times New Roman" w:eastAsia="標楷體" w:hAnsi="Times New Roman" w:cs="Times New Roman"/>
                <w:szCs w:val="24"/>
              </w:rPr>
              <w:t>承作</w:t>
            </w:r>
            <w:proofErr w:type="gramEnd"/>
            <w:r w:rsidRPr="00A63B4C">
              <w:rPr>
                <w:rFonts w:ascii="Times New Roman" w:eastAsia="標楷體" w:hAnsi="Times New Roman" w:cs="Times New Roman"/>
                <w:szCs w:val="24"/>
              </w:rPr>
              <w:t>複雜</w:t>
            </w:r>
            <w:r w:rsidRPr="00A63B4C">
              <w:rPr>
                <w:rFonts w:ascii="Times New Roman" w:eastAsia="標楷體" w:hAnsi="Times New Roman" w:cs="Times New Roman"/>
                <w:szCs w:val="24"/>
                <w:u w:val="single"/>
              </w:rPr>
              <w:t>型</w:t>
            </w:r>
            <w:r w:rsidRPr="00A63B4C">
              <w:rPr>
                <w:rFonts w:ascii="Times New Roman" w:eastAsia="標楷體" w:hAnsi="Times New Roman" w:cs="Times New Roman"/>
                <w:szCs w:val="24"/>
              </w:rPr>
              <w:t>高風險商品交易應告知交易條件重要內容及相關風險，並以錄音方式保留紀錄。</w:t>
            </w:r>
          </w:p>
          <w:p w:rsidR="00760F22" w:rsidRDefault="00760F22"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760F22">
            <w:pPr>
              <w:adjustRightInd w:val="0"/>
              <w:snapToGrid w:val="0"/>
              <w:spacing w:beforeLines="50" w:before="180"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760F22">
            <w:pPr>
              <w:adjustRightInd w:val="0"/>
              <w:snapToGrid w:val="0"/>
              <w:spacing w:beforeLines="50" w:before="180"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760F22">
            <w:pPr>
              <w:adjustRightInd w:val="0"/>
              <w:snapToGrid w:val="0"/>
              <w:spacing w:beforeLines="50" w:before="180" w:line="300" w:lineRule="auto"/>
              <w:ind w:leftChars="8" w:left="444" w:rightChars="17" w:right="41" w:hangingChars="177" w:hanging="425"/>
              <w:jc w:val="both"/>
              <w:rPr>
                <w:rFonts w:ascii="Times New Roman" w:eastAsia="標楷體" w:hAnsi="Times New Roman" w:cs="Times New Roman"/>
                <w:szCs w:val="24"/>
              </w:rPr>
            </w:pPr>
          </w:p>
          <w:p w:rsidR="00760F22" w:rsidRDefault="00760F22" w:rsidP="00A63B4C">
            <w:pPr>
              <w:adjustRightInd w:val="0"/>
              <w:snapToGrid w:val="0"/>
              <w:spacing w:line="300" w:lineRule="auto"/>
              <w:ind w:leftChars="8" w:left="444" w:rightChars="17" w:right="41" w:hangingChars="177" w:hanging="425"/>
              <w:jc w:val="both"/>
              <w:rPr>
                <w:rFonts w:ascii="Times New Roman" w:eastAsia="標楷體" w:hAnsi="Times New Roman" w:cs="Times New Roman"/>
                <w:szCs w:val="24"/>
              </w:rPr>
            </w:pPr>
          </w:p>
          <w:p w:rsidR="00A63B4C" w:rsidRPr="00A63B4C" w:rsidRDefault="00A63B4C" w:rsidP="00A63B4C">
            <w:pPr>
              <w:adjustRightInd w:val="0"/>
              <w:snapToGrid w:val="0"/>
              <w:spacing w:line="300" w:lineRule="auto"/>
              <w:ind w:rightChars="17" w:right="41" w:firstLineChars="200" w:firstLine="480"/>
              <w:jc w:val="both"/>
              <w:rPr>
                <w:rFonts w:ascii="Times New Roman" w:eastAsia="標楷體" w:hAnsi="Times New Roman" w:cs="Times New Roman"/>
                <w:szCs w:val="24"/>
              </w:rPr>
            </w:pPr>
            <w:r w:rsidRPr="00A63B4C">
              <w:rPr>
                <w:rFonts w:ascii="Times New Roman" w:eastAsia="標楷體" w:hAnsi="Times New Roman" w:cs="Times New Roman"/>
                <w:szCs w:val="24"/>
              </w:rPr>
              <w:t>第一項第二款</w:t>
            </w:r>
            <w:proofErr w:type="gramStart"/>
            <w:r w:rsidRPr="00A63B4C">
              <w:rPr>
                <w:rFonts w:ascii="Times New Roman" w:eastAsia="標楷體" w:hAnsi="Times New Roman" w:cs="Times New Roman"/>
                <w:szCs w:val="24"/>
              </w:rPr>
              <w:t>所稱避險</w:t>
            </w:r>
            <w:proofErr w:type="gramEnd"/>
            <w:r w:rsidRPr="00A63B4C">
              <w:rPr>
                <w:rFonts w:ascii="Times New Roman" w:eastAsia="標楷體" w:hAnsi="Times New Roman" w:cs="Times New Roman"/>
                <w:szCs w:val="24"/>
              </w:rPr>
              <w:t>目的，係指客戶有實際相對應之需求。槓桿交易商應有適當之控管制度以確認各類商品是否為避</w:t>
            </w:r>
            <w:r w:rsidRPr="00A63B4C">
              <w:rPr>
                <w:rFonts w:ascii="Times New Roman" w:eastAsia="標楷體" w:hAnsi="Times New Roman" w:cs="Times New Roman"/>
                <w:szCs w:val="24"/>
              </w:rPr>
              <w:lastRenderedPageBreak/>
              <w:t>險目的而</w:t>
            </w:r>
            <w:proofErr w:type="gramStart"/>
            <w:r w:rsidRPr="00A63B4C">
              <w:rPr>
                <w:rFonts w:ascii="Times New Roman" w:eastAsia="標楷體" w:hAnsi="Times New Roman" w:cs="Times New Roman"/>
                <w:szCs w:val="24"/>
              </w:rPr>
              <w:t>承作</w:t>
            </w:r>
            <w:proofErr w:type="gramEnd"/>
            <w:r w:rsidRPr="00A63B4C">
              <w:rPr>
                <w:rFonts w:ascii="Times New Roman" w:eastAsia="標楷體" w:hAnsi="Times New Roman" w:cs="Times New Roman"/>
                <w:szCs w:val="24"/>
              </w:rPr>
              <w:t>，及</w:t>
            </w:r>
            <w:proofErr w:type="gramStart"/>
            <w:r w:rsidRPr="00A63B4C">
              <w:rPr>
                <w:rFonts w:ascii="Times New Roman" w:eastAsia="標楷體" w:hAnsi="Times New Roman" w:cs="Times New Roman"/>
                <w:szCs w:val="24"/>
              </w:rPr>
              <w:t>其曝險</w:t>
            </w:r>
            <w:proofErr w:type="gramEnd"/>
            <w:r w:rsidRPr="00A63B4C">
              <w:rPr>
                <w:rFonts w:ascii="Times New Roman" w:eastAsia="標楷體" w:hAnsi="Times New Roman" w:cs="Times New Roman"/>
                <w:szCs w:val="24"/>
              </w:rPr>
              <w:t>與應避險部位是否相當，並應徵提相關文件。</w:t>
            </w:r>
          </w:p>
          <w:p w:rsidR="00846F1A" w:rsidRPr="008E4F30" w:rsidRDefault="00A63B4C" w:rsidP="00A63B4C">
            <w:pPr>
              <w:pStyle w:val="a4"/>
              <w:kinsoku w:val="0"/>
              <w:adjustRightInd w:val="0"/>
              <w:snapToGrid w:val="0"/>
              <w:spacing w:line="300" w:lineRule="auto"/>
              <w:ind w:left="0" w:rightChars="17" w:right="41" w:firstLineChars="200" w:firstLine="480"/>
              <w:jc w:val="both"/>
              <w:rPr>
                <w:sz w:val="24"/>
              </w:rPr>
            </w:pPr>
            <w:r w:rsidRPr="00A63B4C">
              <w:rPr>
                <w:sz w:val="24"/>
              </w:rPr>
              <w:t>內部作業程序至少應包含商品分級依據、商品風險分類、客戶交易目的評估及風險</w:t>
            </w:r>
            <w:proofErr w:type="gramStart"/>
            <w:r w:rsidRPr="00A63B4C">
              <w:rPr>
                <w:sz w:val="24"/>
              </w:rPr>
              <w:t>集中度控管</w:t>
            </w:r>
            <w:proofErr w:type="gramEnd"/>
            <w:r w:rsidRPr="00A63B4C">
              <w:rPr>
                <w:sz w:val="24"/>
              </w:rPr>
              <w:t>機制。</w:t>
            </w:r>
          </w:p>
        </w:tc>
        <w:tc>
          <w:tcPr>
            <w:tcW w:w="3355" w:type="dxa"/>
            <w:tcBorders>
              <w:top w:val="single" w:sz="4" w:space="0" w:color="auto"/>
              <w:left w:val="single" w:sz="4" w:space="0" w:color="auto"/>
              <w:bottom w:val="single" w:sz="4" w:space="0" w:color="auto"/>
              <w:right w:val="single" w:sz="4" w:space="0" w:color="auto"/>
            </w:tcBorders>
          </w:tcPr>
          <w:p w:rsidR="00760F22" w:rsidRDefault="00760F22" w:rsidP="00760F22">
            <w:pPr>
              <w:pStyle w:val="a3"/>
              <w:numPr>
                <w:ilvl w:val="0"/>
                <w:numId w:val="3"/>
              </w:numPr>
              <w:adjustRightInd w:val="0"/>
              <w:snapToGrid w:val="0"/>
              <w:spacing w:line="300" w:lineRule="auto"/>
              <w:ind w:leftChars="0" w:rightChars="-14" w:right="-34"/>
              <w:jc w:val="both"/>
              <w:rPr>
                <w:rFonts w:ascii="Times New Roman" w:eastAsia="標楷體" w:hAnsi="Times New Roman" w:cs="Times New Roman"/>
                <w:kern w:val="0"/>
                <w:szCs w:val="24"/>
              </w:rPr>
            </w:pPr>
            <w:r w:rsidRPr="00760F22">
              <w:rPr>
                <w:rFonts w:ascii="Times New Roman" w:eastAsia="標楷體" w:hAnsi="Times New Roman" w:cs="Times New Roman" w:hint="eastAsia"/>
                <w:kern w:val="0"/>
                <w:szCs w:val="24"/>
              </w:rPr>
              <w:lastRenderedPageBreak/>
              <w:t>參照「證券商辦理衍生性金融商品交易業務應注意事項」第</w:t>
            </w:r>
            <w:r>
              <w:rPr>
                <w:rFonts w:ascii="Times New Roman" w:eastAsia="標楷體" w:hAnsi="Times New Roman" w:cs="Times New Roman" w:hint="eastAsia"/>
                <w:kern w:val="0"/>
                <w:szCs w:val="24"/>
              </w:rPr>
              <w:t>25</w:t>
            </w:r>
            <w:r w:rsidRPr="00760F22">
              <w:rPr>
                <w:rFonts w:ascii="Times New Roman" w:eastAsia="標楷體" w:hAnsi="Times New Roman" w:cs="Times New Roman" w:hint="eastAsia"/>
                <w:kern w:val="0"/>
                <w:szCs w:val="24"/>
              </w:rPr>
              <w:t>條</w:t>
            </w:r>
            <w:r>
              <w:rPr>
                <w:rFonts w:ascii="Times New Roman" w:eastAsia="標楷體" w:hAnsi="Times New Roman" w:cs="Times New Roman" w:hint="eastAsia"/>
                <w:kern w:val="0"/>
                <w:szCs w:val="24"/>
              </w:rPr>
              <w:t>修正本條規定。</w:t>
            </w:r>
          </w:p>
          <w:p w:rsidR="00A63B4C" w:rsidRPr="00CC7E05" w:rsidRDefault="00A63B4C" w:rsidP="00A63B4C">
            <w:pPr>
              <w:pStyle w:val="a3"/>
              <w:numPr>
                <w:ilvl w:val="0"/>
                <w:numId w:val="3"/>
              </w:numPr>
              <w:adjustRightInd w:val="0"/>
              <w:snapToGrid w:val="0"/>
              <w:spacing w:line="300" w:lineRule="auto"/>
              <w:ind w:leftChars="0" w:rightChars="-14" w:right="-34"/>
              <w:jc w:val="both"/>
              <w:rPr>
                <w:rFonts w:ascii="Times New Roman" w:eastAsia="標楷體" w:hAnsi="Times New Roman" w:cs="Times New Roman"/>
                <w:kern w:val="0"/>
                <w:szCs w:val="24"/>
              </w:rPr>
            </w:pPr>
            <w:r w:rsidRPr="00CC7E05">
              <w:rPr>
                <w:rFonts w:ascii="Times New Roman" w:eastAsia="標楷體" w:hAnsi="Times New Roman" w:cs="Times New Roman"/>
                <w:kern w:val="0"/>
                <w:szCs w:val="24"/>
              </w:rPr>
              <w:t>配合</w:t>
            </w:r>
            <w:r w:rsidRPr="00CC7E05">
              <w:rPr>
                <w:rFonts w:ascii="Times New Roman" w:eastAsia="標楷體" w:hAnsi="Times New Roman" w:cs="Times New Roman"/>
                <w:kern w:val="0"/>
                <w:szCs w:val="24"/>
              </w:rPr>
              <w:t>104</w:t>
            </w:r>
            <w:r w:rsidRPr="00CC7E05">
              <w:rPr>
                <w:rFonts w:ascii="Times New Roman" w:eastAsia="標楷體" w:hAnsi="Times New Roman" w:cs="Times New Roman"/>
                <w:kern w:val="0"/>
                <w:szCs w:val="24"/>
              </w:rPr>
              <w:t>年</w:t>
            </w:r>
            <w:r w:rsidRPr="00CC7E05">
              <w:rPr>
                <w:rFonts w:ascii="Times New Roman" w:eastAsia="標楷體" w:hAnsi="Times New Roman" w:cs="Times New Roman"/>
                <w:kern w:val="0"/>
                <w:szCs w:val="24"/>
              </w:rPr>
              <w:t>2</w:t>
            </w:r>
            <w:r w:rsidRPr="00CC7E05">
              <w:rPr>
                <w:rFonts w:ascii="Times New Roman" w:eastAsia="標楷體" w:hAnsi="Times New Roman" w:cs="Times New Roman"/>
                <w:kern w:val="0"/>
                <w:szCs w:val="24"/>
              </w:rPr>
              <w:t>月</w:t>
            </w:r>
            <w:r w:rsidRPr="00CC7E05">
              <w:rPr>
                <w:rFonts w:ascii="Times New Roman" w:eastAsia="標楷體" w:hAnsi="Times New Roman" w:cs="Times New Roman"/>
                <w:kern w:val="0"/>
                <w:szCs w:val="24"/>
              </w:rPr>
              <w:t>4</w:t>
            </w:r>
            <w:r w:rsidRPr="00CC7E05">
              <w:rPr>
                <w:rFonts w:ascii="Times New Roman" w:eastAsia="標楷體" w:hAnsi="Times New Roman" w:cs="Times New Roman"/>
                <w:kern w:val="0"/>
                <w:szCs w:val="24"/>
              </w:rPr>
              <w:t>日總統</w:t>
            </w:r>
            <w:proofErr w:type="gramStart"/>
            <w:r w:rsidRPr="00CC7E05">
              <w:rPr>
                <w:rFonts w:ascii="Times New Roman" w:eastAsia="標楷體" w:hAnsi="Times New Roman" w:cs="Times New Roman"/>
                <w:kern w:val="0"/>
                <w:szCs w:val="24"/>
              </w:rPr>
              <w:t>華總一義字第</w:t>
            </w:r>
            <w:r w:rsidRPr="00CC7E05">
              <w:rPr>
                <w:rFonts w:ascii="Times New Roman" w:eastAsia="標楷體" w:hAnsi="Times New Roman" w:cs="Times New Roman"/>
                <w:kern w:val="0"/>
                <w:szCs w:val="24"/>
              </w:rPr>
              <w:t>10400013331</w:t>
            </w:r>
            <w:proofErr w:type="gramEnd"/>
            <w:r w:rsidRPr="00CC7E05">
              <w:rPr>
                <w:rFonts w:ascii="Times New Roman" w:eastAsia="標楷體" w:hAnsi="Times New Roman" w:cs="Times New Roman"/>
                <w:kern w:val="0"/>
                <w:szCs w:val="24"/>
              </w:rPr>
              <w:t>號令修正「金融消費者保護法」增訂第</w:t>
            </w:r>
            <w:r w:rsidRPr="00CC7E05">
              <w:rPr>
                <w:rFonts w:ascii="Times New Roman" w:eastAsia="標楷體" w:hAnsi="Times New Roman" w:cs="Times New Roman"/>
                <w:kern w:val="0"/>
                <w:szCs w:val="24"/>
              </w:rPr>
              <w:t>10</w:t>
            </w:r>
            <w:r w:rsidRPr="00CC7E05">
              <w:rPr>
                <w:rFonts w:ascii="Times New Roman" w:eastAsia="標楷體" w:hAnsi="Times New Roman" w:cs="Times New Roman"/>
                <w:kern w:val="0"/>
                <w:szCs w:val="24"/>
              </w:rPr>
              <w:t>條第</w:t>
            </w:r>
            <w:r w:rsidRPr="00CC7E05">
              <w:rPr>
                <w:rFonts w:ascii="Times New Roman" w:eastAsia="標楷體" w:hAnsi="Times New Roman" w:cs="Times New Roman"/>
                <w:kern w:val="0"/>
                <w:szCs w:val="24"/>
              </w:rPr>
              <w:t>4</w:t>
            </w:r>
            <w:r w:rsidRPr="00CC7E05">
              <w:rPr>
                <w:rFonts w:ascii="Times New Roman" w:eastAsia="標楷體" w:hAnsi="Times New Roman" w:cs="Times New Roman"/>
                <w:kern w:val="0"/>
                <w:szCs w:val="24"/>
              </w:rPr>
              <w:t>項金融服務業提供複雜性高風險商品進行商品說明及揭露時，除</w:t>
            </w:r>
            <w:proofErr w:type="gramStart"/>
            <w:r w:rsidRPr="00CC7E05">
              <w:rPr>
                <w:rFonts w:ascii="Times New Roman" w:eastAsia="標楷體" w:hAnsi="Times New Roman" w:cs="Times New Roman"/>
                <w:kern w:val="0"/>
                <w:szCs w:val="24"/>
              </w:rPr>
              <w:t>以非臨櫃</w:t>
            </w:r>
            <w:proofErr w:type="gramEnd"/>
            <w:r w:rsidRPr="00CC7E05">
              <w:rPr>
                <w:rFonts w:ascii="Times New Roman" w:eastAsia="標楷體" w:hAnsi="Times New Roman" w:cs="Times New Roman"/>
                <w:kern w:val="0"/>
                <w:szCs w:val="24"/>
              </w:rPr>
              <w:t>之自動化通路交易或金融消費者不予同意之情形外，應錄音或錄影之規定，修正本條第</w:t>
            </w:r>
            <w:r>
              <w:rPr>
                <w:rFonts w:ascii="Times New Roman" w:eastAsia="標楷體" w:hAnsi="Times New Roman" w:cs="Times New Roman"/>
                <w:kern w:val="0"/>
                <w:szCs w:val="24"/>
              </w:rPr>
              <w:t>1</w:t>
            </w:r>
            <w:r w:rsidRPr="00CC7E05">
              <w:rPr>
                <w:rFonts w:ascii="Times New Roman" w:eastAsia="標楷體" w:hAnsi="Times New Roman" w:cs="Times New Roman"/>
                <w:kern w:val="0"/>
                <w:szCs w:val="24"/>
              </w:rPr>
              <w:t>項第</w:t>
            </w:r>
            <w:r w:rsidRPr="00CC7E05">
              <w:rPr>
                <w:rFonts w:ascii="Times New Roman" w:eastAsia="標楷體" w:hAnsi="Times New Roman" w:cs="Times New Roman"/>
                <w:kern w:val="0"/>
                <w:szCs w:val="24"/>
              </w:rPr>
              <w:t>7</w:t>
            </w:r>
            <w:r>
              <w:rPr>
                <w:rFonts w:ascii="Times New Roman" w:eastAsia="標楷體" w:hAnsi="Times New Roman" w:cs="Times New Roman"/>
                <w:kern w:val="0"/>
                <w:szCs w:val="24"/>
              </w:rPr>
              <w:t>款規定</w:t>
            </w:r>
            <w:r w:rsidRPr="00CC7E05">
              <w:rPr>
                <w:rFonts w:ascii="Times New Roman" w:eastAsia="標楷體" w:hAnsi="Times New Roman" w:cs="Times New Roman"/>
                <w:kern w:val="0"/>
                <w:szCs w:val="24"/>
              </w:rPr>
              <w:t>。</w:t>
            </w:r>
          </w:p>
          <w:p w:rsidR="00A63B4C" w:rsidRDefault="00A63B4C" w:rsidP="00A63B4C">
            <w:pPr>
              <w:pStyle w:val="a3"/>
              <w:numPr>
                <w:ilvl w:val="0"/>
                <w:numId w:val="3"/>
              </w:numPr>
              <w:adjustRightInd w:val="0"/>
              <w:snapToGrid w:val="0"/>
              <w:spacing w:line="300" w:lineRule="auto"/>
              <w:ind w:leftChars="0"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t>參考</w:t>
            </w:r>
            <w:r w:rsidRPr="00CC7E05">
              <w:rPr>
                <w:rFonts w:ascii="Times New Roman" w:eastAsia="標楷體" w:hAnsi="Times New Roman" w:cs="Times New Roman"/>
                <w:kern w:val="0"/>
                <w:szCs w:val="24"/>
              </w:rPr>
              <w:t>104</w:t>
            </w:r>
            <w:r w:rsidRPr="00CC7E05">
              <w:rPr>
                <w:rFonts w:ascii="Times New Roman" w:eastAsia="標楷體" w:hAnsi="Times New Roman" w:cs="Times New Roman"/>
                <w:kern w:val="0"/>
                <w:szCs w:val="24"/>
              </w:rPr>
              <w:t>年</w:t>
            </w:r>
            <w:r w:rsidRPr="00CC7E05">
              <w:rPr>
                <w:rFonts w:ascii="Times New Roman" w:eastAsia="標楷體" w:hAnsi="Times New Roman" w:cs="Times New Roman"/>
                <w:kern w:val="0"/>
                <w:szCs w:val="24"/>
              </w:rPr>
              <w:t>2</w:t>
            </w:r>
            <w:r w:rsidRPr="00CC7E05">
              <w:rPr>
                <w:rFonts w:ascii="Times New Roman" w:eastAsia="標楷體" w:hAnsi="Times New Roman" w:cs="Times New Roman"/>
                <w:kern w:val="0"/>
                <w:szCs w:val="24"/>
              </w:rPr>
              <w:t>月</w:t>
            </w:r>
            <w:r w:rsidRPr="00CC7E05">
              <w:rPr>
                <w:rFonts w:ascii="Times New Roman" w:eastAsia="標楷體" w:hAnsi="Times New Roman" w:cs="Times New Roman"/>
                <w:kern w:val="0"/>
                <w:szCs w:val="24"/>
              </w:rPr>
              <w:t>4</w:t>
            </w:r>
            <w:r w:rsidRPr="00CC7E05">
              <w:rPr>
                <w:rFonts w:ascii="Times New Roman" w:eastAsia="標楷體" w:hAnsi="Times New Roman" w:cs="Times New Roman"/>
                <w:kern w:val="0"/>
                <w:szCs w:val="24"/>
              </w:rPr>
              <w:t>日總統</w:t>
            </w:r>
            <w:proofErr w:type="gramStart"/>
            <w:r w:rsidRPr="00CC7E05">
              <w:rPr>
                <w:rFonts w:ascii="Times New Roman" w:eastAsia="標楷體" w:hAnsi="Times New Roman" w:cs="Times New Roman"/>
                <w:kern w:val="0"/>
                <w:szCs w:val="24"/>
              </w:rPr>
              <w:t>華總一義字第</w:t>
            </w:r>
            <w:r w:rsidRPr="00CC7E05">
              <w:rPr>
                <w:rFonts w:ascii="Times New Roman" w:eastAsia="標楷體" w:hAnsi="Times New Roman" w:cs="Times New Roman"/>
                <w:kern w:val="0"/>
                <w:szCs w:val="24"/>
              </w:rPr>
              <w:t>10400013331</w:t>
            </w:r>
            <w:proofErr w:type="gramEnd"/>
            <w:r>
              <w:rPr>
                <w:rFonts w:ascii="Times New Roman" w:eastAsia="標楷體" w:hAnsi="Times New Roman" w:cs="Times New Roman"/>
                <w:kern w:val="0"/>
                <w:szCs w:val="24"/>
              </w:rPr>
              <w:t>號令增訂「金融消費者保護法」</w:t>
            </w:r>
            <w:r w:rsidRPr="00CC7E05">
              <w:rPr>
                <w:rFonts w:ascii="Times New Roman" w:eastAsia="標楷體" w:hAnsi="Times New Roman" w:cs="Times New Roman"/>
                <w:kern w:val="0"/>
                <w:szCs w:val="24"/>
              </w:rPr>
              <w:t>第</w:t>
            </w:r>
            <w:r w:rsidRPr="00CC7E05">
              <w:rPr>
                <w:rFonts w:ascii="Times New Roman" w:eastAsia="標楷體" w:hAnsi="Times New Roman" w:cs="Times New Roman"/>
                <w:kern w:val="0"/>
                <w:szCs w:val="24"/>
              </w:rPr>
              <w:t>11</w:t>
            </w:r>
            <w:r w:rsidRPr="00CC7E05">
              <w:rPr>
                <w:rFonts w:ascii="Times New Roman" w:eastAsia="標楷體" w:hAnsi="Times New Roman" w:cs="Times New Roman"/>
                <w:kern w:val="0"/>
                <w:szCs w:val="24"/>
              </w:rPr>
              <w:t>條之</w:t>
            </w:r>
            <w:r w:rsidRPr="00CC7E05">
              <w:rPr>
                <w:rFonts w:ascii="Times New Roman" w:eastAsia="標楷體" w:hAnsi="Times New Roman" w:cs="Times New Roman"/>
                <w:kern w:val="0"/>
                <w:szCs w:val="24"/>
              </w:rPr>
              <w:t>2</w:t>
            </w:r>
            <w:r>
              <w:rPr>
                <w:rFonts w:ascii="Times New Roman" w:eastAsia="標楷體" w:hAnsi="Times New Roman" w:cs="Times New Roman"/>
                <w:kern w:val="0"/>
                <w:szCs w:val="24"/>
              </w:rPr>
              <w:t>有關複雜性高風險商品</w:t>
            </w:r>
            <w:r w:rsidRPr="00CC7E05">
              <w:rPr>
                <w:rFonts w:ascii="Times New Roman" w:eastAsia="標楷體" w:hAnsi="Times New Roman" w:cs="Times New Roman"/>
                <w:kern w:val="0"/>
                <w:szCs w:val="24"/>
              </w:rPr>
              <w:t>之規定，</w:t>
            </w:r>
            <w:proofErr w:type="gramStart"/>
            <w:r>
              <w:rPr>
                <w:rFonts w:ascii="Times New Roman" w:eastAsia="標楷體" w:hAnsi="Times New Roman" w:cs="Times New Roman"/>
                <w:kern w:val="0"/>
                <w:szCs w:val="24"/>
              </w:rPr>
              <w:t>爰</w:t>
            </w:r>
            <w:proofErr w:type="gramEnd"/>
            <w:r w:rsidRPr="00CC7E05">
              <w:rPr>
                <w:rFonts w:ascii="Times New Roman" w:eastAsia="標楷體" w:hAnsi="Times New Roman" w:cs="Times New Roman"/>
                <w:kern w:val="0"/>
                <w:szCs w:val="24"/>
              </w:rPr>
              <w:t>修正</w:t>
            </w:r>
            <w:r>
              <w:rPr>
                <w:rFonts w:ascii="Times New Roman" w:eastAsia="標楷體" w:hAnsi="Times New Roman" w:cs="Times New Roman"/>
                <w:kern w:val="0"/>
                <w:szCs w:val="24"/>
              </w:rPr>
              <w:t>原複雜型高風險商品文字，以與金融消費者保護法一致，修正第</w:t>
            </w:r>
            <w:r>
              <w:rPr>
                <w:rFonts w:ascii="Times New Roman" w:eastAsia="標楷體" w:hAnsi="Times New Roman" w:cs="Times New Roman" w:hint="eastAsia"/>
                <w:kern w:val="0"/>
                <w:szCs w:val="24"/>
              </w:rPr>
              <w:t>1</w:t>
            </w:r>
            <w:r w:rsidRPr="00CC7E05">
              <w:rPr>
                <w:rFonts w:ascii="Times New Roman" w:eastAsia="標楷體" w:hAnsi="Times New Roman" w:cs="Times New Roman"/>
                <w:kern w:val="0"/>
                <w:szCs w:val="24"/>
              </w:rPr>
              <w:t>項第</w:t>
            </w:r>
            <w:r>
              <w:rPr>
                <w:rFonts w:ascii="Times New Roman" w:eastAsia="標楷體" w:hAnsi="Times New Roman" w:cs="Times New Roman" w:hint="eastAsia"/>
                <w:kern w:val="0"/>
                <w:szCs w:val="24"/>
              </w:rPr>
              <w:t>1</w:t>
            </w:r>
            <w:r>
              <w:rPr>
                <w:rFonts w:ascii="Times New Roman" w:eastAsia="標楷體" w:hAnsi="Times New Roman" w:cs="Times New Roman" w:hint="eastAsia"/>
                <w:kern w:val="0"/>
                <w:szCs w:val="24"/>
              </w:rPr>
              <w:t>款、第</w:t>
            </w: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款、第</w:t>
            </w:r>
            <w:r>
              <w:rPr>
                <w:rFonts w:ascii="Times New Roman" w:eastAsia="標楷體" w:hAnsi="Times New Roman" w:cs="Times New Roman"/>
                <w:kern w:val="0"/>
                <w:szCs w:val="24"/>
              </w:rPr>
              <w:t>5</w:t>
            </w:r>
            <w:r>
              <w:rPr>
                <w:rFonts w:ascii="Times New Roman" w:eastAsia="標楷體" w:hAnsi="Times New Roman" w:cs="Times New Roman"/>
                <w:kern w:val="0"/>
                <w:szCs w:val="24"/>
              </w:rPr>
              <w:t>款</w:t>
            </w:r>
            <w:r>
              <w:rPr>
                <w:rFonts w:ascii="Times New Roman" w:eastAsia="標楷體" w:hAnsi="Times New Roman" w:cs="Times New Roman" w:hint="eastAsia"/>
                <w:kern w:val="0"/>
                <w:szCs w:val="24"/>
              </w:rPr>
              <w:t>、第</w:t>
            </w:r>
            <w:r>
              <w:rPr>
                <w:rFonts w:ascii="Times New Roman" w:eastAsia="標楷體" w:hAnsi="Times New Roman" w:cs="Times New Roman"/>
                <w:kern w:val="0"/>
                <w:szCs w:val="24"/>
              </w:rPr>
              <w:t>6</w:t>
            </w:r>
            <w:r>
              <w:rPr>
                <w:rFonts w:ascii="Times New Roman" w:eastAsia="標楷體" w:hAnsi="Times New Roman" w:cs="Times New Roman"/>
                <w:kern w:val="0"/>
                <w:szCs w:val="24"/>
              </w:rPr>
              <w:t>款及</w:t>
            </w:r>
            <w:r w:rsidRPr="00CC7E05">
              <w:rPr>
                <w:rFonts w:ascii="Times New Roman" w:eastAsia="標楷體" w:hAnsi="Times New Roman" w:cs="Times New Roman"/>
                <w:kern w:val="0"/>
                <w:szCs w:val="24"/>
              </w:rPr>
              <w:t>第</w:t>
            </w:r>
            <w:r>
              <w:rPr>
                <w:rFonts w:ascii="Times New Roman" w:eastAsia="標楷體" w:hAnsi="Times New Roman" w:cs="Times New Roman"/>
                <w:kern w:val="0"/>
                <w:szCs w:val="24"/>
              </w:rPr>
              <w:t>7</w:t>
            </w:r>
            <w:r w:rsidRPr="00CC7E05">
              <w:rPr>
                <w:rFonts w:ascii="Times New Roman" w:eastAsia="標楷體" w:hAnsi="Times New Roman" w:cs="Times New Roman"/>
                <w:kern w:val="0"/>
                <w:szCs w:val="24"/>
              </w:rPr>
              <w:t>項文字。</w:t>
            </w:r>
          </w:p>
          <w:p w:rsidR="00846F1A" w:rsidRDefault="00A63B4C" w:rsidP="00A63B4C">
            <w:pPr>
              <w:pStyle w:val="a3"/>
              <w:numPr>
                <w:ilvl w:val="0"/>
                <w:numId w:val="3"/>
              </w:numPr>
              <w:adjustRightInd w:val="0"/>
              <w:snapToGrid w:val="0"/>
              <w:spacing w:line="300" w:lineRule="auto"/>
              <w:ind w:leftChars="0" w:rightChars="-14" w:right="-34"/>
              <w:jc w:val="both"/>
              <w:rPr>
                <w:rFonts w:ascii="Times New Roman" w:eastAsia="標楷體" w:hAnsi="Times New Roman" w:cs="Times New Roman"/>
                <w:kern w:val="0"/>
                <w:szCs w:val="24"/>
              </w:rPr>
            </w:pPr>
            <w:r w:rsidRPr="00A63B4C">
              <w:rPr>
                <w:rFonts w:ascii="Times New Roman" w:eastAsia="標楷體" w:hAnsi="Times New Roman" w:cs="Times New Roman" w:hint="eastAsia"/>
                <w:kern w:val="0"/>
                <w:szCs w:val="24"/>
              </w:rPr>
              <w:t>參考金融監督管理委員會</w:t>
            </w:r>
            <w:r w:rsidRPr="00A63B4C">
              <w:rPr>
                <w:rFonts w:ascii="Times New Roman" w:eastAsia="標楷體" w:hAnsi="Times New Roman" w:cs="Times New Roman" w:hint="eastAsia"/>
                <w:kern w:val="0"/>
                <w:szCs w:val="24"/>
              </w:rPr>
              <w:t>104</w:t>
            </w:r>
            <w:r w:rsidRPr="00A63B4C">
              <w:rPr>
                <w:rFonts w:ascii="Times New Roman" w:eastAsia="標楷體" w:hAnsi="Times New Roman" w:cs="Times New Roman" w:hint="eastAsia"/>
                <w:kern w:val="0"/>
                <w:szCs w:val="24"/>
              </w:rPr>
              <w:t>年</w:t>
            </w:r>
            <w:r w:rsidRPr="00A63B4C">
              <w:rPr>
                <w:rFonts w:ascii="Times New Roman" w:eastAsia="標楷體" w:hAnsi="Times New Roman" w:cs="Times New Roman" w:hint="eastAsia"/>
                <w:kern w:val="0"/>
                <w:szCs w:val="24"/>
              </w:rPr>
              <w:t>5</w:t>
            </w:r>
            <w:r w:rsidRPr="00A63B4C">
              <w:rPr>
                <w:rFonts w:ascii="Times New Roman" w:eastAsia="標楷體" w:hAnsi="Times New Roman" w:cs="Times New Roman" w:hint="eastAsia"/>
                <w:kern w:val="0"/>
                <w:szCs w:val="24"/>
              </w:rPr>
              <w:t>月</w:t>
            </w:r>
            <w:r w:rsidRPr="00A63B4C">
              <w:rPr>
                <w:rFonts w:ascii="Times New Roman" w:eastAsia="標楷體" w:hAnsi="Times New Roman" w:cs="Times New Roman" w:hint="eastAsia"/>
                <w:kern w:val="0"/>
                <w:szCs w:val="24"/>
              </w:rPr>
              <w:t>1</w:t>
            </w:r>
            <w:r w:rsidRPr="00A63B4C">
              <w:rPr>
                <w:rFonts w:ascii="Times New Roman" w:eastAsia="標楷體" w:hAnsi="Times New Roman" w:cs="Times New Roman" w:hint="eastAsia"/>
                <w:kern w:val="0"/>
                <w:szCs w:val="24"/>
              </w:rPr>
              <w:t>日金</w:t>
            </w:r>
            <w:proofErr w:type="gramStart"/>
            <w:r w:rsidRPr="00A63B4C">
              <w:rPr>
                <w:rFonts w:ascii="Times New Roman" w:eastAsia="標楷體" w:hAnsi="Times New Roman" w:cs="Times New Roman" w:hint="eastAsia"/>
                <w:kern w:val="0"/>
                <w:szCs w:val="24"/>
              </w:rPr>
              <w:t>管法字第</w:t>
            </w:r>
            <w:r w:rsidRPr="00A63B4C">
              <w:rPr>
                <w:rFonts w:ascii="Times New Roman" w:eastAsia="標楷體" w:hAnsi="Times New Roman" w:cs="Times New Roman" w:hint="eastAsia"/>
                <w:kern w:val="0"/>
                <w:szCs w:val="24"/>
              </w:rPr>
              <w:t>10400545890</w:t>
            </w:r>
            <w:r w:rsidRPr="00A63B4C">
              <w:rPr>
                <w:rFonts w:ascii="Times New Roman" w:eastAsia="標楷體" w:hAnsi="Times New Roman" w:cs="Times New Roman" w:hint="eastAsia"/>
                <w:kern w:val="0"/>
                <w:szCs w:val="24"/>
              </w:rPr>
              <w:t>號</w:t>
            </w:r>
            <w:proofErr w:type="gramEnd"/>
            <w:r w:rsidRPr="00A63B4C">
              <w:rPr>
                <w:rFonts w:ascii="Times New Roman" w:eastAsia="標楷體" w:hAnsi="Times New Roman" w:cs="Times New Roman" w:hint="eastAsia"/>
                <w:kern w:val="0"/>
                <w:szCs w:val="24"/>
              </w:rPr>
              <w:t>增訂「金融服務業提供金融商品或服務前說明契約重要內容及揭露風險辦法」第</w:t>
            </w:r>
            <w:r w:rsidRPr="00A63B4C">
              <w:rPr>
                <w:rFonts w:ascii="Times New Roman" w:eastAsia="標楷體" w:hAnsi="Times New Roman" w:cs="Times New Roman" w:hint="eastAsia"/>
                <w:kern w:val="0"/>
                <w:szCs w:val="24"/>
              </w:rPr>
              <w:t>9</w:t>
            </w:r>
            <w:r w:rsidRPr="00A63B4C">
              <w:rPr>
                <w:rFonts w:ascii="Times New Roman" w:eastAsia="標楷體" w:hAnsi="Times New Roman" w:cs="Times New Roman" w:hint="eastAsia"/>
                <w:kern w:val="0"/>
                <w:szCs w:val="24"/>
              </w:rPr>
              <w:t>條第</w:t>
            </w:r>
            <w:r w:rsidRPr="00A63B4C">
              <w:rPr>
                <w:rFonts w:ascii="Times New Roman" w:eastAsia="標楷體" w:hAnsi="Times New Roman" w:cs="Times New Roman" w:hint="eastAsia"/>
                <w:kern w:val="0"/>
                <w:szCs w:val="24"/>
              </w:rPr>
              <w:t>2</w:t>
            </w:r>
            <w:r w:rsidRPr="00A63B4C">
              <w:rPr>
                <w:rFonts w:ascii="Times New Roman" w:eastAsia="標楷體" w:hAnsi="Times New Roman" w:cs="Times New Roman" w:hint="eastAsia"/>
                <w:kern w:val="0"/>
                <w:szCs w:val="24"/>
              </w:rPr>
              <w:t>項，有關錄音或錄影保存期</w:t>
            </w:r>
            <w:r w:rsidRPr="00A63B4C">
              <w:rPr>
                <w:rFonts w:ascii="Times New Roman" w:eastAsia="標楷體" w:hAnsi="Times New Roman" w:cs="Times New Roman" w:hint="eastAsia"/>
                <w:kern w:val="0"/>
                <w:szCs w:val="24"/>
              </w:rPr>
              <w:lastRenderedPageBreak/>
              <w:t>間及發生金融消費爭議時應保存至爭議終結為止之規定，</w:t>
            </w:r>
            <w:proofErr w:type="gramStart"/>
            <w:r w:rsidRPr="00A63B4C">
              <w:rPr>
                <w:rFonts w:ascii="Times New Roman" w:eastAsia="標楷體" w:hAnsi="Times New Roman" w:cs="Times New Roman" w:hint="eastAsia"/>
                <w:kern w:val="0"/>
                <w:szCs w:val="24"/>
              </w:rPr>
              <w:t>爰</w:t>
            </w:r>
            <w:proofErr w:type="gramEnd"/>
            <w:r w:rsidRPr="00A63B4C">
              <w:rPr>
                <w:rFonts w:ascii="Times New Roman" w:eastAsia="標楷體" w:hAnsi="Times New Roman" w:cs="Times New Roman" w:hint="eastAsia"/>
                <w:kern w:val="0"/>
                <w:szCs w:val="24"/>
              </w:rPr>
              <w:t>修正第</w:t>
            </w:r>
            <w:r w:rsidRPr="00A63B4C">
              <w:rPr>
                <w:rFonts w:ascii="Times New Roman" w:eastAsia="標楷體" w:hAnsi="Times New Roman" w:cs="Times New Roman" w:hint="eastAsia"/>
                <w:kern w:val="0"/>
                <w:szCs w:val="24"/>
              </w:rPr>
              <w:t>1</w:t>
            </w:r>
            <w:r w:rsidRPr="00A63B4C">
              <w:rPr>
                <w:rFonts w:ascii="Times New Roman" w:eastAsia="標楷體" w:hAnsi="Times New Roman" w:cs="Times New Roman" w:hint="eastAsia"/>
                <w:kern w:val="0"/>
                <w:szCs w:val="24"/>
              </w:rPr>
              <w:t>項第</w:t>
            </w:r>
            <w:r w:rsidRPr="00A63B4C">
              <w:rPr>
                <w:rFonts w:ascii="Times New Roman" w:eastAsia="標楷體" w:hAnsi="Times New Roman" w:cs="Times New Roman"/>
                <w:kern w:val="0"/>
                <w:szCs w:val="24"/>
              </w:rPr>
              <w:t>7</w:t>
            </w:r>
            <w:r w:rsidRPr="00A63B4C">
              <w:rPr>
                <w:rFonts w:ascii="Times New Roman" w:eastAsia="標楷體" w:hAnsi="Times New Roman" w:cs="Times New Roman"/>
                <w:kern w:val="0"/>
                <w:szCs w:val="24"/>
              </w:rPr>
              <w:t>款</w:t>
            </w:r>
            <w:r w:rsidRPr="00A63B4C">
              <w:rPr>
                <w:rFonts w:ascii="Times New Roman" w:eastAsia="標楷體" w:hAnsi="Times New Roman" w:cs="Times New Roman" w:hint="eastAsia"/>
                <w:kern w:val="0"/>
                <w:szCs w:val="24"/>
              </w:rPr>
              <w:t>後段規定。</w:t>
            </w:r>
          </w:p>
          <w:p w:rsidR="00760F22" w:rsidRPr="00760F22" w:rsidRDefault="00760F22" w:rsidP="00760F22">
            <w:pPr>
              <w:adjustRightInd w:val="0"/>
              <w:snapToGrid w:val="0"/>
              <w:spacing w:line="300" w:lineRule="auto"/>
              <w:ind w:rightChars="-14" w:right="-34"/>
              <w:jc w:val="both"/>
              <w:rPr>
                <w:rFonts w:ascii="Times New Roman" w:eastAsia="標楷體" w:hAnsi="Times New Roman" w:cs="Times New Roman"/>
                <w:kern w:val="0"/>
                <w:szCs w:val="24"/>
              </w:rPr>
            </w:pPr>
          </w:p>
        </w:tc>
      </w:tr>
    </w:tbl>
    <w:p w:rsidR="00751945" w:rsidRPr="000F7764" w:rsidRDefault="00751945" w:rsidP="00023D65">
      <w:pPr>
        <w:widowControl/>
        <w:adjustRightInd w:val="0"/>
        <w:snapToGrid w:val="0"/>
        <w:spacing w:line="300" w:lineRule="auto"/>
        <w:rPr>
          <w:rFonts w:ascii="Times New Roman" w:eastAsia="標楷體" w:hAnsi="Times New Roman" w:cs="Times New Roman"/>
          <w:b/>
          <w:bCs/>
          <w:snapToGrid w:val="0"/>
          <w:sz w:val="36"/>
          <w:szCs w:val="24"/>
        </w:rPr>
      </w:pPr>
    </w:p>
    <w:sectPr w:rsidR="00751945" w:rsidRPr="000F7764" w:rsidSect="00D104F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6A" w:rsidRPr="00D52126" w:rsidRDefault="00CC1E6A" w:rsidP="00F62482">
      <w:pPr>
        <w:spacing w:line="240" w:lineRule="auto"/>
        <w:rPr>
          <w:szCs w:val="24"/>
        </w:rPr>
      </w:pPr>
      <w:r>
        <w:separator/>
      </w:r>
    </w:p>
  </w:endnote>
  <w:endnote w:type="continuationSeparator" w:id="0">
    <w:p w:rsidR="00CC1E6A" w:rsidRPr="00D52126" w:rsidRDefault="00CC1E6A" w:rsidP="00F62482">
      <w:pPr>
        <w:spacing w:line="240" w:lineRule="auto"/>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475065"/>
      <w:docPartObj>
        <w:docPartGallery w:val="Page Numbers (Bottom of Page)"/>
        <w:docPartUnique/>
      </w:docPartObj>
    </w:sdtPr>
    <w:sdtEndPr/>
    <w:sdtContent>
      <w:p w:rsidR="00B6763C" w:rsidRDefault="00B6763C">
        <w:pPr>
          <w:pStyle w:val="a8"/>
          <w:jc w:val="right"/>
        </w:pPr>
        <w:r>
          <w:fldChar w:fldCharType="begin"/>
        </w:r>
        <w:r>
          <w:instrText xml:space="preserve"> PAGE   \* MERGEFORMAT </w:instrText>
        </w:r>
        <w:r>
          <w:fldChar w:fldCharType="separate"/>
        </w:r>
        <w:r w:rsidR="00BD7D29" w:rsidRPr="00BD7D29">
          <w:rPr>
            <w:noProof/>
            <w:lang w:val="zh-TW"/>
          </w:rPr>
          <w:t>5</w:t>
        </w:r>
        <w:r>
          <w:rPr>
            <w:noProof/>
            <w:lang w:val="zh-TW"/>
          </w:rPr>
          <w:fldChar w:fldCharType="end"/>
        </w:r>
      </w:p>
    </w:sdtContent>
  </w:sdt>
  <w:p w:rsidR="00B6763C" w:rsidRDefault="00B676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6A" w:rsidRPr="00D52126" w:rsidRDefault="00CC1E6A" w:rsidP="00F62482">
      <w:pPr>
        <w:spacing w:line="240" w:lineRule="auto"/>
        <w:rPr>
          <w:szCs w:val="24"/>
        </w:rPr>
      </w:pPr>
      <w:r>
        <w:separator/>
      </w:r>
    </w:p>
  </w:footnote>
  <w:footnote w:type="continuationSeparator" w:id="0">
    <w:p w:rsidR="00CC1E6A" w:rsidRPr="00D52126" w:rsidRDefault="00CC1E6A" w:rsidP="00F62482">
      <w:pPr>
        <w:spacing w:line="240" w:lineRule="auto"/>
        <w:rPr>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5992"/>
    <w:multiLevelType w:val="hybridMultilevel"/>
    <w:tmpl w:val="70B095E0"/>
    <w:lvl w:ilvl="0" w:tplc="A0F44F3E">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F51EC"/>
    <w:multiLevelType w:val="hybridMultilevel"/>
    <w:tmpl w:val="1046A708"/>
    <w:lvl w:ilvl="0" w:tplc="9FAAEE52">
      <w:start w:val="1"/>
      <w:numFmt w:val="taiwaneseCountingThousand"/>
      <w:lvlText w:val="%1、"/>
      <w:lvlJc w:val="left"/>
      <w:pPr>
        <w:ind w:left="480" w:hanging="480"/>
      </w:pPr>
      <w:rPr>
        <w:rFonts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C512C6"/>
    <w:multiLevelType w:val="hybridMultilevel"/>
    <w:tmpl w:val="B30C5BD2"/>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C192F"/>
    <w:multiLevelType w:val="hybridMultilevel"/>
    <w:tmpl w:val="D1C27C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5267D8B"/>
    <w:multiLevelType w:val="hybridMultilevel"/>
    <w:tmpl w:val="E2CE84D2"/>
    <w:lvl w:ilvl="0" w:tplc="5022AA94">
      <w:start w:val="1"/>
      <w:numFmt w:val="taiwaneseCountingThousand"/>
      <w:lvlText w:val="%1、"/>
      <w:lvlJc w:val="left"/>
      <w:pPr>
        <w:tabs>
          <w:tab w:val="num" w:pos="416"/>
        </w:tabs>
        <w:ind w:left="416" w:hanging="360"/>
      </w:pPr>
      <w:rPr>
        <w:rFonts w:hint="eastAsia"/>
      </w:rPr>
    </w:lvl>
    <w:lvl w:ilvl="1" w:tplc="E6F25104">
      <w:start w:val="1"/>
      <w:numFmt w:val="taiwaneseCountingThousand"/>
      <w:lvlText w:val="(%2)"/>
      <w:lvlJc w:val="left"/>
      <w:pPr>
        <w:tabs>
          <w:tab w:val="num" w:pos="896"/>
        </w:tabs>
        <w:ind w:left="896" w:hanging="360"/>
      </w:pPr>
      <w:rPr>
        <w:rFonts w:hint="eastAsia"/>
      </w:rPr>
    </w:lvl>
    <w:lvl w:ilvl="2" w:tplc="3F02A89C">
      <w:start w:val="1"/>
      <w:numFmt w:val="taiwaneseCountingThousand"/>
      <w:lvlText w:val="%3、"/>
      <w:lvlJc w:val="left"/>
      <w:pPr>
        <w:tabs>
          <w:tab w:val="num" w:pos="1496"/>
        </w:tabs>
        <w:ind w:left="1496" w:hanging="480"/>
      </w:pPr>
      <w:rPr>
        <w:rFonts w:hint="eastAsia"/>
      </w:r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5" w15:restartNumberingAfterBreak="0">
    <w:nsid w:val="4FB9455D"/>
    <w:multiLevelType w:val="hybridMultilevel"/>
    <w:tmpl w:val="7CC8844C"/>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633F0A"/>
    <w:multiLevelType w:val="hybridMultilevel"/>
    <w:tmpl w:val="FDE29310"/>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925F2D"/>
    <w:multiLevelType w:val="hybridMultilevel"/>
    <w:tmpl w:val="F8C06894"/>
    <w:lvl w:ilvl="0" w:tplc="E6D05D48">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640AFB"/>
    <w:multiLevelType w:val="hybridMultilevel"/>
    <w:tmpl w:val="D1C27C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93A4441"/>
    <w:multiLevelType w:val="hybridMultilevel"/>
    <w:tmpl w:val="B094C956"/>
    <w:lvl w:ilvl="0" w:tplc="9FAAEE52">
      <w:start w:val="1"/>
      <w:numFmt w:val="taiwaneseCountingThousand"/>
      <w:lvlText w:val="%1、"/>
      <w:lvlJc w:val="left"/>
      <w:pPr>
        <w:ind w:left="480" w:hanging="480"/>
      </w:pPr>
      <w:rPr>
        <w:rFonts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611859"/>
    <w:multiLevelType w:val="hybridMultilevel"/>
    <w:tmpl w:val="E2CE84D2"/>
    <w:lvl w:ilvl="0" w:tplc="5022AA94">
      <w:start w:val="1"/>
      <w:numFmt w:val="taiwaneseCountingThousand"/>
      <w:lvlText w:val="%1、"/>
      <w:lvlJc w:val="left"/>
      <w:pPr>
        <w:tabs>
          <w:tab w:val="num" w:pos="416"/>
        </w:tabs>
        <w:ind w:left="416" w:hanging="360"/>
      </w:pPr>
      <w:rPr>
        <w:rFonts w:hint="eastAsia"/>
      </w:rPr>
    </w:lvl>
    <w:lvl w:ilvl="1" w:tplc="E6F25104">
      <w:start w:val="1"/>
      <w:numFmt w:val="taiwaneseCountingThousand"/>
      <w:lvlText w:val="(%2)"/>
      <w:lvlJc w:val="left"/>
      <w:pPr>
        <w:tabs>
          <w:tab w:val="num" w:pos="896"/>
        </w:tabs>
        <w:ind w:left="896" w:hanging="360"/>
      </w:pPr>
      <w:rPr>
        <w:rFonts w:hint="eastAsia"/>
      </w:rPr>
    </w:lvl>
    <w:lvl w:ilvl="2" w:tplc="3F02A89C">
      <w:start w:val="1"/>
      <w:numFmt w:val="taiwaneseCountingThousand"/>
      <w:lvlText w:val="%3、"/>
      <w:lvlJc w:val="left"/>
      <w:pPr>
        <w:tabs>
          <w:tab w:val="num" w:pos="1496"/>
        </w:tabs>
        <w:ind w:left="1496" w:hanging="480"/>
      </w:pPr>
      <w:rPr>
        <w:rFonts w:hint="eastAsia"/>
      </w:r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11" w15:restartNumberingAfterBreak="0">
    <w:nsid w:val="5B162551"/>
    <w:multiLevelType w:val="hybridMultilevel"/>
    <w:tmpl w:val="B094C956"/>
    <w:lvl w:ilvl="0" w:tplc="9FAAEE52">
      <w:start w:val="1"/>
      <w:numFmt w:val="taiwaneseCountingThousand"/>
      <w:lvlText w:val="%1、"/>
      <w:lvlJc w:val="left"/>
      <w:pPr>
        <w:ind w:left="480" w:hanging="480"/>
      </w:pPr>
      <w:rPr>
        <w:rFonts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993927"/>
    <w:multiLevelType w:val="hybridMultilevel"/>
    <w:tmpl w:val="D2FA554A"/>
    <w:lvl w:ilvl="0" w:tplc="041A91F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DA6763"/>
    <w:multiLevelType w:val="hybridMultilevel"/>
    <w:tmpl w:val="C4D83408"/>
    <w:lvl w:ilvl="0" w:tplc="BFFCD8FC">
      <w:start w:val="1"/>
      <w:numFmt w:val="taiwaneseCountingThousand"/>
      <w:lvlText w:val="%1、"/>
      <w:lvlJc w:val="left"/>
      <w:pPr>
        <w:ind w:left="412" w:hanging="39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4" w15:restartNumberingAfterBreak="0">
    <w:nsid w:val="7C1A51EA"/>
    <w:multiLevelType w:val="hybridMultilevel"/>
    <w:tmpl w:val="81C877CA"/>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50458C"/>
    <w:multiLevelType w:val="hybridMultilevel"/>
    <w:tmpl w:val="A788996E"/>
    <w:lvl w:ilvl="0" w:tplc="9FAAEE52">
      <w:start w:val="1"/>
      <w:numFmt w:val="taiwaneseCountingThousand"/>
      <w:lvlText w:val="%1、"/>
      <w:lvlJc w:val="left"/>
      <w:pPr>
        <w:ind w:left="480" w:hanging="480"/>
      </w:pPr>
      <w:rPr>
        <w:rFonts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10"/>
  </w:num>
  <w:num w:numId="5">
    <w:abstractNumId w:val="6"/>
  </w:num>
  <w:num w:numId="6">
    <w:abstractNumId w:val="8"/>
  </w:num>
  <w:num w:numId="7">
    <w:abstractNumId w:val="14"/>
  </w:num>
  <w:num w:numId="8">
    <w:abstractNumId w:val="7"/>
  </w:num>
  <w:num w:numId="9">
    <w:abstractNumId w:val="0"/>
  </w:num>
  <w:num w:numId="10">
    <w:abstractNumId w:val="11"/>
  </w:num>
  <w:num w:numId="11">
    <w:abstractNumId w:val="9"/>
  </w:num>
  <w:num w:numId="12">
    <w:abstractNumId w:val="1"/>
  </w:num>
  <w:num w:numId="13">
    <w:abstractNumId w:val="12"/>
  </w:num>
  <w:num w:numId="14">
    <w:abstractNumId w:val="2"/>
  </w:num>
  <w:num w:numId="15">
    <w:abstractNumId w:val="13"/>
  </w:num>
  <w:num w:numId="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E1"/>
    <w:rsid w:val="0000292F"/>
    <w:rsid w:val="00002AB9"/>
    <w:rsid w:val="0001073A"/>
    <w:rsid w:val="00013DC2"/>
    <w:rsid w:val="00015C75"/>
    <w:rsid w:val="00016885"/>
    <w:rsid w:val="00023D65"/>
    <w:rsid w:val="00024B41"/>
    <w:rsid w:val="000251AF"/>
    <w:rsid w:val="00030766"/>
    <w:rsid w:val="00030A28"/>
    <w:rsid w:val="000314C7"/>
    <w:rsid w:val="00031BFA"/>
    <w:rsid w:val="00031DA2"/>
    <w:rsid w:val="00032A3D"/>
    <w:rsid w:val="00032BD5"/>
    <w:rsid w:val="00033B87"/>
    <w:rsid w:val="00037A99"/>
    <w:rsid w:val="00037B38"/>
    <w:rsid w:val="0004098B"/>
    <w:rsid w:val="000446E7"/>
    <w:rsid w:val="0004621D"/>
    <w:rsid w:val="00047DBD"/>
    <w:rsid w:val="00055113"/>
    <w:rsid w:val="00060D7A"/>
    <w:rsid w:val="00070924"/>
    <w:rsid w:val="00074A3A"/>
    <w:rsid w:val="00075261"/>
    <w:rsid w:val="000761BD"/>
    <w:rsid w:val="00077A1B"/>
    <w:rsid w:val="00090E7D"/>
    <w:rsid w:val="00090F22"/>
    <w:rsid w:val="000919D5"/>
    <w:rsid w:val="000950F7"/>
    <w:rsid w:val="000A157D"/>
    <w:rsid w:val="000A1C46"/>
    <w:rsid w:val="000A3503"/>
    <w:rsid w:val="000A3678"/>
    <w:rsid w:val="000A5387"/>
    <w:rsid w:val="000A5683"/>
    <w:rsid w:val="000B3166"/>
    <w:rsid w:val="000B373B"/>
    <w:rsid w:val="000B77D1"/>
    <w:rsid w:val="000C24A6"/>
    <w:rsid w:val="000C2868"/>
    <w:rsid w:val="000C2B16"/>
    <w:rsid w:val="000C5F50"/>
    <w:rsid w:val="000C60FA"/>
    <w:rsid w:val="000D09E6"/>
    <w:rsid w:val="000D1199"/>
    <w:rsid w:val="000D1F65"/>
    <w:rsid w:val="000D4336"/>
    <w:rsid w:val="000D4603"/>
    <w:rsid w:val="000D65FF"/>
    <w:rsid w:val="000E11E0"/>
    <w:rsid w:val="000E121D"/>
    <w:rsid w:val="000E1BA0"/>
    <w:rsid w:val="000E1EBD"/>
    <w:rsid w:val="000E487A"/>
    <w:rsid w:val="000E5673"/>
    <w:rsid w:val="000E5739"/>
    <w:rsid w:val="000E5A74"/>
    <w:rsid w:val="000E5F1F"/>
    <w:rsid w:val="000F34E5"/>
    <w:rsid w:val="000F5565"/>
    <w:rsid w:val="000F7764"/>
    <w:rsid w:val="001016FE"/>
    <w:rsid w:val="001021E1"/>
    <w:rsid w:val="00103F91"/>
    <w:rsid w:val="001053CE"/>
    <w:rsid w:val="00105918"/>
    <w:rsid w:val="00117C02"/>
    <w:rsid w:val="00120B02"/>
    <w:rsid w:val="00121577"/>
    <w:rsid w:val="00123A3D"/>
    <w:rsid w:val="0013328E"/>
    <w:rsid w:val="001374F3"/>
    <w:rsid w:val="001378D9"/>
    <w:rsid w:val="001412EF"/>
    <w:rsid w:val="001424FB"/>
    <w:rsid w:val="001451AA"/>
    <w:rsid w:val="00146C58"/>
    <w:rsid w:val="00147089"/>
    <w:rsid w:val="001476B7"/>
    <w:rsid w:val="00150452"/>
    <w:rsid w:val="00153611"/>
    <w:rsid w:val="00153849"/>
    <w:rsid w:val="0015433A"/>
    <w:rsid w:val="001576D9"/>
    <w:rsid w:val="00157D6E"/>
    <w:rsid w:val="00163950"/>
    <w:rsid w:val="00164A65"/>
    <w:rsid w:val="0017387B"/>
    <w:rsid w:val="0018457F"/>
    <w:rsid w:val="00197C3B"/>
    <w:rsid w:val="001A129E"/>
    <w:rsid w:val="001A1FC2"/>
    <w:rsid w:val="001A229E"/>
    <w:rsid w:val="001A2ABE"/>
    <w:rsid w:val="001A4447"/>
    <w:rsid w:val="001A4ABB"/>
    <w:rsid w:val="001A608D"/>
    <w:rsid w:val="001A725C"/>
    <w:rsid w:val="001A7D52"/>
    <w:rsid w:val="001B03D0"/>
    <w:rsid w:val="001B09A9"/>
    <w:rsid w:val="001B1F23"/>
    <w:rsid w:val="001B260E"/>
    <w:rsid w:val="001B6DE4"/>
    <w:rsid w:val="001B700D"/>
    <w:rsid w:val="001C13C8"/>
    <w:rsid w:val="001C2167"/>
    <w:rsid w:val="001C55DA"/>
    <w:rsid w:val="001D0DE4"/>
    <w:rsid w:val="001D1B03"/>
    <w:rsid w:val="001D26A7"/>
    <w:rsid w:val="001D34D8"/>
    <w:rsid w:val="001D7DD9"/>
    <w:rsid w:val="001E38BC"/>
    <w:rsid w:val="001E733B"/>
    <w:rsid w:val="001F6F19"/>
    <w:rsid w:val="00200572"/>
    <w:rsid w:val="00200D09"/>
    <w:rsid w:val="002018B0"/>
    <w:rsid w:val="00206018"/>
    <w:rsid w:val="002067F3"/>
    <w:rsid w:val="00223019"/>
    <w:rsid w:val="00223214"/>
    <w:rsid w:val="00223873"/>
    <w:rsid w:val="00225FAF"/>
    <w:rsid w:val="00231726"/>
    <w:rsid w:val="00231899"/>
    <w:rsid w:val="00234AD5"/>
    <w:rsid w:val="00235A70"/>
    <w:rsid w:val="00251494"/>
    <w:rsid w:val="0025255E"/>
    <w:rsid w:val="00260C60"/>
    <w:rsid w:val="002620FD"/>
    <w:rsid w:val="002631D0"/>
    <w:rsid w:val="002642D5"/>
    <w:rsid w:val="0026467F"/>
    <w:rsid w:val="00264C3A"/>
    <w:rsid w:val="00265A90"/>
    <w:rsid w:val="00270C4C"/>
    <w:rsid w:val="002752A6"/>
    <w:rsid w:val="00276A22"/>
    <w:rsid w:val="0028413C"/>
    <w:rsid w:val="002844F1"/>
    <w:rsid w:val="00284F52"/>
    <w:rsid w:val="002869F2"/>
    <w:rsid w:val="00287939"/>
    <w:rsid w:val="00291681"/>
    <w:rsid w:val="002923BA"/>
    <w:rsid w:val="00294AB1"/>
    <w:rsid w:val="00295503"/>
    <w:rsid w:val="00295BC0"/>
    <w:rsid w:val="002978B6"/>
    <w:rsid w:val="002A3550"/>
    <w:rsid w:val="002A4AD5"/>
    <w:rsid w:val="002A5060"/>
    <w:rsid w:val="002A7A4D"/>
    <w:rsid w:val="002A7CD1"/>
    <w:rsid w:val="002B00F6"/>
    <w:rsid w:val="002B12F1"/>
    <w:rsid w:val="002B22C3"/>
    <w:rsid w:val="002B39F0"/>
    <w:rsid w:val="002B3CEC"/>
    <w:rsid w:val="002C105C"/>
    <w:rsid w:val="002C241D"/>
    <w:rsid w:val="002C5191"/>
    <w:rsid w:val="002D07D9"/>
    <w:rsid w:val="002D5835"/>
    <w:rsid w:val="002D68ED"/>
    <w:rsid w:val="002D71D8"/>
    <w:rsid w:val="002E0E57"/>
    <w:rsid w:val="002E2378"/>
    <w:rsid w:val="002E24E7"/>
    <w:rsid w:val="002E2503"/>
    <w:rsid w:val="002E3416"/>
    <w:rsid w:val="002E5947"/>
    <w:rsid w:val="002E635F"/>
    <w:rsid w:val="002E75B7"/>
    <w:rsid w:val="002F14C0"/>
    <w:rsid w:val="0030307F"/>
    <w:rsid w:val="003038A7"/>
    <w:rsid w:val="003070EB"/>
    <w:rsid w:val="00311400"/>
    <w:rsid w:val="0031250E"/>
    <w:rsid w:val="00312CDC"/>
    <w:rsid w:val="00314AA4"/>
    <w:rsid w:val="003161F8"/>
    <w:rsid w:val="00317293"/>
    <w:rsid w:val="00317F43"/>
    <w:rsid w:val="00324A5F"/>
    <w:rsid w:val="003278F1"/>
    <w:rsid w:val="003315C5"/>
    <w:rsid w:val="003342C0"/>
    <w:rsid w:val="003347CF"/>
    <w:rsid w:val="00335E05"/>
    <w:rsid w:val="00336B75"/>
    <w:rsid w:val="00340373"/>
    <w:rsid w:val="00343BCA"/>
    <w:rsid w:val="003450D0"/>
    <w:rsid w:val="0034696E"/>
    <w:rsid w:val="00347603"/>
    <w:rsid w:val="00350312"/>
    <w:rsid w:val="003513C1"/>
    <w:rsid w:val="003573AC"/>
    <w:rsid w:val="0035751D"/>
    <w:rsid w:val="00362150"/>
    <w:rsid w:val="00362A61"/>
    <w:rsid w:val="0037307D"/>
    <w:rsid w:val="00376CFE"/>
    <w:rsid w:val="00380B59"/>
    <w:rsid w:val="0038100F"/>
    <w:rsid w:val="003812B5"/>
    <w:rsid w:val="00381B87"/>
    <w:rsid w:val="003865CC"/>
    <w:rsid w:val="00387052"/>
    <w:rsid w:val="00392BE5"/>
    <w:rsid w:val="00393459"/>
    <w:rsid w:val="0039371A"/>
    <w:rsid w:val="0039454A"/>
    <w:rsid w:val="00395ABB"/>
    <w:rsid w:val="003978F4"/>
    <w:rsid w:val="003A121C"/>
    <w:rsid w:val="003A2D9A"/>
    <w:rsid w:val="003B3305"/>
    <w:rsid w:val="003B457B"/>
    <w:rsid w:val="003B4A8A"/>
    <w:rsid w:val="003B75A0"/>
    <w:rsid w:val="003C4FBE"/>
    <w:rsid w:val="003D0321"/>
    <w:rsid w:val="003E0839"/>
    <w:rsid w:val="003E20C0"/>
    <w:rsid w:val="003E25FA"/>
    <w:rsid w:val="003F4EA8"/>
    <w:rsid w:val="003F6A8A"/>
    <w:rsid w:val="003F6D93"/>
    <w:rsid w:val="00400092"/>
    <w:rsid w:val="0040255B"/>
    <w:rsid w:val="00403387"/>
    <w:rsid w:val="004047DC"/>
    <w:rsid w:val="00411AC7"/>
    <w:rsid w:val="004127AF"/>
    <w:rsid w:val="00413D9A"/>
    <w:rsid w:val="0041761C"/>
    <w:rsid w:val="00417F9C"/>
    <w:rsid w:val="00420F95"/>
    <w:rsid w:val="00421E15"/>
    <w:rsid w:val="0042309A"/>
    <w:rsid w:val="00426608"/>
    <w:rsid w:val="00436B79"/>
    <w:rsid w:val="004411A4"/>
    <w:rsid w:val="00445A87"/>
    <w:rsid w:val="004477AB"/>
    <w:rsid w:val="004516C1"/>
    <w:rsid w:val="00456218"/>
    <w:rsid w:val="004603DA"/>
    <w:rsid w:val="0046200B"/>
    <w:rsid w:val="004646BA"/>
    <w:rsid w:val="00471DD6"/>
    <w:rsid w:val="00473365"/>
    <w:rsid w:val="00481CB4"/>
    <w:rsid w:val="0049160A"/>
    <w:rsid w:val="004949A7"/>
    <w:rsid w:val="00494F2B"/>
    <w:rsid w:val="00496C91"/>
    <w:rsid w:val="00497344"/>
    <w:rsid w:val="00497D92"/>
    <w:rsid w:val="004A12E4"/>
    <w:rsid w:val="004A67F1"/>
    <w:rsid w:val="004A6B91"/>
    <w:rsid w:val="004A7A1F"/>
    <w:rsid w:val="004B164F"/>
    <w:rsid w:val="004B7632"/>
    <w:rsid w:val="004C1686"/>
    <w:rsid w:val="004C1A1E"/>
    <w:rsid w:val="004C2C04"/>
    <w:rsid w:val="004C2FE6"/>
    <w:rsid w:val="004C35CC"/>
    <w:rsid w:val="004C52D8"/>
    <w:rsid w:val="004D2546"/>
    <w:rsid w:val="004D3A3B"/>
    <w:rsid w:val="004E065D"/>
    <w:rsid w:val="004E06C5"/>
    <w:rsid w:val="004E24F2"/>
    <w:rsid w:val="004E2904"/>
    <w:rsid w:val="004E5D1B"/>
    <w:rsid w:val="004E5E18"/>
    <w:rsid w:val="004F0F2A"/>
    <w:rsid w:val="004F21C7"/>
    <w:rsid w:val="004F5B67"/>
    <w:rsid w:val="005006AF"/>
    <w:rsid w:val="0050417F"/>
    <w:rsid w:val="00506790"/>
    <w:rsid w:val="005079B5"/>
    <w:rsid w:val="00511A95"/>
    <w:rsid w:val="005203B7"/>
    <w:rsid w:val="00522C42"/>
    <w:rsid w:val="0052337E"/>
    <w:rsid w:val="00523662"/>
    <w:rsid w:val="00523A04"/>
    <w:rsid w:val="005242AF"/>
    <w:rsid w:val="00524F99"/>
    <w:rsid w:val="00525E18"/>
    <w:rsid w:val="00526011"/>
    <w:rsid w:val="005310D6"/>
    <w:rsid w:val="00535017"/>
    <w:rsid w:val="0053524A"/>
    <w:rsid w:val="0053561F"/>
    <w:rsid w:val="00537044"/>
    <w:rsid w:val="00537418"/>
    <w:rsid w:val="00543007"/>
    <w:rsid w:val="005431AD"/>
    <w:rsid w:val="00544E36"/>
    <w:rsid w:val="00552425"/>
    <w:rsid w:val="0055736B"/>
    <w:rsid w:val="00564A2C"/>
    <w:rsid w:val="00564E6F"/>
    <w:rsid w:val="00564FEA"/>
    <w:rsid w:val="00567C8F"/>
    <w:rsid w:val="00571F50"/>
    <w:rsid w:val="00574D42"/>
    <w:rsid w:val="00575566"/>
    <w:rsid w:val="005812A1"/>
    <w:rsid w:val="00583DE1"/>
    <w:rsid w:val="005911A3"/>
    <w:rsid w:val="00592152"/>
    <w:rsid w:val="005A3407"/>
    <w:rsid w:val="005A4A72"/>
    <w:rsid w:val="005A5406"/>
    <w:rsid w:val="005A786C"/>
    <w:rsid w:val="005B3AB1"/>
    <w:rsid w:val="005B3ACF"/>
    <w:rsid w:val="005B7784"/>
    <w:rsid w:val="005C0C07"/>
    <w:rsid w:val="005C5F27"/>
    <w:rsid w:val="005C6924"/>
    <w:rsid w:val="005D1F2C"/>
    <w:rsid w:val="005D2C92"/>
    <w:rsid w:val="005D34A6"/>
    <w:rsid w:val="005D386E"/>
    <w:rsid w:val="005D5A11"/>
    <w:rsid w:val="005E06C6"/>
    <w:rsid w:val="005E1173"/>
    <w:rsid w:val="005E7AA5"/>
    <w:rsid w:val="005F416C"/>
    <w:rsid w:val="005F6A6D"/>
    <w:rsid w:val="00602D1E"/>
    <w:rsid w:val="00602FC2"/>
    <w:rsid w:val="00611346"/>
    <w:rsid w:val="00613F7A"/>
    <w:rsid w:val="00614D9B"/>
    <w:rsid w:val="00617278"/>
    <w:rsid w:val="006173BB"/>
    <w:rsid w:val="006177BF"/>
    <w:rsid w:val="006216A9"/>
    <w:rsid w:val="00622184"/>
    <w:rsid w:val="00625F60"/>
    <w:rsid w:val="00626119"/>
    <w:rsid w:val="006271CA"/>
    <w:rsid w:val="006274E6"/>
    <w:rsid w:val="006303AC"/>
    <w:rsid w:val="00634D23"/>
    <w:rsid w:val="00635AA1"/>
    <w:rsid w:val="0064385F"/>
    <w:rsid w:val="00643918"/>
    <w:rsid w:val="006568BE"/>
    <w:rsid w:val="006572AB"/>
    <w:rsid w:val="006621E5"/>
    <w:rsid w:val="006701E9"/>
    <w:rsid w:val="006711FE"/>
    <w:rsid w:val="00674847"/>
    <w:rsid w:val="00674CB6"/>
    <w:rsid w:val="00677296"/>
    <w:rsid w:val="00677D2C"/>
    <w:rsid w:val="00680921"/>
    <w:rsid w:val="0068104D"/>
    <w:rsid w:val="006847FF"/>
    <w:rsid w:val="00690C79"/>
    <w:rsid w:val="006910A2"/>
    <w:rsid w:val="006910B5"/>
    <w:rsid w:val="006A02B4"/>
    <w:rsid w:val="006A0C47"/>
    <w:rsid w:val="006A53DB"/>
    <w:rsid w:val="006A5511"/>
    <w:rsid w:val="006A724A"/>
    <w:rsid w:val="006B026F"/>
    <w:rsid w:val="006B34C3"/>
    <w:rsid w:val="006B3974"/>
    <w:rsid w:val="006B636B"/>
    <w:rsid w:val="006B6D81"/>
    <w:rsid w:val="006B71C2"/>
    <w:rsid w:val="006B7560"/>
    <w:rsid w:val="006C303B"/>
    <w:rsid w:val="006C5E94"/>
    <w:rsid w:val="006C5F7A"/>
    <w:rsid w:val="006C6180"/>
    <w:rsid w:val="006C7506"/>
    <w:rsid w:val="006D54D4"/>
    <w:rsid w:val="006D6124"/>
    <w:rsid w:val="006E1B56"/>
    <w:rsid w:val="006E63F8"/>
    <w:rsid w:val="006F0A8B"/>
    <w:rsid w:val="006F137E"/>
    <w:rsid w:val="006F1D0B"/>
    <w:rsid w:val="006F36A1"/>
    <w:rsid w:val="007011EE"/>
    <w:rsid w:val="007013FF"/>
    <w:rsid w:val="007055F0"/>
    <w:rsid w:val="007077FE"/>
    <w:rsid w:val="00710E7C"/>
    <w:rsid w:val="00711FDA"/>
    <w:rsid w:val="00716444"/>
    <w:rsid w:val="00717454"/>
    <w:rsid w:val="007205F5"/>
    <w:rsid w:val="007216C0"/>
    <w:rsid w:val="00721B9E"/>
    <w:rsid w:val="00723818"/>
    <w:rsid w:val="00731FC3"/>
    <w:rsid w:val="00733E3E"/>
    <w:rsid w:val="00736E4C"/>
    <w:rsid w:val="007371A2"/>
    <w:rsid w:val="00742CBC"/>
    <w:rsid w:val="00742ED6"/>
    <w:rsid w:val="007447E2"/>
    <w:rsid w:val="00747D3C"/>
    <w:rsid w:val="007513EE"/>
    <w:rsid w:val="00751945"/>
    <w:rsid w:val="00757593"/>
    <w:rsid w:val="00760F22"/>
    <w:rsid w:val="0077530C"/>
    <w:rsid w:val="00775CC4"/>
    <w:rsid w:val="0077678C"/>
    <w:rsid w:val="00780BBC"/>
    <w:rsid w:val="00780DEF"/>
    <w:rsid w:val="00781EFC"/>
    <w:rsid w:val="00784E2B"/>
    <w:rsid w:val="00785624"/>
    <w:rsid w:val="00791129"/>
    <w:rsid w:val="007A0704"/>
    <w:rsid w:val="007A3BCB"/>
    <w:rsid w:val="007A5A8F"/>
    <w:rsid w:val="007A73A5"/>
    <w:rsid w:val="007A79A9"/>
    <w:rsid w:val="007B176D"/>
    <w:rsid w:val="007B1FD2"/>
    <w:rsid w:val="007B57A5"/>
    <w:rsid w:val="007C0567"/>
    <w:rsid w:val="007C5B28"/>
    <w:rsid w:val="007C7189"/>
    <w:rsid w:val="007D2D4B"/>
    <w:rsid w:val="007E0E41"/>
    <w:rsid w:val="007E1114"/>
    <w:rsid w:val="007E20D5"/>
    <w:rsid w:val="007E33DD"/>
    <w:rsid w:val="007E429C"/>
    <w:rsid w:val="007E5184"/>
    <w:rsid w:val="007E718E"/>
    <w:rsid w:val="007F4036"/>
    <w:rsid w:val="007F4DB0"/>
    <w:rsid w:val="007F536F"/>
    <w:rsid w:val="00802E30"/>
    <w:rsid w:val="00803DE8"/>
    <w:rsid w:val="00804427"/>
    <w:rsid w:val="00804738"/>
    <w:rsid w:val="008061AC"/>
    <w:rsid w:val="00806B7F"/>
    <w:rsid w:val="00811A37"/>
    <w:rsid w:val="00814909"/>
    <w:rsid w:val="00820554"/>
    <w:rsid w:val="00821F2E"/>
    <w:rsid w:val="00825155"/>
    <w:rsid w:val="00825257"/>
    <w:rsid w:val="00827405"/>
    <w:rsid w:val="00827B0C"/>
    <w:rsid w:val="00827D63"/>
    <w:rsid w:val="008340BD"/>
    <w:rsid w:val="0083543A"/>
    <w:rsid w:val="008370A5"/>
    <w:rsid w:val="00843C55"/>
    <w:rsid w:val="0084693A"/>
    <w:rsid w:val="00846F1A"/>
    <w:rsid w:val="00856736"/>
    <w:rsid w:val="00863064"/>
    <w:rsid w:val="00864EEC"/>
    <w:rsid w:val="008662DD"/>
    <w:rsid w:val="008667B2"/>
    <w:rsid w:val="00872A99"/>
    <w:rsid w:val="00874C6F"/>
    <w:rsid w:val="00875B75"/>
    <w:rsid w:val="00876B93"/>
    <w:rsid w:val="00876ECE"/>
    <w:rsid w:val="0088030D"/>
    <w:rsid w:val="008827D4"/>
    <w:rsid w:val="00883001"/>
    <w:rsid w:val="0088533A"/>
    <w:rsid w:val="008867C8"/>
    <w:rsid w:val="008901C6"/>
    <w:rsid w:val="00897BF5"/>
    <w:rsid w:val="008A0400"/>
    <w:rsid w:val="008A077E"/>
    <w:rsid w:val="008A0F3F"/>
    <w:rsid w:val="008A28E2"/>
    <w:rsid w:val="008A50F8"/>
    <w:rsid w:val="008A6E20"/>
    <w:rsid w:val="008B040A"/>
    <w:rsid w:val="008B1A9B"/>
    <w:rsid w:val="008B2600"/>
    <w:rsid w:val="008B2BA4"/>
    <w:rsid w:val="008B3EB0"/>
    <w:rsid w:val="008D035A"/>
    <w:rsid w:val="008D1708"/>
    <w:rsid w:val="008D1FAE"/>
    <w:rsid w:val="008D3269"/>
    <w:rsid w:val="008E3B8C"/>
    <w:rsid w:val="008E5418"/>
    <w:rsid w:val="008E7FBF"/>
    <w:rsid w:val="008F0B9D"/>
    <w:rsid w:val="008F3C1A"/>
    <w:rsid w:val="008F4198"/>
    <w:rsid w:val="008F6765"/>
    <w:rsid w:val="00901A1A"/>
    <w:rsid w:val="00907EBB"/>
    <w:rsid w:val="00912E55"/>
    <w:rsid w:val="009130FF"/>
    <w:rsid w:val="00914D61"/>
    <w:rsid w:val="00914D80"/>
    <w:rsid w:val="0091573B"/>
    <w:rsid w:val="0091660B"/>
    <w:rsid w:val="00916EEB"/>
    <w:rsid w:val="009179F8"/>
    <w:rsid w:val="00917E70"/>
    <w:rsid w:val="009204CA"/>
    <w:rsid w:val="00920F1E"/>
    <w:rsid w:val="009227E6"/>
    <w:rsid w:val="00922EE2"/>
    <w:rsid w:val="00924DA6"/>
    <w:rsid w:val="00931627"/>
    <w:rsid w:val="0093793F"/>
    <w:rsid w:val="0094251D"/>
    <w:rsid w:val="0094267F"/>
    <w:rsid w:val="00942846"/>
    <w:rsid w:val="009428EE"/>
    <w:rsid w:val="00945CF0"/>
    <w:rsid w:val="00946A9D"/>
    <w:rsid w:val="00955C01"/>
    <w:rsid w:val="00956E74"/>
    <w:rsid w:val="00957992"/>
    <w:rsid w:val="009644CD"/>
    <w:rsid w:val="00965B84"/>
    <w:rsid w:val="00965E6F"/>
    <w:rsid w:val="009666DD"/>
    <w:rsid w:val="009728C3"/>
    <w:rsid w:val="00972B4B"/>
    <w:rsid w:val="009759EA"/>
    <w:rsid w:val="009774E2"/>
    <w:rsid w:val="009807EC"/>
    <w:rsid w:val="00982225"/>
    <w:rsid w:val="00982DA8"/>
    <w:rsid w:val="009833D0"/>
    <w:rsid w:val="009924B2"/>
    <w:rsid w:val="00992EEE"/>
    <w:rsid w:val="009938B7"/>
    <w:rsid w:val="0099513F"/>
    <w:rsid w:val="0099608C"/>
    <w:rsid w:val="0099786A"/>
    <w:rsid w:val="009A26D9"/>
    <w:rsid w:val="009A6026"/>
    <w:rsid w:val="009A6A09"/>
    <w:rsid w:val="009B2EC4"/>
    <w:rsid w:val="009B458B"/>
    <w:rsid w:val="009C176A"/>
    <w:rsid w:val="009C1D0C"/>
    <w:rsid w:val="009C68D5"/>
    <w:rsid w:val="009D16B7"/>
    <w:rsid w:val="009D4DB7"/>
    <w:rsid w:val="009D58CC"/>
    <w:rsid w:val="009E2C3D"/>
    <w:rsid w:val="009E59FA"/>
    <w:rsid w:val="009E719B"/>
    <w:rsid w:val="009E772E"/>
    <w:rsid w:val="009F07BF"/>
    <w:rsid w:val="009F0B86"/>
    <w:rsid w:val="009F2DA5"/>
    <w:rsid w:val="00A00C2E"/>
    <w:rsid w:val="00A01779"/>
    <w:rsid w:val="00A034CF"/>
    <w:rsid w:val="00A037A5"/>
    <w:rsid w:val="00A12442"/>
    <w:rsid w:val="00A15568"/>
    <w:rsid w:val="00A22B24"/>
    <w:rsid w:val="00A234A2"/>
    <w:rsid w:val="00A279CB"/>
    <w:rsid w:val="00A30318"/>
    <w:rsid w:val="00A30628"/>
    <w:rsid w:val="00A36BC4"/>
    <w:rsid w:val="00A37700"/>
    <w:rsid w:val="00A40345"/>
    <w:rsid w:val="00A45B85"/>
    <w:rsid w:val="00A45D88"/>
    <w:rsid w:val="00A45F41"/>
    <w:rsid w:val="00A47CB9"/>
    <w:rsid w:val="00A52BEB"/>
    <w:rsid w:val="00A52C0A"/>
    <w:rsid w:val="00A52FF2"/>
    <w:rsid w:val="00A53DEF"/>
    <w:rsid w:val="00A63B4C"/>
    <w:rsid w:val="00A64C60"/>
    <w:rsid w:val="00A736F1"/>
    <w:rsid w:val="00A73747"/>
    <w:rsid w:val="00A74493"/>
    <w:rsid w:val="00A76A32"/>
    <w:rsid w:val="00A770EF"/>
    <w:rsid w:val="00A8181C"/>
    <w:rsid w:val="00A830E0"/>
    <w:rsid w:val="00A841F3"/>
    <w:rsid w:val="00A84C54"/>
    <w:rsid w:val="00A87F92"/>
    <w:rsid w:val="00A97311"/>
    <w:rsid w:val="00A9779F"/>
    <w:rsid w:val="00AA0171"/>
    <w:rsid w:val="00AA084A"/>
    <w:rsid w:val="00AB4A35"/>
    <w:rsid w:val="00AB52F9"/>
    <w:rsid w:val="00AC1FA7"/>
    <w:rsid w:val="00AC5B0E"/>
    <w:rsid w:val="00AD0570"/>
    <w:rsid w:val="00AD2EE9"/>
    <w:rsid w:val="00AD6587"/>
    <w:rsid w:val="00AD6C20"/>
    <w:rsid w:val="00AD7F7B"/>
    <w:rsid w:val="00AE2220"/>
    <w:rsid w:val="00AE462C"/>
    <w:rsid w:val="00AE47DC"/>
    <w:rsid w:val="00AE5FAE"/>
    <w:rsid w:val="00AE69E9"/>
    <w:rsid w:val="00AE783E"/>
    <w:rsid w:val="00AE7883"/>
    <w:rsid w:val="00AF3B99"/>
    <w:rsid w:val="00AF6089"/>
    <w:rsid w:val="00B015BF"/>
    <w:rsid w:val="00B02311"/>
    <w:rsid w:val="00B0672A"/>
    <w:rsid w:val="00B071F0"/>
    <w:rsid w:val="00B073CF"/>
    <w:rsid w:val="00B07A8E"/>
    <w:rsid w:val="00B1173F"/>
    <w:rsid w:val="00B120E5"/>
    <w:rsid w:val="00B1796E"/>
    <w:rsid w:val="00B25524"/>
    <w:rsid w:val="00B305F2"/>
    <w:rsid w:val="00B31F19"/>
    <w:rsid w:val="00B32DC0"/>
    <w:rsid w:val="00B32E1B"/>
    <w:rsid w:val="00B36343"/>
    <w:rsid w:val="00B36694"/>
    <w:rsid w:val="00B4046F"/>
    <w:rsid w:val="00B405D3"/>
    <w:rsid w:val="00B425D5"/>
    <w:rsid w:val="00B43D25"/>
    <w:rsid w:val="00B46327"/>
    <w:rsid w:val="00B506A1"/>
    <w:rsid w:val="00B54887"/>
    <w:rsid w:val="00B624D3"/>
    <w:rsid w:val="00B6763C"/>
    <w:rsid w:val="00B7700C"/>
    <w:rsid w:val="00B775D5"/>
    <w:rsid w:val="00B77F3C"/>
    <w:rsid w:val="00B91308"/>
    <w:rsid w:val="00B95ABE"/>
    <w:rsid w:val="00B961FD"/>
    <w:rsid w:val="00BA1C6B"/>
    <w:rsid w:val="00BA2A6D"/>
    <w:rsid w:val="00BA4CE0"/>
    <w:rsid w:val="00BB28E6"/>
    <w:rsid w:val="00BB3DE7"/>
    <w:rsid w:val="00BC1BFD"/>
    <w:rsid w:val="00BC4A0A"/>
    <w:rsid w:val="00BC513F"/>
    <w:rsid w:val="00BC7E17"/>
    <w:rsid w:val="00BD0BBC"/>
    <w:rsid w:val="00BD4A08"/>
    <w:rsid w:val="00BD611A"/>
    <w:rsid w:val="00BD7D29"/>
    <w:rsid w:val="00BE0FEC"/>
    <w:rsid w:val="00BF07D7"/>
    <w:rsid w:val="00BF2289"/>
    <w:rsid w:val="00BF257A"/>
    <w:rsid w:val="00BF4175"/>
    <w:rsid w:val="00BF49BD"/>
    <w:rsid w:val="00BF4B5A"/>
    <w:rsid w:val="00BF6D20"/>
    <w:rsid w:val="00BF7E85"/>
    <w:rsid w:val="00C06B1E"/>
    <w:rsid w:val="00C06ED2"/>
    <w:rsid w:val="00C12A59"/>
    <w:rsid w:val="00C137FE"/>
    <w:rsid w:val="00C15C14"/>
    <w:rsid w:val="00C21AAE"/>
    <w:rsid w:val="00C27427"/>
    <w:rsid w:val="00C27E4B"/>
    <w:rsid w:val="00C32192"/>
    <w:rsid w:val="00C40F37"/>
    <w:rsid w:val="00C43AB5"/>
    <w:rsid w:val="00C45677"/>
    <w:rsid w:val="00C47563"/>
    <w:rsid w:val="00C47EDA"/>
    <w:rsid w:val="00C5452A"/>
    <w:rsid w:val="00C55841"/>
    <w:rsid w:val="00C603EA"/>
    <w:rsid w:val="00C6476F"/>
    <w:rsid w:val="00C67287"/>
    <w:rsid w:val="00C73E17"/>
    <w:rsid w:val="00C7475B"/>
    <w:rsid w:val="00C75ED1"/>
    <w:rsid w:val="00C7663B"/>
    <w:rsid w:val="00C77807"/>
    <w:rsid w:val="00C8264A"/>
    <w:rsid w:val="00C830D3"/>
    <w:rsid w:val="00C83765"/>
    <w:rsid w:val="00C84B65"/>
    <w:rsid w:val="00C85F60"/>
    <w:rsid w:val="00C864BA"/>
    <w:rsid w:val="00C86C6D"/>
    <w:rsid w:val="00C90284"/>
    <w:rsid w:val="00C967DB"/>
    <w:rsid w:val="00CA3996"/>
    <w:rsid w:val="00CA4DCA"/>
    <w:rsid w:val="00CA78FF"/>
    <w:rsid w:val="00CA7BEA"/>
    <w:rsid w:val="00CB2958"/>
    <w:rsid w:val="00CB2A81"/>
    <w:rsid w:val="00CB3525"/>
    <w:rsid w:val="00CB38C7"/>
    <w:rsid w:val="00CB3B0C"/>
    <w:rsid w:val="00CB41FA"/>
    <w:rsid w:val="00CB5CE1"/>
    <w:rsid w:val="00CC1E6A"/>
    <w:rsid w:val="00CC46CD"/>
    <w:rsid w:val="00CC4CE8"/>
    <w:rsid w:val="00CC67F4"/>
    <w:rsid w:val="00CC6F02"/>
    <w:rsid w:val="00CC7E05"/>
    <w:rsid w:val="00CD017F"/>
    <w:rsid w:val="00CD0D9E"/>
    <w:rsid w:val="00CD1A8B"/>
    <w:rsid w:val="00CD2815"/>
    <w:rsid w:val="00CD306F"/>
    <w:rsid w:val="00CD7C65"/>
    <w:rsid w:val="00CE17B9"/>
    <w:rsid w:val="00CE1D51"/>
    <w:rsid w:val="00CE24AE"/>
    <w:rsid w:val="00CE6099"/>
    <w:rsid w:val="00CE6416"/>
    <w:rsid w:val="00CF0804"/>
    <w:rsid w:val="00CF5053"/>
    <w:rsid w:val="00CF7D9C"/>
    <w:rsid w:val="00D04A3A"/>
    <w:rsid w:val="00D05B05"/>
    <w:rsid w:val="00D104F0"/>
    <w:rsid w:val="00D125A7"/>
    <w:rsid w:val="00D15187"/>
    <w:rsid w:val="00D211E8"/>
    <w:rsid w:val="00D21458"/>
    <w:rsid w:val="00D2281A"/>
    <w:rsid w:val="00D22E85"/>
    <w:rsid w:val="00D23F81"/>
    <w:rsid w:val="00D35026"/>
    <w:rsid w:val="00D35C98"/>
    <w:rsid w:val="00D3772B"/>
    <w:rsid w:val="00D37E83"/>
    <w:rsid w:val="00D40C69"/>
    <w:rsid w:val="00D4177B"/>
    <w:rsid w:val="00D427F3"/>
    <w:rsid w:val="00D42AC9"/>
    <w:rsid w:val="00D43617"/>
    <w:rsid w:val="00D50309"/>
    <w:rsid w:val="00D50702"/>
    <w:rsid w:val="00D50F9A"/>
    <w:rsid w:val="00D52F07"/>
    <w:rsid w:val="00D55218"/>
    <w:rsid w:val="00D56BEA"/>
    <w:rsid w:val="00D61776"/>
    <w:rsid w:val="00D7489B"/>
    <w:rsid w:val="00D8218C"/>
    <w:rsid w:val="00D82327"/>
    <w:rsid w:val="00D862B5"/>
    <w:rsid w:val="00D916B8"/>
    <w:rsid w:val="00D917E2"/>
    <w:rsid w:val="00D92FE6"/>
    <w:rsid w:val="00D9688C"/>
    <w:rsid w:val="00D97E80"/>
    <w:rsid w:val="00D97EC5"/>
    <w:rsid w:val="00DA6B1B"/>
    <w:rsid w:val="00DA7459"/>
    <w:rsid w:val="00DB1362"/>
    <w:rsid w:val="00DB2CF1"/>
    <w:rsid w:val="00DB3735"/>
    <w:rsid w:val="00DB3F55"/>
    <w:rsid w:val="00DB41E0"/>
    <w:rsid w:val="00DD2C6A"/>
    <w:rsid w:val="00DD2D30"/>
    <w:rsid w:val="00DD7A89"/>
    <w:rsid w:val="00DE0429"/>
    <w:rsid w:val="00DE2244"/>
    <w:rsid w:val="00DE5721"/>
    <w:rsid w:val="00DE61B6"/>
    <w:rsid w:val="00DE66B5"/>
    <w:rsid w:val="00DE6B2D"/>
    <w:rsid w:val="00DF306C"/>
    <w:rsid w:val="00DF5005"/>
    <w:rsid w:val="00DF58F8"/>
    <w:rsid w:val="00DF6742"/>
    <w:rsid w:val="00E06314"/>
    <w:rsid w:val="00E147AA"/>
    <w:rsid w:val="00E148D1"/>
    <w:rsid w:val="00E20621"/>
    <w:rsid w:val="00E2355A"/>
    <w:rsid w:val="00E24E57"/>
    <w:rsid w:val="00E26C7A"/>
    <w:rsid w:val="00E31DF2"/>
    <w:rsid w:val="00E33EC2"/>
    <w:rsid w:val="00E3530C"/>
    <w:rsid w:val="00E376CB"/>
    <w:rsid w:val="00E44A94"/>
    <w:rsid w:val="00E46003"/>
    <w:rsid w:val="00E4789D"/>
    <w:rsid w:val="00E5077E"/>
    <w:rsid w:val="00E507EA"/>
    <w:rsid w:val="00E526A7"/>
    <w:rsid w:val="00E53D08"/>
    <w:rsid w:val="00E543A2"/>
    <w:rsid w:val="00E54407"/>
    <w:rsid w:val="00E57088"/>
    <w:rsid w:val="00E64346"/>
    <w:rsid w:val="00E666EC"/>
    <w:rsid w:val="00E67710"/>
    <w:rsid w:val="00E6781D"/>
    <w:rsid w:val="00E70628"/>
    <w:rsid w:val="00E719A8"/>
    <w:rsid w:val="00E76EC2"/>
    <w:rsid w:val="00E81E57"/>
    <w:rsid w:val="00E82C99"/>
    <w:rsid w:val="00E90B82"/>
    <w:rsid w:val="00E9163C"/>
    <w:rsid w:val="00E92A0B"/>
    <w:rsid w:val="00E92DA5"/>
    <w:rsid w:val="00E963E1"/>
    <w:rsid w:val="00EA2B9B"/>
    <w:rsid w:val="00EA7116"/>
    <w:rsid w:val="00EB0D92"/>
    <w:rsid w:val="00EB16BF"/>
    <w:rsid w:val="00EB36BA"/>
    <w:rsid w:val="00EC0B86"/>
    <w:rsid w:val="00EC0F5B"/>
    <w:rsid w:val="00EC4FDA"/>
    <w:rsid w:val="00EC5843"/>
    <w:rsid w:val="00EC6AD2"/>
    <w:rsid w:val="00ED3E98"/>
    <w:rsid w:val="00ED60E9"/>
    <w:rsid w:val="00ED66EE"/>
    <w:rsid w:val="00EE002F"/>
    <w:rsid w:val="00EE20DD"/>
    <w:rsid w:val="00EE3113"/>
    <w:rsid w:val="00EE4C16"/>
    <w:rsid w:val="00EE7265"/>
    <w:rsid w:val="00EF29C8"/>
    <w:rsid w:val="00EF2B15"/>
    <w:rsid w:val="00EF3F22"/>
    <w:rsid w:val="00EF4D36"/>
    <w:rsid w:val="00EF6BEC"/>
    <w:rsid w:val="00EF7A06"/>
    <w:rsid w:val="00EF7B93"/>
    <w:rsid w:val="00F00BCC"/>
    <w:rsid w:val="00F01188"/>
    <w:rsid w:val="00F04A2A"/>
    <w:rsid w:val="00F06211"/>
    <w:rsid w:val="00F074E4"/>
    <w:rsid w:val="00F105CF"/>
    <w:rsid w:val="00F11A52"/>
    <w:rsid w:val="00F1213F"/>
    <w:rsid w:val="00F12F33"/>
    <w:rsid w:val="00F14FB7"/>
    <w:rsid w:val="00F15693"/>
    <w:rsid w:val="00F2095A"/>
    <w:rsid w:val="00F24188"/>
    <w:rsid w:val="00F27D29"/>
    <w:rsid w:val="00F31225"/>
    <w:rsid w:val="00F32C8D"/>
    <w:rsid w:val="00F334C1"/>
    <w:rsid w:val="00F340F3"/>
    <w:rsid w:val="00F35DDE"/>
    <w:rsid w:val="00F40BA8"/>
    <w:rsid w:val="00F42413"/>
    <w:rsid w:val="00F427B1"/>
    <w:rsid w:val="00F61556"/>
    <w:rsid w:val="00F62482"/>
    <w:rsid w:val="00F624FF"/>
    <w:rsid w:val="00F63CEC"/>
    <w:rsid w:val="00F64E2D"/>
    <w:rsid w:val="00F65630"/>
    <w:rsid w:val="00F66AB4"/>
    <w:rsid w:val="00F71E79"/>
    <w:rsid w:val="00F74790"/>
    <w:rsid w:val="00F76FDF"/>
    <w:rsid w:val="00F81A91"/>
    <w:rsid w:val="00F8213E"/>
    <w:rsid w:val="00F83774"/>
    <w:rsid w:val="00F85DAD"/>
    <w:rsid w:val="00F90435"/>
    <w:rsid w:val="00F9166F"/>
    <w:rsid w:val="00F93A5E"/>
    <w:rsid w:val="00F94395"/>
    <w:rsid w:val="00FA0006"/>
    <w:rsid w:val="00FA5F00"/>
    <w:rsid w:val="00FA6E4A"/>
    <w:rsid w:val="00FB3A2F"/>
    <w:rsid w:val="00FB74D0"/>
    <w:rsid w:val="00FC3803"/>
    <w:rsid w:val="00FC6E95"/>
    <w:rsid w:val="00FD2797"/>
    <w:rsid w:val="00FD6643"/>
    <w:rsid w:val="00FD666A"/>
    <w:rsid w:val="00FE03DE"/>
    <w:rsid w:val="00FE1569"/>
    <w:rsid w:val="00FE233F"/>
    <w:rsid w:val="00FE27DE"/>
    <w:rsid w:val="00FE2F31"/>
    <w:rsid w:val="00FE77A0"/>
    <w:rsid w:val="00FF47EC"/>
    <w:rsid w:val="00FF54BE"/>
    <w:rsid w:val="00FF6137"/>
    <w:rsid w:val="00FF6992"/>
    <w:rsid w:val="00FF6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482C4-72DF-44E6-803E-773A95B7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B4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1E1"/>
    <w:pPr>
      <w:ind w:leftChars="200" w:left="480"/>
    </w:pPr>
  </w:style>
  <w:style w:type="paragraph" w:styleId="3">
    <w:name w:val="Body Text 3"/>
    <w:basedOn w:val="a"/>
    <w:link w:val="30"/>
    <w:semiHidden/>
    <w:rsid w:val="001021E1"/>
    <w:pPr>
      <w:spacing w:line="240" w:lineRule="auto"/>
      <w:jc w:val="both"/>
    </w:pPr>
    <w:rPr>
      <w:rFonts w:ascii="Times New Roman" w:eastAsia="標楷體" w:hAnsi="Times New Roman" w:cs="Times New Roman"/>
      <w:snapToGrid w:val="0"/>
      <w:szCs w:val="24"/>
    </w:rPr>
  </w:style>
  <w:style w:type="character" w:customStyle="1" w:styleId="30">
    <w:name w:val="本文 3 字元"/>
    <w:basedOn w:val="a0"/>
    <w:link w:val="3"/>
    <w:semiHidden/>
    <w:rsid w:val="001021E1"/>
    <w:rPr>
      <w:rFonts w:ascii="Times New Roman" w:eastAsia="標楷體" w:hAnsi="Times New Roman" w:cs="Times New Roman"/>
      <w:snapToGrid w:val="0"/>
      <w:szCs w:val="24"/>
    </w:rPr>
  </w:style>
  <w:style w:type="paragraph" w:customStyle="1" w:styleId="a4">
    <w:name w:val="公文(後續段落)"/>
    <w:basedOn w:val="a"/>
    <w:rsid w:val="001021E1"/>
    <w:pPr>
      <w:spacing w:line="500" w:lineRule="exact"/>
      <w:ind w:left="317"/>
    </w:pPr>
    <w:rPr>
      <w:rFonts w:ascii="Times New Roman" w:eastAsia="標楷體" w:hAnsi="Times New Roman" w:cs="Times New Roman"/>
      <w:sz w:val="32"/>
      <w:szCs w:val="24"/>
    </w:rPr>
  </w:style>
  <w:style w:type="character" w:styleId="a5">
    <w:name w:val="Hyperlink"/>
    <w:basedOn w:val="a0"/>
    <w:uiPriority w:val="99"/>
    <w:unhideWhenUsed/>
    <w:rsid w:val="001021E1"/>
    <w:rPr>
      <w:color w:val="0000FF" w:themeColor="hyperlink"/>
      <w:u w:val="single"/>
    </w:rPr>
  </w:style>
  <w:style w:type="paragraph" w:styleId="a6">
    <w:name w:val="header"/>
    <w:basedOn w:val="a"/>
    <w:link w:val="a7"/>
    <w:uiPriority w:val="99"/>
    <w:unhideWhenUsed/>
    <w:rsid w:val="00F62482"/>
    <w:pPr>
      <w:tabs>
        <w:tab w:val="center" w:pos="4153"/>
        <w:tab w:val="right" w:pos="8306"/>
      </w:tabs>
      <w:snapToGrid w:val="0"/>
    </w:pPr>
    <w:rPr>
      <w:sz w:val="20"/>
      <w:szCs w:val="20"/>
    </w:rPr>
  </w:style>
  <w:style w:type="character" w:customStyle="1" w:styleId="a7">
    <w:name w:val="頁首 字元"/>
    <w:basedOn w:val="a0"/>
    <w:link w:val="a6"/>
    <w:uiPriority w:val="99"/>
    <w:rsid w:val="00F62482"/>
    <w:rPr>
      <w:sz w:val="20"/>
      <w:szCs w:val="20"/>
    </w:rPr>
  </w:style>
  <w:style w:type="paragraph" w:styleId="a8">
    <w:name w:val="footer"/>
    <w:basedOn w:val="a"/>
    <w:link w:val="a9"/>
    <w:uiPriority w:val="99"/>
    <w:unhideWhenUsed/>
    <w:rsid w:val="00F62482"/>
    <w:pPr>
      <w:tabs>
        <w:tab w:val="center" w:pos="4153"/>
        <w:tab w:val="right" w:pos="8306"/>
      </w:tabs>
      <w:snapToGrid w:val="0"/>
    </w:pPr>
    <w:rPr>
      <w:sz w:val="20"/>
      <w:szCs w:val="20"/>
    </w:rPr>
  </w:style>
  <w:style w:type="character" w:customStyle="1" w:styleId="a9">
    <w:name w:val="頁尾 字元"/>
    <w:basedOn w:val="a0"/>
    <w:link w:val="a8"/>
    <w:uiPriority w:val="99"/>
    <w:rsid w:val="00F62482"/>
    <w:rPr>
      <w:sz w:val="20"/>
      <w:szCs w:val="20"/>
    </w:rPr>
  </w:style>
  <w:style w:type="paragraph" w:styleId="HTML">
    <w:name w:val="HTML Preformatted"/>
    <w:basedOn w:val="a"/>
    <w:link w:val="HTML0"/>
    <w:rsid w:val="001D2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1D26A7"/>
    <w:rPr>
      <w:rFonts w:ascii="Arial Unicode MS" w:eastAsia="Arial Unicode MS" w:hAnsi="Arial Unicode MS" w:cs="Arial Unicode MS"/>
      <w:color w:val="333333"/>
      <w:kern w:val="0"/>
      <w:sz w:val="20"/>
      <w:szCs w:val="20"/>
    </w:rPr>
  </w:style>
  <w:style w:type="paragraph" w:customStyle="1" w:styleId="aa">
    <w:name w:val="第一條(條)"/>
    <w:basedOn w:val="a"/>
    <w:rsid w:val="001D26A7"/>
    <w:pPr>
      <w:spacing w:line="480" w:lineRule="exact"/>
      <w:ind w:left="500" w:hangingChars="500" w:hanging="500"/>
      <w:jc w:val="both"/>
    </w:pPr>
    <w:rPr>
      <w:rFonts w:ascii="Times New Roman" w:eastAsia="華康楷書體W5" w:hAnsi="Times New Roman" w:cs="Times New Roman"/>
      <w:sz w:val="28"/>
      <w:szCs w:val="24"/>
    </w:rPr>
  </w:style>
  <w:style w:type="paragraph" w:customStyle="1" w:styleId="ab">
    <w:name w:val="第一條、一、(款)"/>
    <w:basedOn w:val="a"/>
    <w:rsid w:val="001D26A7"/>
    <w:pPr>
      <w:spacing w:line="480" w:lineRule="exact"/>
      <w:ind w:leftChars="700" w:left="900" w:hangingChars="200" w:hanging="200"/>
      <w:jc w:val="both"/>
    </w:pPr>
    <w:rPr>
      <w:rFonts w:ascii="Times New Roman" w:eastAsia="華康楷書體W5" w:hAnsi="Times New Roman" w:cs="Times New Roman"/>
      <w:sz w:val="28"/>
      <w:szCs w:val="24"/>
    </w:rPr>
  </w:style>
  <w:style w:type="paragraph" w:styleId="ac">
    <w:name w:val="Balloon Text"/>
    <w:basedOn w:val="a"/>
    <w:link w:val="ad"/>
    <w:uiPriority w:val="99"/>
    <w:semiHidden/>
    <w:unhideWhenUsed/>
    <w:rsid w:val="00223019"/>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3019"/>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55736B"/>
    <w:pPr>
      <w:spacing w:after="120"/>
    </w:pPr>
  </w:style>
  <w:style w:type="character" w:customStyle="1" w:styleId="af">
    <w:name w:val="本文 字元"/>
    <w:basedOn w:val="a0"/>
    <w:link w:val="ae"/>
    <w:uiPriority w:val="99"/>
    <w:semiHidden/>
    <w:rsid w:val="0055736B"/>
  </w:style>
  <w:style w:type="character" w:styleId="af0">
    <w:name w:val="page number"/>
    <w:basedOn w:val="a0"/>
    <w:semiHidden/>
    <w:rsid w:val="0055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15BE2-8209-4341-BF59-E4011FBB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鄧淑芬</cp:lastModifiedBy>
  <cp:revision>3</cp:revision>
  <cp:lastPrinted>2015-05-26T05:57:00Z</cp:lastPrinted>
  <dcterms:created xsi:type="dcterms:W3CDTF">2015-07-14T07:59:00Z</dcterms:created>
  <dcterms:modified xsi:type="dcterms:W3CDTF">2015-07-14T08:04:00Z</dcterms:modified>
</cp:coreProperties>
</file>