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C3F1E" w14:textId="3ECAED2A" w:rsidR="00B70758" w:rsidRPr="00747747" w:rsidRDefault="006F1564" w:rsidP="00007816">
      <w:pPr>
        <w:pStyle w:val="af4"/>
        <w:snapToGrid w:val="0"/>
        <w:spacing w:before="0" w:afterLines="50" w:after="180" w:line="400" w:lineRule="exact"/>
        <w:ind w:left="1"/>
        <w:rPr>
          <w:rFonts w:ascii="標楷體" w:eastAsia="標楷體" w:hAnsi="標楷體"/>
          <w:snapToGrid w:val="0"/>
          <w:sz w:val="28"/>
          <w:szCs w:val="28"/>
        </w:rPr>
      </w:pPr>
      <w:r w:rsidRPr="00747747">
        <w:rPr>
          <w:rFonts w:ascii="標楷體" w:eastAsia="標楷體" w:hAnsi="標楷體" w:hint="eastAsia"/>
          <w:snapToGrid w:val="0"/>
          <w:sz w:val="28"/>
          <w:szCs w:val="28"/>
        </w:rPr>
        <w:t>財</w:t>
      </w:r>
      <w:r w:rsidR="00B70758" w:rsidRPr="00747747">
        <w:rPr>
          <w:rFonts w:ascii="標楷體" w:eastAsia="標楷體" w:hAnsi="標楷體"/>
          <w:snapToGrid w:val="0"/>
          <w:sz w:val="28"/>
          <w:szCs w:val="28"/>
        </w:rPr>
        <w:t>團法人中華民國證券櫃檯買賣中心指數股票型基金受益憑證買賣辦法</w:t>
      </w:r>
      <w:r w:rsidR="00007816">
        <w:rPr>
          <w:rFonts w:ascii="標楷體" w:eastAsia="標楷體" w:hAnsi="標楷體"/>
          <w:snapToGrid w:val="0"/>
          <w:sz w:val="28"/>
          <w:szCs w:val="28"/>
        </w:rPr>
        <w:br/>
      </w:r>
      <w:r w:rsidR="000848B5" w:rsidRPr="00747747">
        <w:rPr>
          <w:rFonts w:ascii="標楷體" w:eastAsia="標楷體" w:hAnsi="標楷體" w:hint="eastAsia"/>
          <w:snapToGrid w:val="0"/>
          <w:sz w:val="28"/>
          <w:szCs w:val="28"/>
        </w:rPr>
        <w:t>第十二條之</w:t>
      </w:r>
      <w:proofErr w:type="gramStart"/>
      <w:r w:rsidR="000848B5" w:rsidRPr="00747747">
        <w:rPr>
          <w:rFonts w:ascii="標楷體" w:eastAsia="標楷體" w:hAnsi="標楷體" w:hint="eastAsia"/>
          <w:snapToGrid w:val="0"/>
          <w:sz w:val="28"/>
          <w:szCs w:val="28"/>
        </w:rPr>
        <w:t>一</w:t>
      </w:r>
      <w:proofErr w:type="gramEnd"/>
      <w:r w:rsidR="00B70758" w:rsidRPr="00747747">
        <w:rPr>
          <w:rFonts w:ascii="標楷體" w:eastAsia="標楷體" w:hAnsi="標楷體" w:hint="eastAsia"/>
          <w:snapToGrid w:val="0"/>
          <w:sz w:val="28"/>
          <w:szCs w:val="28"/>
        </w:rPr>
        <w:t>修正條文對照</w:t>
      </w:r>
      <w:r w:rsidR="00AE5E89" w:rsidRPr="00747747">
        <w:rPr>
          <w:rFonts w:ascii="標楷體" w:eastAsia="標楷體" w:hAnsi="標楷體" w:hint="eastAsia"/>
          <w:snapToGrid w:val="0"/>
          <w:sz w:val="28"/>
          <w:szCs w:val="28"/>
        </w:rPr>
        <w:t>表</w:t>
      </w:r>
    </w:p>
    <w:tbl>
      <w:tblPr>
        <w:tblW w:w="9497" w:type="dxa"/>
        <w:tblInd w:w="12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65"/>
        <w:gridCol w:w="3166"/>
        <w:gridCol w:w="3166"/>
      </w:tblGrid>
      <w:tr w:rsidR="00C07BAE" w:rsidRPr="00C07BAE" w14:paraId="2B623C09" w14:textId="77777777" w:rsidTr="006B3236">
        <w:trPr>
          <w:tblHeader/>
        </w:trPr>
        <w:tc>
          <w:tcPr>
            <w:tcW w:w="3165" w:type="dxa"/>
            <w:vAlign w:val="center"/>
          </w:tcPr>
          <w:p w14:paraId="33AE17C6" w14:textId="41625FA0" w:rsidR="00C07BAE" w:rsidRPr="00C07BAE" w:rsidRDefault="00C07BAE" w:rsidP="00B70758">
            <w:pPr>
              <w:widowControl/>
              <w:jc w:val="center"/>
              <w:rPr>
                <w:rFonts w:ascii="Times New Roman" w:eastAsia="標楷體" w:hAnsi="Times New Roman" w:cs="新細明體"/>
                <w:b/>
                <w:bCs/>
                <w:sz w:val="24"/>
                <w:szCs w:val="24"/>
              </w:rPr>
            </w:pPr>
            <w:r w:rsidRPr="00C07BAE">
              <w:rPr>
                <w:rFonts w:ascii="Times New Roman" w:eastAsia="標楷體" w:hAnsi="Times New Roman" w:cs="新細明體" w:hint="eastAsia"/>
                <w:b/>
                <w:bCs/>
                <w:sz w:val="24"/>
                <w:szCs w:val="24"/>
              </w:rPr>
              <w:t>修正條文</w:t>
            </w:r>
          </w:p>
        </w:tc>
        <w:tc>
          <w:tcPr>
            <w:tcW w:w="3166" w:type="dxa"/>
            <w:vAlign w:val="center"/>
          </w:tcPr>
          <w:p w14:paraId="38D2D169" w14:textId="77777777" w:rsidR="00C07BAE" w:rsidRPr="00C07BAE" w:rsidRDefault="00C07BAE" w:rsidP="00791E26">
            <w:pPr>
              <w:widowControl/>
              <w:jc w:val="center"/>
              <w:rPr>
                <w:rFonts w:ascii="Times New Roman" w:eastAsia="標楷體" w:hAnsi="Times New Roman" w:cs="新細明體"/>
                <w:b/>
                <w:bCs/>
                <w:sz w:val="24"/>
                <w:szCs w:val="24"/>
              </w:rPr>
            </w:pPr>
            <w:r w:rsidRPr="00C07BAE">
              <w:rPr>
                <w:rFonts w:ascii="Times New Roman" w:eastAsia="標楷體" w:hAnsi="Times New Roman" w:cs="新細明體" w:hint="eastAsia"/>
                <w:b/>
                <w:bCs/>
                <w:sz w:val="24"/>
                <w:szCs w:val="24"/>
              </w:rPr>
              <w:t>現行條文</w:t>
            </w:r>
          </w:p>
        </w:tc>
        <w:tc>
          <w:tcPr>
            <w:tcW w:w="3166" w:type="dxa"/>
            <w:vAlign w:val="center"/>
          </w:tcPr>
          <w:p w14:paraId="62A9E926" w14:textId="77777777" w:rsidR="00C07BAE" w:rsidRPr="00C07BAE" w:rsidRDefault="00C07BAE" w:rsidP="00B70758">
            <w:pPr>
              <w:widowControl/>
              <w:jc w:val="center"/>
              <w:rPr>
                <w:rFonts w:ascii="Times New Roman" w:eastAsia="標楷體" w:hAnsi="Times New Roman" w:cs="新細明體"/>
                <w:b/>
                <w:bCs/>
                <w:sz w:val="24"/>
                <w:szCs w:val="24"/>
              </w:rPr>
            </w:pPr>
            <w:r w:rsidRPr="00C07BAE">
              <w:rPr>
                <w:rFonts w:ascii="Times New Roman" w:eastAsia="標楷體" w:hAnsi="Times New Roman" w:cs="新細明體" w:hint="eastAsia"/>
                <w:b/>
                <w:bCs/>
                <w:sz w:val="24"/>
                <w:szCs w:val="24"/>
              </w:rPr>
              <w:t>說明</w:t>
            </w:r>
          </w:p>
        </w:tc>
      </w:tr>
      <w:tr w:rsidR="00C07BAE" w:rsidRPr="00C07BAE" w14:paraId="05A85E6A" w14:textId="77777777" w:rsidTr="006B3236">
        <w:tc>
          <w:tcPr>
            <w:tcW w:w="3165" w:type="dxa"/>
          </w:tcPr>
          <w:p w14:paraId="191CA950" w14:textId="283203A3" w:rsidR="00C07BAE" w:rsidRPr="00C07BAE" w:rsidRDefault="00C07BAE" w:rsidP="00301236">
            <w:pPr>
              <w:ind w:left="240" w:hangingChars="100" w:hanging="240"/>
              <w:jc w:val="both"/>
              <w:rPr>
                <w:rFonts w:ascii="標楷體" w:eastAsia="標楷體" w:hAnsi="標楷體"/>
                <w:sz w:val="24"/>
                <w:szCs w:val="24"/>
              </w:rPr>
            </w:pPr>
            <w:r w:rsidRPr="00C07BAE">
              <w:rPr>
                <w:rFonts w:ascii="標楷體" w:eastAsia="標楷體" w:hAnsi="標楷體"/>
                <w:sz w:val="24"/>
                <w:szCs w:val="24"/>
              </w:rPr>
              <w:t>第十二條之</w:t>
            </w:r>
            <w:proofErr w:type="gramStart"/>
            <w:r w:rsidRPr="00C07BAE">
              <w:rPr>
                <w:rFonts w:ascii="標楷體" w:eastAsia="標楷體" w:hAnsi="標楷體"/>
                <w:sz w:val="24"/>
                <w:szCs w:val="24"/>
              </w:rPr>
              <w:t>一</w:t>
            </w:r>
            <w:proofErr w:type="gramEnd"/>
            <w:r w:rsidRPr="00C07BAE">
              <w:rPr>
                <w:rFonts w:ascii="標楷體" w:eastAsia="標楷體" w:hAnsi="標楷體" w:hint="eastAsia"/>
                <w:sz w:val="24"/>
                <w:szCs w:val="24"/>
              </w:rPr>
              <w:t xml:space="preserve">　</w:t>
            </w:r>
            <w:r w:rsidRPr="00C07BAE">
              <w:rPr>
                <w:rFonts w:ascii="標楷體" w:eastAsia="標楷體" w:hAnsi="標楷體"/>
                <w:sz w:val="24"/>
                <w:szCs w:val="24"/>
              </w:rPr>
              <w:t>證券商與證券投資信託事業</w:t>
            </w:r>
            <w:r w:rsidRPr="00C07BAE">
              <w:rPr>
                <w:rFonts w:ascii="標楷體" w:eastAsia="標楷體" w:hAnsi="標楷體" w:hint="eastAsia"/>
                <w:sz w:val="24"/>
                <w:szCs w:val="24"/>
              </w:rPr>
              <w:t>或期貨信託事業</w:t>
            </w:r>
            <w:r w:rsidRPr="00C07BAE">
              <w:rPr>
                <w:rFonts w:ascii="標楷體" w:eastAsia="標楷體" w:hAnsi="標楷體"/>
                <w:sz w:val="24"/>
                <w:szCs w:val="24"/>
              </w:rPr>
              <w:t>簽訂前條第一項</w:t>
            </w:r>
            <w:r w:rsidRPr="00C07BAE">
              <w:rPr>
                <w:rFonts w:ascii="標楷體" w:eastAsia="標楷體" w:hAnsi="標楷體" w:hint="eastAsia"/>
                <w:sz w:val="24"/>
                <w:szCs w:val="24"/>
              </w:rPr>
              <w:t>或第二項</w:t>
            </w:r>
            <w:r w:rsidRPr="00C07BAE">
              <w:rPr>
                <w:rFonts w:ascii="標楷體" w:eastAsia="標楷體" w:hAnsi="標楷體"/>
                <w:sz w:val="24"/>
                <w:szCs w:val="24"/>
              </w:rPr>
              <w:t>之相關契約者，稱為參與證券商，其應符合下列條件，並經本中心審查後核發許可函：</w:t>
            </w:r>
          </w:p>
          <w:p w14:paraId="14BB7E17" w14:textId="010989EA" w:rsidR="00C07BAE" w:rsidRPr="00C07BAE" w:rsidRDefault="00C07BAE" w:rsidP="00902C1C">
            <w:pPr>
              <w:tabs>
                <w:tab w:val="left" w:pos="689"/>
              </w:tabs>
              <w:ind w:leftChars="100" w:left="680" w:hangingChars="200" w:hanging="480"/>
              <w:jc w:val="both"/>
              <w:rPr>
                <w:rFonts w:ascii="標楷體" w:eastAsia="標楷體" w:hAnsi="標楷體"/>
                <w:sz w:val="24"/>
                <w:szCs w:val="24"/>
              </w:rPr>
            </w:pPr>
            <w:r w:rsidRPr="00C07BAE">
              <w:rPr>
                <w:rFonts w:ascii="標楷體" w:eastAsia="標楷體" w:hAnsi="標楷體"/>
                <w:sz w:val="24"/>
                <w:szCs w:val="24"/>
              </w:rPr>
              <w:t>一、</w:t>
            </w:r>
            <w:r w:rsidR="00902C1C">
              <w:rPr>
                <w:rFonts w:ascii="標楷體" w:eastAsia="標楷體" w:hAnsi="標楷體"/>
                <w:sz w:val="24"/>
                <w:szCs w:val="24"/>
              </w:rPr>
              <w:tab/>
            </w:r>
            <w:r w:rsidRPr="00C07BAE">
              <w:rPr>
                <w:rFonts w:ascii="標楷體" w:eastAsia="標楷體" w:hAnsi="標楷體"/>
                <w:sz w:val="24"/>
                <w:szCs w:val="24"/>
              </w:rPr>
              <w:t>證券商之資本適足比率，其最近</w:t>
            </w:r>
            <w:r w:rsidRPr="00C07BAE">
              <w:rPr>
                <w:rFonts w:ascii="標楷體" w:eastAsia="標楷體" w:hAnsi="標楷體" w:hint="eastAsia"/>
                <w:color w:val="FF0000"/>
                <w:sz w:val="24"/>
                <w:szCs w:val="24"/>
                <w:u w:val="single"/>
              </w:rPr>
              <w:t>六</w:t>
            </w:r>
            <w:r w:rsidRPr="00C07BAE">
              <w:rPr>
                <w:rFonts w:ascii="標楷體" w:eastAsia="標楷體" w:hAnsi="標楷體"/>
                <w:sz w:val="24"/>
                <w:szCs w:val="24"/>
              </w:rPr>
              <w:t>個月自有資本適足</w:t>
            </w:r>
            <w:proofErr w:type="gramStart"/>
            <w:r w:rsidRPr="00C07BAE">
              <w:rPr>
                <w:rFonts w:ascii="標楷體" w:eastAsia="標楷體" w:hAnsi="標楷體"/>
                <w:sz w:val="24"/>
                <w:szCs w:val="24"/>
              </w:rPr>
              <w:t>比率均逾百分之一百五十</w:t>
            </w:r>
            <w:proofErr w:type="gramEnd"/>
            <w:r w:rsidRPr="00C07BAE">
              <w:rPr>
                <w:rFonts w:ascii="標楷體" w:eastAsia="標楷體" w:hAnsi="標楷體"/>
                <w:sz w:val="24"/>
                <w:szCs w:val="24"/>
              </w:rPr>
              <w:t>。但外國證券商在台分公司如其母國總公司已依其當地國法令之規定計算自有資本適足比率，且將在台分公司之經營風險列入計算，符合標準並經金融監督管理委員會核准免適用國內證券商自有資本管理之規定，不在此限。</w:t>
            </w:r>
            <w:r w:rsidRPr="00C07BAE">
              <w:rPr>
                <w:rFonts w:ascii="標楷體" w:eastAsia="標楷體" w:hAnsi="標楷體" w:hint="eastAsia"/>
                <w:color w:val="FF0000"/>
                <w:sz w:val="24"/>
                <w:szCs w:val="24"/>
                <w:u w:val="single"/>
              </w:rPr>
              <w:t>金融機構兼營證券業務者最近六個月自有資本適足率，應符合銀行法第四十四條資本適足率相關規定。期貨商兼營證券自營業務者，最近六個月調整後淨資本額占期貨交易人未沖銷部位所需之客戶保證金總額比例之月簡單算術平均數逾百分之四十。</w:t>
            </w:r>
          </w:p>
          <w:p w14:paraId="77E10800" w14:textId="7DD19F6B" w:rsidR="00C07BAE" w:rsidRPr="00C07BAE" w:rsidRDefault="00C07BAE" w:rsidP="00301236">
            <w:pPr>
              <w:ind w:leftChars="100" w:left="680" w:hangingChars="200" w:hanging="480"/>
              <w:jc w:val="both"/>
              <w:rPr>
                <w:rFonts w:ascii="標楷體" w:eastAsia="標楷體" w:hAnsi="標楷體"/>
                <w:sz w:val="24"/>
                <w:szCs w:val="24"/>
              </w:rPr>
            </w:pPr>
            <w:r w:rsidRPr="00C07BAE">
              <w:rPr>
                <w:rFonts w:ascii="標楷體" w:eastAsia="標楷體" w:hAnsi="標楷體"/>
                <w:sz w:val="24"/>
                <w:szCs w:val="24"/>
              </w:rPr>
              <w:t>二、應取得信用評等機構評定之長期債務信用評等達一定等級以上：中華信用評等股份有限公司</w:t>
            </w:r>
            <w:r w:rsidRPr="00C07BAE">
              <w:rPr>
                <w:rFonts w:ascii="標楷體" w:eastAsia="標楷體" w:hAnsi="標楷體"/>
                <w:sz w:val="24"/>
                <w:szCs w:val="24"/>
              </w:rPr>
              <w:lastRenderedPageBreak/>
              <w:t>評級為</w:t>
            </w:r>
            <w:proofErr w:type="spellStart"/>
            <w:r w:rsidRPr="00C07BAE">
              <w:rPr>
                <w:rFonts w:ascii="標楷體" w:eastAsia="標楷體" w:hAnsi="標楷體"/>
                <w:sz w:val="24"/>
                <w:szCs w:val="24"/>
              </w:rPr>
              <w:t>twBB</w:t>
            </w:r>
            <w:proofErr w:type="spellEnd"/>
            <w:r w:rsidRPr="00C07BAE">
              <w:rPr>
                <w:rFonts w:ascii="標楷體" w:eastAsia="標楷體" w:hAnsi="標楷體"/>
                <w:sz w:val="24"/>
                <w:szCs w:val="24"/>
              </w:rPr>
              <w:t>-級以上，或</w:t>
            </w:r>
            <w:r w:rsidRPr="00C07BAE">
              <w:rPr>
                <w:rFonts w:ascii="標楷體" w:eastAsia="標楷體" w:hAnsi="標楷體" w:hint="eastAsia"/>
                <w:sz w:val="24"/>
                <w:szCs w:val="24"/>
              </w:rPr>
              <w:t xml:space="preserve">Moody's </w:t>
            </w:r>
            <w:r w:rsidRPr="00C07BAE">
              <w:rPr>
                <w:rFonts w:ascii="標楷體" w:eastAsia="標楷體" w:hAnsi="標楷體"/>
                <w:color w:val="FF0000"/>
                <w:sz w:val="24"/>
                <w:szCs w:val="24"/>
                <w:u w:val="single"/>
              </w:rPr>
              <w:t>Investors</w:t>
            </w:r>
            <w:r w:rsidRPr="00C07BAE">
              <w:rPr>
                <w:rFonts w:ascii="標楷體" w:eastAsia="標楷體" w:hAnsi="標楷體"/>
                <w:sz w:val="24"/>
                <w:szCs w:val="24"/>
              </w:rPr>
              <w:t xml:space="preserve"> </w:t>
            </w:r>
            <w:r w:rsidRPr="00C07BAE">
              <w:rPr>
                <w:rFonts w:ascii="標楷體" w:eastAsia="標楷體" w:hAnsi="標楷體" w:hint="eastAsia"/>
                <w:sz w:val="24"/>
                <w:szCs w:val="24"/>
              </w:rPr>
              <w:t>Service</w:t>
            </w:r>
            <w:r w:rsidRPr="00C07BAE">
              <w:rPr>
                <w:rFonts w:ascii="標楷體" w:eastAsia="標楷體" w:hAnsi="標楷體"/>
                <w:color w:val="FF0000"/>
                <w:sz w:val="24"/>
                <w:szCs w:val="24"/>
                <w:u w:val="single"/>
              </w:rPr>
              <w:t>,</w:t>
            </w:r>
            <w:r w:rsidRPr="00C07BAE">
              <w:rPr>
                <w:color w:val="FF0000"/>
                <w:sz w:val="24"/>
                <w:szCs w:val="24"/>
              </w:rPr>
              <w:t xml:space="preserve"> </w:t>
            </w:r>
            <w:proofErr w:type="spellStart"/>
            <w:r w:rsidRPr="00C07BAE">
              <w:rPr>
                <w:rFonts w:ascii="標楷體" w:eastAsia="標楷體" w:hAnsi="標楷體"/>
                <w:color w:val="FF0000"/>
                <w:sz w:val="24"/>
                <w:szCs w:val="24"/>
                <w:u w:val="single"/>
              </w:rPr>
              <w:t>Inc</w:t>
            </w:r>
            <w:proofErr w:type="spellEnd"/>
            <w:r w:rsidRPr="00C07BAE">
              <w:rPr>
                <w:rFonts w:ascii="標楷體" w:eastAsia="標楷體" w:hAnsi="標楷體"/>
                <w:sz w:val="24"/>
                <w:szCs w:val="24"/>
              </w:rPr>
              <w:t>評級Ba3級以上，或</w:t>
            </w:r>
            <w:r w:rsidRPr="00C07BAE">
              <w:rPr>
                <w:rFonts w:ascii="標楷體" w:eastAsia="標楷體" w:hAnsi="標楷體" w:hint="eastAsia"/>
                <w:sz w:val="24"/>
                <w:szCs w:val="24"/>
              </w:rPr>
              <w:t xml:space="preserve">Standard &amp; Poor's </w:t>
            </w:r>
            <w:r w:rsidRPr="00C07BAE">
              <w:rPr>
                <w:rFonts w:ascii="標楷體" w:eastAsia="標楷體" w:hAnsi="標楷體"/>
                <w:color w:val="FF0000"/>
                <w:sz w:val="24"/>
                <w:szCs w:val="24"/>
                <w:u w:val="single"/>
              </w:rPr>
              <w:t>Ratings Services</w:t>
            </w:r>
            <w:r w:rsidRPr="00C07BAE">
              <w:rPr>
                <w:rFonts w:ascii="標楷體" w:eastAsia="標楷體" w:hAnsi="標楷體"/>
                <w:sz w:val="24"/>
                <w:szCs w:val="24"/>
              </w:rPr>
              <w:t xml:space="preserve">評級 BB-級以上，或 </w:t>
            </w:r>
            <w:r w:rsidRPr="00C07BAE">
              <w:rPr>
                <w:rFonts w:ascii="標楷體" w:eastAsia="標楷體" w:hAnsi="標楷體" w:hint="eastAsia"/>
                <w:sz w:val="24"/>
                <w:szCs w:val="24"/>
              </w:rPr>
              <w:t xml:space="preserve">Fitch </w:t>
            </w:r>
            <w:r w:rsidRPr="00C07BAE">
              <w:rPr>
                <w:rFonts w:ascii="標楷體" w:eastAsia="標楷體" w:hAnsi="標楷體"/>
                <w:color w:val="FF0000"/>
                <w:sz w:val="24"/>
                <w:szCs w:val="24"/>
                <w:u w:val="single"/>
              </w:rPr>
              <w:t>Ratings Ltd</w:t>
            </w:r>
            <w:r w:rsidRPr="00C07BAE">
              <w:rPr>
                <w:rFonts w:ascii="標楷體" w:eastAsia="標楷體" w:hAnsi="標楷體" w:hint="eastAsia"/>
                <w:color w:val="FF0000"/>
                <w:sz w:val="24"/>
                <w:szCs w:val="24"/>
                <w:u w:val="single"/>
              </w:rPr>
              <w:t>.</w:t>
            </w:r>
            <w:r w:rsidRPr="00C07BAE">
              <w:rPr>
                <w:rFonts w:ascii="標楷體" w:eastAsia="標楷體" w:hAnsi="標楷體"/>
                <w:sz w:val="24"/>
                <w:szCs w:val="24"/>
              </w:rPr>
              <w:t>評級 BB-級以上</w:t>
            </w:r>
            <w:r w:rsidRPr="00C07BAE">
              <w:rPr>
                <w:rFonts w:ascii="標楷體" w:eastAsia="標楷體" w:hAnsi="標楷體" w:hint="eastAsia"/>
                <w:color w:val="FF0000"/>
                <w:sz w:val="24"/>
                <w:szCs w:val="24"/>
                <w:u w:val="single"/>
              </w:rPr>
              <w:t>，或澳洲</w:t>
            </w:r>
            <w:proofErr w:type="gramStart"/>
            <w:r w:rsidRPr="00C07BAE">
              <w:rPr>
                <w:rFonts w:ascii="標楷體" w:eastAsia="標楷體" w:hAnsi="標楷體" w:hint="eastAsia"/>
                <w:color w:val="FF0000"/>
                <w:sz w:val="24"/>
                <w:szCs w:val="24"/>
                <w:u w:val="single"/>
              </w:rPr>
              <w:t>商惠譽國際</w:t>
            </w:r>
            <w:proofErr w:type="gramEnd"/>
            <w:r w:rsidRPr="00C07BAE">
              <w:rPr>
                <w:rFonts w:ascii="標楷體" w:eastAsia="標楷體" w:hAnsi="標楷體" w:hint="eastAsia"/>
                <w:color w:val="FF0000"/>
                <w:sz w:val="24"/>
                <w:szCs w:val="24"/>
                <w:u w:val="single"/>
              </w:rPr>
              <w:t>信用評等股份有限公司臺灣分公司評級BB-(</w:t>
            </w:r>
            <w:proofErr w:type="spellStart"/>
            <w:r w:rsidRPr="00C07BAE">
              <w:rPr>
                <w:rFonts w:ascii="標楷體" w:eastAsia="標楷體" w:hAnsi="標楷體"/>
                <w:color w:val="FF0000"/>
                <w:sz w:val="24"/>
                <w:szCs w:val="24"/>
                <w:u w:val="single"/>
              </w:rPr>
              <w:t>twn</w:t>
            </w:r>
            <w:proofErr w:type="spellEnd"/>
            <w:r w:rsidRPr="00C07BAE">
              <w:rPr>
                <w:rFonts w:ascii="標楷體" w:eastAsia="標楷體" w:hAnsi="標楷體"/>
                <w:color w:val="FF0000"/>
                <w:sz w:val="24"/>
                <w:szCs w:val="24"/>
                <w:u w:val="single"/>
              </w:rPr>
              <w:t>)</w:t>
            </w:r>
            <w:r w:rsidRPr="00C07BAE">
              <w:rPr>
                <w:rFonts w:ascii="標楷體" w:eastAsia="標楷體" w:hAnsi="標楷體" w:hint="eastAsia"/>
                <w:color w:val="FF0000"/>
                <w:sz w:val="24"/>
                <w:szCs w:val="24"/>
                <w:u w:val="single"/>
              </w:rPr>
              <w:t>級以上</w:t>
            </w:r>
            <w:r w:rsidRPr="00C07BAE">
              <w:rPr>
                <w:rFonts w:ascii="標楷體" w:eastAsia="標楷體" w:hAnsi="標楷體"/>
                <w:sz w:val="24"/>
                <w:szCs w:val="24"/>
              </w:rPr>
              <w:t>之信用評等。金融機構兼營者得</w:t>
            </w:r>
            <w:proofErr w:type="gramStart"/>
            <w:r w:rsidRPr="00C07BAE">
              <w:rPr>
                <w:rFonts w:ascii="標楷體" w:eastAsia="標楷體" w:hAnsi="標楷體"/>
                <w:sz w:val="24"/>
                <w:szCs w:val="24"/>
              </w:rPr>
              <w:t>採</w:t>
            </w:r>
            <w:proofErr w:type="gramEnd"/>
            <w:r w:rsidRPr="00C07BAE">
              <w:rPr>
                <w:rFonts w:ascii="標楷體" w:eastAsia="標楷體" w:hAnsi="標楷體"/>
                <w:sz w:val="24"/>
                <w:szCs w:val="24"/>
              </w:rPr>
              <w:t>金融機構之信用評級，外國證券商在台分公司得</w:t>
            </w:r>
            <w:proofErr w:type="gramStart"/>
            <w:r w:rsidRPr="00C07BAE">
              <w:rPr>
                <w:rFonts w:ascii="標楷體" w:eastAsia="標楷體" w:hAnsi="標楷體"/>
                <w:sz w:val="24"/>
                <w:szCs w:val="24"/>
              </w:rPr>
              <w:t>採</w:t>
            </w:r>
            <w:proofErr w:type="gramEnd"/>
            <w:r w:rsidRPr="00C07BAE">
              <w:rPr>
                <w:rFonts w:ascii="標楷體" w:eastAsia="標楷體" w:hAnsi="標楷體"/>
                <w:sz w:val="24"/>
                <w:szCs w:val="24"/>
              </w:rPr>
              <w:t>集團控股公司之信用評級。</w:t>
            </w:r>
          </w:p>
          <w:p w14:paraId="0EFCEB6D" w14:textId="1F2DE23B" w:rsidR="00C07BAE" w:rsidRPr="00C07BAE" w:rsidRDefault="00C07BAE" w:rsidP="00301236">
            <w:pPr>
              <w:ind w:leftChars="100" w:left="200" w:firstLineChars="200" w:firstLine="480"/>
              <w:jc w:val="both"/>
              <w:rPr>
                <w:rFonts w:ascii="標楷體" w:eastAsia="標楷體" w:hAnsi="標楷體"/>
                <w:sz w:val="24"/>
                <w:szCs w:val="24"/>
              </w:rPr>
            </w:pPr>
            <w:r w:rsidRPr="00C07BAE">
              <w:rPr>
                <w:rFonts w:ascii="標楷體" w:eastAsia="標楷體" w:hAnsi="標楷體"/>
                <w:sz w:val="24"/>
                <w:szCs w:val="24"/>
              </w:rPr>
              <w:t>證券商應於取得本中心許可函後</w:t>
            </w:r>
            <w:r w:rsidRPr="00C07BAE">
              <w:rPr>
                <w:rFonts w:ascii="標楷體" w:eastAsia="標楷體" w:hAnsi="標楷體" w:hint="eastAsia"/>
                <w:color w:val="FF0000"/>
                <w:sz w:val="24"/>
                <w:szCs w:val="24"/>
                <w:u w:val="single"/>
              </w:rPr>
              <w:t>一年</w:t>
            </w:r>
            <w:r w:rsidRPr="00C07BAE">
              <w:rPr>
                <w:rFonts w:ascii="標楷體" w:eastAsia="標楷體" w:hAnsi="標楷體"/>
                <w:sz w:val="24"/>
                <w:szCs w:val="24"/>
              </w:rPr>
              <w:t>內，與發行指數股票型基金受益憑證之證券投資信託事業</w:t>
            </w:r>
            <w:r w:rsidRPr="00C07BAE">
              <w:rPr>
                <w:rFonts w:ascii="標楷體" w:eastAsia="標楷體" w:hAnsi="標楷體" w:hint="eastAsia"/>
                <w:sz w:val="24"/>
                <w:szCs w:val="24"/>
              </w:rPr>
              <w:t>或期貨信託事業</w:t>
            </w:r>
            <w:r w:rsidRPr="00C07BAE">
              <w:rPr>
                <w:rFonts w:ascii="標楷體" w:eastAsia="標楷體" w:hAnsi="標楷體"/>
                <w:sz w:val="24"/>
                <w:szCs w:val="24"/>
              </w:rPr>
              <w:t>簽訂參與契約，始得成為參與證券商。</w:t>
            </w:r>
          </w:p>
          <w:p w14:paraId="6945DA45" w14:textId="04E0F5CF" w:rsidR="00C07BAE" w:rsidRPr="00C07BAE" w:rsidRDefault="00C07BAE" w:rsidP="00301236">
            <w:pPr>
              <w:ind w:leftChars="100" w:left="200" w:firstLineChars="200" w:firstLine="480"/>
              <w:jc w:val="both"/>
              <w:rPr>
                <w:rFonts w:ascii="標楷體" w:eastAsia="標楷體" w:hAnsi="標楷體" w:cs="細明體"/>
                <w:sz w:val="24"/>
                <w:szCs w:val="24"/>
              </w:rPr>
            </w:pPr>
            <w:r w:rsidRPr="00C07BAE">
              <w:rPr>
                <w:rFonts w:ascii="標楷體" w:eastAsia="標楷體" w:hAnsi="標楷體"/>
                <w:sz w:val="24"/>
                <w:szCs w:val="24"/>
              </w:rPr>
              <w:t>證券商經本中心許可且已擔任參與證券商，或已獲許可而尚未簽約者，</w:t>
            </w:r>
            <w:r w:rsidRPr="00C07BAE">
              <w:rPr>
                <w:rFonts w:ascii="標楷體" w:eastAsia="標楷體" w:hAnsi="標楷體" w:hint="eastAsia"/>
                <w:color w:val="FF0000"/>
                <w:sz w:val="24"/>
                <w:szCs w:val="24"/>
                <w:u w:val="single"/>
              </w:rPr>
              <w:t>連續二個月有未符第一項第一款情事者</w:t>
            </w:r>
            <w:r w:rsidRPr="00C07BAE">
              <w:rPr>
                <w:rFonts w:ascii="標楷體" w:eastAsia="標楷體" w:hAnsi="標楷體"/>
                <w:sz w:val="24"/>
                <w:szCs w:val="24"/>
              </w:rPr>
              <w:t>，應停止從事參與證券商，</w:t>
            </w:r>
            <w:proofErr w:type="gramStart"/>
            <w:r w:rsidRPr="00C07BAE">
              <w:rPr>
                <w:rFonts w:ascii="標楷體" w:eastAsia="標楷體" w:hAnsi="標楷體"/>
                <w:sz w:val="24"/>
                <w:szCs w:val="24"/>
              </w:rPr>
              <w:t>俟</w:t>
            </w:r>
            <w:proofErr w:type="gramEnd"/>
            <w:r w:rsidRPr="00C07BAE">
              <w:rPr>
                <w:rFonts w:ascii="標楷體" w:eastAsia="標楷體" w:hAnsi="標楷體"/>
                <w:sz w:val="24"/>
                <w:szCs w:val="24"/>
              </w:rPr>
              <w:t>連續三個月符合自有資本比率</w:t>
            </w:r>
            <w:r w:rsidRPr="00C07BAE">
              <w:rPr>
                <w:rFonts w:ascii="標楷體" w:eastAsia="標楷體" w:hAnsi="標楷體" w:hint="eastAsia"/>
                <w:color w:val="FF0000"/>
                <w:sz w:val="24"/>
                <w:szCs w:val="24"/>
                <w:u w:val="single"/>
              </w:rPr>
              <w:t>或調整後淨資本額占期貨交易人未沖銷部位所需之客戶保證金總額比例</w:t>
            </w:r>
            <w:r w:rsidRPr="00C07BAE">
              <w:rPr>
                <w:rFonts w:ascii="標楷體" w:eastAsia="標楷體" w:hAnsi="標楷體"/>
                <w:sz w:val="24"/>
                <w:szCs w:val="24"/>
              </w:rPr>
              <w:t>規定，並報經本中心同意後，始得恢復。</w:t>
            </w:r>
          </w:p>
        </w:tc>
        <w:tc>
          <w:tcPr>
            <w:tcW w:w="3166" w:type="dxa"/>
          </w:tcPr>
          <w:p w14:paraId="77DE1283" w14:textId="77777777" w:rsidR="00C07BAE" w:rsidRPr="00C07BAE" w:rsidRDefault="00C07BAE" w:rsidP="00E31F75">
            <w:pPr>
              <w:ind w:left="240" w:hangingChars="100" w:hanging="240"/>
              <w:jc w:val="both"/>
              <w:rPr>
                <w:rFonts w:ascii="標楷體" w:eastAsia="標楷體" w:hAnsi="標楷體"/>
                <w:sz w:val="24"/>
                <w:szCs w:val="24"/>
              </w:rPr>
            </w:pPr>
            <w:r w:rsidRPr="00C07BAE">
              <w:rPr>
                <w:rFonts w:ascii="標楷體" w:eastAsia="標楷體" w:hAnsi="標楷體"/>
                <w:sz w:val="24"/>
                <w:szCs w:val="24"/>
              </w:rPr>
              <w:lastRenderedPageBreak/>
              <w:t>第十二條之</w:t>
            </w:r>
            <w:proofErr w:type="gramStart"/>
            <w:r w:rsidRPr="00C07BAE">
              <w:rPr>
                <w:rFonts w:ascii="標楷體" w:eastAsia="標楷體" w:hAnsi="標楷體"/>
                <w:sz w:val="24"/>
                <w:szCs w:val="24"/>
              </w:rPr>
              <w:t>一</w:t>
            </w:r>
            <w:proofErr w:type="gramEnd"/>
            <w:r w:rsidRPr="00C07BAE">
              <w:rPr>
                <w:rFonts w:ascii="標楷體" w:eastAsia="標楷體" w:hAnsi="標楷體" w:hint="eastAsia"/>
                <w:sz w:val="24"/>
                <w:szCs w:val="24"/>
              </w:rPr>
              <w:t xml:space="preserve">　</w:t>
            </w:r>
            <w:r w:rsidRPr="00C07BAE">
              <w:rPr>
                <w:rFonts w:ascii="標楷體" w:eastAsia="標楷體" w:hAnsi="標楷體"/>
                <w:sz w:val="24"/>
                <w:szCs w:val="24"/>
              </w:rPr>
              <w:t>證券商與證券投資信託事業</w:t>
            </w:r>
            <w:r w:rsidRPr="00C07BAE">
              <w:rPr>
                <w:rFonts w:ascii="標楷體" w:eastAsia="標楷體" w:hAnsi="標楷體" w:hint="eastAsia"/>
                <w:sz w:val="24"/>
                <w:szCs w:val="24"/>
              </w:rPr>
              <w:t>或期貨信託事業</w:t>
            </w:r>
            <w:r w:rsidRPr="00C07BAE">
              <w:rPr>
                <w:rFonts w:ascii="標楷體" w:eastAsia="標楷體" w:hAnsi="標楷體"/>
                <w:sz w:val="24"/>
                <w:szCs w:val="24"/>
              </w:rPr>
              <w:t>簽訂前條第一項</w:t>
            </w:r>
            <w:r w:rsidRPr="00C07BAE">
              <w:rPr>
                <w:rFonts w:ascii="標楷體" w:eastAsia="標楷體" w:hAnsi="標楷體" w:hint="eastAsia"/>
                <w:sz w:val="24"/>
                <w:szCs w:val="24"/>
              </w:rPr>
              <w:t>或第二項</w:t>
            </w:r>
            <w:r w:rsidRPr="00C07BAE">
              <w:rPr>
                <w:rFonts w:ascii="標楷體" w:eastAsia="標楷體" w:hAnsi="標楷體"/>
                <w:sz w:val="24"/>
                <w:szCs w:val="24"/>
              </w:rPr>
              <w:t>之相關契約者，稱為參與證券商，其應符合下列條件，並經本中心審查後核發許可函：</w:t>
            </w:r>
          </w:p>
          <w:p w14:paraId="495EA16D" w14:textId="77777777" w:rsidR="00C07BAE" w:rsidRPr="00C07BAE" w:rsidRDefault="00C07BAE" w:rsidP="00E31F75">
            <w:pPr>
              <w:ind w:leftChars="100" w:left="680" w:hangingChars="200" w:hanging="480"/>
              <w:jc w:val="both"/>
              <w:rPr>
                <w:rFonts w:ascii="標楷體" w:eastAsia="標楷體" w:hAnsi="標楷體"/>
                <w:sz w:val="24"/>
                <w:szCs w:val="24"/>
              </w:rPr>
            </w:pPr>
            <w:r w:rsidRPr="00C07BAE">
              <w:rPr>
                <w:rFonts w:ascii="標楷體" w:eastAsia="標楷體" w:hAnsi="標楷體"/>
                <w:sz w:val="24"/>
                <w:szCs w:val="24"/>
              </w:rPr>
              <w:t>一、證券商</w:t>
            </w:r>
            <w:r w:rsidRPr="00B0119F">
              <w:rPr>
                <w:rFonts w:ascii="標楷體" w:eastAsia="標楷體" w:hAnsi="標楷體"/>
                <w:color w:val="FF0000"/>
                <w:sz w:val="24"/>
                <w:szCs w:val="24"/>
                <w:u w:val="single"/>
              </w:rPr>
              <w:t>除由金融機構兼營者</w:t>
            </w:r>
            <w:r w:rsidRPr="00B0119F">
              <w:rPr>
                <w:rFonts w:ascii="標楷體" w:eastAsia="標楷體" w:hAnsi="標楷體"/>
                <w:sz w:val="24"/>
                <w:szCs w:val="24"/>
              </w:rPr>
              <w:t>之資本適足比率，</w:t>
            </w:r>
            <w:r w:rsidRPr="00B0119F">
              <w:rPr>
                <w:rFonts w:ascii="標楷體" w:eastAsia="標楷體" w:hAnsi="標楷體"/>
                <w:color w:val="FF0000"/>
                <w:sz w:val="24"/>
                <w:szCs w:val="24"/>
                <w:u w:val="single"/>
              </w:rPr>
              <w:t>依銀行法第四十四條資本適足率相關規定外，</w:t>
            </w:r>
            <w:r w:rsidRPr="00C07BAE">
              <w:rPr>
                <w:rFonts w:ascii="標楷體" w:eastAsia="標楷體" w:hAnsi="標楷體"/>
                <w:sz w:val="24"/>
                <w:szCs w:val="24"/>
              </w:rPr>
              <w:t>其最近</w:t>
            </w:r>
            <w:r w:rsidRPr="00C07BAE">
              <w:rPr>
                <w:rFonts w:ascii="標楷體" w:eastAsia="標楷體" w:hAnsi="標楷體"/>
                <w:color w:val="FF0000"/>
                <w:sz w:val="24"/>
                <w:szCs w:val="24"/>
                <w:u w:val="single"/>
              </w:rPr>
              <w:t>6</w:t>
            </w:r>
            <w:r w:rsidRPr="00C07BAE">
              <w:rPr>
                <w:rFonts w:ascii="標楷體" w:eastAsia="標楷體" w:hAnsi="標楷體"/>
                <w:sz w:val="24"/>
                <w:szCs w:val="24"/>
              </w:rPr>
              <w:t>個月自有資本適足</w:t>
            </w:r>
            <w:proofErr w:type="gramStart"/>
            <w:r w:rsidRPr="00C07BAE">
              <w:rPr>
                <w:rFonts w:ascii="標楷體" w:eastAsia="標楷體" w:hAnsi="標楷體"/>
                <w:sz w:val="24"/>
                <w:szCs w:val="24"/>
              </w:rPr>
              <w:t>比率均逾百分之一百五十</w:t>
            </w:r>
            <w:proofErr w:type="gramEnd"/>
            <w:r w:rsidRPr="00C07BAE">
              <w:rPr>
                <w:rFonts w:ascii="標楷體" w:eastAsia="標楷體" w:hAnsi="標楷體"/>
                <w:sz w:val="24"/>
                <w:szCs w:val="24"/>
              </w:rPr>
              <w:t>。但外國證券商在台分公司如其母國總公司已依其當地國法令之規定計算自有資本適足比率，且將在台分公司之經營風險列入計算，符合標準並經金融監督管理委員會核准免適用國內證券商自有資本管理之規定，不在此限。</w:t>
            </w:r>
          </w:p>
          <w:p w14:paraId="7ADCA705" w14:textId="77777777" w:rsidR="00C07BAE" w:rsidRPr="00C07BAE" w:rsidRDefault="00C07BAE" w:rsidP="00E31F75">
            <w:pPr>
              <w:ind w:leftChars="100" w:left="680" w:hangingChars="200" w:hanging="480"/>
              <w:jc w:val="both"/>
              <w:rPr>
                <w:rFonts w:ascii="標楷體" w:eastAsia="標楷體" w:hAnsi="標楷體"/>
                <w:sz w:val="24"/>
                <w:szCs w:val="24"/>
              </w:rPr>
            </w:pPr>
          </w:p>
          <w:p w14:paraId="7E005DC1" w14:textId="77777777" w:rsidR="00C07BAE" w:rsidRPr="00C07BAE" w:rsidRDefault="00C07BAE" w:rsidP="00E31F75">
            <w:pPr>
              <w:ind w:leftChars="100" w:left="680" w:hangingChars="200" w:hanging="480"/>
              <w:jc w:val="both"/>
              <w:rPr>
                <w:rFonts w:ascii="標楷體" w:eastAsia="標楷體" w:hAnsi="標楷體"/>
                <w:sz w:val="24"/>
                <w:szCs w:val="24"/>
              </w:rPr>
            </w:pPr>
          </w:p>
          <w:p w14:paraId="6F19A787" w14:textId="77777777" w:rsidR="00C07BAE" w:rsidRPr="00C07BAE" w:rsidRDefault="00C07BAE" w:rsidP="00E31F75">
            <w:pPr>
              <w:ind w:leftChars="100" w:left="680" w:hangingChars="200" w:hanging="480"/>
              <w:jc w:val="both"/>
              <w:rPr>
                <w:rFonts w:ascii="標楷體" w:eastAsia="標楷體" w:hAnsi="標楷體"/>
                <w:sz w:val="24"/>
                <w:szCs w:val="24"/>
              </w:rPr>
            </w:pPr>
          </w:p>
          <w:p w14:paraId="463CCDF8" w14:textId="77777777" w:rsidR="00C07BAE" w:rsidRPr="00C07BAE" w:rsidRDefault="00C07BAE" w:rsidP="00E31F75">
            <w:pPr>
              <w:ind w:leftChars="100" w:left="680" w:hangingChars="200" w:hanging="480"/>
              <w:jc w:val="both"/>
              <w:rPr>
                <w:rFonts w:ascii="標楷體" w:eastAsia="標楷體" w:hAnsi="標楷體"/>
                <w:sz w:val="24"/>
                <w:szCs w:val="24"/>
              </w:rPr>
            </w:pPr>
          </w:p>
          <w:p w14:paraId="25B67A89" w14:textId="77777777" w:rsidR="00C07BAE" w:rsidRPr="00C07BAE" w:rsidRDefault="00C07BAE" w:rsidP="00E31F75">
            <w:pPr>
              <w:ind w:leftChars="100" w:left="680" w:hangingChars="200" w:hanging="480"/>
              <w:jc w:val="both"/>
              <w:rPr>
                <w:rFonts w:ascii="標楷體" w:eastAsia="標楷體" w:hAnsi="標楷體"/>
                <w:sz w:val="24"/>
                <w:szCs w:val="24"/>
              </w:rPr>
            </w:pPr>
          </w:p>
          <w:p w14:paraId="44DCDB06" w14:textId="77777777" w:rsidR="00C07BAE" w:rsidRPr="00C07BAE" w:rsidRDefault="00C07BAE" w:rsidP="00E31F75">
            <w:pPr>
              <w:ind w:leftChars="100" w:left="680" w:hangingChars="200" w:hanging="480"/>
              <w:jc w:val="both"/>
              <w:rPr>
                <w:rFonts w:ascii="標楷體" w:eastAsia="標楷體" w:hAnsi="標楷體"/>
                <w:sz w:val="24"/>
                <w:szCs w:val="24"/>
              </w:rPr>
            </w:pPr>
          </w:p>
          <w:p w14:paraId="67CB5DC7" w14:textId="77777777" w:rsidR="00C07BAE" w:rsidRPr="00C07BAE" w:rsidRDefault="00C07BAE" w:rsidP="00E31F75">
            <w:pPr>
              <w:ind w:leftChars="100" w:left="680" w:hangingChars="200" w:hanging="480"/>
              <w:jc w:val="both"/>
              <w:rPr>
                <w:rFonts w:ascii="標楷體" w:eastAsia="標楷體" w:hAnsi="標楷體"/>
                <w:sz w:val="24"/>
                <w:szCs w:val="24"/>
              </w:rPr>
            </w:pPr>
          </w:p>
          <w:p w14:paraId="7FD98B02" w14:textId="77777777" w:rsidR="00C07BAE" w:rsidRPr="00C07BAE" w:rsidRDefault="00C07BAE" w:rsidP="00E31F75">
            <w:pPr>
              <w:ind w:leftChars="100" w:left="680" w:hangingChars="200" w:hanging="480"/>
              <w:jc w:val="both"/>
              <w:rPr>
                <w:rFonts w:ascii="標楷體" w:eastAsia="標楷體" w:hAnsi="標楷體"/>
                <w:sz w:val="24"/>
                <w:szCs w:val="24"/>
              </w:rPr>
            </w:pPr>
          </w:p>
          <w:p w14:paraId="4E63AB2A" w14:textId="67518D30" w:rsidR="00C07BAE" w:rsidRPr="00C07BAE" w:rsidRDefault="00C07BAE" w:rsidP="00E31F75">
            <w:pPr>
              <w:ind w:leftChars="100" w:left="680" w:hangingChars="200" w:hanging="480"/>
              <w:jc w:val="both"/>
              <w:rPr>
                <w:rFonts w:ascii="標楷體" w:eastAsia="標楷體" w:hAnsi="標楷體"/>
                <w:sz w:val="24"/>
                <w:szCs w:val="24"/>
              </w:rPr>
            </w:pPr>
            <w:r w:rsidRPr="00C07BAE">
              <w:rPr>
                <w:rFonts w:ascii="標楷體" w:eastAsia="標楷體" w:hAnsi="標楷體"/>
                <w:sz w:val="24"/>
                <w:szCs w:val="24"/>
              </w:rPr>
              <w:t>二、應取得信用評等機構評定之長期債務信用評等達一定等級以上：中華信用評等股份有限公司</w:t>
            </w:r>
            <w:r w:rsidRPr="00C07BAE">
              <w:rPr>
                <w:rFonts w:ascii="標楷體" w:eastAsia="標楷體" w:hAnsi="標楷體"/>
                <w:sz w:val="24"/>
                <w:szCs w:val="24"/>
              </w:rPr>
              <w:lastRenderedPageBreak/>
              <w:t>評級為</w:t>
            </w:r>
            <w:proofErr w:type="spellStart"/>
            <w:r w:rsidRPr="00C07BAE">
              <w:rPr>
                <w:rFonts w:ascii="標楷體" w:eastAsia="標楷體" w:hAnsi="標楷體"/>
                <w:sz w:val="24"/>
                <w:szCs w:val="24"/>
              </w:rPr>
              <w:t>twBB</w:t>
            </w:r>
            <w:proofErr w:type="spellEnd"/>
            <w:r w:rsidRPr="00C07BAE">
              <w:rPr>
                <w:rFonts w:ascii="標楷體" w:eastAsia="標楷體" w:hAnsi="標楷體"/>
                <w:sz w:val="24"/>
                <w:szCs w:val="24"/>
              </w:rPr>
              <w:t>-級以上，或Moody's Service評級Ba3級以上，或Standard &amp; Poor's Corp.評級 BB-級以上，或 Fitch</w:t>
            </w:r>
            <w:r w:rsidRPr="00C07BAE">
              <w:rPr>
                <w:rFonts w:ascii="標楷體" w:eastAsia="標楷體" w:hAnsi="標楷體" w:hint="eastAsia"/>
                <w:sz w:val="24"/>
                <w:szCs w:val="24"/>
              </w:rPr>
              <w:t xml:space="preserve"> </w:t>
            </w:r>
            <w:r w:rsidRPr="00C07BAE">
              <w:rPr>
                <w:rFonts w:ascii="標楷體" w:eastAsia="標楷體" w:hAnsi="標楷體"/>
                <w:sz w:val="24"/>
                <w:szCs w:val="24"/>
              </w:rPr>
              <w:t>Inc.評級 BB-級以上之信用評等。金融機構兼營者得</w:t>
            </w:r>
            <w:proofErr w:type="gramStart"/>
            <w:r w:rsidRPr="00C07BAE">
              <w:rPr>
                <w:rFonts w:ascii="標楷體" w:eastAsia="標楷體" w:hAnsi="標楷體"/>
                <w:sz w:val="24"/>
                <w:szCs w:val="24"/>
              </w:rPr>
              <w:t>採</w:t>
            </w:r>
            <w:proofErr w:type="gramEnd"/>
            <w:r w:rsidRPr="00C07BAE">
              <w:rPr>
                <w:rFonts w:ascii="標楷體" w:eastAsia="標楷體" w:hAnsi="標楷體"/>
                <w:sz w:val="24"/>
                <w:szCs w:val="24"/>
              </w:rPr>
              <w:t>金融機構之信用評級，外國證券商在台分公司得</w:t>
            </w:r>
            <w:proofErr w:type="gramStart"/>
            <w:r w:rsidRPr="00C07BAE">
              <w:rPr>
                <w:rFonts w:ascii="標楷體" w:eastAsia="標楷體" w:hAnsi="標楷體"/>
                <w:sz w:val="24"/>
                <w:szCs w:val="24"/>
              </w:rPr>
              <w:t>採</w:t>
            </w:r>
            <w:proofErr w:type="gramEnd"/>
            <w:r w:rsidRPr="00C07BAE">
              <w:rPr>
                <w:rFonts w:ascii="標楷體" w:eastAsia="標楷體" w:hAnsi="標楷體"/>
                <w:sz w:val="24"/>
                <w:szCs w:val="24"/>
              </w:rPr>
              <w:t>集團控股公司之信用評級。</w:t>
            </w:r>
          </w:p>
          <w:p w14:paraId="3E4CAE47" w14:textId="77777777" w:rsidR="00C07BAE" w:rsidRPr="00C07BAE" w:rsidRDefault="00C07BAE" w:rsidP="00E31F75">
            <w:pPr>
              <w:ind w:leftChars="100" w:left="200" w:firstLineChars="200" w:firstLine="480"/>
              <w:jc w:val="both"/>
              <w:rPr>
                <w:rFonts w:ascii="標楷體" w:eastAsia="標楷體" w:hAnsi="標楷體"/>
                <w:sz w:val="24"/>
                <w:szCs w:val="24"/>
              </w:rPr>
            </w:pPr>
          </w:p>
          <w:p w14:paraId="1EC6A027" w14:textId="77777777" w:rsidR="00C07BAE" w:rsidRPr="00C07BAE" w:rsidRDefault="00C07BAE" w:rsidP="00E31F75">
            <w:pPr>
              <w:ind w:leftChars="100" w:left="200" w:firstLineChars="200" w:firstLine="480"/>
              <w:jc w:val="both"/>
              <w:rPr>
                <w:rFonts w:ascii="標楷體" w:eastAsia="標楷體" w:hAnsi="標楷體"/>
                <w:sz w:val="24"/>
                <w:szCs w:val="24"/>
              </w:rPr>
            </w:pPr>
          </w:p>
          <w:p w14:paraId="44FAC126" w14:textId="77777777" w:rsidR="00C07BAE" w:rsidRPr="00C07BAE" w:rsidRDefault="00C07BAE" w:rsidP="00E31F75">
            <w:pPr>
              <w:ind w:leftChars="100" w:left="200" w:firstLineChars="200" w:firstLine="480"/>
              <w:jc w:val="both"/>
              <w:rPr>
                <w:rFonts w:ascii="標楷體" w:eastAsia="標楷體" w:hAnsi="標楷體"/>
                <w:sz w:val="24"/>
                <w:szCs w:val="24"/>
              </w:rPr>
            </w:pPr>
          </w:p>
          <w:p w14:paraId="62D0A57F" w14:textId="77777777" w:rsidR="00C07BAE" w:rsidRPr="00C07BAE" w:rsidRDefault="00C07BAE" w:rsidP="00E31F75">
            <w:pPr>
              <w:ind w:leftChars="100" w:left="200" w:firstLineChars="200" w:firstLine="480"/>
              <w:jc w:val="both"/>
              <w:rPr>
                <w:rFonts w:ascii="標楷體" w:eastAsia="標楷體" w:hAnsi="標楷體"/>
                <w:sz w:val="24"/>
                <w:szCs w:val="24"/>
              </w:rPr>
            </w:pPr>
          </w:p>
          <w:p w14:paraId="7969D90B" w14:textId="77777777" w:rsidR="00C07BAE" w:rsidRPr="00C07BAE" w:rsidRDefault="00C07BAE" w:rsidP="00E31F75">
            <w:pPr>
              <w:ind w:leftChars="100" w:left="200" w:firstLineChars="200" w:firstLine="480"/>
              <w:jc w:val="both"/>
              <w:rPr>
                <w:rFonts w:ascii="標楷體" w:eastAsia="標楷體" w:hAnsi="標楷體"/>
                <w:sz w:val="24"/>
                <w:szCs w:val="24"/>
              </w:rPr>
            </w:pPr>
          </w:p>
          <w:p w14:paraId="6CB86804" w14:textId="77777777" w:rsidR="00C07BAE" w:rsidRPr="00C07BAE" w:rsidRDefault="00C07BAE" w:rsidP="00E31F75">
            <w:pPr>
              <w:ind w:leftChars="100" w:left="200" w:firstLineChars="200" w:firstLine="480"/>
              <w:jc w:val="both"/>
              <w:rPr>
                <w:rFonts w:ascii="標楷體" w:eastAsia="標楷體" w:hAnsi="標楷體"/>
                <w:sz w:val="24"/>
                <w:szCs w:val="24"/>
              </w:rPr>
            </w:pPr>
          </w:p>
          <w:p w14:paraId="60AA388E" w14:textId="77777777" w:rsidR="00C07BAE" w:rsidRPr="00C07BAE" w:rsidRDefault="00C07BAE" w:rsidP="00E31F75">
            <w:pPr>
              <w:ind w:leftChars="100" w:left="200" w:firstLineChars="200" w:firstLine="480"/>
              <w:jc w:val="both"/>
              <w:rPr>
                <w:rFonts w:ascii="標楷體" w:eastAsia="標楷體" w:hAnsi="標楷體"/>
                <w:sz w:val="24"/>
                <w:szCs w:val="24"/>
              </w:rPr>
            </w:pPr>
            <w:r w:rsidRPr="00C07BAE">
              <w:rPr>
                <w:rFonts w:ascii="標楷體" w:eastAsia="標楷體" w:hAnsi="標楷體"/>
                <w:sz w:val="24"/>
                <w:szCs w:val="24"/>
              </w:rPr>
              <w:t>證券商應於取得本中心許可函後</w:t>
            </w:r>
            <w:r w:rsidRPr="00C07BAE">
              <w:rPr>
                <w:rFonts w:ascii="標楷體" w:eastAsia="標楷體" w:hAnsi="標楷體"/>
                <w:color w:val="FF0000"/>
                <w:sz w:val="24"/>
                <w:szCs w:val="24"/>
                <w:u w:val="single"/>
              </w:rPr>
              <w:t>三</w:t>
            </w:r>
            <w:proofErr w:type="gramStart"/>
            <w:r w:rsidRPr="00C07BAE">
              <w:rPr>
                <w:rFonts w:ascii="標楷體" w:eastAsia="標楷體" w:hAnsi="標楷體"/>
                <w:color w:val="FF0000"/>
                <w:sz w:val="24"/>
                <w:szCs w:val="24"/>
                <w:u w:val="single"/>
              </w:rPr>
              <w:t>個</w:t>
            </w:r>
            <w:proofErr w:type="gramEnd"/>
            <w:r w:rsidRPr="00C07BAE">
              <w:rPr>
                <w:rFonts w:ascii="標楷體" w:eastAsia="標楷體" w:hAnsi="標楷體"/>
                <w:color w:val="FF0000"/>
                <w:sz w:val="24"/>
                <w:szCs w:val="24"/>
                <w:u w:val="single"/>
              </w:rPr>
              <w:t>月</w:t>
            </w:r>
            <w:r w:rsidRPr="00C07BAE">
              <w:rPr>
                <w:rFonts w:ascii="標楷體" w:eastAsia="標楷體" w:hAnsi="標楷體"/>
                <w:sz w:val="24"/>
                <w:szCs w:val="24"/>
              </w:rPr>
              <w:t>內，與發行指數股票型基金受益憑證之證券投資信託事業</w:t>
            </w:r>
            <w:r w:rsidRPr="00C07BAE">
              <w:rPr>
                <w:rFonts w:ascii="標楷體" w:eastAsia="標楷體" w:hAnsi="標楷體" w:hint="eastAsia"/>
                <w:sz w:val="24"/>
                <w:szCs w:val="24"/>
              </w:rPr>
              <w:t>或期貨信託事業</w:t>
            </w:r>
            <w:r w:rsidRPr="00C07BAE">
              <w:rPr>
                <w:rFonts w:ascii="標楷體" w:eastAsia="標楷體" w:hAnsi="標楷體"/>
                <w:sz w:val="24"/>
                <w:szCs w:val="24"/>
              </w:rPr>
              <w:t>簽訂參與契約，始得成為參與證券商。</w:t>
            </w:r>
          </w:p>
          <w:p w14:paraId="6FF338DF" w14:textId="2BC1ED70" w:rsidR="00C07BAE" w:rsidRPr="00C07BAE" w:rsidRDefault="00C07BAE" w:rsidP="00E31F75">
            <w:pPr>
              <w:ind w:leftChars="100" w:left="200" w:firstLineChars="200" w:firstLine="480"/>
              <w:jc w:val="both"/>
              <w:rPr>
                <w:rFonts w:ascii="標楷體" w:eastAsia="標楷體" w:hAnsi="標楷體"/>
                <w:sz w:val="24"/>
                <w:szCs w:val="24"/>
              </w:rPr>
            </w:pPr>
            <w:r w:rsidRPr="00C07BAE">
              <w:rPr>
                <w:rFonts w:ascii="標楷體" w:eastAsia="標楷體" w:hAnsi="標楷體"/>
                <w:sz w:val="24"/>
                <w:szCs w:val="24"/>
              </w:rPr>
              <w:t>證券商經本中心許可且已擔任參與證券商，或已獲許可而尚未簽約者，</w:t>
            </w:r>
            <w:r w:rsidRPr="00C07BAE">
              <w:rPr>
                <w:rFonts w:ascii="標楷體" w:eastAsia="標楷體" w:hAnsi="標楷體"/>
                <w:color w:val="FF0000"/>
                <w:sz w:val="24"/>
                <w:szCs w:val="24"/>
                <w:u w:val="single"/>
              </w:rPr>
              <w:t>自有</w:t>
            </w:r>
            <w:r w:rsidRPr="00C07BAE">
              <w:rPr>
                <w:rFonts w:ascii="標楷體" w:eastAsia="標楷體" w:hAnsi="標楷體"/>
                <w:snapToGrid w:val="0"/>
                <w:color w:val="FF0000"/>
                <w:sz w:val="24"/>
                <w:szCs w:val="24"/>
                <w:u w:val="single"/>
              </w:rPr>
              <w:t>資本</w:t>
            </w:r>
            <w:r w:rsidRPr="00C07BAE">
              <w:rPr>
                <w:rFonts w:ascii="標楷體" w:eastAsia="標楷體" w:hAnsi="標楷體"/>
                <w:color w:val="FF0000"/>
                <w:sz w:val="24"/>
                <w:szCs w:val="24"/>
                <w:u w:val="single"/>
              </w:rPr>
              <w:t>適足比率連續二個月低於百分之一百五十者，</w:t>
            </w:r>
            <w:r w:rsidRPr="00C07BAE">
              <w:rPr>
                <w:rFonts w:ascii="標楷體" w:eastAsia="標楷體" w:hAnsi="標楷體"/>
                <w:sz w:val="24"/>
                <w:szCs w:val="24"/>
              </w:rPr>
              <w:t>應停止從事參與證券商，</w:t>
            </w:r>
            <w:proofErr w:type="gramStart"/>
            <w:r w:rsidRPr="00C07BAE">
              <w:rPr>
                <w:rFonts w:ascii="標楷體" w:eastAsia="標楷體" w:hAnsi="標楷體"/>
                <w:sz w:val="24"/>
                <w:szCs w:val="24"/>
              </w:rPr>
              <w:t>俟</w:t>
            </w:r>
            <w:proofErr w:type="gramEnd"/>
            <w:r w:rsidRPr="00C07BAE">
              <w:rPr>
                <w:rFonts w:ascii="標楷體" w:eastAsia="標楷體" w:hAnsi="標楷體"/>
                <w:sz w:val="24"/>
                <w:szCs w:val="24"/>
              </w:rPr>
              <w:t>連續三個月符合自有資本比率規定，並報經本中心同意後，始得恢復。</w:t>
            </w:r>
          </w:p>
        </w:tc>
        <w:tc>
          <w:tcPr>
            <w:tcW w:w="3166" w:type="dxa"/>
          </w:tcPr>
          <w:p w14:paraId="63ADDB93" w14:textId="2C49C3C5" w:rsidR="00C07BAE" w:rsidRPr="00C07BAE" w:rsidRDefault="00C07BAE" w:rsidP="00344D10">
            <w:pPr>
              <w:pStyle w:val="a8"/>
              <w:widowControl/>
              <w:numPr>
                <w:ilvl w:val="0"/>
                <w:numId w:val="3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color w:val="000000"/>
                <w:sz w:val="24"/>
                <w:szCs w:val="24"/>
              </w:rPr>
            </w:pPr>
            <w:r w:rsidRPr="00C07BAE">
              <w:rPr>
                <w:rFonts w:ascii="Book Antiqua" w:eastAsia="標楷體" w:hAnsi="標楷體" w:hint="eastAsia"/>
                <w:sz w:val="24"/>
                <w:szCs w:val="24"/>
              </w:rPr>
              <w:lastRenderedPageBreak/>
              <w:t>明定期貨商兼營證券自營業務者擬取得指數股票型基金受益憑證之</w:t>
            </w:r>
            <w:r w:rsidRPr="00C07BAE">
              <w:rPr>
                <w:rFonts w:eastAsia="標楷體" w:hint="eastAsia"/>
                <w:color w:val="000000"/>
                <w:sz w:val="24"/>
                <w:szCs w:val="24"/>
              </w:rPr>
              <w:t>參與證券商許可應符合之條件，及獲得許可後應持續符合之規定，</w:t>
            </w:r>
            <w:proofErr w:type="gramStart"/>
            <w:r w:rsidRPr="00C07BAE">
              <w:rPr>
                <w:rFonts w:eastAsia="標楷體" w:hint="eastAsia"/>
                <w:color w:val="000000"/>
                <w:sz w:val="24"/>
                <w:szCs w:val="24"/>
              </w:rPr>
              <w:t>爰</w:t>
            </w:r>
            <w:proofErr w:type="gramEnd"/>
            <w:r w:rsidRPr="00C07BAE">
              <w:rPr>
                <w:rFonts w:eastAsia="標楷體" w:hint="eastAsia"/>
                <w:color w:val="000000"/>
                <w:sz w:val="24"/>
                <w:szCs w:val="24"/>
              </w:rPr>
              <w:t>修正第</w:t>
            </w:r>
            <w:r w:rsidRPr="00C07BAE">
              <w:rPr>
                <w:rFonts w:eastAsia="標楷體" w:hint="eastAsia"/>
                <w:color w:val="000000"/>
                <w:sz w:val="24"/>
                <w:szCs w:val="24"/>
              </w:rPr>
              <w:t>1</w:t>
            </w:r>
            <w:r w:rsidRPr="00C07BAE">
              <w:rPr>
                <w:rFonts w:eastAsia="標楷體" w:hint="eastAsia"/>
                <w:color w:val="000000"/>
                <w:sz w:val="24"/>
                <w:szCs w:val="24"/>
              </w:rPr>
              <w:t>項第</w:t>
            </w:r>
            <w:r w:rsidRPr="00C07BAE">
              <w:rPr>
                <w:rFonts w:eastAsia="標楷體" w:hint="eastAsia"/>
                <w:color w:val="000000"/>
                <w:sz w:val="24"/>
                <w:szCs w:val="24"/>
              </w:rPr>
              <w:t>1</w:t>
            </w:r>
            <w:r w:rsidRPr="00C07BAE">
              <w:rPr>
                <w:rFonts w:eastAsia="標楷體" w:hint="eastAsia"/>
                <w:color w:val="000000"/>
                <w:sz w:val="24"/>
                <w:szCs w:val="24"/>
              </w:rPr>
              <w:t>款及第</w:t>
            </w:r>
            <w:r w:rsidRPr="00C07BAE">
              <w:rPr>
                <w:rFonts w:eastAsia="標楷體" w:hint="eastAsia"/>
                <w:color w:val="000000"/>
                <w:sz w:val="24"/>
                <w:szCs w:val="24"/>
              </w:rPr>
              <w:t>3</w:t>
            </w:r>
            <w:r w:rsidRPr="00C07BAE">
              <w:rPr>
                <w:rFonts w:eastAsia="標楷體" w:hint="eastAsia"/>
                <w:color w:val="000000"/>
                <w:sz w:val="24"/>
                <w:szCs w:val="24"/>
              </w:rPr>
              <w:t>項之規定，</w:t>
            </w:r>
            <w:proofErr w:type="gramStart"/>
            <w:r w:rsidRPr="00C07BAE">
              <w:rPr>
                <w:rFonts w:eastAsia="標楷體" w:hint="eastAsia"/>
                <w:color w:val="000000"/>
                <w:sz w:val="24"/>
                <w:szCs w:val="24"/>
              </w:rPr>
              <w:t>並酌修部分</w:t>
            </w:r>
            <w:proofErr w:type="gramEnd"/>
            <w:r w:rsidRPr="00C07BAE">
              <w:rPr>
                <w:rFonts w:eastAsia="標楷體" w:hint="eastAsia"/>
                <w:color w:val="000000"/>
                <w:sz w:val="24"/>
                <w:szCs w:val="24"/>
              </w:rPr>
              <w:t>文字。</w:t>
            </w:r>
          </w:p>
          <w:p w14:paraId="4FB8CBA7" w14:textId="77777777" w:rsidR="00C07BAE" w:rsidRPr="00C07BAE" w:rsidRDefault="00C07BAE" w:rsidP="00344D10">
            <w:pPr>
              <w:pStyle w:val="a8"/>
              <w:widowControl/>
              <w:numPr>
                <w:ilvl w:val="0"/>
                <w:numId w:val="3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hAnsi="標楷體"/>
                <w:color w:val="000000"/>
                <w:sz w:val="24"/>
                <w:szCs w:val="24"/>
              </w:rPr>
            </w:pPr>
            <w:r w:rsidRPr="00C07BAE">
              <w:rPr>
                <w:rFonts w:eastAsia="標楷體" w:hAnsi="標楷體" w:hint="eastAsia"/>
                <w:color w:val="000000"/>
                <w:sz w:val="24"/>
                <w:szCs w:val="24"/>
              </w:rPr>
              <w:t>配合各信用評等公司名稱異動，</w:t>
            </w:r>
            <w:proofErr w:type="gramStart"/>
            <w:r w:rsidRPr="00C07BAE">
              <w:rPr>
                <w:rFonts w:eastAsia="標楷體" w:hAnsi="標楷體" w:hint="eastAsia"/>
                <w:color w:val="000000"/>
                <w:sz w:val="24"/>
                <w:szCs w:val="24"/>
              </w:rPr>
              <w:t>酌修第</w:t>
            </w:r>
            <w:r w:rsidRPr="00C07BAE">
              <w:rPr>
                <w:rFonts w:eastAsia="標楷體" w:hAnsi="標楷體" w:hint="eastAsia"/>
                <w:color w:val="000000"/>
                <w:sz w:val="24"/>
                <w:szCs w:val="24"/>
              </w:rPr>
              <w:t>1</w:t>
            </w:r>
            <w:r w:rsidRPr="00C07BAE">
              <w:rPr>
                <w:rFonts w:eastAsia="標楷體" w:hAnsi="標楷體" w:hint="eastAsia"/>
                <w:color w:val="000000"/>
                <w:sz w:val="24"/>
                <w:szCs w:val="24"/>
              </w:rPr>
              <w:t>項</w:t>
            </w:r>
            <w:proofErr w:type="gramEnd"/>
            <w:r w:rsidRPr="00C07BAE">
              <w:rPr>
                <w:rFonts w:eastAsia="標楷體" w:hAnsi="標楷體" w:hint="eastAsia"/>
                <w:color w:val="000000"/>
                <w:sz w:val="24"/>
                <w:szCs w:val="24"/>
              </w:rPr>
              <w:t>第</w:t>
            </w:r>
            <w:r w:rsidRPr="00C07BAE">
              <w:rPr>
                <w:rFonts w:eastAsia="標楷體" w:hAnsi="標楷體" w:hint="eastAsia"/>
                <w:color w:val="000000"/>
                <w:sz w:val="24"/>
                <w:szCs w:val="24"/>
              </w:rPr>
              <w:t>2</w:t>
            </w:r>
            <w:r w:rsidRPr="00C07BAE">
              <w:rPr>
                <w:rFonts w:eastAsia="標楷體" w:hAnsi="標楷體" w:hint="eastAsia"/>
                <w:color w:val="000000"/>
                <w:sz w:val="24"/>
                <w:szCs w:val="24"/>
              </w:rPr>
              <w:t>款部分文字。</w:t>
            </w:r>
          </w:p>
          <w:p w14:paraId="5ABC5226" w14:textId="628CA7FD" w:rsidR="00C07BAE" w:rsidRPr="00C07BAE" w:rsidRDefault="00C07BAE" w:rsidP="00344D10">
            <w:pPr>
              <w:pStyle w:val="a8"/>
              <w:widowControl/>
              <w:numPr>
                <w:ilvl w:val="0"/>
                <w:numId w:val="3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eastAsia="標楷體" w:hAnsi="標楷體"/>
                <w:color w:val="000000"/>
                <w:sz w:val="24"/>
                <w:szCs w:val="24"/>
              </w:rPr>
            </w:pPr>
            <w:r w:rsidRPr="00C07BAE">
              <w:rPr>
                <w:rFonts w:eastAsia="標楷體" w:hAnsi="標楷體" w:hint="eastAsia"/>
                <w:color w:val="000000"/>
                <w:sz w:val="24"/>
                <w:szCs w:val="24"/>
              </w:rPr>
              <w:t>為簡化作業，將參與證券商許可函之有效期限由</w:t>
            </w:r>
            <w:r w:rsidRPr="00C07BAE">
              <w:rPr>
                <w:rFonts w:eastAsia="標楷體" w:hAnsi="標楷體" w:hint="eastAsia"/>
                <w:color w:val="000000"/>
                <w:sz w:val="24"/>
                <w:szCs w:val="24"/>
              </w:rPr>
              <w:t>3</w:t>
            </w:r>
            <w:r w:rsidRPr="00C07BAE">
              <w:rPr>
                <w:rFonts w:eastAsia="標楷體" w:hAnsi="標楷體" w:hint="eastAsia"/>
                <w:color w:val="000000"/>
                <w:sz w:val="24"/>
                <w:szCs w:val="24"/>
              </w:rPr>
              <w:t>個月調整為</w:t>
            </w:r>
            <w:r w:rsidRPr="00C07BAE">
              <w:rPr>
                <w:rFonts w:eastAsia="標楷體" w:hAnsi="標楷體" w:hint="eastAsia"/>
                <w:color w:val="000000"/>
                <w:sz w:val="24"/>
                <w:szCs w:val="24"/>
              </w:rPr>
              <w:t>1</w:t>
            </w:r>
            <w:r w:rsidRPr="00C07BAE">
              <w:rPr>
                <w:rFonts w:eastAsia="標楷體" w:hAnsi="標楷體" w:hint="eastAsia"/>
                <w:color w:val="000000"/>
                <w:sz w:val="24"/>
                <w:szCs w:val="24"/>
              </w:rPr>
              <w:t>年，</w:t>
            </w:r>
            <w:proofErr w:type="gramStart"/>
            <w:r w:rsidRPr="00C07BAE">
              <w:rPr>
                <w:rFonts w:eastAsia="標楷體" w:hAnsi="標楷體" w:hint="eastAsia"/>
                <w:color w:val="000000"/>
                <w:sz w:val="24"/>
                <w:szCs w:val="24"/>
              </w:rPr>
              <w:t>爰</w:t>
            </w:r>
            <w:proofErr w:type="gramEnd"/>
            <w:r w:rsidRPr="00C07BAE">
              <w:rPr>
                <w:rFonts w:eastAsia="標楷體" w:hAnsi="標楷體" w:hint="eastAsia"/>
                <w:color w:val="000000"/>
                <w:sz w:val="24"/>
                <w:szCs w:val="24"/>
              </w:rPr>
              <w:t>修正第</w:t>
            </w:r>
            <w:r w:rsidRPr="00C07BAE">
              <w:rPr>
                <w:rFonts w:eastAsia="標楷體" w:hAnsi="標楷體" w:hint="eastAsia"/>
                <w:color w:val="000000"/>
                <w:sz w:val="24"/>
                <w:szCs w:val="24"/>
              </w:rPr>
              <w:t>2</w:t>
            </w:r>
            <w:r w:rsidRPr="00C07BAE">
              <w:rPr>
                <w:rFonts w:eastAsia="標楷體" w:hAnsi="標楷體" w:hint="eastAsia"/>
                <w:color w:val="000000"/>
                <w:sz w:val="24"/>
                <w:szCs w:val="24"/>
              </w:rPr>
              <w:t>項之規定。</w:t>
            </w:r>
          </w:p>
        </w:tc>
      </w:tr>
    </w:tbl>
    <w:p w14:paraId="292ED0CB" w14:textId="3931FDDE" w:rsidR="001B2810" w:rsidRPr="00747747" w:rsidRDefault="00766E79" w:rsidP="00007816">
      <w:pPr>
        <w:pStyle w:val="af4"/>
        <w:snapToGrid w:val="0"/>
        <w:spacing w:before="0" w:afterLines="50" w:after="180" w:line="400" w:lineRule="exact"/>
        <w:ind w:left="1"/>
        <w:rPr>
          <w:rFonts w:ascii="標楷體" w:eastAsia="標楷體" w:hAnsi="標楷體"/>
          <w:snapToGrid w:val="0"/>
          <w:sz w:val="28"/>
          <w:szCs w:val="28"/>
        </w:rPr>
      </w:pPr>
      <w:r w:rsidRPr="00766E79">
        <w:rPr>
          <w:rFonts w:ascii="Times New Roman" w:eastAsia="標楷體" w:hAnsi="新細明體" w:cs="新細明體"/>
          <w:b w:val="0"/>
          <w:bCs w:val="0"/>
          <w:spacing w:val="1"/>
          <w:w w:val="81"/>
        </w:rPr>
        <w:br w:type="page"/>
      </w:r>
      <w:r w:rsidR="001B2810" w:rsidRPr="00747747">
        <w:rPr>
          <w:rFonts w:ascii="標楷體" w:eastAsia="標楷體" w:hAnsi="標楷體" w:hint="eastAsia"/>
          <w:snapToGrid w:val="0"/>
          <w:sz w:val="28"/>
          <w:szCs w:val="28"/>
        </w:rPr>
        <w:lastRenderedPageBreak/>
        <w:t>財</w:t>
      </w:r>
      <w:r w:rsidR="001B2810" w:rsidRPr="00747747">
        <w:rPr>
          <w:rFonts w:ascii="標楷體" w:eastAsia="標楷體" w:hAnsi="標楷體"/>
          <w:snapToGrid w:val="0"/>
          <w:sz w:val="28"/>
          <w:szCs w:val="28"/>
        </w:rPr>
        <w:t>團法人中華民國證券櫃檯買賣中心指數股票型基金受益憑證流動量提供者</w:t>
      </w:r>
      <w:r w:rsidR="00007816">
        <w:rPr>
          <w:rFonts w:ascii="標楷體" w:eastAsia="標楷體" w:hAnsi="標楷體"/>
          <w:snapToGrid w:val="0"/>
          <w:sz w:val="28"/>
          <w:szCs w:val="28"/>
        </w:rPr>
        <w:br/>
      </w:r>
      <w:r w:rsidR="001B2810" w:rsidRPr="00747747">
        <w:rPr>
          <w:rFonts w:ascii="標楷體" w:eastAsia="標楷體" w:hAnsi="標楷體"/>
          <w:snapToGrid w:val="0"/>
          <w:sz w:val="28"/>
          <w:szCs w:val="28"/>
        </w:rPr>
        <w:t>作業要點</w:t>
      </w:r>
      <w:r w:rsidR="008840C1" w:rsidRPr="00747747">
        <w:rPr>
          <w:rFonts w:ascii="標楷體" w:eastAsia="標楷體" w:hAnsi="標楷體" w:hint="eastAsia"/>
          <w:snapToGrid w:val="0"/>
          <w:sz w:val="28"/>
          <w:szCs w:val="28"/>
        </w:rPr>
        <w:t>部分條文</w:t>
      </w:r>
      <w:r w:rsidR="001B2810" w:rsidRPr="00747747">
        <w:rPr>
          <w:rFonts w:ascii="標楷體" w:eastAsia="標楷體" w:hAnsi="標楷體" w:hint="eastAsia"/>
          <w:snapToGrid w:val="0"/>
          <w:sz w:val="28"/>
          <w:szCs w:val="28"/>
        </w:rPr>
        <w:t>修正條文對照表</w:t>
      </w:r>
    </w:p>
    <w:tbl>
      <w:tblPr>
        <w:tblW w:w="963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210"/>
        <w:gridCol w:w="3210"/>
        <w:gridCol w:w="3211"/>
      </w:tblGrid>
      <w:tr w:rsidR="007950CF" w:rsidRPr="007950CF" w14:paraId="5A7F3749" w14:textId="77777777" w:rsidTr="006B3236">
        <w:trPr>
          <w:tblHeader/>
          <w:jc w:val="center"/>
        </w:trPr>
        <w:tc>
          <w:tcPr>
            <w:tcW w:w="3210" w:type="dxa"/>
            <w:vAlign w:val="center"/>
          </w:tcPr>
          <w:p w14:paraId="040CB658" w14:textId="77777777" w:rsidR="007950CF" w:rsidRPr="007950CF" w:rsidRDefault="007950CF" w:rsidP="00BA1534">
            <w:pPr>
              <w:widowControl/>
              <w:jc w:val="center"/>
              <w:rPr>
                <w:rFonts w:ascii="Times New Roman" w:eastAsia="標楷體" w:hAnsi="Times New Roman" w:cs="新細明體"/>
                <w:bCs/>
                <w:sz w:val="24"/>
                <w:szCs w:val="24"/>
              </w:rPr>
            </w:pPr>
            <w:r w:rsidRPr="007950CF">
              <w:rPr>
                <w:rFonts w:ascii="Times New Roman" w:eastAsia="標楷體" w:hAnsi="新細明體" w:cs="新細明體" w:hint="eastAsia"/>
                <w:bCs/>
                <w:sz w:val="24"/>
                <w:szCs w:val="24"/>
              </w:rPr>
              <w:t>修正條文</w:t>
            </w:r>
          </w:p>
        </w:tc>
        <w:tc>
          <w:tcPr>
            <w:tcW w:w="3210" w:type="dxa"/>
            <w:vAlign w:val="center"/>
          </w:tcPr>
          <w:p w14:paraId="76BC0317" w14:textId="77777777" w:rsidR="007950CF" w:rsidRPr="007950CF" w:rsidRDefault="007950CF" w:rsidP="001B2810">
            <w:pPr>
              <w:widowControl/>
              <w:jc w:val="center"/>
              <w:rPr>
                <w:rFonts w:ascii="Times New Roman" w:eastAsia="標楷體" w:hAnsi="Times New Roman" w:cs="新細明體"/>
                <w:bCs/>
                <w:sz w:val="24"/>
                <w:szCs w:val="24"/>
              </w:rPr>
            </w:pPr>
            <w:r w:rsidRPr="007950CF">
              <w:rPr>
                <w:rFonts w:ascii="Times New Roman" w:eastAsia="標楷體" w:hAnsi="Times New Roman" w:cs="新細明體" w:hint="eastAsia"/>
                <w:bCs/>
                <w:sz w:val="24"/>
                <w:szCs w:val="24"/>
              </w:rPr>
              <w:t>現行條文</w:t>
            </w:r>
          </w:p>
        </w:tc>
        <w:tc>
          <w:tcPr>
            <w:tcW w:w="3211" w:type="dxa"/>
            <w:vAlign w:val="center"/>
          </w:tcPr>
          <w:p w14:paraId="249DF2FA" w14:textId="77777777" w:rsidR="007950CF" w:rsidRPr="007950CF" w:rsidRDefault="007950CF" w:rsidP="00BA1534">
            <w:pPr>
              <w:widowControl/>
              <w:jc w:val="center"/>
              <w:rPr>
                <w:rFonts w:ascii="Times New Roman" w:eastAsia="標楷體" w:hAnsi="Times New Roman" w:cs="新細明體"/>
                <w:bCs/>
                <w:sz w:val="24"/>
                <w:szCs w:val="24"/>
              </w:rPr>
            </w:pPr>
            <w:r w:rsidRPr="007950CF">
              <w:rPr>
                <w:rFonts w:ascii="Times New Roman" w:eastAsia="標楷體" w:hAnsi="新細明體" w:cs="新細明體" w:hint="eastAsia"/>
                <w:bCs/>
                <w:sz w:val="24"/>
                <w:szCs w:val="24"/>
              </w:rPr>
              <w:t>說明</w:t>
            </w:r>
          </w:p>
        </w:tc>
      </w:tr>
      <w:tr w:rsidR="007950CF" w:rsidRPr="007950CF" w14:paraId="3BD76B51" w14:textId="77777777" w:rsidTr="006B3236">
        <w:trPr>
          <w:trHeight w:val="1030"/>
          <w:jc w:val="center"/>
        </w:trPr>
        <w:tc>
          <w:tcPr>
            <w:tcW w:w="3210" w:type="dxa"/>
          </w:tcPr>
          <w:p w14:paraId="748B28E8" w14:textId="1621D778" w:rsidR="007950CF" w:rsidRPr="007950CF" w:rsidRDefault="007950CF" w:rsidP="00B237EA">
            <w:pPr>
              <w:ind w:left="494" w:hangingChars="206" w:hanging="494"/>
              <w:jc w:val="both"/>
              <w:rPr>
                <w:rFonts w:ascii="標楷體" w:eastAsia="標楷體" w:hAnsi="標楷體"/>
                <w:snapToGrid w:val="0"/>
                <w:sz w:val="24"/>
                <w:szCs w:val="24"/>
              </w:rPr>
            </w:pPr>
            <w:r w:rsidRPr="007950CF">
              <w:rPr>
                <w:rFonts w:ascii="標楷體" w:eastAsia="標楷體" w:hAnsi="標楷體" w:cs="細明體" w:hint="eastAsia"/>
                <w:sz w:val="24"/>
                <w:szCs w:val="24"/>
              </w:rPr>
              <w:t>參、</w:t>
            </w:r>
            <w:r w:rsidRPr="007950CF">
              <w:rPr>
                <w:rFonts w:ascii="標楷體" w:eastAsia="標楷體" w:hAnsi="標楷體" w:cs="細明體"/>
                <w:sz w:val="24"/>
                <w:szCs w:val="24"/>
              </w:rPr>
              <w:tab/>
            </w:r>
            <w:r w:rsidR="000D1DD5" w:rsidRPr="000D1DD5">
              <w:rPr>
                <w:rFonts w:ascii="標楷體" w:eastAsia="標楷體" w:hAnsi="標楷體" w:cs="細明體" w:hint="eastAsia"/>
                <w:sz w:val="24"/>
                <w:szCs w:val="24"/>
              </w:rPr>
              <w:t>投信事業</w:t>
            </w:r>
            <w:proofErr w:type="gramStart"/>
            <w:r w:rsidR="000D1DD5" w:rsidRPr="000D1DD5">
              <w:rPr>
                <w:rFonts w:ascii="標楷體" w:eastAsia="標楷體" w:hAnsi="標楷體" w:cs="細明體" w:hint="eastAsia"/>
                <w:sz w:val="24"/>
                <w:szCs w:val="24"/>
              </w:rPr>
              <w:t>或期信事業</w:t>
            </w:r>
            <w:proofErr w:type="gramEnd"/>
            <w:r w:rsidR="000D1DD5" w:rsidRPr="000D1DD5">
              <w:rPr>
                <w:rFonts w:ascii="標楷體" w:eastAsia="標楷體" w:hAnsi="標楷體" w:cs="細明體" w:hint="eastAsia"/>
                <w:sz w:val="24"/>
                <w:szCs w:val="24"/>
              </w:rPr>
              <w:t>選定</w:t>
            </w:r>
            <w:r w:rsidR="000D1DD5" w:rsidRPr="000D1DD5">
              <w:rPr>
                <w:rFonts w:ascii="標楷體" w:eastAsia="標楷體" w:hAnsi="標楷體" w:cs="細明體" w:hint="eastAsia"/>
                <w:color w:val="FF0000"/>
                <w:sz w:val="24"/>
                <w:szCs w:val="24"/>
                <w:u w:val="single"/>
              </w:rPr>
              <w:t>或新增</w:t>
            </w:r>
            <w:r w:rsidR="000D1DD5" w:rsidRPr="000D1DD5">
              <w:rPr>
                <w:rFonts w:ascii="標楷體" w:eastAsia="標楷體" w:hAnsi="標楷體" w:cs="細明體" w:hint="eastAsia"/>
                <w:sz w:val="24"/>
                <w:szCs w:val="24"/>
              </w:rPr>
              <w:t>流動量提供者時，應與流動量提供者簽訂提供指數股票型基金受益憑證市場流動量契約（以下簡稱提供市場流動量契約），並</w:t>
            </w:r>
            <w:r w:rsidR="000D1DD5" w:rsidRPr="000D1DD5">
              <w:rPr>
                <w:rFonts w:ascii="標楷體" w:eastAsia="標楷體" w:hAnsi="標楷體" w:cs="細明體" w:hint="eastAsia"/>
                <w:color w:val="FF0000"/>
                <w:sz w:val="24"/>
                <w:szCs w:val="24"/>
                <w:u w:val="single"/>
              </w:rPr>
              <w:t>於契約生效前三</w:t>
            </w:r>
            <w:proofErr w:type="gramStart"/>
            <w:r w:rsidR="000D1DD5" w:rsidRPr="000D1DD5">
              <w:rPr>
                <w:rFonts w:ascii="標楷體" w:eastAsia="標楷體" w:hAnsi="標楷體" w:cs="細明體" w:hint="eastAsia"/>
                <w:color w:val="FF0000"/>
                <w:sz w:val="24"/>
                <w:szCs w:val="24"/>
                <w:u w:val="single"/>
              </w:rPr>
              <w:t>個</w:t>
            </w:r>
            <w:proofErr w:type="gramEnd"/>
            <w:r w:rsidR="000D1DD5" w:rsidRPr="000D1DD5">
              <w:rPr>
                <w:rFonts w:ascii="標楷體" w:eastAsia="標楷體" w:hAnsi="標楷體" w:cs="細明體" w:hint="eastAsia"/>
                <w:color w:val="FF0000"/>
                <w:sz w:val="24"/>
                <w:szCs w:val="24"/>
                <w:u w:val="single"/>
              </w:rPr>
              <w:t>營業日下午三時前</w:t>
            </w:r>
            <w:r w:rsidR="000D1DD5" w:rsidRPr="000D1DD5">
              <w:rPr>
                <w:rFonts w:ascii="標楷體" w:eastAsia="標楷體" w:hAnsi="標楷體" w:hint="eastAsia"/>
                <w:color w:val="FF0000"/>
                <w:sz w:val="24"/>
                <w:szCs w:val="24"/>
                <w:u w:val="single"/>
              </w:rPr>
              <w:t>檢附符合本作業要點第肆點第一款及第二款之資格證明文件及適任性檢查表</w:t>
            </w:r>
            <w:r w:rsidR="000D1DD5" w:rsidRPr="000D1DD5">
              <w:rPr>
                <w:rFonts w:ascii="標楷體" w:eastAsia="標楷體" w:hAnsi="標楷體" w:cs="細明體" w:hint="eastAsia"/>
                <w:sz w:val="24"/>
                <w:szCs w:val="24"/>
              </w:rPr>
              <w:t>函報本中心</w:t>
            </w:r>
            <w:r w:rsidR="000D1DD5" w:rsidRPr="000D1DD5">
              <w:rPr>
                <w:rFonts w:ascii="標楷體" w:eastAsia="標楷體" w:hAnsi="標楷體" w:cs="細明體" w:hint="eastAsia"/>
                <w:color w:val="FF0000"/>
                <w:sz w:val="24"/>
                <w:szCs w:val="24"/>
                <w:u w:val="single"/>
              </w:rPr>
              <w:t>同意</w:t>
            </w:r>
            <w:r w:rsidR="000D1DD5" w:rsidRPr="000D1DD5">
              <w:rPr>
                <w:rFonts w:ascii="標楷體" w:eastAsia="標楷體" w:hAnsi="標楷體" w:cs="細明體" w:hint="eastAsia"/>
                <w:sz w:val="24"/>
                <w:szCs w:val="24"/>
              </w:rPr>
              <w:t>。投信事業</w:t>
            </w:r>
            <w:proofErr w:type="gramStart"/>
            <w:r w:rsidR="000D1DD5" w:rsidRPr="000D1DD5">
              <w:rPr>
                <w:rFonts w:ascii="標楷體" w:eastAsia="標楷體" w:hAnsi="標楷體" w:cs="細明體" w:hint="eastAsia"/>
                <w:sz w:val="24"/>
                <w:szCs w:val="24"/>
              </w:rPr>
              <w:t>或期信事業</w:t>
            </w:r>
            <w:proofErr w:type="gramEnd"/>
            <w:r w:rsidR="000D1DD5" w:rsidRPr="000D1DD5">
              <w:rPr>
                <w:rFonts w:ascii="標楷體" w:eastAsia="標楷體" w:hAnsi="標楷體" w:cs="細明體" w:hint="eastAsia"/>
                <w:sz w:val="24"/>
                <w:szCs w:val="24"/>
              </w:rPr>
              <w:t>有終止流動量提供者之情事時，應於契約終止前三</w:t>
            </w:r>
            <w:proofErr w:type="gramStart"/>
            <w:r w:rsidR="000D1DD5" w:rsidRPr="000D1DD5">
              <w:rPr>
                <w:rFonts w:ascii="標楷體" w:eastAsia="標楷體" w:hAnsi="標楷體" w:cs="細明體" w:hint="eastAsia"/>
                <w:sz w:val="24"/>
                <w:szCs w:val="24"/>
              </w:rPr>
              <w:t>個</w:t>
            </w:r>
            <w:proofErr w:type="gramEnd"/>
            <w:r w:rsidR="000D1DD5" w:rsidRPr="000D1DD5">
              <w:rPr>
                <w:rFonts w:ascii="標楷體" w:eastAsia="標楷體" w:hAnsi="標楷體" w:cs="細明體" w:hint="eastAsia"/>
                <w:sz w:val="24"/>
                <w:szCs w:val="24"/>
              </w:rPr>
              <w:t>營業日下午三時前，檢附相關證明文件函知本中心</w:t>
            </w:r>
            <w:r w:rsidRPr="000D1DD5">
              <w:rPr>
                <w:rFonts w:ascii="標楷體" w:eastAsia="標楷體" w:hAnsi="標楷體" w:cs="細明體" w:hint="eastAsia"/>
                <w:sz w:val="24"/>
                <w:szCs w:val="24"/>
              </w:rPr>
              <w:t>。</w:t>
            </w:r>
          </w:p>
        </w:tc>
        <w:tc>
          <w:tcPr>
            <w:tcW w:w="3210" w:type="dxa"/>
          </w:tcPr>
          <w:p w14:paraId="19AD39D4" w14:textId="4CBAF1D3" w:rsidR="007950CF" w:rsidRPr="007950CF" w:rsidRDefault="007950CF" w:rsidP="00B237EA">
            <w:pPr>
              <w:ind w:left="494" w:hangingChars="206" w:hanging="494"/>
              <w:jc w:val="both"/>
              <w:rPr>
                <w:rFonts w:ascii="標楷體" w:eastAsia="標楷體" w:hAnsi="標楷體"/>
                <w:snapToGrid w:val="0"/>
                <w:sz w:val="24"/>
                <w:szCs w:val="24"/>
              </w:rPr>
            </w:pPr>
            <w:r w:rsidRPr="007950CF">
              <w:rPr>
                <w:rFonts w:ascii="標楷體" w:eastAsia="標楷體" w:hAnsi="標楷體" w:cs="細明體" w:hint="eastAsia"/>
                <w:sz w:val="24"/>
                <w:szCs w:val="24"/>
              </w:rPr>
              <w:t>參、</w:t>
            </w:r>
            <w:r w:rsidRPr="007950CF">
              <w:rPr>
                <w:rFonts w:ascii="標楷體" w:eastAsia="標楷體" w:hAnsi="標楷體" w:cs="細明體"/>
                <w:sz w:val="24"/>
                <w:szCs w:val="24"/>
              </w:rPr>
              <w:tab/>
            </w:r>
            <w:r w:rsidR="000D1DD5" w:rsidRPr="000D1DD5">
              <w:rPr>
                <w:rFonts w:ascii="標楷體" w:eastAsia="標楷體" w:hAnsi="標楷體" w:cs="細明體" w:hint="eastAsia"/>
                <w:sz w:val="24"/>
                <w:szCs w:val="24"/>
              </w:rPr>
              <w:t>投信事業</w:t>
            </w:r>
            <w:proofErr w:type="gramStart"/>
            <w:r w:rsidR="000D1DD5" w:rsidRPr="000D1DD5">
              <w:rPr>
                <w:rFonts w:ascii="標楷體" w:eastAsia="標楷體" w:hAnsi="標楷體" w:cs="細明體" w:hint="eastAsia"/>
                <w:sz w:val="24"/>
                <w:szCs w:val="24"/>
              </w:rPr>
              <w:t>或期信事業</w:t>
            </w:r>
            <w:proofErr w:type="gramEnd"/>
            <w:r w:rsidR="000D1DD5" w:rsidRPr="000D1DD5">
              <w:rPr>
                <w:rFonts w:ascii="標楷體" w:eastAsia="標楷體" w:hAnsi="標楷體" w:cs="細明體" w:hint="eastAsia"/>
                <w:sz w:val="24"/>
                <w:szCs w:val="24"/>
              </w:rPr>
              <w:t>選定流動量提供者時，應與流動量提供者簽訂提供指數股票型基金受益憑證市場流動量契約（以下簡稱提供市場流動量契約），並函報本中心。</w:t>
            </w:r>
            <w:r w:rsidR="000D1DD5" w:rsidRPr="00B0119F">
              <w:rPr>
                <w:rFonts w:ascii="標楷體" w:eastAsia="標楷體" w:hAnsi="標楷體" w:cs="細明體" w:hint="eastAsia"/>
                <w:sz w:val="24"/>
                <w:szCs w:val="24"/>
              </w:rPr>
              <w:t>投信事業</w:t>
            </w:r>
            <w:proofErr w:type="gramStart"/>
            <w:r w:rsidR="000D1DD5" w:rsidRPr="00B0119F">
              <w:rPr>
                <w:rFonts w:ascii="標楷體" w:eastAsia="標楷體" w:hAnsi="標楷體" w:cs="細明體" w:hint="eastAsia"/>
                <w:sz w:val="24"/>
                <w:szCs w:val="24"/>
              </w:rPr>
              <w:t>或期信事業</w:t>
            </w:r>
            <w:proofErr w:type="gramEnd"/>
            <w:r w:rsidR="000D1DD5" w:rsidRPr="00B0119F">
              <w:rPr>
                <w:rFonts w:ascii="標楷體" w:eastAsia="標楷體" w:hAnsi="標楷體" w:cs="細明體" w:hint="eastAsia"/>
                <w:sz w:val="24"/>
                <w:szCs w:val="24"/>
              </w:rPr>
              <w:t>有</w:t>
            </w:r>
            <w:r w:rsidR="000D1DD5" w:rsidRPr="00B0119F">
              <w:rPr>
                <w:rFonts w:ascii="標楷體" w:eastAsia="標楷體" w:hAnsi="標楷體" w:cs="細明體" w:hint="eastAsia"/>
                <w:color w:val="FF0000"/>
                <w:sz w:val="24"/>
                <w:szCs w:val="24"/>
                <w:u w:val="single"/>
              </w:rPr>
              <w:t>新增或</w:t>
            </w:r>
            <w:r w:rsidR="000D1DD5" w:rsidRPr="00B0119F">
              <w:rPr>
                <w:rFonts w:ascii="標楷體" w:eastAsia="標楷體" w:hAnsi="標楷體" w:cs="細明體" w:hint="eastAsia"/>
                <w:sz w:val="24"/>
                <w:szCs w:val="24"/>
              </w:rPr>
              <w:t>終止流動量提供者之情事時，應於契約</w:t>
            </w:r>
            <w:r w:rsidR="000D1DD5" w:rsidRPr="00B0119F">
              <w:rPr>
                <w:rFonts w:ascii="標楷體" w:eastAsia="標楷體" w:hAnsi="標楷體" w:cs="細明體" w:hint="eastAsia"/>
                <w:color w:val="FF0000"/>
                <w:sz w:val="24"/>
                <w:szCs w:val="24"/>
                <w:u w:val="single"/>
              </w:rPr>
              <w:t>生效或</w:t>
            </w:r>
            <w:r w:rsidR="000D1DD5" w:rsidRPr="00B0119F">
              <w:rPr>
                <w:rFonts w:ascii="標楷體" w:eastAsia="標楷體" w:hAnsi="標楷體" w:cs="細明體" w:hint="eastAsia"/>
                <w:sz w:val="24"/>
                <w:szCs w:val="24"/>
              </w:rPr>
              <w:t>終止</w:t>
            </w:r>
            <w:r w:rsidR="000D1DD5" w:rsidRPr="000D1DD5">
              <w:rPr>
                <w:rFonts w:ascii="標楷體" w:eastAsia="標楷體" w:hAnsi="標楷體" w:cs="細明體" w:hint="eastAsia"/>
                <w:sz w:val="24"/>
                <w:szCs w:val="24"/>
              </w:rPr>
              <w:t>前三</w:t>
            </w:r>
            <w:proofErr w:type="gramStart"/>
            <w:r w:rsidR="000D1DD5" w:rsidRPr="000D1DD5">
              <w:rPr>
                <w:rFonts w:ascii="標楷體" w:eastAsia="標楷體" w:hAnsi="標楷體" w:cs="細明體" w:hint="eastAsia"/>
                <w:sz w:val="24"/>
                <w:szCs w:val="24"/>
              </w:rPr>
              <w:t>個</w:t>
            </w:r>
            <w:proofErr w:type="gramEnd"/>
            <w:r w:rsidR="000D1DD5" w:rsidRPr="000D1DD5">
              <w:rPr>
                <w:rFonts w:ascii="標楷體" w:eastAsia="標楷體" w:hAnsi="標楷體" w:cs="細明體" w:hint="eastAsia"/>
                <w:sz w:val="24"/>
                <w:szCs w:val="24"/>
              </w:rPr>
              <w:t>營業日下午三時前，檢附相關證明文件函知本中心</w:t>
            </w:r>
            <w:r w:rsidRPr="000D1DD5">
              <w:rPr>
                <w:rFonts w:ascii="標楷體" w:eastAsia="標楷體" w:hAnsi="標楷體" w:cs="細明體" w:hint="eastAsia"/>
                <w:sz w:val="24"/>
                <w:szCs w:val="24"/>
              </w:rPr>
              <w:t>。</w:t>
            </w:r>
          </w:p>
        </w:tc>
        <w:tc>
          <w:tcPr>
            <w:tcW w:w="3211" w:type="dxa"/>
          </w:tcPr>
          <w:p w14:paraId="2A69E733" w14:textId="7AD3C8A8" w:rsidR="007950CF" w:rsidRPr="007950CF" w:rsidRDefault="007950CF" w:rsidP="00F23D18">
            <w:pPr>
              <w:jc w:val="both"/>
              <w:rPr>
                <w:rFonts w:eastAsia="標楷體"/>
                <w:color w:val="000000"/>
                <w:sz w:val="24"/>
                <w:szCs w:val="24"/>
              </w:rPr>
            </w:pPr>
            <w:r w:rsidRPr="007950CF">
              <w:rPr>
                <w:rFonts w:eastAsia="標楷體" w:hint="eastAsia"/>
                <w:color w:val="000000"/>
                <w:sz w:val="24"/>
                <w:szCs w:val="24"/>
              </w:rPr>
              <w:t>為持續控管指數股票型基金</w:t>
            </w:r>
            <w:r w:rsidRPr="007950CF">
              <w:rPr>
                <w:rFonts w:eastAsia="標楷體" w:hint="eastAsia"/>
                <w:color w:val="000000"/>
                <w:sz w:val="24"/>
                <w:szCs w:val="24"/>
              </w:rPr>
              <w:t>(</w:t>
            </w:r>
            <w:r w:rsidRPr="007950CF">
              <w:rPr>
                <w:rFonts w:eastAsia="標楷體" w:hint="eastAsia"/>
                <w:color w:val="000000"/>
                <w:sz w:val="24"/>
                <w:szCs w:val="24"/>
              </w:rPr>
              <w:t>以下稱</w:t>
            </w:r>
            <w:r w:rsidRPr="007950CF">
              <w:rPr>
                <w:rFonts w:eastAsia="標楷體" w:hint="eastAsia"/>
                <w:color w:val="000000"/>
                <w:sz w:val="24"/>
                <w:szCs w:val="24"/>
              </w:rPr>
              <w:t>ETF)</w:t>
            </w:r>
            <w:r w:rsidRPr="007950CF">
              <w:rPr>
                <w:rFonts w:eastAsia="標楷體" w:hint="eastAsia"/>
                <w:color w:val="000000"/>
                <w:sz w:val="24"/>
                <w:szCs w:val="24"/>
              </w:rPr>
              <w:t>流動量提供者之適任性，投信事業</w:t>
            </w:r>
            <w:proofErr w:type="gramStart"/>
            <w:r w:rsidRPr="007950CF">
              <w:rPr>
                <w:rFonts w:eastAsia="標楷體" w:hint="eastAsia"/>
                <w:color w:val="000000"/>
                <w:sz w:val="24"/>
                <w:szCs w:val="24"/>
              </w:rPr>
              <w:t>或期信事業</w:t>
            </w:r>
            <w:proofErr w:type="gramEnd"/>
            <w:r w:rsidRPr="007950CF">
              <w:rPr>
                <w:rFonts w:eastAsia="標楷體" w:hint="eastAsia"/>
                <w:color w:val="000000"/>
                <w:sz w:val="24"/>
                <w:szCs w:val="24"/>
              </w:rPr>
              <w:t>與證券商簽訂</w:t>
            </w:r>
            <w:r w:rsidRPr="007950CF">
              <w:rPr>
                <w:rFonts w:ascii="標楷體" w:eastAsia="標楷體" w:hAnsi="標楷體" w:cs="細明體" w:hint="eastAsia"/>
                <w:sz w:val="24"/>
                <w:szCs w:val="24"/>
              </w:rPr>
              <w:t>提供市場流動量契約</w:t>
            </w:r>
            <w:r w:rsidRPr="007950CF">
              <w:rPr>
                <w:rFonts w:eastAsia="標楷體" w:hint="eastAsia"/>
                <w:color w:val="000000"/>
                <w:sz w:val="24"/>
                <w:szCs w:val="24"/>
              </w:rPr>
              <w:t>前，應先自行評估其適任性，並將符合本作業要點</w:t>
            </w:r>
            <w:r w:rsidR="002574A1">
              <w:rPr>
                <w:rFonts w:eastAsia="標楷體" w:hint="eastAsia"/>
                <w:color w:val="000000"/>
                <w:sz w:val="24"/>
                <w:szCs w:val="24"/>
              </w:rPr>
              <w:t>第</w:t>
            </w:r>
            <w:r w:rsidRPr="007950CF">
              <w:rPr>
                <w:rFonts w:eastAsia="標楷體" w:hint="eastAsia"/>
                <w:color w:val="000000"/>
                <w:sz w:val="24"/>
                <w:szCs w:val="24"/>
              </w:rPr>
              <w:t>肆</w:t>
            </w:r>
            <w:r w:rsidR="002574A1">
              <w:rPr>
                <w:rFonts w:eastAsia="標楷體" w:hint="eastAsia"/>
                <w:color w:val="000000"/>
                <w:sz w:val="24"/>
                <w:szCs w:val="24"/>
              </w:rPr>
              <w:t>點第</w:t>
            </w:r>
            <w:r w:rsidR="002574A1">
              <w:rPr>
                <w:rFonts w:eastAsia="標楷體" w:hint="eastAsia"/>
                <w:color w:val="000000"/>
                <w:sz w:val="24"/>
                <w:szCs w:val="24"/>
              </w:rPr>
              <w:t>1</w:t>
            </w:r>
            <w:r w:rsidR="002574A1">
              <w:rPr>
                <w:rFonts w:eastAsia="標楷體" w:hint="eastAsia"/>
                <w:color w:val="000000"/>
                <w:sz w:val="24"/>
                <w:szCs w:val="24"/>
              </w:rPr>
              <w:t>款及第</w:t>
            </w:r>
            <w:r w:rsidR="002574A1">
              <w:rPr>
                <w:rFonts w:eastAsia="標楷體" w:hint="eastAsia"/>
                <w:color w:val="000000"/>
                <w:sz w:val="24"/>
                <w:szCs w:val="24"/>
              </w:rPr>
              <w:t>2</w:t>
            </w:r>
            <w:r w:rsidR="002574A1">
              <w:rPr>
                <w:rFonts w:eastAsia="標楷體" w:hint="eastAsia"/>
                <w:color w:val="000000"/>
                <w:sz w:val="24"/>
                <w:szCs w:val="24"/>
              </w:rPr>
              <w:t>款</w:t>
            </w:r>
            <w:r w:rsidRPr="007950CF">
              <w:rPr>
                <w:rFonts w:eastAsia="標楷體" w:hint="eastAsia"/>
                <w:color w:val="000000"/>
                <w:sz w:val="24"/>
                <w:szCs w:val="24"/>
              </w:rPr>
              <w:t>之資格證明文件及適任性檢查表函報本中心，</w:t>
            </w:r>
            <w:proofErr w:type="gramStart"/>
            <w:r w:rsidRPr="007950CF">
              <w:rPr>
                <w:rFonts w:eastAsia="標楷體" w:hint="eastAsia"/>
                <w:color w:val="000000"/>
                <w:sz w:val="24"/>
                <w:szCs w:val="24"/>
              </w:rPr>
              <w:t>爰</w:t>
            </w:r>
            <w:proofErr w:type="gramEnd"/>
            <w:r w:rsidRPr="007950CF">
              <w:rPr>
                <w:rFonts w:eastAsia="標楷體" w:hint="eastAsia"/>
                <w:color w:val="000000"/>
                <w:sz w:val="24"/>
                <w:szCs w:val="24"/>
              </w:rPr>
              <w:t>修正本點之規定</w:t>
            </w:r>
            <w:r w:rsidR="000D1DD5" w:rsidRPr="000D1DD5">
              <w:rPr>
                <w:rFonts w:eastAsia="標楷體" w:hint="eastAsia"/>
                <w:color w:val="000000"/>
                <w:sz w:val="24"/>
                <w:szCs w:val="24"/>
              </w:rPr>
              <w:t>，</w:t>
            </w:r>
            <w:proofErr w:type="gramStart"/>
            <w:r w:rsidR="000D1DD5" w:rsidRPr="000D1DD5">
              <w:rPr>
                <w:rFonts w:eastAsia="標楷體" w:hint="eastAsia"/>
                <w:color w:val="000000"/>
                <w:sz w:val="24"/>
                <w:szCs w:val="24"/>
              </w:rPr>
              <w:t>並酌修部分</w:t>
            </w:r>
            <w:proofErr w:type="gramEnd"/>
            <w:r w:rsidR="000D1DD5" w:rsidRPr="000D1DD5">
              <w:rPr>
                <w:rFonts w:eastAsia="標楷體" w:hint="eastAsia"/>
                <w:color w:val="000000"/>
                <w:sz w:val="24"/>
                <w:szCs w:val="24"/>
              </w:rPr>
              <w:t>文字</w:t>
            </w:r>
            <w:r w:rsidRPr="007950CF">
              <w:rPr>
                <w:rFonts w:eastAsia="標楷體" w:hint="eastAsia"/>
                <w:color w:val="000000"/>
                <w:sz w:val="24"/>
                <w:szCs w:val="24"/>
              </w:rPr>
              <w:t>。</w:t>
            </w:r>
          </w:p>
        </w:tc>
      </w:tr>
      <w:tr w:rsidR="007950CF" w:rsidRPr="007950CF" w14:paraId="705260B0" w14:textId="77777777" w:rsidTr="006B3236">
        <w:trPr>
          <w:trHeight w:val="1030"/>
          <w:jc w:val="center"/>
        </w:trPr>
        <w:tc>
          <w:tcPr>
            <w:tcW w:w="3210" w:type="dxa"/>
          </w:tcPr>
          <w:p w14:paraId="75F3352F" w14:textId="01A42C50" w:rsidR="007950CF" w:rsidRPr="007950CF" w:rsidRDefault="007950CF" w:rsidP="0097132E">
            <w:pPr>
              <w:ind w:left="480" w:hangingChars="200" w:hanging="480"/>
              <w:jc w:val="both"/>
              <w:rPr>
                <w:rFonts w:ascii="標楷體" w:eastAsia="標楷體" w:hAnsi="標楷體"/>
                <w:snapToGrid w:val="0"/>
                <w:sz w:val="24"/>
                <w:szCs w:val="24"/>
              </w:rPr>
            </w:pPr>
            <w:r w:rsidRPr="007950CF">
              <w:rPr>
                <w:rFonts w:ascii="標楷體" w:eastAsia="標楷體" w:hAnsi="標楷體"/>
                <w:snapToGrid w:val="0"/>
                <w:sz w:val="24"/>
                <w:szCs w:val="24"/>
              </w:rPr>
              <w:t>肆、流動量提供者須具備下列</w:t>
            </w:r>
            <w:r w:rsidRPr="007950CF">
              <w:rPr>
                <w:rFonts w:ascii="標楷體" w:eastAsia="標楷體" w:hAnsi="標楷體"/>
                <w:sz w:val="24"/>
                <w:szCs w:val="24"/>
              </w:rPr>
              <w:t>條件</w:t>
            </w:r>
            <w:r w:rsidRPr="007950CF">
              <w:rPr>
                <w:rFonts w:ascii="標楷體" w:eastAsia="標楷體" w:hAnsi="標楷體"/>
                <w:snapToGrid w:val="0"/>
                <w:sz w:val="24"/>
                <w:szCs w:val="24"/>
              </w:rPr>
              <w:t>。但不符第</w:t>
            </w:r>
            <w:r w:rsidR="00CC44E0" w:rsidRPr="00CC44E0">
              <w:rPr>
                <w:rFonts w:ascii="標楷體" w:eastAsia="標楷體" w:hAnsi="標楷體" w:hint="eastAsia"/>
                <w:snapToGrid w:val="0"/>
                <w:color w:val="FF0000"/>
                <w:sz w:val="24"/>
                <w:szCs w:val="24"/>
                <w:u w:val="single"/>
              </w:rPr>
              <w:t>四</w:t>
            </w:r>
            <w:r w:rsidRPr="007950CF">
              <w:rPr>
                <w:rFonts w:ascii="標楷體" w:eastAsia="標楷體" w:hAnsi="標楷體"/>
                <w:snapToGrid w:val="0"/>
                <w:sz w:val="24"/>
                <w:szCs w:val="24"/>
              </w:rPr>
              <w:t>款至第</w:t>
            </w:r>
            <w:r w:rsidR="00CC44E0" w:rsidRPr="00CC44E0">
              <w:rPr>
                <w:rFonts w:ascii="標楷體" w:eastAsia="標楷體" w:hAnsi="標楷體" w:hint="eastAsia"/>
                <w:snapToGrid w:val="0"/>
                <w:color w:val="FF0000"/>
                <w:sz w:val="24"/>
                <w:szCs w:val="24"/>
                <w:u w:val="single"/>
              </w:rPr>
              <w:t>八</w:t>
            </w:r>
            <w:r w:rsidRPr="007950CF">
              <w:rPr>
                <w:rFonts w:ascii="標楷體" w:eastAsia="標楷體" w:hAnsi="標楷體"/>
                <w:snapToGrid w:val="0"/>
                <w:sz w:val="24"/>
                <w:szCs w:val="24"/>
              </w:rPr>
              <w:t>款之條件，惟其情事已具體改善，並經主管機關認可者，得不受其限制：</w:t>
            </w:r>
          </w:p>
          <w:p w14:paraId="0E4C5067" w14:textId="1E5674ED"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sz w:val="24"/>
                <w:szCs w:val="24"/>
              </w:rPr>
              <w:t>一、</w:t>
            </w:r>
            <w:r w:rsidRPr="007950CF">
              <w:rPr>
                <w:rFonts w:ascii="標楷體" w:eastAsia="標楷體" w:hAnsi="標楷體" w:hint="eastAsia"/>
                <w:color w:val="FF0000"/>
                <w:sz w:val="24"/>
                <w:szCs w:val="24"/>
                <w:u w:val="single"/>
              </w:rPr>
              <w:t>經本中心核可得經營</w:t>
            </w:r>
            <w:r w:rsidRPr="007950CF">
              <w:rPr>
                <w:rFonts w:ascii="標楷體" w:eastAsia="標楷體" w:hAnsi="標楷體"/>
                <w:color w:val="FF0000"/>
                <w:sz w:val="24"/>
                <w:szCs w:val="24"/>
                <w:u w:val="single"/>
              </w:rPr>
              <w:t>指數股票型基金</w:t>
            </w:r>
            <w:r w:rsidRPr="007950CF">
              <w:rPr>
                <w:rFonts w:ascii="標楷體" w:eastAsia="標楷體" w:hAnsi="標楷體" w:hint="eastAsia"/>
                <w:color w:val="FF0000"/>
                <w:sz w:val="24"/>
                <w:szCs w:val="24"/>
                <w:u w:val="single"/>
              </w:rPr>
              <w:t>受益憑證流動量提供業務及擔任參與證券商且具備證券自營業務之證券商。</w:t>
            </w:r>
          </w:p>
          <w:p w14:paraId="20B52A81" w14:textId="35B2A860"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hint="eastAsia"/>
                <w:color w:val="FF0000"/>
                <w:sz w:val="24"/>
                <w:szCs w:val="24"/>
                <w:u w:val="single"/>
              </w:rPr>
              <w:t>二、證券商於取得前</w:t>
            </w:r>
            <w:r w:rsidR="0022159E">
              <w:rPr>
                <w:rFonts w:ascii="標楷體" w:eastAsia="標楷體" w:hAnsi="標楷體" w:hint="eastAsia"/>
                <w:color w:val="FF0000"/>
                <w:sz w:val="24"/>
                <w:szCs w:val="24"/>
                <w:u w:val="single"/>
              </w:rPr>
              <w:t>款</w:t>
            </w:r>
            <w:r w:rsidRPr="007950CF">
              <w:rPr>
                <w:rFonts w:ascii="標楷體" w:eastAsia="標楷體" w:hAnsi="標楷體" w:hint="eastAsia"/>
                <w:color w:val="FF0000"/>
                <w:sz w:val="24"/>
                <w:szCs w:val="24"/>
                <w:u w:val="single"/>
              </w:rPr>
              <w:t>核</w:t>
            </w:r>
            <w:r w:rsidR="00FA6086">
              <w:rPr>
                <w:rFonts w:ascii="標楷體" w:eastAsia="標楷體" w:hAnsi="標楷體" w:hint="eastAsia"/>
                <w:color w:val="FF0000"/>
                <w:sz w:val="24"/>
                <w:szCs w:val="24"/>
                <w:u w:val="single"/>
              </w:rPr>
              <w:t>可函後一年內與發行指數股票型基金受益憑證之投信事業</w:t>
            </w:r>
            <w:proofErr w:type="gramStart"/>
            <w:r w:rsidR="00FA6086">
              <w:rPr>
                <w:rFonts w:ascii="標楷體" w:eastAsia="標楷體" w:hAnsi="標楷體" w:hint="eastAsia"/>
                <w:color w:val="FF0000"/>
                <w:sz w:val="24"/>
                <w:szCs w:val="24"/>
                <w:u w:val="single"/>
              </w:rPr>
              <w:t>或期信事業</w:t>
            </w:r>
            <w:proofErr w:type="gramEnd"/>
            <w:r w:rsidR="00FA6086">
              <w:rPr>
                <w:rFonts w:ascii="標楷體" w:eastAsia="標楷體" w:hAnsi="標楷體" w:hint="eastAsia"/>
                <w:color w:val="FF0000"/>
                <w:sz w:val="24"/>
                <w:szCs w:val="24"/>
                <w:u w:val="single"/>
              </w:rPr>
              <w:t>簽訂</w:t>
            </w:r>
            <w:r w:rsidRPr="007950CF">
              <w:rPr>
                <w:rFonts w:ascii="標楷體" w:eastAsia="標楷體" w:hAnsi="標楷體" w:hint="eastAsia"/>
                <w:color w:val="FF0000"/>
                <w:sz w:val="24"/>
                <w:szCs w:val="24"/>
                <w:u w:val="single"/>
              </w:rPr>
              <w:t>提供市場流動量契約者。</w:t>
            </w:r>
          </w:p>
          <w:p w14:paraId="6352B897" w14:textId="0A198510"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hint="eastAsia"/>
                <w:color w:val="FF0000"/>
                <w:sz w:val="24"/>
                <w:szCs w:val="24"/>
                <w:u w:val="single"/>
              </w:rPr>
              <w:t>三</w:t>
            </w:r>
            <w:r w:rsidRPr="007950CF">
              <w:rPr>
                <w:rFonts w:ascii="標楷體" w:eastAsia="標楷體" w:hAnsi="標楷體"/>
                <w:sz w:val="24"/>
                <w:szCs w:val="24"/>
              </w:rPr>
              <w:t>、最近期經會計師查核簽證之財務報告每股淨值不低於票面金額，且財</w:t>
            </w:r>
            <w:r w:rsidRPr="007950CF">
              <w:rPr>
                <w:rFonts w:ascii="標楷體" w:eastAsia="標楷體" w:hAnsi="標楷體"/>
                <w:sz w:val="24"/>
                <w:szCs w:val="24"/>
              </w:rPr>
              <w:lastRenderedPageBreak/>
              <w:t>務狀況符合證券商管理規則之規定。</w:t>
            </w:r>
          </w:p>
          <w:p w14:paraId="77805C0F" w14:textId="6A783418"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hint="eastAsia"/>
                <w:color w:val="FF0000"/>
                <w:sz w:val="24"/>
                <w:szCs w:val="24"/>
                <w:u w:val="single"/>
              </w:rPr>
              <w:t>四</w:t>
            </w:r>
            <w:r w:rsidRPr="007950CF">
              <w:rPr>
                <w:rFonts w:ascii="標楷體" w:eastAsia="標楷體" w:hAnsi="標楷體"/>
                <w:sz w:val="24"/>
                <w:szCs w:val="24"/>
              </w:rPr>
              <w:t>、最近三個月未曾受主管機關依證券交易法第六十六條第一款或期貨交易法第一百條第一項第一款所為之警告處分。</w:t>
            </w:r>
          </w:p>
          <w:p w14:paraId="1258982C" w14:textId="03F141A2"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hint="eastAsia"/>
                <w:color w:val="FF0000"/>
                <w:sz w:val="24"/>
                <w:szCs w:val="24"/>
                <w:u w:val="single"/>
              </w:rPr>
              <w:t>五</w:t>
            </w:r>
            <w:r w:rsidRPr="007950CF">
              <w:rPr>
                <w:rFonts w:ascii="標楷體" w:eastAsia="標楷體" w:hAnsi="標楷體"/>
                <w:sz w:val="24"/>
                <w:szCs w:val="24"/>
              </w:rPr>
              <w:t>、最近六個月未曾受主管機關依證券交易法第六十六條第二款或期貨交易法第一百條第一項第二款所為之處分。</w:t>
            </w:r>
          </w:p>
          <w:p w14:paraId="0945F24C" w14:textId="5CB30751"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hint="eastAsia"/>
                <w:color w:val="FF0000"/>
                <w:sz w:val="24"/>
                <w:szCs w:val="24"/>
                <w:u w:val="single"/>
              </w:rPr>
              <w:t>六</w:t>
            </w:r>
            <w:r w:rsidRPr="007950CF">
              <w:rPr>
                <w:rFonts w:ascii="標楷體" w:eastAsia="標楷體" w:hAnsi="標楷體"/>
                <w:sz w:val="24"/>
                <w:szCs w:val="24"/>
              </w:rPr>
              <w:t>、最近一年未曾受主管機關為停業之處分。</w:t>
            </w:r>
          </w:p>
          <w:p w14:paraId="5B6D032F" w14:textId="5718CAAE"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hint="eastAsia"/>
                <w:color w:val="FF0000"/>
                <w:sz w:val="24"/>
                <w:szCs w:val="24"/>
                <w:u w:val="single"/>
              </w:rPr>
              <w:t>七</w:t>
            </w:r>
            <w:r w:rsidRPr="007950CF">
              <w:rPr>
                <w:rFonts w:ascii="標楷體" w:eastAsia="標楷體" w:hAnsi="標楷體"/>
                <w:sz w:val="24"/>
                <w:szCs w:val="24"/>
              </w:rPr>
              <w:t>、最近二年未曾受主管機關撤銷部分營業許可之處分。</w:t>
            </w:r>
          </w:p>
          <w:p w14:paraId="001FF70C" w14:textId="75BA7445"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hint="eastAsia"/>
                <w:color w:val="FF0000"/>
                <w:sz w:val="24"/>
                <w:szCs w:val="24"/>
                <w:u w:val="single"/>
              </w:rPr>
              <w:t>八</w:t>
            </w:r>
            <w:r w:rsidRPr="007950CF">
              <w:rPr>
                <w:rFonts w:ascii="標楷體" w:eastAsia="標楷體" w:hAnsi="標楷體"/>
                <w:sz w:val="24"/>
                <w:szCs w:val="24"/>
              </w:rPr>
              <w:t>、最近一年未曾受本中心、臺灣證券交易所或臺灣期貨交易所依其章則處以停止或限制買賣之處置。</w:t>
            </w:r>
          </w:p>
          <w:p w14:paraId="56876C64" w14:textId="3EC1D7BF" w:rsidR="007950CF" w:rsidRPr="007950CF" w:rsidRDefault="007950CF" w:rsidP="00400A03">
            <w:pPr>
              <w:ind w:leftChars="100" w:left="680" w:hangingChars="200" w:hanging="480"/>
              <w:jc w:val="both"/>
              <w:rPr>
                <w:rFonts w:ascii="標楷體" w:eastAsia="標楷體" w:hAnsi="標楷體" w:cs="細明體"/>
                <w:sz w:val="24"/>
                <w:szCs w:val="24"/>
              </w:rPr>
            </w:pPr>
            <w:r w:rsidRPr="007950CF">
              <w:rPr>
                <w:rFonts w:ascii="標楷體" w:eastAsia="標楷體" w:hAnsi="標楷體" w:hint="eastAsia"/>
                <w:color w:val="FF0000"/>
                <w:sz w:val="24"/>
                <w:szCs w:val="24"/>
                <w:u w:val="single"/>
              </w:rPr>
              <w:t>九</w:t>
            </w:r>
            <w:r w:rsidRPr="007950CF">
              <w:rPr>
                <w:rFonts w:ascii="標楷體" w:eastAsia="標楷體" w:hAnsi="標楷體"/>
                <w:sz w:val="24"/>
                <w:szCs w:val="24"/>
              </w:rPr>
              <w:t>、其他經主管機關規定應具備之條件。</w:t>
            </w:r>
          </w:p>
        </w:tc>
        <w:tc>
          <w:tcPr>
            <w:tcW w:w="3210" w:type="dxa"/>
          </w:tcPr>
          <w:p w14:paraId="6E030EAE" w14:textId="77777777" w:rsidR="007950CF" w:rsidRPr="007950CF" w:rsidRDefault="007950CF" w:rsidP="0097132E">
            <w:pPr>
              <w:ind w:left="480" w:hangingChars="200" w:hanging="480"/>
              <w:jc w:val="both"/>
              <w:rPr>
                <w:rFonts w:ascii="標楷體" w:eastAsia="標楷體" w:hAnsi="標楷體"/>
                <w:snapToGrid w:val="0"/>
                <w:sz w:val="24"/>
                <w:szCs w:val="24"/>
              </w:rPr>
            </w:pPr>
            <w:r w:rsidRPr="007950CF">
              <w:rPr>
                <w:rFonts w:ascii="標楷體" w:eastAsia="標楷體" w:hAnsi="標楷體"/>
                <w:snapToGrid w:val="0"/>
                <w:sz w:val="24"/>
                <w:szCs w:val="24"/>
              </w:rPr>
              <w:lastRenderedPageBreak/>
              <w:t>肆、流動量提供者須具備下列</w:t>
            </w:r>
            <w:r w:rsidRPr="007950CF">
              <w:rPr>
                <w:rFonts w:ascii="標楷體" w:eastAsia="標楷體" w:hAnsi="標楷體"/>
                <w:sz w:val="24"/>
                <w:szCs w:val="24"/>
              </w:rPr>
              <w:t>條件</w:t>
            </w:r>
            <w:r w:rsidRPr="007950CF">
              <w:rPr>
                <w:rFonts w:ascii="標楷體" w:eastAsia="標楷體" w:hAnsi="標楷體"/>
                <w:snapToGrid w:val="0"/>
                <w:sz w:val="24"/>
                <w:szCs w:val="24"/>
              </w:rPr>
              <w:t>。但不符第</w:t>
            </w:r>
            <w:r w:rsidRPr="00CC44E0">
              <w:rPr>
                <w:rFonts w:ascii="標楷體" w:eastAsia="標楷體" w:hAnsi="標楷體"/>
                <w:snapToGrid w:val="0"/>
                <w:color w:val="FF0000"/>
                <w:sz w:val="24"/>
                <w:szCs w:val="24"/>
                <w:u w:val="single"/>
              </w:rPr>
              <w:t>三</w:t>
            </w:r>
            <w:r w:rsidRPr="007950CF">
              <w:rPr>
                <w:rFonts w:ascii="標楷體" w:eastAsia="標楷體" w:hAnsi="標楷體"/>
                <w:snapToGrid w:val="0"/>
                <w:sz w:val="24"/>
                <w:szCs w:val="24"/>
              </w:rPr>
              <w:t>款至第</w:t>
            </w:r>
            <w:r w:rsidRPr="00CC44E0">
              <w:rPr>
                <w:rFonts w:ascii="標楷體" w:eastAsia="標楷體" w:hAnsi="標楷體"/>
                <w:snapToGrid w:val="0"/>
                <w:color w:val="FF0000"/>
                <w:sz w:val="24"/>
                <w:szCs w:val="24"/>
                <w:u w:val="single"/>
              </w:rPr>
              <w:t>七</w:t>
            </w:r>
            <w:r w:rsidRPr="007950CF">
              <w:rPr>
                <w:rFonts w:ascii="標楷體" w:eastAsia="標楷體" w:hAnsi="標楷體"/>
                <w:snapToGrid w:val="0"/>
                <w:sz w:val="24"/>
                <w:szCs w:val="24"/>
              </w:rPr>
              <w:t>款之條件，惟其情事已具體改善，並經主管機關認可者，得不受其限制：</w:t>
            </w:r>
          </w:p>
          <w:p w14:paraId="065721B3" w14:textId="77777777"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sz w:val="24"/>
                <w:szCs w:val="24"/>
              </w:rPr>
              <w:t>一、</w:t>
            </w:r>
            <w:r w:rsidRPr="00316544">
              <w:rPr>
                <w:rFonts w:ascii="標楷體" w:eastAsia="標楷體" w:hAnsi="標楷體"/>
                <w:sz w:val="24"/>
                <w:szCs w:val="24"/>
              </w:rPr>
              <w:t>具備</w:t>
            </w:r>
            <w:r w:rsidRPr="007950CF">
              <w:rPr>
                <w:rFonts w:ascii="標楷體" w:eastAsia="標楷體" w:hAnsi="標楷體"/>
                <w:color w:val="FF0000"/>
                <w:sz w:val="24"/>
                <w:szCs w:val="24"/>
                <w:u w:val="single"/>
              </w:rPr>
              <w:t>指數股票型基金受益憑證參與證券商資格</w:t>
            </w:r>
            <w:r w:rsidRPr="00316544">
              <w:rPr>
                <w:rFonts w:ascii="標楷體" w:eastAsia="標楷體" w:hAnsi="標楷體"/>
                <w:sz w:val="24"/>
                <w:szCs w:val="24"/>
              </w:rPr>
              <w:t>之證券</w:t>
            </w:r>
            <w:r w:rsidRPr="007950CF">
              <w:rPr>
                <w:rFonts w:ascii="標楷體" w:eastAsia="標楷體" w:hAnsi="標楷體"/>
                <w:color w:val="FF0000"/>
                <w:sz w:val="24"/>
                <w:szCs w:val="24"/>
                <w:u w:val="single"/>
              </w:rPr>
              <w:t>自營</w:t>
            </w:r>
            <w:r w:rsidRPr="00316544">
              <w:rPr>
                <w:rFonts w:ascii="標楷體" w:eastAsia="標楷體" w:hAnsi="標楷體"/>
                <w:sz w:val="24"/>
                <w:szCs w:val="24"/>
              </w:rPr>
              <w:t>商。</w:t>
            </w:r>
          </w:p>
          <w:p w14:paraId="04616BE2" w14:textId="77777777" w:rsidR="007950CF" w:rsidRPr="007950CF" w:rsidRDefault="007950CF" w:rsidP="0097132E">
            <w:pPr>
              <w:ind w:leftChars="100" w:left="680" w:hangingChars="200" w:hanging="480"/>
              <w:jc w:val="both"/>
              <w:rPr>
                <w:rFonts w:ascii="標楷體" w:eastAsia="標楷體" w:hAnsi="標楷體"/>
                <w:sz w:val="24"/>
                <w:szCs w:val="24"/>
              </w:rPr>
            </w:pPr>
          </w:p>
          <w:p w14:paraId="287478E5" w14:textId="77777777" w:rsidR="007950CF" w:rsidRPr="007950CF" w:rsidRDefault="007950CF" w:rsidP="0097132E">
            <w:pPr>
              <w:ind w:leftChars="100" w:left="680" w:hangingChars="200" w:hanging="480"/>
              <w:jc w:val="both"/>
              <w:rPr>
                <w:rFonts w:ascii="標楷體" w:eastAsia="標楷體" w:hAnsi="標楷體"/>
                <w:sz w:val="24"/>
                <w:szCs w:val="24"/>
              </w:rPr>
            </w:pPr>
          </w:p>
          <w:p w14:paraId="491110B2" w14:textId="77777777" w:rsidR="007950CF" w:rsidRPr="007950CF" w:rsidRDefault="007950CF" w:rsidP="0097132E">
            <w:pPr>
              <w:ind w:leftChars="100" w:left="680" w:hangingChars="200" w:hanging="480"/>
              <w:jc w:val="both"/>
              <w:rPr>
                <w:rFonts w:ascii="標楷體" w:eastAsia="標楷體" w:hAnsi="標楷體"/>
                <w:sz w:val="24"/>
                <w:szCs w:val="24"/>
              </w:rPr>
            </w:pPr>
          </w:p>
          <w:p w14:paraId="5D47F16C" w14:textId="77777777" w:rsidR="007950CF" w:rsidRPr="007950CF" w:rsidRDefault="007950CF" w:rsidP="0097132E">
            <w:pPr>
              <w:ind w:leftChars="100" w:left="680" w:hangingChars="200" w:hanging="480"/>
              <w:jc w:val="both"/>
              <w:rPr>
                <w:rFonts w:ascii="標楷體" w:eastAsia="標楷體" w:hAnsi="標楷體"/>
                <w:sz w:val="24"/>
                <w:szCs w:val="24"/>
              </w:rPr>
            </w:pPr>
          </w:p>
          <w:p w14:paraId="2C059BEB" w14:textId="77777777" w:rsidR="007950CF" w:rsidRPr="007950CF" w:rsidRDefault="007950CF" w:rsidP="0097132E">
            <w:pPr>
              <w:ind w:leftChars="100" w:left="680" w:hangingChars="200" w:hanging="480"/>
              <w:jc w:val="both"/>
              <w:rPr>
                <w:rFonts w:ascii="標楷體" w:eastAsia="標楷體" w:hAnsi="標楷體"/>
                <w:sz w:val="24"/>
                <w:szCs w:val="24"/>
              </w:rPr>
            </w:pPr>
          </w:p>
          <w:p w14:paraId="6E3B5E7C" w14:textId="77777777" w:rsidR="007950CF" w:rsidRPr="007950CF" w:rsidRDefault="007950CF" w:rsidP="0097132E">
            <w:pPr>
              <w:ind w:leftChars="100" w:left="680" w:hangingChars="200" w:hanging="480"/>
              <w:jc w:val="both"/>
              <w:rPr>
                <w:rFonts w:ascii="標楷體" w:eastAsia="標楷體" w:hAnsi="標楷體"/>
                <w:sz w:val="24"/>
                <w:szCs w:val="24"/>
              </w:rPr>
            </w:pPr>
          </w:p>
          <w:p w14:paraId="2EBA59CD" w14:textId="77777777" w:rsidR="007950CF" w:rsidRPr="007950CF" w:rsidRDefault="007950CF" w:rsidP="0097132E">
            <w:pPr>
              <w:ind w:leftChars="100" w:left="680" w:hangingChars="200" w:hanging="480"/>
              <w:jc w:val="both"/>
              <w:rPr>
                <w:rFonts w:ascii="標楷體" w:eastAsia="標楷體" w:hAnsi="標楷體"/>
                <w:sz w:val="24"/>
                <w:szCs w:val="24"/>
              </w:rPr>
            </w:pPr>
          </w:p>
          <w:p w14:paraId="3E13DED8" w14:textId="77777777" w:rsidR="007950CF" w:rsidRPr="007950CF" w:rsidRDefault="007950CF" w:rsidP="0097132E">
            <w:pPr>
              <w:ind w:leftChars="100" w:left="680" w:hangingChars="200" w:hanging="480"/>
              <w:jc w:val="both"/>
              <w:rPr>
                <w:rFonts w:ascii="標楷體" w:eastAsia="標楷體" w:hAnsi="標楷體"/>
                <w:sz w:val="24"/>
                <w:szCs w:val="24"/>
              </w:rPr>
            </w:pPr>
          </w:p>
          <w:p w14:paraId="1C457153" w14:textId="77777777"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color w:val="FF0000"/>
                <w:sz w:val="24"/>
                <w:szCs w:val="24"/>
                <w:u w:val="single"/>
              </w:rPr>
              <w:t>二</w:t>
            </w:r>
            <w:r w:rsidRPr="007950CF">
              <w:rPr>
                <w:rFonts w:ascii="標楷體" w:eastAsia="標楷體" w:hAnsi="標楷體"/>
                <w:sz w:val="24"/>
                <w:szCs w:val="24"/>
              </w:rPr>
              <w:t>、最近期經會計師查核簽證之財務報告每股淨值不低於票面金額，且財</w:t>
            </w:r>
            <w:r w:rsidRPr="007950CF">
              <w:rPr>
                <w:rFonts w:ascii="標楷體" w:eastAsia="標楷體" w:hAnsi="標楷體"/>
                <w:sz w:val="24"/>
                <w:szCs w:val="24"/>
              </w:rPr>
              <w:lastRenderedPageBreak/>
              <w:t>務狀況符合證券商管理規則之規定。</w:t>
            </w:r>
          </w:p>
          <w:p w14:paraId="2F19392C" w14:textId="77777777"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color w:val="FF0000"/>
                <w:sz w:val="24"/>
                <w:szCs w:val="24"/>
                <w:u w:val="single"/>
              </w:rPr>
              <w:t>三</w:t>
            </w:r>
            <w:r w:rsidRPr="007950CF">
              <w:rPr>
                <w:rFonts w:ascii="標楷體" w:eastAsia="標楷體" w:hAnsi="標楷體"/>
                <w:sz w:val="24"/>
                <w:szCs w:val="24"/>
              </w:rPr>
              <w:t>、最近三個月未曾受主管機關依證券交易法第六十六條第一款或期貨交易法第一百條第一項第一款所為之警告處分。</w:t>
            </w:r>
          </w:p>
          <w:p w14:paraId="71FCBFD1" w14:textId="77777777"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color w:val="FF0000"/>
                <w:sz w:val="24"/>
                <w:szCs w:val="24"/>
                <w:u w:val="single"/>
              </w:rPr>
              <w:t>四</w:t>
            </w:r>
            <w:r w:rsidRPr="007950CF">
              <w:rPr>
                <w:rFonts w:ascii="標楷體" w:eastAsia="標楷體" w:hAnsi="標楷體"/>
                <w:sz w:val="24"/>
                <w:szCs w:val="24"/>
              </w:rPr>
              <w:t>、最近六個月未曾受主管機關依證券交易法第六十六條第二款或期貨交易法第一百條第一項第二款所為之處分。</w:t>
            </w:r>
          </w:p>
          <w:p w14:paraId="26B89127" w14:textId="77777777"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color w:val="FF0000"/>
                <w:sz w:val="24"/>
                <w:szCs w:val="24"/>
                <w:u w:val="single"/>
              </w:rPr>
              <w:t>五</w:t>
            </w:r>
            <w:r w:rsidRPr="007950CF">
              <w:rPr>
                <w:rFonts w:ascii="標楷體" w:eastAsia="標楷體" w:hAnsi="標楷體"/>
                <w:sz w:val="24"/>
                <w:szCs w:val="24"/>
              </w:rPr>
              <w:t>、最近一年未曾受主管機關為停業之處分。</w:t>
            </w:r>
          </w:p>
          <w:p w14:paraId="11A54B27" w14:textId="77777777"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color w:val="FF0000"/>
                <w:sz w:val="24"/>
                <w:szCs w:val="24"/>
                <w:u w:val="single"/>
              </w:rPr>
              <w:t>六</w:t>
            </w:r>
            <w:r w:rsidRPr="007950CF">
              <w:rPr>
                <w:rFonts w:ascii="標楷體" w:eastAsia="標楷體" w:hAnsi="標楷體"/>
                <w:sz w:val="24"/>
                <w:szCs w:val="24"/>
              </w:rPr>
              <w:t>、最近二年未曾受主管機關撤銷部分營業許可之處分。</w:t>
            </w:r>
          </w:p>
          <w:p w14:paraId="0D40E3AC" w14:textId="77777777" w:rsidR="007950CF" w:rsidRPr="007950CF" w:rsidRDefault="007950CF" w:rsidP="0097132E">
            <w:pPr>
              <w:ind w:leftChars="100" w:left="680" w:hangingChars="200" w:hanging="480"/>
              <w:jc w:val="both"/>
              <w:rPr>
                <w:rFonts w:ascii="標楷體" w:eastAsia="標楷體" w:hAnsi="標楷體"/>
                <w:sz w:val="24"/>
                <w:szCs w:val="24"/>
              </w:rPr>
            </w:pPr>
            <w:r w:rsidRPr="007950CF">
              <w:rPr>
                <w:rFonts w:ascii="標楷體" w:eastAsia="標楷體" w:hAnsi="標楷體"/>
                <w:color w:val="FF0000"/>
                <w:sz w:val="24"/>
                <w:szCs w:val="24"/>
                <w:u w:val="single"/>
              </w:rPr>
              <w:t>七</w:t>
            </w:r>
            <w:r w:rsidRPr="007950CF">
              <w:rPr>
                <w:rFonts w:ascii="標楷體" w:eastAsia="標楷體" w:hAnsi="標楷體"/>
                <w:sz w:val="24"/>
                <w:szCs w:val="24"/>
              </w:rPr>
              <w:t>、最近一年未曾受本中心、臺灣證券交易所或臺灣期貨交易所依其章則處以停止或限制買賣之處置。</w:t>
            </w:r>
          </w:p>
          <w:p w14:paraId="245618EA" w14:textId="5D48A0E8" w:rsidR="007950CF" w:rsidRPr="007950CF" w:rsidRDefault="007950CF" w:rsidP="0097132E">
            <w:pPr>
              <w:ind w:leftChars="100" w:left="680" w:hangingChars="200" w:hanging="480"/>
              <w:jc w:val="both"/>
              <w:rPr>
                <w:rFonts w:ascii="標楷體" w:eastAsia="標楷體" w:hAnsi="標楷體" w:cs="細明體"/>
                <w:sz w:val="24"/>
                <w:szCs w:val="24"/>
              </w:rPr>
            </w:pPr>
            <w:r w:rsidRPr="007950CF">
              <w:rPr>
                <w:rFonts w:ascii="標楷體" w:eastAsia="標楷體" w:hAnsi="標楷體"/>
                <w:color w:val="FF0000"/>
                <w:sz w:val="24"/>
                <w:szCs w:val="24"/>
                <w:u w:val="single"/>
              </w:rPr>
              <w:t>八</w:t>
            </w:r>
            <w:r w:rsidRPr="007950CF">
              <w:rPr>
                <w:rFonts w:ascii="標楷體" w:eastAsia="標楷體" w:hAnsi="標楷體"/>
                <w:sz w:val="24"/>
                <w:szCs w:val="24"/>
              </w:rPr>
              <w:t>、其他經主管機關規定應具備之條件。</w:t>
            </w:r>
          </w:p>
        </w:tc>
        <w:tc>
          <w:tcPr>
            <w:tcW w:w="3211" w:type="dxa"/>
          </w:tcPr>
          <w:p w14:paraId="12A8C9CC" w14:textId="3F605876" w:rsidR="007950CF" w:rsidRPr="007950CF" w:rsidRDefault="007950CF" w:rsidP="008B5885">
            <w:pPr>
              <w:jc w:val="both"/>
              <w:rPr>
                <w:rFonts w:eastAsia="標楷體"/>
                <w:color w:val="000000"/>
                <w:sz w:val="24"/>
                <w:szCs w:val="24"/>
              </w:rPr>
            </w:pPr>
            <w:r w:rsidRPr="007950CF">
              <w:rPr>
                <w:rFonts w:eastAsia="標楷體" w:hint="eastAsia"/>
                <w:color w:val="000000"/>
                <w:sz w:val="24"/>
                <w:szCs w:val="24"/>
              </w:rPr>
              <w:lastRenderedPageBreak/>
              <w:t>為簡化作業流程，證券商得向本中心申請經營</w:t>
            </w:r>
            <w:r w:rsidRPr="007950CF">
              <w:rPr>
                <w:rFonts w:eastAsia="標楷體" w:hint="eastAsia"/>
                <w:color w:val="000000"/>
                <w:sz w:val="24"/>
                <w:szCs w:val="24"/>
              </w:rPr>
              <w:t>ETF</w:t>
            </w:r>
            <w:r w:rsidRPr="007950CF">
              <w:rPr>
                <w:rFonts w:eastAsia="標楷體" w:hint="eastAsia"/>
                <w:color w:val="000000"/>
                <w:sz w:val="24"/>
                <w:szCs w:val="24"/>
              </w:rPr>
              <w:t>受益憑證流動量提供者業務，於取得許可函時即具備流動量提供者及參與證券商資格，另流動量提供者資格許可函有效期限由逐案取得當次有效調整為</w:t>
            </w:r>
            <w:r w:rsidRPr="007950CF">
              <w:rPr>
                <w:rFonts w:eastAsia="標楷體" w:hint="eastAsia"/>
                <w:color w:val="000000"/>
                <w:sz w:val="24"/>
                <w:szCs w:val="24"/>
              </w:rPr>
              <w:t>1</w:t>
            </w:r>
            <w:r w:rsidRPr="007950CF">
              <w:rPr>
                <w:rFonts w:eastAsia="標楷體" w:hint="eastAsia"/>
                <w:color w:val="000000"/>
                <w:sz w:val="24"/>
                <w:szCs w:val="24"/>
              </w:rPr>
              <w:t>年內有效，</w:t>
            </w:r>
            <w:proofErr w:type="gramStart"/>
            <w:r w:rsidRPr="007950CF">
              <w:rPr>
                <w:rFonts w:eastAsia="標楷體" w:hint="eastAsia"/>
                <w:color w:val="000000"/>
                <w:sz w:val="24"/>
                <w:szCs w:val="24"/>
              </w:rPr>
              <w:t>爰</w:t>
            </w:r>
            <w:proofErr w:type="gramEnd"/>
            <w:r w:rsidRPr="007950CF">
              <w:rPr>
                <w:rFonts w:eastAsia="標楷體" w:hint="eastAsia"/>
                <w:color w:val="000000"/>
                <w:sz w:val="24"/>
                <w:szCs w:val="24"/>
              </w:rPr>
              <w:t>修正第</w:t>
            </w:r>
            <w:r w:rsidRPr="007950CF">
              <w:rPr>
                <w:rFonts w:eastAsia="標楷體" w:hint="eastAsia"/>
                <w:color w:val="000000"/>
                <w:sz w:val="24"/>
                <w:szCs w:val="24"/>
              </w:rPr>
              <w:t>1</w:t>
            </w:r>
            <w:r w:rsidRPr="007950CF">
              <w:rPr>
                <w:rFonts w:eastAsia="標楷體" w:hint="eastAsia"/>
                <w:color w:val="000000"/>
                <w:sz w:val="24"/>
                <w:szCs w:val="24"/>
              </w:rPr>
              <w:t>款並新增第</w:t>
            </w:r>
            <w:r w:rsidRPr="007950CF">
              <w:rPr>
                <w:rFonts w:eastAsia="標楷體" w:hint="eastAsia"/>
                <w:color w:val="000000"/>
                <w:sz w:val="24"/>
                <w:szCs w:val="24"/>
              </w:rPr>
              <w:t>2</w:t>
            </w:r>
            <w:r w:rsidR="00CC44E0">
              <w:rPr>
                <w:rFonts w:eastAsia="標楷體" w:hint="eastAsia"/>
                <w:color w:val="000000"/>
                <w:sz w:val="24"/>
                <w:szCs w:val="24"/>
              </w:rPr>
              <w:t>款</w:t>
            </w:r>
            <w:r w:rsidRPr="007950CF">
              <w:rPr>
                <w:rFonts w:eastAsia="標楷體" w:hint="eastAsia"/>
                <w:color w:val="000000"/>
                <w:sz w:val="24"/>
                <w:szCs w:val="24"/>
              </w:rPr>
              <w:t>之規定，</w:t>
            </w:r>
            <w:r w:rsidR="00267CA2">
              <w:rPr>
                <w:rFonts w:eastAsia="標楷體" w:hint="eastAsia"/>
                <w:color w:val="000000"/>
                <w:sz w:val="24"/>
                <w:szCs w:val="24"/>
              </w:rPr>
              <w:t>現行條文第</w:t>
            </w:r>
            <w:r w:rsidR="008B5885">
              <w:rPr>
                <w:rFonts w:eastAsia="標楷體"/>
                <w:color w:val="000000"/>
                <w:sz w:val="24"/>
                <w:szCs w:val="24"/>
              </w:rPr>
              <w:t>2</w:t>
            </w:r>
            <w:r w:rsidR="00267CA2">
              <w:rPr>
                <w:rFonts w:eastAsia="標楷體" w:hint="eastAsia"/>
                <w:color w:val="000000"/>
                <w:sz w:val="24"/>
                <w:szCs w:val="24"/>
              </w:rPr>
              <w:t>款至第</w:t>
            </w:r>
            <w:r w:rsidR="00267CA2">
              <w:rPr>
                <w:rFonts w:eastAsia="標楷體" w:hint="eastAsia"/>
                <w:color w:val="000000"/>
                <w:sz w:val="24"/>
                <w:szCs w:val="24"/>
              </w:rPr>
              <w:t>8</w:t>
            </w:r>
            <w:r w:rsidR="00267CA2">
              <w:rPr>
                <w:rFonts w:eastAsia="標楷體" w:hint="eastAsia"/>
                <w:color w:val="000000"/>
                <w:sz w:val="24"/>
                <w:szCs w:val="24"/>
              </w:rPr>
              <w:t>款則依序調整為修正條文第</w:t>
            </w:r>
            <w:r w:rsidR="008B5885">
              <w:rPr>
                <w:rFonts w:eastAsia="標楷體"/>
                <w:color w:val="000000"/>
                <w:sz w:val="24"/>
                <w:szCs w:val="24"/>
              </w:rPr>
              <w:t>3</w:t>
            </w:r>
            <w:bookmarkStart w:id="0" w:name="_GoBack"/>
            <w:bookmarkEnd w:id="0"/>
            <w:r w:rsidR="00267CA2">
              <w:rPr>
                <w:rFonts w:eastAsia="標楷體" w:hint="eastAsia"/>
                <w:color w:val="000000"/>
                <w:sz w:val="24"/>
                <w:szCs w:val="24"/>
              </w:rPr>
              <w:t>款至第</w:t>
            </w:r>
            <w:r w:rsidR="00267CA2">
              <w:rPr>
                <w:rFonts w:eastAsia="標楷體" w:hint="eastAsia"/>
                <w:color w:val="000000"/>
                <w:sz w:val="24"/>
                <w:szCs w:val="24"/>
              </w:rPr>
              <w:t>9</w:t>
            </w:r>
            <w:r w:rsidR="00267CA2">
              <w:rPr>
                <w:rFonts w:eastAsia="標楷體" w:hint="eastAsia"/>
                <w:color w:val="000000"/>
                <w:sz w:val="24"/>
                <w:szCs w:val="24"/>
              </w:rPr>
              <w:t>款</w:t>
            </w:r>
            <w:r w:rsidRPr="007950CF">
              <w:rPr>
                <w:rFonts w:eastAsia="標楷體" w:hint="eastAsia"/>
                <w:color w:val="000000"/>
                <w:sz w:val="24"/>
                <w:szCs w:val="24"/>
              </w:rPr>
              <w:t>。</w:t>
            </w:r>
          </w:p>
        </w:tc>
      </w:tr>
      <w:tr w:rsidR="007950CF" w:rsidRPr="007950CF" w14:paraId="21D65E24" w14:textId="77777777" w:rsidTr="006B3236">
        <w:trPr>
          <w:trHeight w:val="2239"/>
          <w:jc w:val="center"/>
        </w:trPr>
        <w:tc>
          <w:tcPr>
            <w:tcW w:w="3210" w:type="dxa"/>
          </w:tcPr>
          <w:p w14:paraId="425776EC" w14:textId="13DE6BAE" w:rsidR="007950CF" w:rsidRPr="007950CF" w:rsidRDefault="007950CF" w:rsidP="00933ECF">
            <w:pPr>
              <w:widowControl/>
              <w:ind w:left="494" w:hangingChars="206" w:hanging="494"/>
              <w:jc w:val="both"/>
              <w:rPr>
                <w:rFonts w:ascii="標楷體" w:eastAsia="標楷體" w:hAnsi="標楷體" w:cs="細明體"/>
                <w:sz w:val="24"/>
                <w:szCs w:val="24"/>
              </w:rPr>
            </w:pPr>
            <w:r w:rsidRPr="007950CF">
              <w:rPr>
                <w:rFonts w:ascii="標楷體" w:eastAsia="標楷體" w:hAnsi="標楷體" w:cs="細明體" w:hint="eastAsia"/>
                <w:sz w:val="24"/>
                <w:szCs w:val="24"/>
              </w:rPr>
              <w:t>陸、提供市場流動量契約對流動量提供者之責任義務至少應規範下列事項</w:t>
            </w:r>
            <w:r w:rsidRPr="007950CF">
              <w:rPr>
                <w:rFonts w:ascii="標楷體" w:eastAsia="標楷體" w:hAnsi="標楷體" w:hint="eastAsia"/>
                <w:sz w:val="24"/>
                <w:szCs w:val="24"/>
              </w:rPr>
              <w:t>（</w:t>
            </w:r>
            <w:r w:rsidRPr="007950CF">
              <w:rPr>
                <w:rFonts w:ascii="標楷體" w:eastAsia="標楷體" w:hAnsi="標楷體" w:cs="細明體" w:hint="eastAsia"/>
                <w:sz w:val="24"/>
                <w:szCs w:val="24"/>
              </w:rPr>
              <w:t>以下標準應含</w:t>
            </w:r>
            <w:r w:rsidRPr="007950CF">
              <w:rPr>
                <w:rFonts w:ascii="標楷體" w:eastAsia="標楷體" w:hAnsi="標楷體" w:cs="細明體" w:hint="eastAsia"/>
                <w:color w:val="FF0000"/>
                <w:sz w:val="24"/>
                <w:szCs w:val="24"/>
                <w:u w:val="single"/>
              </w:rPr>
              <w:t>自</w:t>
            </w:r>
            <w:r w:rsidRPr="007950CF">
              <w:rPr>
                <w:rFonts w:ascii="標楷體" w:eastAsia="標楷體" w:hAnsi="標楷體" w:cs="細明體" w:hint="eastAsia"/>
                <w:sz w:val="24"/>
                <w:szCs w:val="24"/>
              </w:rPr>
              <w:t>開市</w:t>
            </w:r>
            <w:r w:rsidRPr="007950CF">
              <w:rPr>
                <w:rFonts w:ascii="標楷體" w:eastAsia="標楷體" w:hAnsi="標楷體" w:cs="細明體" w:hint="eastAsia"/>
                <w:color w:val="FF0000"/>
                <w:sz w:val="24"/>
                <w:szCs w:val="24"/>
                <w:u w:val="single"/>
              </w:rPr>
              <w:t>後至</w:t>
            </w:r>
            <w:r w:rsidRPr="007950CF">
              <w:rPr>
                <w:rFonts w:ascii="標楷體" w:eastAsia="標楷體" w:hAnsi="標楷體" w:cs="細明體" w:hint="eastAsia"/>
                <w:sz w:val="24"/>
                <w:szCs w:val="24"/>
              </w:rPr>
              <w:t>收市前一段時間之試算撮合盤數、試算成交價及試算未成交之申報價格）：</w:t>
            </w:r>
          </w:p>
          <w:p w14:paraId="481E18C1" w14:textId="77777777" w:rsidR="007950CF" w:rsidRPr="007950CF" w:rsidRDefault="007950CF" w:rsidP="00933ECF">
            <w:pPr>
              <w:widowControl/>
              <w:tabs>
                <w:tab w:val="left" w:pos="723"/>
              </w:tabs>
              <w:spacing w:line="280" w:lineRule="atLeast"/>
              <w:ind w:leftChars="100" w:left="680" w:hangingChars="200" w:hanging="480"/>
              <w:jc w:val="both"/>
              <w:rPr>
                <w:rFonts w:ascii="標楷體" w:eastAsia="標楷體" w:hAnsi="標楷體" w:cs="細明體"/>
                <w:sz w:val="24"/>
                <w:szCs w:val="24"/>
              </w:rPr>
            </w:pPr>
          </w:p>
          <w:p w14:paraId="307A14FA" w14:textId="77777777" w:rsidR="007950CF" w:rsidRPr="007950CF" w:rsidRDefault="007950CF" w:rsidP="00933ECF">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一、該指數股票型基金受益憑證於本中心等價成交系統所揭示之最佳一檔買賣價差範圍，其計算公式如下：</w:t>
            </w:r>
          </w:p>
          <w:p w14:paraId="56837B1C" w14:textId="77777777" w:rsidR="007950CF" w:rsidRPr="007950CF" w:rsidRDefault="007950CF" w:rsidP="007950CF">
            <w:pPr>
              <w:widowControl/>
              <w:ind w:leftChars="336" w:left="672"/>
              <w:jc w:val="both"/>
              <w:rPr>
                <w:rFonts w:ascii="標楷體" w:eastAsia="標楷體" w:hAnsi="標楷體" w:cs="細明體"/>
                <w:sz w:val="24"/>
                <w:szCs w:val="24"/>
              </w:rPr>
            </w:pPr>
            <w:r w:rsidRPr="007950CF">
              <w:rPr>
                <w:rFonts w:ascii="標楷體" w:eastAsia="標楷體" w:hAnsi="標楷體" w:cs="細明體" w:hint="eastAsia"/>
                <w:sz w:val="24"/>
                <w:szCs w:val="24"/>
              </w:rPr>
              <w:t>最佳一檔買賣價差＝（未成交之最低賣出申</w:t>
            </w:r>
            <w:r w:rsidRPr="007950CF">
              <w:rPr>
                <w:rFonts w:ascii="標楷體" w:eastAsia="標楷體" w:hAnsi="標楷體" w:cs="細明體" w:hint="eastAsia"/>
                <w:sz w:val="24"/>
                <w:szCs w:val="24"/>
              </w:rPr>
              <w:lastRenderedPageBreak/>
              <w:t>報價格－未成交之最高買進申報價格）÷未成交之最低賣出申報價格。</w:t>
            </w:r>
          </w:p>
          <w:p w14:paraId="3B30FDDA" w14:textId="77777777" w:rsidR="007950CF" w:rsidRPr="007950CF" w:rsidRDefault="007950CF" w:rsidP="00933ECF">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二、流動量提供者對該指數股票型基金受益憑證之最少參與撮合次數。所稱參與撮合次數係指買進、賣出之申報，其價格均介於前一次未成交之最低賣出申報價格以上特定範圍及未成交之最高買進申報價格以下特定範圍或成交價上下特定範圍內，參與本中心等價成交系統撮合之次數，且針對參與上揭撮合次數計算之買進及賣出申報，應訂定最低數量標準。</w:t>
            </w:r>
          </w:p>
          <w:p w14:paraId="618755C1" w14:textId="77777777" w:rsidR="007950CF" w:rsidRPr="007950CF" w:rsidRDefault="007950CF" w:rsidP="00933ECF">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三、流動量提供者於遇該指數股票型基金受益憑證有本中心業務規則第三十五條第四項及第三十五條之十一之情事時，必須於延緩撮合期間申報買進及賣出委託之最低數量標準。</w:t>
            </w:r>
          </w:p>
          <w:p w14:paraId="259F20F0" w14:textId="1FF1CAD8" w:rsidR="007950CF" w:rsidRPr="007950CF" w:rsidRDefault="007950CF" w:rsidP="009177C4">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四、該指數股票型基金受益憑證價格除漲停或跌停者外，市場行情揭示僅有買進或賣出價格之持續時間限制，</w:t>
            </w:r>
            <w:proofErr w:type="gramStart"/>
            <w:r w:rsidRPr="007950CF">
              <w:rPr>
                <w:rFonts w:ascii="標楷體" w:eastAsia="標楷體" w:hAnsi="標楷體" w:cs="細明體" w:hint="eastAsia"/>
                <w:sz w:val="24"/>
                <w:szCs w:val="24"/>
              </w:rPr>
              <w:t>惟遇有</w:t>
            </w:r>
            <w:proofErr w:type="gramEnd"/>
            <w:r w:rsidRPr="007950CF">
              <w:rPr>
                <w:rFonts w:ascii="標楷體" w:eastAsia="標楷體" w:hAnsi="標楷體" w:cs="細明體" w:hint="eastAsia"/>
                <w:sz w:val="24"/>
                <w:szCs w:val="24"/>
              </w:rPr>
              <w:t>本中心業務規則第三十五條第四項及第三十五條之十一之情事，須延緩撮合時間時，得排除前項時間計算。</w:t>
            </w:r>
          </w:p>
        </w:tc>
        <w:tc>
          <w:tcPr>
            <w:tcW w:w="3210" w:type="dxa"/>
          </w:tcPr>
          <w:p w14:paraId="2CCB3EE0" w14:textId="5D2077BC" w:rsidR="007950CF" w:rsidRPr="007950CF" w:rsidRDefault="007950CF" w:rsidP="00933ECF">
            <w:pPr>
              <w:widowControl/>
              <w:ind w:left="494" w:hangingChars="206" w:hanging="494"/>
              <w:jc w:val="both"/>
              <w:rPr>
                <w:rFonts w:ascii="標楷體" w:eastAsia="標楷體" w:hAnsi="標楷體" w:cs="細明體"/>
                <w:sz w:val="24"/>
                <w:szCs w:val="24"/>
              </w:rPr>
            </w:pPr>
            <w:r w:rsidRPr="007950CF">
              <w:rPr>
                <w:rFonts w:ascii="標楷體" w:eastAsia="標楷體" w:hAnsi="標楷體" w:cs="細明體" w:hint="eastAsia"/>
                <w:sz w:val="24"/>
                <w:szCs w:val="24"/>
              </w:rPr>
              <w:lastRenderedPageBreak/>
              <w:t>陸、提供市場流動量契約對流動量提供者之責任義務至少應規</w:t>
            </w:r>
            <w:r w:rsidRPr="00B0119F">
              <w:rPr>
                <w:rFonts w:ascii="標楷體" w:eastAsia="標楷體" w:hAnsi="標楷體" w:cs="細明體" w:hint="eastAsia"/>
                <w:sz w:val="24"/>
                <w:szCs w:val="24"/>
              </w:rPr>
              <w:t>範下列事項</w:t>
            </w:r>
            <w:r w:rsidRPr="00B0119F">
              <w:rPr>
                <w:rFonts w:ascii="標楷體" w:eastAsia="標楷體" w:hAnsi="標楷體" w:hint="eastAsia"/>
                <w:sz w:val="24"/>
                <w:szCs w:val="24"/>
              </w:rPr>
              <w:t>（</w:t>
            </w:r>
            <w:r w:rsidRPr="00B0119F">
              <w:rPr>
                <w:rFonts w:ascii="標楷體" w:eastAsia="標楷體" w:hAnsi="標楷體" w:cs="細明體" w:hint="eastAsia"/>
                <w:sz w:val="24"/>
                <w:szCs w:val="24"/>
              </w:rPr>
              <w:t>以下標準</w:t>
            </w:r>
            <w:r w:rsidRPr="00B0119F">
              <w:rPr>
                <w:rFonts w:ascii="標楷體" w:eastAsia="標楷體" w:hAnsi="標楷體" w:cs="細明體" w:hint="eastAsia"/>
                <w:color w:val="FF0000"/>
                <w:sz w:val="24"/>
                <w:szCs w:val="24"/>
                <w:u w:val="single"/>
              </w:rPr>
              <w:t>均</w:t>
            </w:r>
            <w:r w:rsidRPr="00B0119F">
              <w:rPr>
                <w:rFonts w:ascii="標楷體" w:eastAsia="標楷體" w:hAnsi="標楷體" w:cs="細明體" w:hint="eastAsia"/>
                <w:sz w:val="24"/>
                <w:szCs w:val="24"/>
              </w:rPr>
              <w:t>應</w:t>
            </w:r>
            <w:r w:rsidRPr="007950CF">
              <w:rPr>
                <w:rFonts w:ascii="標楷體" w:eastAsia="標楷體" w:hAnsi="標楷體" w:cs="細明體" w:hint="eastAsia"/>
                <w:sz w:val="24"/>
                <w:szCs w:val="24"/>
              </w:rPr>
              <w:t>含開市</w:t>
            </w:r>
            <w:r w:rsidRPr="007950CF">
              <w:rPr>
                <w:rFonts w:ascii="標楷體" w:eastAsia="標楷體" w:hAnsi="標楷體" w:cs="細明體" w:hint="eastAsia"/>
                <w:color w:val="FF0000"/>
                <w:sz w:val="24"/>
                <w:szCs w:val="24"/>
                <w:u w:val="single"/>
              </w:rPr>
              <w:t>前三十分鐘及</w:t>
            </w:r>
            <w:r w:rsidRPr="007950CF">
              <w:rPr>
                <w:rFonts w:ascii="標楷體" w:eastAsia="標楷體" w:hAnsi="標楷體" w:cs="細明體" w:hint="eastAsia"/>
                <w:sz w:val="24"/>
                <w:szCs w:val="24"/>
              </w:rPr>
              <w:t>收市前一段時間之試算撮合盤數、試算成交價及試算未成交之申報價格）：</w:t>
            </w:r>
          </w:p>
          <w:p w14:paraId="56DD774B" w14:textId="599507C1" w:rsidR="007950CF" w:rsidRPr="007950CF" w:rsidRDefault="007950CF" w:rsidP="00933ECF">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一、該指數股票型基金受益憑證於本中心等價成交系統所揭示之最佳一檔買賣價差範圍，其計算公式如下：</w:t>
            </w:r>
          </w:p>
          <w:p w14:paraId="6A62D232" w14:textId="6A781C7B" w:rsidR="007950CF" w:rsidRPr="007950CF" w:rsidRDefault="007950CF" w:rsidP="007950CF">
            <w:pPr>
              <w:widowControl/>
              <w:ind w:leftChars="336" w:left="672"/>
              <w:jc w:val="both"/>
              <w:rPr>
                <w:rFonts w:ascii="標楷體" w:eastAsia="標楷體" w:hAnsi="標楷體" w:cs="細明體"/>
                <w:sz w:val="24"/>
                <w:szCs w:val="24"/>
              </w:rPr>
            </w:pPr>
            <w:r w:rsidRPr="007950CF">
              <w:rPr>
                <w:rFonts w:ascii="標楷體" w:eastAsia="標楷體" w:hAnsi="標楷體" w:cs="細明體" w:hint="eastAsia"/>
                <w:sz w:val="24"/>
                <w:szCs w:val="24"/>
              </w:rPr>
              <w:t>最佳一檔買賣價差＝（未成交之最低賣出申</w:t>
            </w:r>
            <w:r w:rsidRPr="007950CF">
              <w:rPr>
                <w:rFonts w:ascii="標楷體" w:eastAsia="標楷體" w:hAnsi="標楷體" w:cs="細明體" w:hint="eastAsia"/>
                <w:sz w:val="24"/>
                <w:szCs w:val="24"/>
              </w:rPr>
              <w:lastRenderedPageBreak/>
              <w:t>報價格－未成交之最高買進申報價格）÷未成交之最低賣出申報價格。</w:t>
            </w:r>
          </w:p>
          <w:p w14:paraId="683062F7" w14:textId="0F49368C" w:rsidR="007950CF" w:rsidRPr="007950CF" w:rsidRDefault="007950CF" w:rsidP="009177C4">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二、流動量提供者對該指數股票型基金受益憑證之最少參與撮合次數。所稱參與撮合次數係指買進、賣出之申報，其價格均介於前一次未成交之最低賣出申報價格以上特定範圍及未成交之最高買進申報價格以下特定範圍或成交價上下特定範圍內，參與本中心等價成交系統撮合之次數，且針對參與上揭撮合次數計算之買進及賣出申報，應訂定最低數量標準。</w:t>
            </w:r>
          </w:p>
          <w:p w14:paraId="2A097F70" w14:textId="7B41AC29" w:rsidR="007950CF" w:rsidRPr="007950CF" w:rsidRDefault="007950CF" w:rsidP="00933ECF">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三、流動量提供者於遇該指數股票型基金受益憑證有本中心業務規則第三十五條第四項及第三十五條之十一之情事時，必須於延緩撮合期間申報買進及賣出委託之最低數量標準。</w:t>
            </w:r>
          </w:p>
          <w:p w14:paraId="64BF5B5F" w14:textId="04D08755" w:rsidR="007950CF" w:rsidRPr="007950CF" w:rsidRDefault="007950CF" w:rsidP="00933ECF">
            <w:pPr>
              <w:widowControl/>
              <w:tabs>
                <w:tab w:val="left" w:pos="723"/>
              </w:tabs>
              <w:spacing w:line="280" w:lineRule="atLeast"/>
              <w:ind w:leftChars="100" w:left="6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t>四、該指數股票型基金受益憑證價格除漲停或跌停者外，市場行情揭示僅有買進或賣出價格之持續時間限制，</w:t>
            </w:r>
            <w:proofErr w:type="gramStart"/>
            <w:r w:rsidRPr="007950CF">
              <w:rPr>
                <w:rFonts w:ascii="標楷體" w:eastAsia="標楷體" w:hAnsi="標楷體" w:cs="細明體" w:hint="eastAsia"/>
                <w:sz w:val="24"/>
                <w:szCs w:val="24"/>
              </w:rPr>
              <w:t>惟遇有</w:t>
            </w:r>
            <w:proofErr w:type="gramEnd"/>
            <w:r w:rsidRPr="007950CF">
              <w:rPr>
                <w:rFonts w:ascii="標楷體" w:eastAsia="標楷體" w:hAnsi="標楷體" w:cs="細明體" w:hint="eastAsia"/>
                <w:sz w:val="24"/>
                <w:szCs w:val="24"/>
              </w:rPr>
              <w:t>本中心業務規則第三十五條第四項及第三十五條之十一之情事，須延緩撮合時間時，得排除前項時間計算。</w:t>
            </w:r>
          </w:p>
        </w:tc>
        <w:tc>
          <w:tcPr>
            <w:tcW w:w="3211" w:type="dxa"/>
          </w:tcPr>
          <w:p w14:paraId="4051EBF8" w14:textId="2C65A3D7" w:rsidR="007950CF" w:rsidRPr="007950CF" w:rsidRDefault="007950CF" w:rsidP="00D72DC3">
            <w:pPr>
              <w:tabs>
                <w:tab w:val="left" w:pos="497"/>
              </w:tabs>
              <w:jc w:val="both"/>
              <w:rPr>
                <w:rFonts w:eastAsia="標楷體"/>
                <w:color w:val="000000"/>
                <w:sz w:val="24"/>
                <w:szCs w:val="24"/>
              </w:rPr>
            </w:pPr>
            <w:r w:rsidRPr="007950CF">
              <w:rPr>
                <w:rFonts w:eastAsia="標楷體" w:hint="eastAsia"/>
                <w:color w:val="000000"/>
                <w:sz w:val="24"/>
                <w:szCs w:val="24"/>
              </w:rPr>
              <w:lastRenderedPageBreak/>
              <w:t>現行開市前</w:t>
            </w:r>
            <w:r w:rsidRPr="007950CF">
              <w:rPr>
                <w:rFonts w:eastAsia="標楷體" w:hint="eastAsia"/>
                <w:color w:val="000000"/>
                <w:sz w:val="24"/>
                <w:szCs w:val="24"/>
              </w:rPr>
              <w:t>30</w:t>
            </w:r>
            <w:r w:rsidRPr="007950CF">
              <w:rPr>
                <w:rFonts w:eastAsia="標楷體" w:hint="eastAsia"/>
                <w:color w:val="000000"/>
                <w:sz w:val="24"/>
                <w:szCs w:val="24"/>
              </w:rPr>
              <w:t>分鐘</w:t>
            </w:r>
            <w:r w:rsidRPr="007950CF">
              <w:rPr>
                <w:rFonts w:eastAsia="標楷體" w:hint="eastAsia"/>
                <w:color w:val="000000"/>
                <w:sz w:val="24"/>
                <w:szCs w:val="24"/>
              </w:rPr>
              <w:t>(</w:t>
            </w:r>
            <w:r w:rsidRPr="007950CF">
              <w:rPr>
                <w:rFonts w:eastAsia="標楷體" w:hint="eastAsia"/>
                <w:color w:val="000000"/>
                <w:sz w:val="24"/>
                <w:szCs w:val="24"/>
              </w:rPr>
              <w:t>上午</w:t>
            </w:r>
            <w:r w:rsidRPr="007950CF">
              <w:rPr>
                <w:rFonts w:eastAsia="標楷體" w:hint="eastAsia"/>
                <w:color w:val="000000"/>
                <w:sz w:val="24"/>
                <w:szCs w:val="24"/>
              </w:rPr>
              <w:t>8</w:t>
            </w:r>
            <w:r w:rsidRPr="007950CF">
              <w:rPr>
                <w:rFonts w:eastAsia="標楷體" w:hint="eastAsia"/>
                <w:color w:val="000000"/>
                <w:sz w:val="24"/>
                <w:szCs w:val="24"/>
              </w:rPr>
              <w:t>時</w:t>
            </w:r>
            <w:r w:rsidRPr="007950CF">
              <w:rPr>
                <w:rFonts w:eastAsia="標楷體" w:hint="eastAsia"/>
                <w:color w:val="000000"/>
                <w:sz w:val="24"/>
                <w:szCs w:val="24"/>
              </w:rPr>
              <w:t>30</w:t>
            </w:r>
            <w:r w:rsidRPr="007950CF">
              <w:rPr>
                <w:rFonts w:eastAsia="標楷體" w:hint="eastAsia"/>
                <w:color w:val="000000"/>
                <w:sz w:val="24"/>
                <w:szCs w:val="24"/>
              </w:rPr>
              <w:t>分至</w:t>
            </w:r>
            <w:r w:rsidRPr="007950CF">
              <w:rPr>
                <w:rFonts w:eastAsia="標楷體" w:hint="eastAsia"/>
                <w:color w:val="000000"/>
                <w:sz w:val="24"/>
                <w:szCs w:val="24"/>
              </w:rPr>
              <w:t>9</w:t>
            </w:r>
            <w:r w:rsidRPr="007950CF">
              <w:rPr>
                <w:rFonts w:eastAsia="標楷體" w:hint="eastAsia"/>
                <w:color w:val="000000"/>
                <w:sz w:val="24"/>
                <w:szCs w:val="24"/>
              </w:rPr>
              <w:t>時</w:t>
            </w:r>
            <w:r w:rsidRPr="007950CF">
              <w:rPr>
                <w:rFonts w:eastAsia="標楷體" w:hint="eastAsia"/>
                <w:color w:val="000000"/>
                <w:sz w:val="24"/>
                <w:szCs w:val="24"/>
              </w:rPr>
              <w:t>)</w:t>
            </w:r>
            <w:r w:rsidRPr="007950CF">
              <w:rPr>
                <w:rFonts w:eastAsia="標楷體" w:hint="eastAsia"/>
                <w:color w:val="000000"/>
                <w:sz w:val="24"/>
                <w:szCs w:val="24"/>
              </w:rPr>
              <w:t>揭示之模擬買賣價格資訊無實際成交，該段時間報價對</w:t>
            </w:r>
            <w:r w:rsidRPr="007950CF">
              <w:rPr>
                <w:rFonts w:eastAsia="標楷體" w:hint="eastAsia"/>
                <w:color w:val="000000"/>
                <w:sz w:val="24"/>
                <w:szCs w:val="24"/>
              </w:rPr>
              <w:t>ETF</w:t>
            </w:r>
            <w:r w:rsidRPr="007950CF">
              <w:rPr>
                <w:rFonts w:eastAsia="標楷體" w:hint="eastAsia"/>
                <w:color w:val="000000"/>
                <w:sz w:val="24"/>
                <w:szCs w:val="24"/>
              </w:rPr>
              <w:t>之流動性並無助益，</w:t>
            </w:r>
            <w:r w:rsidR="00C504FF" w:rsidRPr="00C504FF">
              <w:rPr>
                <w:rFonts w:eastAsia="標楷體" w:hint="eastAsia"/>
                <w:color w:val="000000"/>
                <w:sz w:val="24"/>
                <w:szCs w:val="24"/>
              </w:rPr>
              <w:t>參酌權證係在開盤後</w:t>
            </w:r>
            <w:r w:rsidR="00C504FF" w:rsidRPr="00C504FF">
              <w:rPr>
                <w:rFonts w:eastAsia="標楷體" w:hint="eastAsia"/>
                <w:color w:val="000000"/>
                <w:sz w:val="24"/>
                <w:szCs w:val="24"/>
              </w:rPr>
              <w:t>5</w:t>
            </w:r>
            <w:r w:rsidR="00C504FF" w:rsidRPr="00C504FF">
              <w:rPr>
                <w:rFonts w:eastAsia="標楷體" w:hint="eastAsia"/>
                <w:color w:val="000000"/>
                <w:sz w:val="24"/>
                <w:szCs w:val="24"/>
              </w:rPr>
              <w:t>分鐘始進行報價，且</w:t>
            </w:r>
            <w:r w:rsidRPr="007950CF">
              <w:rPr>
                <w:rFonts w:eastAsia="標楷體" w:hint="eastAsia"/>
                <w:color w:val="000000"/>
                <w:sz w:val="24"/>
                <w:szCs w:val="24"/>
              </w:rPr>
              <w:t>投資人於開盤前委託可參考基本市</w:t>
            </w:r>
            <w:proofErr w:type="gramStart"/>
            <w:r w:rsidRPr="007950CF">
              <w:rPr>
                <w:rFonts w:eastAsia="標楷體" w:hint="eastAsia"/>
                <w:color w:val="000000"/>
                <w:sz w:val="24"/>
                <w:szCs w:val="24"/>
              </w:rPr>
              <w:t>況</w:t>
            </w:r>
            <w:proofErr w:type="gramEnd"/>
            <w:r w:rsidRPr="007950CF">
              <w:rPr>
                <w:rFonts w:eastAsia="標楷體" w:hint="eastAsia"/>
                <w:color w:val="000000"/>
                <w:sz w:val="24"/>
                <w:szCs w:val="24"/>
              </w:rPr>
              <w:t>報導網站或發行人網站提供之</w:t>
            </w:r>
            <w:r w:rsidRPr="007950CF">
              <w:rPr>
                <w:rFonts w:eastAsia="標楷體" w:hint="eastAsia"/>
                <w:color w:val="000000"/>
                <w:sz w:val="24"/>
                <w:szCs w:val="24"/>
              </w:rPr>
              <w:t>ETF</w:t>
            </w:r>
            <w:r w:rsidRPr="007950CF">
              <w:rPr>
                <w:rFonts w:eastAsia="標楷體" w:hint="eastAsia"/>
                <w:color w:val="000000"/>
                <w:sz w:val="24"/>
                <w:szCs w:val="24"/>
              </w:rPr>
              <w:t>前一日淨值或即時預估淨值，</w:t>
            </w:r>
            <w:proofErr w:type="gramStart"/>
            <w:r w:rsidRPr="007950CF">
              <w:rPr>
                <w:rFonts w:eastAsia="標楷體" w:hint="eastAsia"/>
                <w:color w:val="000000"/>
                <w:sz w:val="24"/>
                <w:szCs w:val="24"/>
              </w:rPr>
              <w:t>爰</w:t>
            </w:r>
            <w:proofErr w:type="gramEnd"/>
            <w:r w:rsidRPr="007950CF">
              <w:rPr>
                <w:rFonts w:eastAsia="標楷體" w:hint="eastAsia"/>
                <w:color w:val="000000"/>
                <w:sz w:val="24"/>
                <w:szCs w:val="24"/>
              </w:rPr>
              <w:t>修正</w:t>
            </w:r>
            <w:r w:rsidR="00267CA2">
              <w:rPr>
                <w:rFonts w:eastAsia="標楷體" w:hint="eastAsia"/>
                <w:color w:val="000000"/>
                <w:sz w:val="24"/>
                <w:szCs w:val="24"/>
              </w:rPr>
              <w:t>序文</w:t>
            </w:r>
            <w:r w:rsidRPr="007950CF">
              <w:rPr>
                <w:rFonts w:eastAsia="標楷體" w:hint="eastAsia"/>
                <w:color w:val="000000"/>
                <w:sz w:val="24"/>
                <w:szCs w:val="24"/>
              </w:rPr>
              <w:t>之規定。</w:t>
            </w:r>
          </w:p>
        </w:tc>
      </w:tr>
      <w:tr w:rsidR="007950CF" w:rsidRPr="007950CF" w14:paraId="67B4078A" w14:textId="77777777" w:rsidTr="006B3236">
        <w:trPr>
          <w:trHeight w:val="1455"/>
          <w:jc w:val="center"/>
        </w:trPr>
        <w:tc>
          <w:tcPr>
            <w:tcW w:w="3210" w:type="dxa"/>
          </w:tcPr>
          <w:p w14:paraId="1B5FD9CC" w14:textId="77777777" w:rsidR="007950CF" w:rsidRPr="007950CF" w:rsidRDefault="007950CF" w:rsidP="00DF4D7F">
            <w:pPr>
              <w:widowControl/>
              <w:tabs>
                <w:tab w:val="left" w:pos="485"/>
              </w:tabs>
              <w:ind w:left="4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lastRenderedPageBreak/>
              <w:t>陸之一、指數股票型基金受益憑證如連續三個月有以下市場行情揭示情事，本中心將通知發行指數股票型基金受益憑證之投信事業</w:t>
            </w:r>
            <w:proofErr w:type="gramStart"/>
            <w:r w:rsidRPr="007950CF">
              <w:rPr>
                <w:rFonts w:ascii="標楷體" w:eastAsia="標楷體" w:hAnsi="標楷體" w:cs="細明體" w:hint="eastAsia"/>
                <w:sz w:val="24"/>
                <w:szCs w:val="24"/>
              </w:rPr>
              <w:t>或期信事業</w:t>
            </w:r>
            <w:proofErr w:type="gramEnd"/>
            <w:r w:rsidRPr="007950CF">
              <w:rPr>
                <w:rFonts w:ascii="標楷體" w:eastAsia="標楷體" w:hAnsi="標楷體" w:cs="細明體" w:hint="eastAsia"/>
                <w:sz w:val="24"/>
                <w:szCs w:val="24"/>
              </w:rPr>
              <w:t>於通知後次月起二個月內改善；未於期限內改善者，本中心將發函警告；自次月起二個月內仍未改善，視為違反指數股票型基金受益憑證櫃檯買賣契約，本中心對該投信事業</w:t>
            </w:r>
            <w:proofErr w:type="gramStart"/>
            <w:r w:rsidRPr="007950CF">
              <w:rPr>
                <w:rFonts w:ascii="標楷體" w:eastAsia="標楷體" w:hAnsi="標楷體" w:cs="細明體" w:hint="eastAsia"/>
                <w:sz w:val="24"/>
                <w:szCs w:val="24"/>
              </w:rPr>
              <w:t>或期信事業</w:t>
            </w:r>
            <w:proofErr w:type="gramEnd"/>
            <w:r w:rsidRPr="007950CF">
              <w:rPr>
                <w:rFonts w:ascii="標楷體" w:eastAsia="標楷體" w:hAnsi="標楷體" w:cs="細明體" w:hint="eastAsia"/>
                <w:sz w:val="24"/>
                <w:szCs w:val="24"/>
              </w:rPr>
              <w:t>課以新臺幣</w:t>
            </w:r>
            <w:proofErr w:type="gramStart"/>
            <w:r w:rsidRPr="007950CF">
              <w:rPr>
                <w:rFonts w:ascii="標楷體" w:eastAsia="標楷體" w:hAnsi="標楷體" w:cs="細明體" w:hint="eastAsia"/>
                <w:sz w:val="24"/>
                <w:szCs w:val="24"/>
              </w:rPr>
              <w:t>三</w:t>
            </w:r>
            <w:proofErr w:type="gramEnd"/>
            <w:r w:rsidRPr="007950CF">
              <w:rPr>
                <w:rFonts w:ascii="標楷體" w:eastAsia="標楷體" w:hAnsi="標楷體" w:cs="細明體" w:hint="eastAsia"/>
                <w:sz w:val="24"/>
                <w:szCs w:val="24"/>
              </w:rPr>
              <w:t>萬元之違約金，且每三</w:t>
            </w:r>
            <w:proofErr w:type="gramStart"/>
            <w:r w:rsidRPr="007950CF">
              <w:rPr>
                <w:rFonts w:ascii="標楷體" w:eastAsia="標楷體" w:hAnsi="標楷體" w:cs="細明體" w:hint="eastAsia"/>
                <w:sz w:val="24"/>
                <w:szCs w:val="24"/>
              </w:rPr>
              <w:t>個</w:t>
            </w:r>
            <w:proofErr w:type="gramEnd"/>
            <w:r w:rsidRPr="007950CF">
              <w:rPr>
                <w:rFonts w:ascii="標楷體" w:eastAsia="標楷體" w:hAnsi="標楷體" w:cs="細明體" w:hint="eastAsia"/>
                <w:sz w:val="24"/>
                <w:szCs w:val="24"/>
              </w:rPr>
              <w:t>月查處一次並得連續處分至改善為止。</w:t>
            </w:r>
          </w:p>
          <w:p w14:paraId="47333226" w14:textId="4B49060E" w:rsidR="007950CF" w:rsidRPr="007950CF" w:rsidRDefault="007950CF" w:rsidP="00DF4D7F">
            <w:pPr>
              <w:widowControl/>
              <w:spacing w:line="280" w:lineRule="atLeast"/>
              <w:ind w:leftChars="200" w:left="400" w:firstLineChars="200" w:firstLine="480"/>
              <w:jc w:val="both"/>
              <w:rPr>
                <w:rFonts w:ascii="標楷體" w:eastAsia="標楷體" w:hAnsi="標楷體" w:cs="細明體"/>
                <w:sz w:val="24"/>
                <w:szCs w:val="24"/>
              </w:rPr>
            </w:pPr>
            <w:r w:rsidRPr="007950CF">
              <w:rPr>
                <w:rFonts w:ascii="標楷體" w:eastAsia="標楷體" w:hAnsi="標楷體" w:cs="細明體" w:hint="eastAsia"/>
                <w:sz w:val="24"/>
                <w:szCs w:val="24"/>
              </w:rPr>
              <w:t>國內成分證券指數股票型證券投資信託基金受益憑證及槓桿反向指數股票型證券投資信託基金受益憑證之標的指數成分證券皆為國內股票者，其於開市</w:t>
            </w:r>
            <w:r w:rsidRPr="007950CF">
              <w:rPr>
                <w:rFonts w:ascii="標楷體" w:eastAsia="標楷體" w:hAnsi="標楷體" w:cs="細明體" w:hint="eastAsia"/>
                <w:color w:val="FF0000"/>
                <w:sz w:val="24"/>
                <w:szCs w:val="24"/>
                <w:u w:val="single"/>
              </w:rPr>
              <w:t>後</w:t>
            </w:r>
            <w:r w:rsidRPr="007950CF">
              <w:rPr>
                <w:rFonts w:ascii="標楷體" w:eastAsia="標楷體" w:hAnsi="標楷體" w:cs="細明體" w:hint="eastAsia"/>
                <w:sz w:val="24"/>
                <w:szCs w:val="24"/>
              </w:rPr>
              <w:t>至收市之市場行情揭示（含收市前一段時間試算買賣揭示價格），每月分別不得有下列情事超過二次：</w:t>
            </w:r>
          </w:p>
          <w:p w14:paraId="1217C57F"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一、</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揭示價格除漲停買進或跌停賣出者外，市場行情揭示僅有買進或賣出揭示價格且持續逾三分鐘。</w:t>
            </w:r>
          </w:p>
          <w:p w14:paraId="3500414D"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二、</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最佳一檔買賣價差大於百分之一且持續逾十分鐘。</w:t>
            </w:r>
          </w:p>
          <w:p w14:paraId="65D5E83C"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三、</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遇有本中心業務規則第三十五條第四項及第三十五條之十一情事，須</w:t>
            </w:r>
            <w:r w:rsidRPr="007950CF">
              <w:rPr>
                <w:rFonts w:ascii="標楷體" w:eastAsia="標楷體" w:hAnsi="標楷體" w:cs="細明體" w:hint="eastAsia"/>
                <w:sz w:val="24"/>
                <w:szCs w:val="24"/>
              </w:rPr>
              <w:lastRenderedPageBreak/>
              <w:t>延緩撮合時間時，得排除前述時間之計算。</w:t>
            </w:r>
          </w:p>
          <w:p w14:paraId="5A3B27A7" w14:textId="079189C2" w:rsidR="007950CF" w:rsidRPr="007950CF" w:rsidRDefault="007950CF" w:rsidP="00DF4D7F">
            <w:pPr>
              <w:widowControl/>
              <w:spacing w:line="280" w:lineRule="atLeast"/>
              <w:ind w:leftChars="200" w:left="400" w:firstLineChars="200" w:firstLine="480"/>
              <w:jc w:val="both"/>
              <w:rPr>
                <w:rFonts w:ascii="標楷體" w:eastAsia="標楷體" w:hAnsi="標楷體" w:cs="細明體"/>
                <w:sz w:val="24"/>
                <w:szCs w:val="24"/>
              </w:rPr>
            </w:pPr>
            <w:r w:rsidRPr="007950CF">
              <w:rPr>
                <w:rFonts w:ascii="標楷體" w:eastAsia="標楷體" w:hAnsi="標楷體" w:cs="細明體" w:hint="eastAsia"/>
                <w:sz w:val="24"/>
                <w:szCs w:val="24"/>
              </w:rPr>
              <w:t>國外成分證券指數股票型證券投資信託基金受益憑證、指數股票型期貨信託基金受益憑證、標的指數成分證券含一種以上國外有價證券之槓桿反向指數股票型證券投資信託基金受益憑證、國內債券成分指數股票型證券投資信託基金受益憑證及</w:t>
            </w:r>
            <w:r w:rsidRPr="007950CF">
              <w:rPr>
                <w:rFonts w:ascii="標楷體" w:eastAsia="標楷體" w:hAnsi="標楷體" w:cs="新細明體" w:hint="eastAsia"/>
                <w:sz w:val="24"/>
                <w:szCs w:val="24"/>
              </w:rPr>
              <w:t>國內債券成分之槓桿反向</w:t>
            </w:r>
            <w:r w:rsidRPr="007950CF">
              <w:rPr>
                <w:rFonts w:ascii="標楷體" w:eastAsia="標楷體" w:hAnsi="標楷體" w:cs="細明體" w:hint="eastAsia"/>
                <w:sz w:val="24"/>
                <w:szCs w:val="24"/>
              </w:rPr>
              <w:t>指數股票型證券投資信託基金受益憑證，其於開市</w:t>
            </w:r>
            <w:r w:rsidRPr="007950CF">
              <w:rPr>
                <w:rFonts w:ascii="標楷體" w:eastAsia="標楷體" w:hAnsi="標楷體" w:cs="細明體" w:hint="eastAsia"/>
                <w:color w:val="FF0000"/>
                <w:sz w:val="24"/>
                <w:szCs w:val="24"/>
                <w:u w:val="single"/>
              </w:rPr>
              <w:t>後</w:t>
            </w:r>
            <w:r w:rsidRPr="007950CF">
              <w:rPr>
                <w:rFonts w:ascii="標楷體" w:eastAsia="標楷體" w:hAnsi="標楷體" w:cs="細明體" w:hint="eastAsia"/>
                <w:sz w:val="24"/>
                <w:szCs w:val="24"/>
              </w:rPr>
              <w:t>至收市之市場行情揭示（含收市前一段時間試算買賣揭示價格）每月合計不得有下列情事超過六次：</w:t>
            </w:r>
          </w:p>
          <w:p w14:paraId="755E99A3" w14:textId="77777777" w:rsidR="007950CF" w:rsidRPr="007950CF" w:rsidRDefault="007950CF" w:rsidP="00DF4D7F">
            <w:pPr>
              <w:widowControl/>
              <w:tabs>
                <w:tab w:val="left" w:pos="723"/>
              </w:tabs>
              <w:spacing w:line="280" w:lineRule="atLeast"/>
              <w:ind w:leftChars="100" w:left="680" w:hangingChars="200" w:hanging="480"/>
              <w:jc w:val="both"/>
              <w:rPr>
                <w:rFonts w:ascii="標楷體" w:eastAsia="標楷體" w:hAnsi="標楷體" w:cs="細明體"/>
                <w:sz w:val="24"/>
                <w:szCs w:val="24"/>
              </w:rPr>
            </w:pPr>
          </w:p>
          <w:p w14:paraId="2A6D140D"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一、</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揭示價格除漲停買進或跌停賣出者外，市場行情揭示僅有買進或賣出揭示價格且持續逾十分鐘。</w:t>
            </w:r>
          </w:p>
          <w:p w14:paraId="35A6FD28"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二、</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最佳一檔買賣價差大於百分之三且持續逾十分鐘。</w:t>
            </w:r>
          </w:p>
          <w:p w14:paraId="624AB77A"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三、</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遇有本中心業務規則第三十五條第四項及第三十五條之十一情事，須延緩撮合時間，得排除前述次數之計算。</w:t>
            </w:r>
          </w:p>
          <w:p w14:paraId="676DBC41"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四、</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國外成分股及債券成分指數股票型證券投資信託基金之標的指數成分證券，其國外有價證券流通市場休市時，該國外成分股及債券成分指</w:t>
            </w:r>
            <w:r w:rsidRPr="007950CF">
              <w:rPr>
                <w:rFonts w:ascii="標楷體" w:eastAsia="標楷體" w:hAnsi="標楷體" w:cs="細明體" w:hint="eastAsia"/>
                <w:sz w:val="24"/>
                <w:szCs w:val="24"/>
              </w:rPr>
              <w:lastRenderedPageBreak/>
              <w:t>數股票型證券投資信託基金受益憑證當日市場行情揭示排除前述次數之計算。</w:t>
            </w:r>
          </w:p>
          <w:p w14:paraId="77DBE9E5"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五、</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指數股票型期貨信託基金之標的指數成分，其國外期貨契約交易市場休市時，當日市場行情揭示排除前述次數之計算。</w:t>
            </w:r>
          </w:p>
          <w:p w14:paraId="2C3F37A6" w14:textId="4AA8DFB1"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六、</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槓桿反向指數股票型證券投資信託基金之標的指數成分證券，其國外有價證券流通市場休市時，該槓桿反向指數股票型證券投資信託基金受益憑證當日市場行情揭示排除前述次數之計算。</w:t>
            </w:r>
          </w:p>
        </w:tc>
        <w:tc>
          <w:tcPr>
            <w:tcW w:w="3210" w:type="dxa"/>
          </w:tcPr>
          <w:p w14:paraId="06FFAC85" w14:textId="77777777" w:rsidR="007950CF" w:rsidRPr="007950CF" w:rsidRDefault="007950CF" w:rsidP="00DF4D7F">
            <w:pPr>
              <w:widowControl/>
              <w:tabs>
                <w:tab w:val="left" w:pos="485"/>
              </w:tabs>
              <w:ind w:left="480" w:hangingChars="200" w:hanging="480"/>
              <w:jc w:val="both"/>
              <w:rPr>
                <w:rFonts w:ascii="標楷體" w:eastAsia="標楷體" w:hAnsi="標楷體" w:cs="細明體"/>
                <w:sz w:val="24"/>
                <w:szCs w:val="24"/>
              </w:rPr>
            </w:pPr>
            <w:r w:rsidRPr="007950CF">
              <w:rPr>
                <w:rFonts w:ascii="標楷體" w:eastAsia="標楷體" w:hAnsi="標楷體" w:cs="細明體" w:hint="eastAsia"/>
                <w:sz w:val="24"/>
                <w:szCs w:val="24"/>
              </w:rPr>
              <w:lastRenderedPageBreak/>
              <w:t>陸之一、指數股票型基金受益憑證如連續三個月有以下市場行情揭示情事，本中心將通知發行指數股票型基金受益憑證之投信事業</w:t>
            </w:r>
            <w:proofErr w:type="gramStart"/>
            <w:r w:rsidRPr="007950CF">
              <w:rPr>
                <w:rFonts w:ascii="標楷體" w:eastAsia="標楷體" w:hAnsi="標楷體" w:cs="細明體" w:hint="eastAsia"/>
                <w:sz w:val="24"/>
                <w:szCs w:val="24"/>
              </w:rPr>
              <w:t>或期信事業</w:t>
            </w:r>
            <w:proofErr w:type="gramEnd"/>
            <w:r w:rsidRPr="007950CF">
              <w:rPr>
                <w:rFonts w:ascii="標楷體" w:eastAsia="標楷體" w:hAnsi="標楷體" w:cs="細明體" w:hint="eastAsia"/>
                <w:sz w:val="24"/>
                <w:szCs w:val="24"/>
              </w:rPr>
              <w:t>於通知後次月起二個月內改善；未於期限內改善者，本中心將發函警告；自次月起二個月內仍未改善，視為違反指數股票型基金受益憑證櫃檯買賣契約，本中心對該投信事業</w:t>
            </w:r>
            <w:proofErr w:type="gramStart"/>
            <w:r w:rsidRPr="007950CF">
              <w:rPr>
                <w:rFonts w:ascii="標楷體" w:eastAsia="標楷體" w:hAnsi="標楷體" w:cs="細明體" w:hint="eastAsia"/>
                <w:sz w:val="24"/>
                <w:szCs w:val="24"/>
              </w:rPr>
              <w:t>或期信事業</w:t>
            </w:r>
            <w:proofErr w:type="gramEnd"/>
            <w:r w:rsidRPr="007950CF">
              <w:rPr>
                <w:rFonts w:ascii="標楷體" w:eastAsia="標楷體" w:hAnsi="標楷體" w:cs="細明體" w:hint="eastAsia"/>
                <w:sz w:val="24"/>
                <w:szCs w:val="24"/>
              </w:rPr>
              <w:t>課以新臺幣</w:t>
            </w:r>
            <w:proofErr w:type="gramStart"/>
            <w:r w:rsidRPr="007950CF">
              <w:rPr>
                <w:rFonts w:ascii="標楷體" w:eastAsia="標楷體" w:hAnsi="標楷體" w:cs="細明體" w:hint="eastAsia"/>
                <w:sz w:val="24"/>
                <w:szCs w:val="24"/>
              </w:rPr>
              <w:t>三</w:t>
            </w:r>
            <w:proofErr w:type="gramEnd"/>
            <w:r w:rsidRPr="007950CF">
              <w:rPr>
                <w:rFonts w:ascii="標楷體" w:eastAsia="標楷體" w:hAnsi="標楷體" w:cs="細明體" w:hint="eastAsia"/>
                <w:sz w:val="24"/>
                <w:szCs w:val="24"/>
              </w:rPr>
              <w:t>萬元之違約金，且每三</w:t>
            </w:r>
            <w:proofErr w:type="gramStart"/>
            <w:r w:rsidRPr="007950CF">
              <w:rPr>
                <w:rFonts w:ascii="標楷體" w:eastAsia="標楷體" w:hAnsi="標楷體" w:cs="細明體" w:hint="eastAsia"/>
                <w:sz w:val="24"/>
                <w:szCs w:val="24"/>
              </w:rPr>
              <w:t>個</w:t>
            </w:r>
            <w:proofErr w:type="gramEnd"/>
            <w:r w:rsidRPr="007950CF">
              <w:rPr>
                <w:rFonts w:ascii="標楷體" w:eastAsia="標楷體" w:hAnsi="標楷體" w:cs="細明體" w:hint="eastAsia"/>
                <w:sz w:val="24"/>
                <w:szCs w:val="24"/>
              </w:rPr>
              <w:t>月查處一次並得連續處分至改善為止。</w:t>
            </w:r>
          </w:p>
          <w:p w14:paraId="198A249D" w14:textId="77777777" w:rsidR="007950CF" w:rsidRPr="007950CF" w:rsidRDefault="007950CF" w:rsidP="00DF4D7F">
            <w:pPr>
              <w:widowControl/>
              <w:spacing w:line="280" w:lineRule="atLeast"/>
              <w:ind w:leftChars="200" w:left="400" w:firstLineChars="200" w:firstLine="480"/>
              <w:jc w:val="both"/>
              <w:rPr>
                <w:rFonts w:ascii="標楷體" w:eastAsia="標楷體" w:hAnsi="標楷體" w:cs="細明體"/>
                <w:sz w:val="24"/>
                <w:szCs w:val="24"/>
              </w:rPr>
            </w:pPr>
            <w:r w:rsidRPr="007950CF">
              <w:rPr>
                <w:rFonts w:ascii="標楷體" w:eastAsia="標楷體" w:hAnsi="標楷體" w:cs="細明體" w:hint="eastAsia"/>
                <w:sz w:val="24"/>
                <w:szCs w:val="24"/>
              </w:rPr>
              <w:t>國內成分證券指數股票型證券投資信託基金受益憑證及槓桿反向指數股票型證券投資信託基金受益憑證之標的指數成分證券皆為國內股票者，其於開市</w:t>
            </w:r>
            <w:r w:rsidRPr="007950CF">
              <w:rPr>
                <w:rFonts w:ascii="標楷體" w:eastAsia="標楷體" w:hAnsi="標楷體" w:cs="細明體" w:hint="eastAsia"/>
                <w:color w:val="FF0000"/>
                <w:sz w:val="24"/>
                <w:szCs w:val="24"/>
                <w:u w:val="single"/>
              </w:rPr>
              <w:t>前三十分鐘</w:t>
            </w:r>
            <w:r w:rsidRPr="007950CF">
              <w:rPr>
                <w:rFonts w:ascii="標楷體" w:eastAsia="標楷體" w:hAnsi="標楷體" w:cs="細明體" w:hint="eastAsia"/>
                <w:sz w:val="24"/>
                <w:szCs w:val="24"/>
              </w:rPr>
              <w:t>至收市之市場行情揭示（含</w:t>
            </w:r>
            <w:r w:rsidRPr="00B0119F">
              <w:rPr>
                <w:rFonts w:ascii="標楷體" w:eastAsia="標楷體" w:hAnsi="標楷體" w:cs="細明體" w:hint="eastAsia"/>
                <w:color w:val="FF0000"/>
                <w:sz w:val="24"/>
                <w:szCs w:val="24"/>
                <w:u w:val="single"/>
              </w:rPr>
              <w:t>開市前及</w:t>
            </w:r>
            <w:r w:rsidRPr="00B0119F">
              <w:rPr>
                <w:rFonts w:ascii="標楷體" w:eastAsia="標楷體" w:hAnsi="標楷體" w:cs="細明體" w:hint="eastAsia"/>
                <w:sz w:val="24"/>
                <w:szCs w:val="24"/>
              </w:rPr>
              <w:t>收市前一段時間試算買賣揭示價格），每月</w:t>
            </w:r>
            <w:r w:rsidRPr="007950CF">
              <w:rPr>
                <w:rFonts w:ascii="標楷體" w:eastAsia="標楷體" w:hAnsi="標楷體" w:cs="細明體" w:hint="eastAsia"/>
                <w:sz w:val="24"/>
                <w:szCs w:val="24"/>
              </w:rPr>
              <w:t>分別不得有下列情事超過二次：</w:t>
            </w:r>
          </w:p>
          <w:p w14:paraId="63AB5AA6"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一、</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揭示價格除漲停買進或跌停賣出者外，市場行情揭示僅有買進或賣出揭示價格且持續逾三分鐘。</w:t>
            </w:r>
          </w:p>
          <w:p w14:paraId="3FC17450"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二、</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最佳一檔買賣價差大於百分之一且持續逾十分鐘。</w:t>
            </w:r>
          </w:p>
          <w:p w14:paraId="7B97EB03"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三、</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遇有本中心業務規則第三十五條第四項及第三十五條之十一情事，須</w:t>
            </w:r>
            <w:r w:rsidRPr="007950CF">
              <w:rPr>
                <w:rFonts w:ascii="標楷體" w:eastAsia="標楷體" w:hAnsi="標楷體" w:cs="細明體" w:hint="eastAsia"/>
                <w:sz w:val="24"/>
                <w:szCs w:val="24"/>
              </w:rPr>
              <w:lastRenderedPageBreak/>
              <w:t>延緩撮合時間時，得排除前述時間之計算。</w:t>
            </w:r>
          </w:p>
          <w:p w14:paraId="0E1FDD03" w14:textId="77777777" w:rsidR="007950CF" w:rsidRPr="007950CF" w:rsidRDefault="007950CF" w:rsidP="00DF4D7F">
            <w:pPr>
              <w:widowControl/>
              <w:spacing w:line="280" w:lineRule="atLeast"/>
              <w:ind w:leftChars="200" w:left="400" w:firstLineChars="200" w:firstLine="480"/>
              <w:jc w:val="both"/>
              <w:rPr>
                <w:rFonts w:ascii="標楷體" w:eastAsia="標楷體" w:hAnsi="標楷體" w:cs="細明體"/>
                <w:sz w:val="24"/>
                <w:szCs w:val="24"/>
              </w:rPr>
            </w:pPr>
            <w:r w:rsidRPr="007950CF">
              <w:rPr>
                <w:rFonts w:ascii="標楷體" w:eastAsia="標楷體" w:hAnsi="標楷體" w:cs="細明體" w:hint="eastAsia"/>
                <w:sz w:val="24"/>
                <w:szCs w:val="24"/>
              </w:rPr>
              <w:t>國外成分證券指數股票型證券投資信託基金受益憑證、指數股票型期貨信託基金受益憑證、標的指數成分證券含一種以上國外有價證券之槓桿反向指數股票型證券投資信託基金受益憑證、國內債券成分指數股票型證券投資信託基金受益憑證及</w:t>
            </w:r>
            <w:r w:rsidRPr="007950CF">
              <w:rPr>
                <w:rFonts w:ascii="標楷體" w:eastAsia="標楷體" w:hAnsi="標楷體" w:cs="新細明體" w:hint="eastAsia"/>
                <w:sz w:val="24"/>
                <w:szCs w:val="24"/>
              </w:rPr>
              <w:t>國內債券成分之槓桿反向</w:t>
            </w:r>
            <w:r w:rsidRPr="007950CF">
              <w:rPr>
                <w:rFonts w:ascii="標楷體" w:eastAsia="標楷體" w:hAnsi="標楷體" w:cs="細明體" w:hint="eastAsia"/>
                <w:sz w:val="24"/>
                <w:szCs w:val="24"/>
              </w:rPr>
              <w:t>指數股票型證券投資信託基金受益憑證，其於開市</w:t>
            </w:r>
            <w:r w:rsidRPr="007950CF">
              <w:rPr>
                <w:rFonts w:ascii="標楷體" w:eastAsia="標楷體" w:hAnsi="標楷體" w:cs="細明體" w:hint="eastAsia"/>
                <w:color w:val="FF0000"/>
                <w:sz w:val="24"/>
                <w:szCs w:val="24"/>
                <w:u w:val="single"/>
              </w:rPr>
              <w:t>前三十分鐘</w:t>
            </w:r>
            <w:r w:rsidRPr="007950CF">
              <w:rPr>
                <w:rFonts w:ascii="標楷體" w:eastAsia="標楷體" w:hAnsi="標楷體" w:cs="細明體" w:hint="eastAsia"/>
                <w:sz w:val="24"/>
                <w:szCs w:val="24"/>
              </w:rPr>
              <w:t>至收市之市場行情揭示（含</w:t>
            </w:r>
            <w:r w:rsidRPr="00B0119F">
              <w:rPr>
                <w:rFonts w:ascii="標楷體" w:eastAsia="標楷體" w:hAnsi="標楷體" w:cs="細明體" w:hint="eastAsia"/>
                <w:color w:val="FF0000"/>
                <w:sz w:val="24"/>
                <w:szCs w:val="24"/>
                <w:u w:val="single"/>
              </w:rPr>
              <w:t>開市前及</w:t>
            </w:r>
            <w:r w:rsidRPr="007950CF">
              <w:rPr>
                <w:rFonts w:ascii="標楷體" w:eastAsia="標楷體" w:hAnsi="標楷體" w:cs="細明體" w:hint="eastAsia"/>
                <w:sz w:val="24"/>
                <w:szCs w:val="24"/>
              </w:rPr>
              <w:t>收市前一段時間試算買賣揭示價格）每月合計不得有下列情事超過六次：</w:t>
            </w:r>
          </w:p>
          <w:p w14:paraId="776E6692"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一、</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揭示價格除漲停買進或跌停賣出者外，市場行情揭示僅有買進或賣出揭示價格且持續逾十分鐘。</w:t>
            </w:r>
          </w:p>
          <w:p w14:paraId="6161EEDD"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二、</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最佳一檔買賣價差大於百分之三且持續逾十分鐘。</w:t>
            </w:r>
          </w:p>
          <w:p w14:paraId="05158FFF"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三、</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遇有本中心業務規則第三十五條第四項及第三十五條之十一情事，須延緩撮合時間，得排除前述次數之計算。</w:t>
            </w:r>
          </w:p>
          <w:p w14:paraId="2741D8D8"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四、</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國外成分股及債券成分指數股票型證券投資信託基金之標的指數成分證券，其國外有價證券流通市場休市時，該國外成分股及債券成分指</w:t>
            </w:r>
            <w:r w:rsidRPr="007950CF">
              <w:rPr>
                <w:rFonts w:ascii="標楷體" w:eastAsia="標楷體" w:hAnsi="標楷體" w:cs="細明體" w:hint="eastAsia"/>
                <w:sz w:val="24"/>
                <w:szCs w:val="24"/>
              </w:rPr>
              <w:lastRenderedPageBreak/>
              <w:t>數股票型證券投資信託基金受益憑證當日市場行情揭示排除前述次數之計算。</w:t>
            </w:r>
          </w:p>
          <w:p w14:paraId="24289A95" w14:textId="77777777"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五、</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指數股票型期貨信託基金之標的指數成分，其國外期貨契約交易市場休市時，當日市場行情揭示排除前述次數之計算。</w:t>
            </w:r>
          </w:p>
          <w:p w14:paraId="035DC048" w14:textId="44BEFDE0" w:rsidR="007950CF" w:rsidRPr="007950CF" w:rsidRDefault="007950CF" w:rsidP="007950CF">
            <w:pPr>
              <w:widowControl/>
              <w:tabs>
                <w:tab w:val="left" w:pos="678"/>
              </w:tabs>
              <w:spacing w:line="280" w:lineRule="atLeast"/>
              <w:ind w:leftChars="100" w:left="692" w:hangingChars="205" w:hanging="492"/>
              <w:jc w:val="both"/>
              <w:rPr>
                <w:rFonts w:ascii="標楷體" w:eastAsia="標楷體" w:hAnsi="標楷體" w:cs="細明體"/>
                <w:sz w:val="24"/>
                <w:szCs w:val="24"/>
              </w:rPr>
            </w:pPr>
            <w:r w:rsidRPr="007950CF">
              <w:rPr>
                <w:rFonts w:ascii="標楷體" w:eastAsia="標楷體" w:hAnsi="標楷體" w:cs="細明體" w:hint="eastAsia"/>
                <w:sz w:val="24"/>
                <w:szCs w:val="24"/>
              </w:rPr>
              <w:t>六、</w:t>
            </w:r>
            <w:r w:rsidRPr="007950CF">
              <w:rPr>
                <w:rFonts w:ascii="標楷體" w:eastAsia="標楷體" w:hAnsi="標楷體" w:cs="細明體"/>
                <w:sz w:val="24"/>
                <w:szCs w:val="24"/>
              </w:rPr>
              <w:tab/>
            </w:r>
            <w:r w:rsidRPr="007950CF">
              <w:rPr>
                <w:rFonts w:ascii="標楷體" w:eastAsia="標楷體" w:hAnsi="標楷體" w:cs="細明體" w:hint="eastAsia"/>
                <w:sz w:val="24"/>
                <w:szCs w:val="24"/>
              </w:rPr>
              <w:t>槓桿反向指數股票型證券投資信託基金之標的指數成分證券，其國外有價證券流通市場休市時，該槓桿反向指數股票型證券投資信託基金受益憑證當日市場行情揭示排除前述次數之計算。</w:t>
            </w:r>
          </w:p>
        </w:tc>
        <w:tc>
          <w:tcPr>
            <w:tcW w:w="3211" w:type="dxa"/>
          </w:tcPr>
          <w:p w14:paraId="207FF3AD" w14:textId="07DCB56D" w:rsidR="007950CF" w:rsidRPr="007950CF" w:rsidRDefault="007950CF" w:rsidP="00CB467A">
            <w:pPr>
              <w:tabs>
                <w:tab w:val="left" w:pos="497"/>
              </w:tabs>
              <w:jc w:val="both"/>
              <w:rPr>
                <w:rFonts w:eastAsia="標楷體"/>
                <w:color w:val="000000"/>
                <w:sz w:val="24"/>
                <w:szCs w:val="24"/>
              </w:rPr>
            </w:pPr>
            <w:r w:rsidRPr="007950CF">
              <w:rPr>
                <w:rFonts w:eastAsia="標楷體" w:hint="eastAsia"/>
                <w:color w:val="000000"/>
                <w:sz w:val="24"/>
                <w:szCs w:val="24"/>
              </w:rPr>
              <w:lastRenderedPageBreak/>
              <w:t>現行開市前</w:t>
            </w:r>
            <w:r w:rsidRPr="007950CF">
              <w:rPr>
                <w:rFonts w:eastAsia="標楷體" w:hint="eastAsia"/>
                <w:color w:val="000000"/>
                <w:sz w:val="24"/>
                <w:szCs w:val="24"/>
              </w:rPr>
              <w:t>30</w:t>
            </w:r>
            <w:r w:rsidRPr="007950CF">
              <w:rPr>
                <w:rFonts w:eastAsia="標楷體" w:hint="eastAsia"/>
                <w:color w:val="000000"/>
                <w:sz w:val="24"/>
                <w:szCs w:val="24"/>
              </w:rPr>
              <w:t>分鐘</w:t>
            </w:r>
            <w:r w:rsidRPr="007950CF">
              <w:rPr>
                <w:rFonts w:eastAsia="標楷體" w:hint="eastAsia"/>
                <w:color w:val="000000"/>
                <w:sz w:val="24"/>
                <w:szCs w:val="24"/>
              </w:rPr>
              <w:t>(</w:t>
            </w:r>
            <w:r w:rsidRPr="007950CF">
              <w:rPr>
                <w:rFonts w:eastAsia="標楷體" w:hint="eastAsia"/>
                <w:color w:val="000000"/>
                <w:sz w:val="24"/>
                <w:szCs w:val="24"/>
              </w:rPr>
              <w:t>上午</w:t>
            </w:r>
            <w:r w:rsidRPr="007950CF">
              <w:rPr>
                <w:rFonts w:eastAsia="標楷體" w:hint="eastAsia"/>
                <w:color w:val="000000"/>
                <w:sz w:val="24"/>
                <w:szCs w:val="24"/>
              </w:rPr>
              <w:t>8</w:t>
            </w:r>
            <w:r w:rsidRPr="007950CF">
              <w:rPr>
                <w:rFonts w:eastAsia="標楷體" w:hint="eastAsia"/>
                <w:color w:val="000000"/>
                <w:sz w:val="24"/>
                <w:szCs w:val="24"/>
              </w:rPr>
              <w:t>時</w:t>
            </w:r>
            <w:r w:rsidRPr="007950CF">
              <w:rPr>
                <w:rFonts w:eastAsia="標楷體" w:hint="eastAsia"/>
                <w:color w:val="000000"/>
                <w:sz w:val="24"/>
                <w:szCs w:val="24"/>
              </w:rPr>
              <w:t>30</w:t>
            </w:r>
            <w:r w:rsidRPr="007950CF">
              <w:rPr>
                <w:rFonts w:eastAsia="標楷體" w:hint="eastAsia"/>
                <w:color w:val="000000"/>
                <w:sz w:val="24"/>
                <w:szCs w:val="24"/>
              </w:rPr>
              <w:t>分至</w:t>
            </w:r>
            <w:r w:rsidRPr="007950CF">
              <w:rPr>
                <w:rFonts w:eastAsia="標楷體" w:hint="eastAsia"/>
                <w:color w:val="000000"/>
                <w:sz w:val="24"/>
                <w:szCs w:val="24"/>
              </w:rPr>
              <w:t>9</w:t>
            </w:r>
            <w:r w:rsidRPr="007950CF">
              <w:rPr>
                <w:rFonts w:eastAsia="標楷體" w:hint="eastAsia"/>
                <w:color w:val="000000"/>
                <w:sz w:val="24"/>
                <w:szCs w:val="24"/>
              </w:rPr>
              <w:t>時</w:t>
            </w:r>
            <w:r w:rsidRPr="007950CF">
              <w:rPr>
                <w:rFonts w:eastAsia="標楷體" w:hint="eastAsia"/>
                <w:color w:val="000000"/>
                <w:sz w:val="24"/>
                <w:szCs w:val="24"/>
              </w:rPr>
              <w:t>)</w:t>
            </w:r>
            <w:r w:rsidRPr="007950CF">
              <w:rPr>
                <w:rFonts w:eastAsia="標楷體" w:hint="eastAsia"/>
                <w:color w:val="000000"/>
                <w:sz w:val="24"/>
                <w:szCs w:val="24"/>
              </w:rPr>
              <w:t>揭示之模擬買賣價格資訊無實際成交，該段時間報價對</w:t>
            </w:r>
            <w:r w:rsidRPr="007950CF">
              <w:rPr>
                <w:rFonts w:eastAsia="標楷體" w:hint="eastAsia"/>
                <w:color w:val="000000"/>
                <w:sz w:val="24"/>
                <w:szCs w:val="24"/>
              </w:rPr>
              <w:t>ETF</w:t>
            </w:r>
            <w:r w:rsidRPr="007950CF">
              <w:rPr>
                <w:rFonts w:eastAsia="標楷體" w:hint="eastAsia"/>
                <w:color w:val="000000"/>
                <w:sz w:val="24"/>
                <w:szCs w:val="24"/>
              </w:rPr>
              <w:t>之流動性並無助益，</w:t>
            </w:r>
            <w:r w:rsidR="00C504FF" w:rsidRPr="00C504FF">
              <w:rPr>
                <w:rFonts w:eastAsia="標楷體" w:hint="eastAsia"/>
                <w:color w:val="000000"/>
                <w:sz w:val="24"/>
                <w:szCs w:val="24"/>
              </w:rPr>
              <w:t>參酌權證係在開盤後</w:t>
            </w:r>
            <w:r w:rsidR="00C504FF" w:rsidRPr="00C504FF">
              <w:rPr>
                <w:rFonts w:eastAsia="標楷體" w:hint="eastAsia"/>
                <w:color w:val="000000"/>
                <w:sz w:val="24"/>
                <w:szCs w:val="24"/>
              </w:rPr>
              <w:t>5</w:t>
            </w:r>
            <w:r w:rsidR="00C504FF" w:rsidRPr="00C504FF">
              <w:rPr>
                <w:rFonts w:eastAsia="標楷體" w:hint="eastAsia"/>
                <w:color w:val="000000"/>
                <w:sz w:val="24"/>
                <w:szCs w:val="24"/>
              </w:rPr>
              <w:t>分鐘始進行報價，且</w:t>
            </w:r>
            <w:r w:rsidRPr="007950CF">
              <w:rPr>
                <w:rFonts w:eastAsia="標楷體" w:hint="eastAsia"/>
                <w:color w:val="000000"/>
                <w:sz w:val="24"/>
                <w:szCs w:val="24"/>
              </w:rPr>
              <w:t>投資人於開盤前委託可參考基本市</w:t>
            </w:r>
            <w:proofErr w:type="gramStart"/>
            <w:r w:rsidRPr="007950CF">
              <w:rPr>
                <w:rFonts w:eastAsia="標楷體" w:hint="eastAsia"/>
                <w:color w:val="000000"/>
                <w:sz w:val="24"/>
                <w:szCs w:val="24"/>
              </w:rPr>
              <w:t>況</w:t>
            </w:r>
            <w:proofErr w:type="gramEnd"/>
            <w:r w:rsidRPr="007950CF">
              <w:rPr>
                <w:rFonts w:eastAsia="標楷體" w:hint="eastAsia"/>
                <w:color w:val="000000"/>
                <w:sz w:val="24"/>
                <w:szCs w:val="24"/>
              </w:rPr>
              <w:t>報導網站或發行人網站提供之</w:t>
            </w:r>
            <w:r w:rsidRPr="007950CF">
              <w:rPr>
                <w:rFonts w:eastAsia="標楷體" w:hint="eastAsia"/>
                <w:color w:val="000000"/>
                <w:sz w:val="24"/>
                <w:szCs w:val="24"/>
              </w:rPr>
              <w:t>ETF</w:t>
            </w:r>
            <w:r w:rsidRPr="007950CF">
              <w:rPr>
                <w:rFonts w:eastAsia="標楷體" w:hint="eastAsia"/>
                <w:color w:val="000000"/>
                <w:sz w:val="24"/>
                <w:szCs w:val="24"/>
              </w:rPr>
              <w:t>前一日淨值或即時預估淨值，</w:t>
            </w:r>
            <w:proofErr w:type="gramStart"/>
            <w:r w:rsidRPr="007950CF">
              <w:rPr>
                <w:rFonts w:eastAsia="標楷體" w:hint="eastAsia"/>
                <w:color w:val="000000"/>
                <w:sz w:val="24"/>
                <w:szCs w:val="24"/>
              </w:rPr>
              <w:t>爰</w:t>
            </w:r>
            <w:proofErr w:type="gramEnd"/>
            <w:r w:rsidRPr="007950CF">
              <w:rPr>
                <w:rFonts w:eastAsia="標楷體" w:hint="eastAsia"/>
                <w:color w:val="000000"/>
                <w:sz w:val="24"/>
                <w:szCs w:val="24"/>
              </w:rPr>
              <w:t>修正第</w:t>
            </w:r>
            <w:r w:rsidRPr="007950CF">
              <w:rPr>
                <w:rFonts w:eastAsia="標楷體" w:hint="eastAsia"/>
                <w:color w:val="000000"/>
                <w:sz w:val="24"/>
                <w:szCs w:val="24"/>
              </w:rPr>
              <w:t>2</w:t>
            </w:r>
            <w:r w:rsidRPr="007950CF">
              <w:rPr>
                <w:rFonts w:eastAsia="標楷體" w:hint="eastAsia"/>
                <w:color w:val="000000"/>
                <w:sz w:val="24"/>
                <w:szCs w:val="24"/>
              </w:rPr>
              <w:t>項及第</w:t>
            </w:r>
            <w:r w:rsidRPr="007950CF">
              <w:rPr>
                <w:rFonts w:eastAsia="標楷體" w:hint="eastAsia"/>
                <w:color w:val="000000"/>
                <w:sz w:val="24"/>
                <w:szCs w:val="24"/>
              </w:rPr>
              <w:t>3</w:t>
            </w:r>
            <w:r w:rsidRPr="007950CF">
              <w:rPr>
                <w:rFonts w:eastAsia="標楷體" w:hint="eastAsia"/>
                <w:color w:val="000000"/>
                <w:sz w:val="24"/>
                <w:szCs w:val="24"/>
              </w:rPr>
              <w:t>項之規定。</w:t>
            </w:r>
          </w:p>
        </w:tc>
      </w:tr>
    </w:tbl>
    <w:p w14:paraId="077F62DE" w14:textId="77777777" w:rsidR="00C504FF" w:rsidRDefault="00C504FF">
      <w:pPr>
        <w:widowControl/>
        <w:rPr>
          <w:rFonts w:ascii="標楷體" w:eastAsia="標楷體" w:hAnsi="標楷體"/>
          <w:b/>
          <w:bCs/>
          <w:spacing w:val="2"/>
          <w:w w:val="59"/>
          <w:sz w:val="32"/>
          <w:szCs w:val="32"/>
        </w:rPr>
      </w:pPr>
      <w:r>
        <w:rPr>
          <w:rFonts w:ascii="標楷體" w:eastAsia="標楷體" w:hAnsi="標楷體"/>
          <w:spacing w:val="2"/>
          <w:w w:val="59"/>
        </w:rPr>
        <w:lastRenderedPageBreak/>
        <w:br w:type="page"/>
      </w:r>
    </w:p>
    <w:tbl>
      <w:tblPr>
        <w:tblStyle w:val="af6"/>
        <w:tblpPr w:leftFromText="180" w:rightFromText="180" w:horzAnchor="margin" w:tblpXSpec="center" w:tblpY="984"/>
        <w:tblW w:w="8647" w:type="dxa"/>
        <w:jc w:val="center"/>
        <w:tblLook w:val="04A0" w:firstRow="1" w:lastRow="0" w:firstColumn="1" w:lastColumn="0" w:noHBand="0" w:noVBand="1"/>
      </w:tblPr>
      <w:tblGrid>
        <w:gridCol w:w="6658"/>
        <w:gridCol w:w="1989"/>
      </w:tblGrid>
      <w:tr w:rsidR="00C504FF" w:rsidRPr="00F740C4" w14:paraId="61C861CA" w14:textId="77777777" w:rsidTr="00C504FF">
        <w:trPr>
          <w:trHeight w:val="557"/>
          <w:tblHeader/>
          <w:jc w:val="center"/>
        </w:trPr>
        <w:tc>
          <w:tcPr>
            <w:tcW w:w="6658" w:type="dxa"/>
            <w:vAlign w:val="center"/>
          </w:tcPr>
          <w:p w14:paraId="7FAE2DFA" w14:textId="77777777" w:rsidR="00C504FF" w:rsidRPr="00F740C4" w:rsidRDefault="00C504FF" w:rsidP="00C504FF">
            <w:pPr>
              <w:pStyle w:val="a8"/>
              <w:spacing w:line="0" w:lineRule="atLeast"/>
              <w:ind w:leftChars="0" w:left="0"/>
              <w:jc w:val="center"/>
              <w:outlineLvl w:val="0"/>
              <w:rPr>
                <w:rFonts w:ascii="Times New Roman" w:eastAsia="標楷體" w:hAnsi="Times New Roman"/>
                <w:b/>
                <w:sz w:val="28"/>
                <w:szCs w:val="28"/>
              </w:rPr>
            </w:pPr>
            <w:r>
              <w:rPr>
                <w:rFonts w:ascii="Times New Roman" w:eastAsia="標楷體" w:hAnsi="Times New Roman" w:hint="eastAsia"/>
                <w:b/>
                <w:sz w:val="28"/>
                <w:szCs w:val="28"/>
              </w:rPr>
              <w:lastRenderedPageBreak/>
              <w:t>受益憑證</w:t>
            </w:r>
            <w:r w:rsidRPr="00F740C4">
              <w:rPr>
                <w:rFonts w:ascii="Times New Roman" w:eastAsia="標楷體" w:hAnsi="Times New Roman"/>
                <w:b/>
                <w:sz w:val="28"/>
                <w:szCs w:val="28"/>
              </w:rPr>
              <w:t>流動量提供者資格條件</w:t>
            </w:r>
          </w:p>
        </w:tc>
        <w:tc>
          <w:tcPr>
            <w:tcW w:w="1989" w:type="dxa"/>
            <w:vAlign w:val="center"/>
          </w:tcPr>
          <w:p w14:paraId="5826C109" w14:textId="77777777" w:rsidR="00C504FF" w:rsidRPr="00F740C4" w:rsidRDefault="00C504FF" w:rsidP="00C504FF">
            <w:pPr>
              <w:pStyle w:val="a8"/>
              <w:spacing w:line="0" w:lineRule="atLeast"/>
              <w:ind w:leftChars="0" w:left="0"/>
              <w:jc w:val="center"/>
              <w:outlineLvl w:val="0"/>
              <w:rPr>
                <w:rFonts w:ascii="Times New Roman" w:eastAsia="標楷體" w:hAnsi="Times New Roman"/>
                <w:b/>
                <w:sz w:val="28"/>
                <w:szCs w:val="28"/>
              </w:rPr>
            </w:pPr>
            <w:proofErr w:type="gramStart"/>
            <w:r>
              <w:rPr>
                <w:rFonts w:ascii="Times New Roman" w:eastAsia="標楷體" w:hAnsi="Times New Roman" w:hint="eastAsia"/>
                <w:b/>
                <w:sz w:val="28"/>
                <w:szCs w:val="28"/>
              </w:rPr>
              <w:t>適</w:t>
            </w:r>
            <w:proofErr w:type="gramEnd"/>
            <w:r>
              <w:rPr>
                <w:rFonts w:ascii="Times New Roman" w:eastAsia="標楷體" w:hAnsi="Times New Roman" w:hint="eastAsia"/>
                <w:b/>
                <w:sz w:val="28"/>
                <w:szCs w:val="28"/>
              </w:rPr>
              <w:t>任性審核</w:t>
            </w:r>
          </w:p>
        </w:tc>
      </w:tr>
      <w:tr w:rsidR="00C504FF" w:rsidRPr="00F740C4" w14:paraId="1F1A9C01" w14:textId="77777777" w:rsidTr="00C504FF">
        <w:trPr>
          <w:tblHeader/>
          <w:jc w:val="center"/>
        </w:trPr>
        <w:tc>
          <w:tcPr>
            <w:tcW w:w="6658" w:type="dxa"/>
          </w:tcPr>
          <w:p w14:paraId="5F5C7552" w14:textId="420E4958" w:rsidR="00C504FF" w:rsidRPr="00F740C4" w:rsidRDefault="00C504FF"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1.</w:t>
            </w:r>
            <w:r>
              <w:rPr>
                <w:rFonts w:ascii="Times New Roman" w:eastAsia="標楷體" w:hAnsi="Times New Roman"/>
                <w:sz w:val="28"/>
                <w:szCs w:val="28"/>
              </w:rPr>
              <w:tab/>
            </w:r>
            <w:r w:rsidRPr="00F740C4">
              <w:rPr>
                <w:rFonts w:ascii="Times New Roman" w:eastAsia="標楷體" w:hAnsi="Times New Roman"/>
                <w:sz w:val="28"/>
                <w:szCs w:val="28"/>
              </w:rPr>
              <w:t>最近期經會計師查核簽證之財務報告每股淨值不低於票面金額，且財務狀況符合證券商管理規則之規定。</w:t>
            </w:r>
          </w:p>
        </w:tc>
        <w:tc>
          <w:tcPr>
            <w:tcW w:w="1989" w:type="dxa"/>
            <w:vAlign w:val="center"/>
          </w:tcPr>
          <w:p w14:paraId="790DBD0D"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C504FF" w:rsidRPr="00F740C4" w14:paraId="5F26BF6E" w14:textId="77777777" w:rsidTr="00C504FF">
        <w:trPr>
          <w:tblHeader/>
          <w:jc w:val="center"/>
        </w:trPr>
        <w:tc>
          <w:tcPr>
            <w:tcW w:w="6658" w:type="dxa"/>
          </w:tcPr>
          <w:p w14:paraId="5ADF84A4" w14:textId="6001032E" w:rsidR="00C504FF" w:rsidRPr="00F740C4" w:rsidRDefault="00C504FF"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2.</w:t>
            </w:r>
            <w:r>
              <w:rPr>
                <w:rFonts w:ascii="Times New Roman" w:eastAsia="標楷體" w:hAnsi="Times New Roman"/>
                <w:sz w:val="28"/>
                <w:szCs w:val="28"/>
              </w:rPr>
              <w:tab/>
            </w:r>
            <w:r w:rsidRPr="00F740C4">
              <w:rPr>
                <w:rFonts w:ascii="Times New Roman" w:eastAsia="標楷體" w:hAnsi="Times New Roman"/>
                <w:sz w:val="28"/>
                <w:szCs w:val="28"/>
              </w:rPr>
              <w:t>最近</w:t>
            </w:r>
            <w:r w:rsidRPr="00F740C4">
              <w:rPr>
                <w:rFonts w:ascii="Times New Roman" w:eastAsia="標楷體" w:hAnsi="Times New Roman"/>
                <w:sz w:val="28"/>
                <w:szCs w:val="28"/>
              </w:rPr>
              <w:t>3</w:t>
            </w:r>
            <w:r w:rsidRPr="00F740C4">
              <w:rPr>
                <w:rFonts w:ascii="Times New Roman" w:eastAsia="標楷體" w:hAnsi="Times New Roman"/>
                <w:sz w:val="28"/>
                <w:szCs w:val="28"/>
              </w:rPr>
              <w:t>個月未曾受主管機關依證</w:t>
            </w:r>
            <w:r w:rsidR="00267CA2">
              <w:rPr>
                <w:rFonts w:ascii="Times New Roman" w:eastAsia="標楷體" w:hAnsi="Times New Roman" w:hint="eastAsia"/>
                <w:sz w:val="28"/>
                <w:szCs w:val="28"/>
              </w:rPr>
              <w:t>券</w:t>
            </w:r>
            <w:r w:rsidRPr="00F740C4">
              <w:rPr>
                <w:rFonts w:ascii="Times New Roman" w:eastAsia="標楷體" w:hAnsi="Times New Roman"/>
                <w:sz w:val="28"/>
                <w:szCs w:val="28"/>
              </w:rPr>
              <w:t>交易法第</w:t>
            </w:r>
            <w:r w:rsidRPr="00F740C4">
              <w:rPr>
                <w:rFonts w:ascii="Times New Roman" w:eastAsia="標楷體" w:hAnsi="Times New Roman"/>
                <w:sz w:val="28"/>
                <w:szCs w:val="28"/>
              </w:rPr>
              <w:t>66</w:t>
            </w:r>
            <w:r w:rsidRPr="00F740C4">
              <w:rPr>
                <w:rFonts w:ascii="Times New Roman" w:eastAsia="標楷體" w:hAnsi="Times New Roman"/>
                <w:sz w:val="28"/>
                <w:szCs w:val="28"/>
              </w:rPr>
              <w:t>條第</w:t>
            </w:r>
            <w:r w:rsidR="00847753">
              <w:rPr>
                <w:rFonts w:ascii="Times New Roman" w:eastAsia="標楷體" w:hAnsi="Times New Roman" w:hint="eastAsia"/>
                <w:sz w:val="28"/>
                <w:szCs w:val="28"/>
              </w:rPr>
              <w:t>1</w:t>
            </w:r>
            <w:r w:rsidRPr="00F740C4">
              <w:rPr>
                <w:rFonts w:ascii="Times New Roman" w:eastAsia="標楷體" w:hAnsi="Times New Roman"/>
                <w:sz w:val="28"/>
                <w:szCs w:val="28"/>
              </w:rPr>
              <w:t>款</w:t>
            </w:r>
            <w:r w:rsidR="00847753" w:rsidRPr="00847753">
              <w:rPr>
                <w:rFonts w:ascii="Times New Roman" w:eastAsia="標楷體" w:hAnsi="Times New Roman" w:hint="eastAsia"/>
                <w:sz w:val="28"/>
                <w:szCs w:val="28"/>
              </w:rPr>
              <w:t>或期貨交易法第</w:t>
            </w:r>
            <w:r w:rsidR="00847753">
              <w:rPr>
                <w:rFonts w:ascii="Times New Roman" w:eastAsia="標楷體" w:hAnsi="Times New Roman" w:hint="eastAsia"/>
                <w:sz w:val="28"/>
                <w:szCs w:val="28"/>
              </w:rPr>
              <w:t>100</w:t>
            </w:r>
            <w:r w:rsidR="00847753" w:rsidRPr="00847753">
              <w:rPr>
                <w:rFonts w:ascii="Times New Roman" w:eastAsia="標楷體" w:hAnsi="Times New Roman" w:hint="eastAsia"/>
                <w:sz w:val="28"/>
                <w:szCs w:val="28"/>
              </w:rPr>
              <w:t>條第</w:t>
            </w:r>
            <w:r w:rsidR="00847753">
              <w:rPr>
                <w:rFonts w:ascii="Times New Roman" w:eastAsia="標楷體" w:hAnsi="Times New Roman" w:hint="eastAsia"/>
                <w:sz w:val="28"/>
                <w:szCs w:val="28"/>
              </w:rPr>
              <w:t>1</w:t>
            </w:r>
            <w:r w:rsidR="00847753" w:rsidRPr="00847753">
              <w:rPr>
                <w:rFonts w:ascii="Times New Roman" w:eastAsia="標楷體" w:hAnsi="Times New Roman" w:hint="eastAsia"/>
                <w:sz w:val="28"/>
                <w:szCs w:val="28"/>
              </w:rPr>
              <w:t>項第</w:t>
            </w:r>
            <w:r w:rsidR="00847753">
              <w:rPr>
                <w:rFonts w:ascii="Times New Roman" w:eastAsia="標楷體" w:hAnsi="Times New Roman" w:hint="eastAsia"/>
                <w:sz w:val="28"/>
                <w:szCs w:val="28"/>
              </w:rPr>
              <w:t>1</w:t>
            </w:r>
            <w:r w:rsidR="00847753" w:rsidRPr="00847753">
              <w:rPr>
                <w:rFonts w:ascii="Times New Roman" w:eastAsia="標楷體" w:hAnsi="Times New Roman" w:hint="eastAsia"/>
                <w:sz w:val="28"/>
                <w:szCs w:val="28"/>
              </w:rPr>
              <w:t>款</w:t>
            </w:r>
            <w:r w:rsidRPr="00F740C4">
              <w:rPr>
                <w:rFonts w:ascii="Times New Roman" w:eastAsia="標楷體" w:hAnsi="Times New Roman"/>
                <w:sz w:val="28"/>
                <w:szCs w:val="28"/>
              </w:rPr>
              <w:t>所為之警告處分。</w:t>
            </w:r>
          </w:p>
        </w:tc>
        <w:tc>
          <w:tcPr>
            <w:tcW w:w="1989" w:type="dxa"/>
            <w:vAlign w:val="center"/>
          </w:tcPr>
          <w:p w14:paraId="4BF05CD9"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C504FF" w:rsidRPr="00F740C4" w14:paraId="2D52929F" w14:textId="77777777" w:rsidTr="00C504FF">
        <w:trPr>
          <w:tblHeader/>
          <w:jc w:val="center"/>
        </w:trPr>
        <w:tc>
          <w:tcPr>
            <w:tcW w:w="6658" w:type="dxa"/>
          </w:tcPr>
          <w:p w14:paraId="6C8ACD8D" w14:textId="66827F27" w:rsidR="00C504FF" w:rsidRPr="00F740C4" w:rsidRDefault="00C504FF"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3.</w:t>
            </w:r>
            <w:r>
              <w:rPr>
                <w:rFonts w:ascii="Times New Roman" w:eastAsia="標楷體" w:hAnsi="Times New Roman"/>
                <w:sz w:val="28"/>
                <w:szCs w:val="28"/>
              </w:rPr>
              <w:tab/>
            </w:r>
            <w:r w:rsidR="00847753" w:rsidRPr="00847753">
              <w:rPr>
                <w:rFonts w:ascii="Times New Roman" w:eastAsia="標楷體" w:hAnsi="Times New Roman" w:hint="eastAsia"/>
                <w:sz w:val="28"/>
                <w:szCs w:val="28"/>
              </w:rPr>
              <w:t>最近</w:t>
            </w:r>
            <w:r w:rsidR="00847753">
              <w:rPr>
                <w:rFonts w:ascii="Times New Roman" w:eastAsia="標楷體" w:hAnsi="Times New Roman" w:hint="eastAsia"/>
                <w:sz w:val="28"/>
                <w:szCs w:val="28"/>
              </w:rPr>
              <w:t>6</w:t>
            </w:r>
            <w:r w:rsidR="00847753" w:rsidRPr="00847753">
              <w:rPr>
                <w:rFonts w:ascii="Times New Roman" w:eastAsia="標楷體" w:hAnsi="Times New Roman" w:hint="eastAsia"/>
                <w:sz w:val="28"/>
                <w:szCs w:val="28"/>
              </w:rPr>
              <w:t>個月未曾受主管機關依證券交易法第</w:t>
            </w:r>
            <w:r w:rsidR="00847753">
              <w:rPr>
                <w:rFonts w:ascii="Times New Roman" w:eastAsia="標楷體" w:hAnsi="Times New Roman" w:hint="eastAsia"/>
                <w:sz w:val="28"/>
                <w:szCs w:val="28"/>
              </w:rPr>
              <w:t>66</w:t>
            </w:r>
            <w:r w:rsidR="00847753" w:rsidRPr="00847753">
              <w:rPr>
                <w:rFonts w:ascii="Times New Roman" w:eastAsia="標楷體" w:hAnsi="Times New Roman" w:hint="eastAsia"/>
                <w:sz w:val="28"/>
                <w:szCs w:val="28"/>
              </w:rPr>
              <w:t>條第</w:t>
            </w:r>
            <w:r w:rsidR="00847753">
              <w:rPr>
                <w:rFonts w:ascii="Times New Roman" w:eastAsia="標楷體" w:hAnsi="Times New Roman" w:hint="eastAsia"/>
                <w:sz w:val="28"/>
                <w:szCs w:val="28"/>
              </w:rPr>
              <w:t>2</w:t>
            </w:r>
            <w:r w:rsidR="00847753" w:rsidRPr="00847753">
              <w:rPr>
                <w:rFonts w:ascii="Times New Roman" w:eastAsia="標楷體" w:hAnsi="Times New Roman" w:hint="eastAsia"/>
                <w:sz w:val="28"/>
                <w:szCs w:val="28"/>
              </w:rPr>
              <w:t>款或期貨交易法第</w:t>
            </w:r>
            <w:r w:rsidR="00847753">
              <w:rPr>
                <w:rFonts w:ascii="Times New Roman" w:eastAsia="標楷體" w:hAnsi="Times New Roman" w:hint="eastAsia"/>
                <w:sz w:val="28"/>
                <w:szCs w:val="28"/>
              </w:rPr>
              <w:t>100</w:t>
            </w:r>
            <w:r w:rsidR="00847753" w:rsidRPr="00847753">
              <w:rPr>
                <w:rFonts w:ascii="Times New Roman" w:eastAsia="標楷體" w:hAnsi="Times New Roman" w:hint="eastAsia"/>
                <w:sz w:val="28"/>
                <w:szCs w:val="28"/>
              </w:rPr>
              <w:t>條第</w:t>
            </w:r>
            <w:r w:rsidR="00847753">
              <w:rPr>
                <w:rFonts w:ascii="Times New Roman" w:eastAsia="標楷體" w:hAnsi="Times New Roman" w:hint="eastAsia"/>
                <w:sz w:val="28"/>
                <w:szCs w:val="28"/>
              </w:rPr>
              <w:t>1</w:t>
            </w:r>
            <w:r w:rsidR="00847753" w:rsidRPr="00847753">
              <w:rPr>
                <w:rFonts w:ascii="Times New Roman" w:eastAsia="標楷體" w:hAnsi="Times New Roman" w:hint="eastAsia"/>
                <w:sz w:val="28"/>
                <w:szCs w:val="28"/>
              </w:rPr>
              <w:t>項第</w:t>
            </w:r>
            <w:r w:rsidR="00847753">
              <w:rPr>
                <w:rFonts w:ascii="Times New Roman" w:eastAsia="標楷體" w:hAnsi="Times New Roman" w:hint="eastAsia"/>
                <w:sz w:val="28"/>
                <w:szCs w:val="28"/>
              </w:rPr>
              <w:t>2</w:t>
            </w:r>
            <w:r w:rsidR="00847753" w:rsidRPr="00847753">
              <w:rPr>
                <w:rFonts w:ascii="Times New Roman" w:eastAsia="標楷體" w:hAnsi="Times New Roman" w:hint="eastAsia"/>
                <w:sz w:val="28"/>
                <w:szCs w:val="28"/>
              </w:rPr>
              <w:t>款所為之處分</w:t>
            </w:r>
            <w:r w:rsidRPr="00F740C4">
              <w:rPr>
                <w:rFonts w:ascii="Times New Roman" w:eastAsia="標楷體" w:hAnsi="Times New Roman"/>
                <w:sz w:val="28"/>
                <w:szCs w:val="28"/>
              </w:rPr>
              <w:t>。</w:t>
            </w:r>
          </w:p>
        </w:tc>
        <w:tc>
          <w:tcPr>
            <w:tcW w:w="1989" w:type="dxa"/>
            <w:vAlign w:val="center"/>
          </w:tcPr>
          <w:p w14:paraId="23FC9E53"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C504FF" w:rsidRPr="00F740C4" w14:paraId="3BC84C14" w14:textId="77777777" w:rsidTr="00C504FF">
        <w:trPr>
          <w:tblHeader/>
          <w:jc w:val="center"/>
        </w:trPr>
        <w:tc>
          <w:tcPr>
            <w:tcW w:w="6658" w:type="dxa"/>
          </w:tcPr>
          <w:p w14:paraId="53CFA7A4" w14:textId="51739155" w:rsidR="00C504FF" w:rsidRPr="00F740C4" w:rsidRDefault="00C504FF"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4.</w:t>
            </w:r>
            <w:r>
              <w:rPr>
                <w:rFonts w:ascii="Times New Roman" w:eastAsia="標楷體" w:hAnsi="Times New Roman"/>
                <w:sz w:val="28"/>
                <w:szCs w:val="28"/>
              </w:rPr>
              <w:tab/>
            </w:r>
            <w:r w:rsidRPr="00F740C4">
              <w:rPr>
                <w:rFonts w:ascii="Times New Roman" w:eastAsia="標楷體" w:hAnsi="Times New Roman"/>
                <w:sz w:val="28"/>
                <w:szCs w:val="28"/>
              </w:rPr>
              <w:t>最近</w:t>
            </w:r>
            <w:r w:rsidRPr="00F740C4">
              <w:rPr>
                <w:rFonts w:ascii="Times New Roman" w:eastAsia="標楷體" w:hAnsi="Times New Roman"/>
                <w:sz w:val="28"/>
                <w:szCs w:val="28"/>
              </w:rPr>
              <w:t>1</w:t>
            </w:r>
            <w:r w:rsidRPr="00F740C4">
              <w:rPr>
                <w:rFonts w:ascii="Times New Roman" w:eastAsia="標楷體" w:hAnsi="Times New Roman"/>
                <w:sz w:val="28"/>
                <w:szCs w:val="28"/>
              </w:rPr>
              <w:t>年未曾受主管機關為停業之處分。</w:t>
            </w:r>
          </w:p>
        </w:tc>
        <w:tc>
          <w:tcPr>
            <w:tcW w:w="1989" w:type="dxa"/>
            <w:vAlign w:val="center"/>
          </w:tcPr>
          <w:p w14:paraId="605F1C29"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C504FF" w:rsidRPr="00F740C4" w14:paraId="27145B81" w14:textId="77777777" w:rsidTr="00C504FF">
        <w:trPr>
          <w:tblHeader/>
          <w:jc w:val="center"/>
        </w:trPr>
        <w:tc>
          <w:tcPr>
            <w:tcW w:w="6658" w:type="dxa"/>
          </w:tcPr>
          <w:p w14:paraId="0E1B666C" w14:textId="599B479D" w:rsidR="00C504FF" w:rsidRPr="00F740C4" w:rsidRDefault="00C504FF"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5.</w:t>
            </w:r>
            <w:r>
              <w:rPr>
                <w:rFonts w:ascii="Times New Roman" w:eastAsia="標楷體" w:hAnsi="Times New Roman"/>
                <w:sz w:val="28"/>
                <w:szCs w:val="28"/>
              </w:rPr>
              <w:tab/>
            </w:r>
            <w:r w:rsidRPr="00F740C4">
              <w:rPr>
                <w:rFonts w:ascii="Times New Roman" w:eastAsia="標楷體" w:hAnsi="Times New Roman"/>
                <w:sz w:val="28"/>
                <w:szCs w:val="28"/>
              </w:rPr>
              <w:t>最近</w:t>
            </w:r>
            <w:r w:rsidRPr="00F740C4">
              <w:rPr>
                <w:rFonts w:ascii="Times New Roman" w:eastAsia="標楷體" w:hAnsi="Times New Roman"/>
                <w:sz w:val="28"/>
                <w:szCs w:val="28"/>
              </w:rPr>
              <w:t>2</w:t>
            </w:r>
            <w:r w:rsidRPr="00F740C4">
              <w:rPr>
                <w:rFonts w:ascii="Times New Roman" w:eastAsia="標楷體" w:hAnsi="Times New Roman"/>
                <w:sz w:val="28"/>
                <w:szCs w:val="28"/>
              </w:rPr>
              <w:t>年未曾受主管機關撤銷部分營業許可之處分。</w:t>
            </w:r>
          </w:p>
        </w:tc>
        <w:tc>
          <w:tcPr>
            <w:tcW w:w="1989" w:type="dxa"/>
            <w:vAlign w:val="center"/>
          </w:tcPr>
          <w:p w14:paraId="4C34F7D4"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C504FF" w:rsidRPr="00F740C4" w14:paraId="1BD5F957" w14:textId="77777777" w:rsidTr="00C504FF">
        <w:trPr>
          <w:tblHeader/>
          <w:jc w:val="center"/>
        </w:trPr>
        <w:tc>
          <w:tcPr>
            <w:tcW w:w="6658" w:type="dxa"/>
          </w:tcPr>
          <w:p w14:paraId="53073562" w14:textId="360967EA" w:rsidR="00C504FF" w:rsidRPr="00F740C4" w:rsidRDefault="00C504FF" w:rsidP="00847753">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6.</w:t>
            </w:r>
            <w:r>
              <w:rPr>
                <w:rFonts w:ascii="Times New Roman" w:eastAsia="標楷體" w:hAnsi="Times New Roman"/>
                <w:sz w:val="28"/>
                <w:szCs w:val="28"/>
              </w:rPr>
              <w:tab/>
            </w:r>
            <w:r w:rsidRPr="00F740C4">
              <w:rPr>
                <w:rFonts w:ascii="Times New Roman" w:eastAsia="標楷體" w:hAnsi="Times New Roman"/>
                <w:sz w:val="28"/>
                <w:szCs w:val="28"/>
              </w:rPr>
              <w:t>最近</w:t>
            </w:r>
            <w:r w:rsidRPr="00F740C4">
              <w:rPr>
                <w:rFonts w:ascii="Times New Roman" w:eastAsia="標楷體" w:hAnsi="Times New Roman"/>
                <w:sz w:val="28"/>
                <w:szCs w:val="28"/>
              </w:rPr>
              <w:t>1</w:t>
            </w:r>
            <w:r w:rsidRPr="00F740C4">
              <w:rPr>
                <w:rFonts w:ascii="Times New Roman" w:eastAsia="標楷體" w:hAnsi="Times New Roman"/>
                <w:sz w:val="28"/>
                <w:szCs w:val="28"/>
              </w:rPr>
              <w:t>年未曾受</w:t>
            </w:r>
            <w:r w:rsidR="00847753" w:rsidRPr="00F740C4">
              <w:rPr>
                <w:rFonts w:ascii="Times New Roman" w:eastAsia="標楷體" w:hAnsi="Times New Roman"/>
                <w:sz w:val="28"/>
                <w:szCs w:val="28"/>
              </w:rPr>
              <w:t>證券櫃檯買賣中心、</w:t>
            </w:r>
            <w:r w:rsidR="00847753">
              <w:rPr>
                <w:rFonts w:ascii="Times New Roman" w:eastAsia="標楷體" w:hAnsi="Times New Roman" w:hint="eastAsia"/>
                <w:sz w:val="28"/>
                <w:szCs w:val="28"/>
              </w:rPr>
              <w:t>臺灣</w:t>
            </w:r>
            <w:r w:rsidRPr="00F740C4">
              <w:rPr>
                <w:rFonts w:ascii="Times New Roman" w:eastAsia="標楷體" w:hAnsi="Times New Roman"/>
                <w:sz w:val="28"/>
                <w:szCs w:val="28"/>
              </w:rPr>
              <w:t>證券交易所或臺灣期貨交易所</w:t>
            </w:r>
            <w:r w:rsidR="005D5A3B" w:rsidRPr="005D5A3B">
              <w:rPr>
                <w:rFonts w:ascii="Times New Roman" w:eastAsia="標楷體" w:hAnsi="Times New Roman" w:hint="eastAsia"/>
                <w:sz w:val="28"/>
                <w:szCs w:val="28"/>
              </w:rPr>
              <w:t>依其章則處以停止或限制買賣之處置</w:t>
            </w:r>
            <w:r w:rsidRPr="00F740C4">
              <w:rPr>
                <w:rFonts w:ascii="Times New Roman" w:eastAsia="標楷體" w:hAnsi="Times New Roman"/>
                <w:sz w:val="28"/>
                <w:szCs w:val="28"/>
              </w:rPr>
              <w:t>。</w:t>
            </w:r>
          </w:p>
        </w:tc>
        <w:tc>
          <w:tcPr>
            <w:tcW w:w="1989" w:type="dxa"/>
            <w:vAlign w:val="center"/>
          </w:tcPr>
          <w:p w14:paraId="5697E26B"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C504FF" w:rsidRPr="00F740C4" w14:paraId="4C614208" w14:textId="77777777" w:rsidTr="00C504FF">
        <w:trPr>
          <w:tblHeader/>
          <w:jc w:val="center"/>
        </w:trPr>
        <w:tc>
          <w:tcPr>
            <w:tcW w:w="6658" w:type="dxa"/>
            <w:vAlign w:val="center"/>
          </w:tcPr>
          <w:p w14:paraId="7ACB499B" w14:textId="565112A8" w:rsidR="00C504FF" w:rsidRPr="00F740C4" w:rsidRDefault="00C504FF"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7.</w:t>
            </w:r>
            <w:r>
              <w:rPr>
                <w:rFonts w:ascii="Times New Roman" w:eastAsia="標楷體" w:hAnsi="Times New Roman"/>
                <w:sz w:val="28"/>
                <w:szCs w:val="28"/>
              </w:rPr>
              <w:tab/>
            </w:r>
            <w:r w:rsidRPr="00F740C4">
              <w:rPr>
                <w:rFonts w:ascii="Times New Roman" w:eastAsia="標楷體" w:hAnsi="Times New Roman"/>
                <w:sz w:val="28"/>
                <w:szCs w:val="28"/>
              </w:rPr>
              <w:t>最近</w:t>
            </w:r>
            <w:r w:rsidRPr="00F740C4">
              <w:rPr>
                <w:rFonts w:ascii="Times New Roman" w:eastAsia="標楷體" w:hAnsi="Times New Roman"/>
                <w:sz w:val="28"/>
                <w:szCs w:val="28"/>
              </w:rPr>
              <w:t>6</w:t>
            </w:r>
            <w:r w:rsidRPr="00F740C4">
              <w:rPr>
                <w:rFonts w:ascii="Times New Roman" w:eastAsia="標楷體" w:hAnsi="Times New Roman"/>
                <w:sz w:val="28"/>
                <w:szCs w:val="28"/>
              </w:rPr>
              <w:t>個月自有資本適足</w:t>
            </w:r>
            <w:proofErr w:type="gramStart"/>
            <w:r w:rsidRPr="00F740C4">
              <w:rPr>
                <w:rFonts w:ascii="Times New Roman" w:eastAsia="標楷體" w:hAnsi="Times New Roman"/>
                <w:sz w:val="28"/>
                <w:szCs w:val="28"/>
              </w:rPr>
              <w:t>比率均達</w:t>
            </w:r>
            <w:proofErr w:type="gramEnd"/>
            <w:r w:rsidRPr="00F740C4">
              <w:rPr>
                <w:rFonts w:ascii="Times New Roman" w:eastAsia="標楷體" w:hAnsi="Times New Roman"/>
                <w:sz w:val="28"/>
                <w:szCs w:val="28"/>
              </w:rPr>
              <w:t>150%</w:t>
            </w:r>
            <w:r w:rsidRPr="00F740C4">
              <w:rPr>
                <w:rFonts w:ascii="Times New Roman" w:eastAsia="標楷體" w:hAnsi="Times New Roman"/>
                <w:sz w:val="28"/>
                <w:szCs w:val="28"/>
              </w:rPr>
              <w:t>以上。</w:t>
            </w:r>
          </w:p>
        </w:tc>
        <w:tc>
          <w:tcPr>
            <w:tcW w:w="1989" w:type="dxa"/>
            <w:vAlign w:val="center"/>
          </w:tcPr>
          <w:p w14:paraId="63D3B8B1"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C504FF" w:rsidRPr="00F740C4" w14:paraId="70F4CF11" w14:textId="77777777" w:rsidTr="00C504FF">
        <w:trPr>
          <w:tblHeader/>
          <w:jc w:val="center"/>
        </w:trPr>
        <w:tc>
          <w:tcPr>
            <w:tcW w:w="6658" w:type="dxa"/>
            <w:vAlign w:val="center"/>
          </w:tcPr>
          <w:p w14:paraId="4A2EFDAE" w14:textId="5DCF5CCD" w:rsidR="00C504FF" w:rsidRPr="00F740C4" w:rsidRDefault="00C504FF"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sidRPr="00F740C4">
              <w:rPr>
                <w:rFonts w:ascii="Times New Roman" w:eastAsia="標楷體" w:hAnsi="Times New Roman"/>
                <w:sz w:val="28"/>
                <w:szCs w:val="28"/>
              </w:rPr>
              <w:t>8.</w:t>
            </w:r>
            <w:r>
              <w:rPr>
                <w:rFonts w:ascii="Times New Roman" w:eastAsia="標楷體" w:hAnsi="Times New Roman"/>
                <w:sz w:val="28"/>
                <w:szCs w:val="28"/>
              </w:rPr>
              <w:tab/>
            </w:r>
            <w:r w:rsidRPr="00F740C4">
              <w:rPr>
                <w:rFonts w:ascii="Times New Roman" w:eastAsia="標楷體" w:hAnsi="Times New Roman"/>
                <w:sz w:val="28"/>
                <w:szCs w:val="28"/>
              </w:rPr>
              <w:t>信用評等機構評定之長期債務信用評等達一定等級以上：</w:t>
            </w:r>
            <w:r w:rsidR="005D5A3B" w:rsidRPr="005D5A3B">
              <w:rPr>
                <w:rFonts w:ascii="Times New Roman" w:eastAsia="標楷體" w:hAnsi="Times New Roman" w:hint="eastAsia"/>
                <w:sz w:val="28"/>
                <w:szCs w:val="28"/>
              </w:rPr>
              <w:t>中華信用評等股份有限公司評級為</w:t>
            </w:r>
            <w:proofErr w:type="spellStart"/>
            <w:r w:rsidR="005D5A3B" w:rsidRPr="005D5A3B">
              <w:rPr>
                <w:rFonts w:ascii="Times New Roman" w:eastAsia="標楷體" w:hAnsi="Times New Roman" w:hint="eastAsia"/>
                <w:sz w:val="28"/>
                <w:szCs w:val="28"/>
              </w:rPr>
              <w:t>twBB</w:t>
            </w:r>
            <w:proofErr w:type="spellEnd"/>
            <w:r w:rsidR="005D5A3B" w:rsidRPr="005D5A3B">
              <w:rPr>
                <w:rFonts w:ascii="Times New Roman" w:eastAsia="標楷體" w:hAnsi="Times New Roman" w:hint="eastAsia"/>
                <w:sz w:val="28"/>
                <w:szCs w:val="28"/>
              </w:rPr>
              <w:t>-</w:t>
            </w:r>
            <w:r w:rsidR="005D5A3B" w:rsidRPr="005D5A3B">
              <w:rPr>
                <w:rFonts w:ascii="Times New Roman" w:eastAsia="標楷體" w:hAnsi="Times New Roman" w:hint="eastAsia"/>
                <w:sz w:val="28"/>
                <w:szCs w:val="28"/>
              </w:rPr>
              <w:t>級以上，或</w:t>
            </w:r>
            <w:r w:rsidR="005D5A3B" w:rsidRPr="005D5A3B">
              <w:rPr>
                <w:rFonts w:ascii="Times New Roman" w:eastAsia="標楷體" w:hAnsi="Times New Roman" w:hint="eastAsia"/>
                <w:sz w:val="28"/>
                <w:szCs w:val="28"/>
              </w:rPr>
              <w:t xml:space="preserve">Moody's Investors Service, </w:t>
            </w:r>
            <w:proofErr w:type="spellStart"/>
            <w:r w:rsidR="005D5A3B" w:rsidRPr="005D5A3B">
              <w:rPr>
                <w:rFonts w:ascii="Times New Roman" w:eastAsia="標楷體" w:hAnsi="Times New Roman" w:hint="eastAsia"/>
                <w:sz w:val="28"/>
                <w:szCs w:val="28"/>
              </w:rPr>
              <w:t>Inc</w:t>
            </w:r>
            <w:proofErr w:type="spellEnd"/>
            <w:r w:rsidR="005D5A3B" w:rsidRPr="005D5A3B">
              <w:rPr>
                <w:rFonts w:ascii="Times New Roman" w:eastAsia="標楷體" w:hAnsi="Times New Roman" w:hint="eastAsia"/>
                <w:sz w:val="28"/>
                <w:szCs w:val="28"/>
              </w:rPr>
              <w:t>評級</w:t>
            </w:r>
            <w:r w:rsidR="005D5A3B" w:rsidRPr="005D5A3B">
              <w:rPr>
                <w:rFonts w:ascii="Times New Roman" w:eastAsia="標楷體" w:hAnsi="Times New Roman" w:hint="eastAsia"/>
                <w:sz w:val="28"/>
                <w:szCs w:val="28"/>
              </w:rPr>
              <w:t>Ba3</w:t>
            </w:r>
            <w:r w:rsidR="005D5A3B" w:rsidRPr="005D5A3B">
              <w:rPr>
                <w:rFonts w:ascii="Times New Roman" w:eastAsia="標楷體" w:hAnsi="Times New Roman" w:hint="eastAsia"/>
                <w:sz w:val="28"/>
                <w:szCs w:val="28"/>
              </w:rPr>
              <w:t>級以上，或</w:t>
            </w:r>
            <w:r w:rsidR="005D5A3B" w:rsidRPr="005D5A3B">
              <w:rPr>
                <w:rFonts w:ascii="Times New Roman" w:eastAsia="標楷體" w:hAnsi="Times New Roman" w:hint="eastAsia"/>
                <w:sz w:val="28"/>
                <w:szCs w:val="28"/>
              </w:rPr>
              <w:t>Standard &amp; Poor's Ratings Services</w:t>
            </w:r>
            <w:r w:rsidR="005D5A3B" w:rsidRPr="005D5A3B">
              <w:rPr>
                <w:rFonts w:ascii="Times New Roman" w:eastAsia="標楷體" w:hAnsi="Times New Roman" w:hint="eastAsia"/>
                <w:sz w:val="28"/>
                <w:szCs w:val="28"/>
              </w:rPr>
              <w:t>評級</w:t>
            </w:r>
            <w:r w:rsidR="005D5A3B" w:rsidRPr="005D5A3B">
              <w:rPr>
                <w:rFonts w:ascii="Times New Roman" w:eastAsia="標楷體" w:hAnsi="Times New Roman" w:hint="eastAsia"/>
                <w:sz w:val="28"/>
                <w:szCs w:val="28"/>
              </w:rPr>
              <w:t xml:space="preserve"> BB-</w:t>
            </w:r>
            <w:r w:rsidR="005D5A3B" w:rsidRPr="005D5A3B">
              <w:rPr>
                <w:rFonts w:ascii="Times New Roman" w:eastAsia="標楷體" w:hAnsi="Times New Roman" w:hint="eastAsia"/>
                <w:sz w:val="28"/>
                <w:szCs w:val="28"/>
              </w:rPr>
              <w:t>級以上，或</w:t>
            </w:r>
            <w:r w:rsidR="005D5A3B" w:rsidRPr="005D5A3B">
              <w:rPr>
                <w:rFonts w:ascii="Times New Roman" w:eastAsia="標楷體" w:hAnsi="Times New Roman" w:hint="eastAsia"/>
                <w:sz w:val="28"/>
                <w:szCs w:val="28"/>
              </w:rPr>
              <w:t xml:space="preserve"> Fitch Ratings Ltd.</w:t>
            </w:r>
            <w:r w:rsidR="005D5A3B" w:rsidRPr="005D5A3B">
              <w:rPr>
                <w:rFonts w:ascii="Times New Roman" w:eastAsia="標楷體" w:hAnsi="Times New Roman" w:hint="eastAsia"/>
                <w:sz w:val="28"/>
                <w:szCs w:val="28"/>
              </w:rPr>
              <w:t>評級</w:t>
            </w:r>
            <w:r w:rsidR="005D5A3B" w:rsidRPr="005D5A3B">
              <w:rPr>
                <w:rFonts w:ascii="Times New Roman" w:eastAsia="標楷體" w:hAnsi="Times New Roman" w:hint="eastAsia"/>
                <w:sz w:val="28"/>
                <w:szCs w:val="28"/>
              </w:rPr>
              <w:t xml:space="preserve"> BB-</w:t>
            </w:r>
            <w:r w:rsidR="005D5A3B" w:rsidRPr="005D5A3B">
              <w:rPr>
                <w:rFonts w:ascii="Times New Roman" w:eastAsia="標楷體" w:hAnsi="Times New Roman" w:hint="eastAsia"/>
                <w:sz w:val="28"/>
                <w:szCs w:val="28"/>
              </w:rPr>
              <w:t>級以上，或澳洲</w:t>
            </w:r>
            <w:proofErr w:type="gramStart"/>
            <w:r w:rsidR="005D5A3B" w:rsidRPr="005D5A3B">
              <w:rPr>
                <w:rFonts w:ascii="Times New Roman" w:eastAsia="標楷體" w:hAnsi="Times New Roman" w:hint="eastAsia"/>
                <w:sz w:val="28"/>
                <w:szCs w:val="28"/>
              </w:rPr>
              <w:t>商惠譽國際</w:t>
            </w:r>
            <w:proofErr w:type="gramEnd"/>
            <w:r w:rsidR="005D5A3B" w:rsidRPr="005D5A3B">
              <w:rPr>
                <w:rFonts w:ascii="Times New Roman" w:eastAsia="標楷體" w:hAnsi="Times New Roman" w:hint="eastAsia"/>
                <w:sz w:val="28"/>
                <w:szCs w:val="28"/>
              </w:rPr>
              <w:t>信用評等股份有限公司臺灣分公司評級</w:t>
            </w:r>
            <w:r w:rsidR="005D5A3B" w:rsidRPr="005D5A3B">
              <w:rPr>
                <w:rFonts w:ascii="Times New Roman" w:eastAsia="標楷體" w:hAnsi="Times New Roman" w:hint="eastAsia"/>
                <w:sz w:val="28"/>
                <w:szCs w:val="28"/>
              </w:rPr>
              <w:t>BB-(</w:t>
            </w:r>
            <w:proofErr w:type="spellStart"/>
            <w:r w:rsidR="005D5A3B" w:rsidRPr="005D5A3B">
              <w:rPr>
                <w:rFonts w:ascii="Times New Roman" w:eastAsia="標楷體" w:hAnsi="Times New Roman" w:hint="eastAsia"/>
                <w:sz w:val="28"/>
                <w:szCs w:val="28"/>
              </w:rPr>
              <w:t>twn</w:t>
            </w:r>
            <w:proofErr w:type="spellEnd"/>
            <w:r w:rsidR="005D5A3B" w:rsidRPr="005D5A3B">
              <w:rPr>
                <w:rFonts w:ascii="Times New Roman" w:eastAsia="標楷體" w:hAnsi="Times New Roman" w:hint="eastAsia"/>
                <w:sz w:val="28"/>
                <w:szCs w:val="28"/>
              </w:rPr>
              <w:t>)</w:t>
            </w:r>
            <w:r w:rsidR="005D5A3B" w:rsidRPr="005D5A3B">
              <w:rPr>
                <w:rFonts w:ascii="Times New Roman" w:eastAsia="標楷體" w:hAnsi="Times New Roman" w:hint="eastAsia"/>
                <w:sz w:val="28"/>
                <w:szCs w:val="28"/>
              </w:rPr>
              <w:t>級以上之信用評等</w:t>
            </w:r>
            <w:r w:rsidRPr="00F740C4">
              <w:rPr>
                <w:rFonts w:ascii="Times New Roman" w:eastAsia="標楷體" w:hAnsi="Times New Roman"/>
                <w:sz w:val="28"/>
                <w:szCs w:val="28"/>
              </w:rPr>
              <w:t>。</w:t>
            </w:r>
          </w:p>
        </w:tc>
        <w:tc>
          <w:tcPr>
            <w:tcW w:w="1989" w:type="dxa"/>
            <w:vAlign w:val="center"/>
          </w:tcPr>
          <w:p w14:paraId="07C6CEB6" w14:textId="77777777" w:rsidR="00C504FF" w:rsidRPr="00F740C4" w:rsidRDefault="00C504FF" w:rsidP="00C504FF">
            <w:pPr>
              <w:pStyle w:val="a8"/>
              <w:spacing w:line="0" w:lineRule="atLeast"/>
              <w:ind w:leftChars="0" w:left="0"/>
              <w:jc w:val="center"/>
              <w:outlineLvl w:val="0"/>
              <w:rPr>
                <w:rFonts w:ascii="Times New Roman" w:eastAsia="標楷體" w:hAnsi="Times New Roman"/>
                <w:sz w:val="28"/>
                <w:szCs w:val="28"/>
              </w:rPr>
            </w:pPr>
          </w:p>
        </w:tc>
      </w:tr>
      <w:tr w:rsidR="005D5A3B" w:rsidRPr="00F740C4" w14:paraId="28F08988" w14:textId="77777777" w:rsidTr="00C504FF">
        <w:trPr>
          <w:tblHeader/>
          <w:jc w:val="center"/>
        </w:trPr>
        <w:tc>
          <w:tcPr>
            <w:tcW w:w="6658" w:type="dxa"/>
            <w:vAlign w:val="center"/>
          </w:tcPr>
          <w:p w14:paraId="32DF7F75" w14:textId="7D6659D7" w:rsidR="005D5A3B" w:rsidRPr="00F740C4" w:rsidRDefault="005D5A3B" w:rsidP="00C504FF">
            <w:pPr>
              <w:pStyle w:val="a8"/>
              <w:tabs>
                <w:tab w:val="left" w:pos="251"/>
              </w:tabs>
              <w:spacing w:line="0" w:lineRule="atLeast"/>
              <w:ind w:leftChars="-5" w:left="256" w:hangingChars="95" w:hanging="266"/>
              <w:jc w:val="both"/>
              <w:outlineLvl w:val="0"/>
              <w:rPr>
                <w:rFonts w:ascii="Times New Roman" w:eastAsia="標楷體" w:hAnsi="Times New Roman"/>
                <w:sz w:val="28"/>
                <w:szCs w:val="28"/>
              </w:rPr>
            </w:pPr>
            <w:r>
              <w:rPr>
                <w:rFonts w:ascii="Times New Roman" w:eastAsia="標楷體" w:hAnsi="Times New Roman" w:hint="eastAsia"/>
                <w:sz w:val="28"/>
                <w:szCs w:val="28"/>
              </w:rPr>
              <w:t>9.</w:t>
            </w:r>
            <w:r w:rsidR="00C9084E">
              <w:rPr>
                <w:rFonts w:ascii="Times New Roman" w:eastAsia="標楷體" w:hAnsi="Times New Roman" w:hint="eastAsia"/>
                <w:sz w:val="28"/>
                <w:szCs w:val="28"/>
              </w:rPr>
              <w:t>其他經主管機關規定應具備之條件。</w:t>
            </w:r>
          </w:p>
        </w:tc>
        <w:tc>
          <w:tcPr>
            <w:tcW w:w="1989" w:type="dxa"/>
            <w:vAlign w:val="center"/>
          </w:tcPr>
          <w:p w14:paraId="43297815" w14:textId="77777777" w:rsidR="005D5A3B" w:rsidRPr="00F740C4" w:rsidRDefault="005D5A3B" w:rsidP="00C504FF">
            <w:pPr>
              <w:pStyle w:val="a8"/>
              <w:spacing w:line="0" w:lineRule="atLeast"/>
              <w:ind w:leftChars="0" w:left="0"/>
              <w:jc w:val="center"/>
              <w:outlineLvl w:val="0"/>
              <w:rPr>
                <w:rFonts w:ascii="Times New Roman" w:eastAsia="標楷體" w:hAnsi="Times New Roman"/>
                <w:sz w:val="28"/>
                <w:szCs w:val="28"/>
              </w:rPr>
            </w:pPr>
          </w:p>
        </w:tc>
      </w:tr>
    </w:tbl>
    <w:p w14:paraId="7AB8ACCB" w14:textId="35CCF1B5" w:rsidR="00C504FF" w:rsidRDefault="00506650" w:rsidP="00C504FF">
      <w:pPr>
        <w:pStyle w:val="af4"/>
        <w:snapToGrid w:val="0"/>
        <w:spacing w:before="0" w:afterLines="50" w:after="180" w:line="400" w:lineRule="exact"/>
        <w:ind w:left="1"/>
        <w:rPr>
          <w:rFonts w:ascii="標楷體" w:eastAsia="標楷體" w:hAnsi="標楷體"/>
          <w:b w:val="0"/>
        </w:rPr>
      </w:pPr>
      <w:r>
        <w:rPr>
          <w:rFonts w:ascii="標楷體" w:eastAsia="標楷體" w:hAnsi="標楷體" w:hint="eastAsia"/>
        </w:rPr>
        <w:t>上櫃指數股票型基金</w:t>
      </w:r>
      <w:r w:rsidR="00C504FF" w:rsidRPr="00131ABE">
        <w:rPr>
          <w:rFonts w:ascii="標楷體" w:eastAsia="標楷體" w:hAnsi="標楷體" w:hint="eastAsia"/>
        </w:rPr>
        <w:t>受益憑證</w:t>
      </w:r>
      <w:r w:rsidR="00C504FF">
        <w:rPr>
          <w:rFonts w:ascii="標楷體" w:eastAsia="標楷體" w:hAnsi="標楷體" w:hint="eastAsia"/>
        </w:rPr>
        <w:t>流動量提供者適任</w:t>
      </w:r>
      <w:r w:rsidR="00C504FF" w:rsidRPr="00131ABE">
        <w:rPr>
          <w:rFonts w:ascii="標楷體" w:eastAsia="標楷體" w:hAnsi="標楷體" w:hint="eastAsia"/>
        </w:rPr>
        <w:t>性</w:t>
      </w:r>
      <w:r w:rsidR="00C504FF">
        <w:rPr>
          <w:rFonts w:ascii="標楷體" w:eastAsia="標楷體" w:hAnsi="標楷體" w:hint="eastAsia"/>
        </w:rPr>
        <w:t>檢查</w:t>
      </w:r>
      <w:r w:rsidR="00C504FF" w:rsidRPr="00131ABE">
        <w:rPr>
          <w:rFonts w:ascii="標楷體" w:eastAsia="標楷體" w:hAnsi="標楷體" w:hint="eastAsia"/>
        </w:rPr>
        <w:t>表</w:t>
      </w:r>
    </w:p>
    <w:p w14:paraId="7058B818" w14:textId="77777777" w:rsidR="00C504FF" w:rsidRDefault="00C504FF" w:rsidP="00C504FF">
      <w:pPr>
        <w:jc w:val="center"/>
        <w:rPr>
          <w:rFonts w:ascii="標楷體" w:eastAsia="標楷體" w:hAnsi="標楷體"/>
          <w:b/>
          <w:sz w:val="32"/>
        </w:rPr>
      </w:pPr>
    </w:p>
    <w:p w14:paraId="31CF4390" w14:textId="77777777" w:rsidR="00C504FF" w:rsidRDefault="00C504FF" w:rsidP="00C504FF">
      <w:pPr>
        <w:jc w:val="center"/>
        <w:rPr>
          <w:rFonts w:ascii="標楷體" w:eastAsia="標楷體" w:hAnsi="標楷體"/>
          <w:b/>
          <w:sz w:val="32"/>
        </w:rPr>
      </w:pPr>
    </w:p>
    <w:p w14:paraId="169B57F9" w14:textId="77777777" w:rsidR="00C504FF" w:rsidRDefault="00C504FF" w:rsidP="00C504FF">
      <w:pPr>
        <w:jc w:val="right"/>
        <w:rPr>
          <w:rFonts w:ascii="標楷體" w:eastAsia="標楷體" w:hAnsi="標楷體"/>
          <w:sz w:val="32"/>
        </w:rPr>
      </w:pPr>
      <w:r w:rsidRPr="00131ABE">
        <w:rPr>
          <w:rFonts w:ascii="標楷體" w:eastAsia="標楷體" w:hAnsi="標楷體" w:hint="eastAsia"/>
          <w:sz w:val="32"/>
        </w:rPr>
        <w:t>______________股份有限公司</w:t>
      </w:r>
    </w:p>
    <w:p w14:paraId="42C07452" w14:textId="77777777" w:rsidR="00C504FF" w:rsidRDefault="00C504FF" w:rsidP="00C504FF">
      <w:pPr>
        <w:jc w:val="right"/>
        <w:rPr>
          <w:rFonts w:ascii="標楷體" w:eastAsia="標楷體" w:hAnsi="標楷體"/>
          <w:sz w:val="32"/>
        </w:rPr>
      </w:pPr>
    </w:p>
    <w:p w14:paraId="6C3B5078" w14:textId="77777777" w:rsidR="00C504FF" w:rsidRDefault="00C504FF" w:rsidP="00C504FF">
      <w:pPr>
        <w:jc w:val="right"/>
        <w:rPr>
          <w:rFonts w:ascii="標楷體" w:eastAsia="標楷體" w:hAnsi="標楷體"/>
          <w:sz w:val="32"/>
        </w:rPr>
      </w:pPr>
    </w:p>
    <w:p w14:paraId="47521382" w14:textId="7ED57661" w:rsidR="003F5D3D" w:rsidRPr="00C504FF" w:rsidRDefault="00C504FF" w:rsidP="00C504FF">
      <w:pPr>
        <w:jc w:val="distribute"/>
        <w:rPr>
          <w:rFonts w:ascii="標楷體" w:eastAsia="標楷體" w:hAnsi="標楷體"/>
          <w:spacing w:val="2"/>
          <w:w w:val="59"/>
        </w:rPr>
      </w:pPr>
      <w:r>
        <w:rPr>
          <w:rFonts w:ascii="標楷體" w:eastAsia="標楷體" w:hAnsi="標楷體" w:hint="eastAsia"/>
          <w:sz w:val="32"/>
        </w:rPr>
        <w:t>中華民國 年 月 日</w:t>
      </w:r>
    </w:p>
    <w:sectPr w:rsidR="003F5D3D" w:rsidRPr="00C504FF" w:rsidSect="00C07BAE">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C81EB" w14:textId="77777777" w:rsidR="000678E1" w:rsidRDefault="000678E1" w:rsidP="009A322E">
      <w:r>
        <w:separator/>
      </w:r>
    </w:p>
  </w:endnote>
  <w:endnote w:type="continuationSeparator" w:id="0">
    <w:p w14:paraId="066FFCC7" w14:textId="77777777" w:rsidR="000678E1" w:rsidRDefault="000678E1" w:rsidP="009A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B1D79" w14:textId="77777777" w:rsidR="009955C1" w:rsidRDefault="009955C1" w:rsidP="00C96FC6">
    <w:pPr>
      <w:pStyle w:val="a5"/>
      <w:jc w:val="center"/>
    </w:pPr>
    <w:r>
      <w:fldChar w:fldCharType="begin"/>
    </w:r>
    <w:r>
      <w:instrText xml:space="preserve"> PAGE   \* MERGEFORMAT </w:instrText>
    </w:r>
    <w:r>
      <w:fldChar w:fldCharType="separate"/>
    </w:r>
    <w:r w:rsidR="00C5436D" w:rsidRPr="00C5436D">
      <w:rPr>
        <w:noProof/>
        <w:lang w:val="zh-TW"/>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8BE67" w14:textId="77777777" w:rsidR="000678E1" w:rsidRDefault="000678E1" w:rsidP="009A322E">
      <w:r>
        <w:separator/>
      </w:r>
    </w:p>
  </w:footnote>
  <w:footnote w:type="continuationSeparator" w:id="0">
    <w:p w14:paraId="16F39F7C" w14:textId="77777777" w:rsidR="000678E1" w:rsidRDefault="000678E1" w:rsidP="009A3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42F41"/>
    <w:multiLevelType w:val="hybridMultilevel"/>
    <w:tmpl w:val="4E00DCB0"/>
    <w:lvl w:ilvl="0" w:tplc="89AE48E0">
      <w:start w:val="1"/>
      <w:numFmt w:val="taiwaneseCountingThousand"/>
      <w:lvlText w:val="(%1)"/>
      <w:lvlJc w:val="left"/>
      <w:pPr>
        <w:ind w:left="715" w:hanging="43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B2C47A9"/>
    <w:multiLevelType w:val="hybridMultilevel"/>
    <w:tmpl w:val="0AFCCC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3A6BE1"/>
    <w:multiLevelType w:val="hybridMultilevel"/>
    <w:tmpl w:val="AFFCE10A"/>
    <w:lvl w:ilvl="0" w:tplc="1236FA3A">
      <w:start w:val="1"/>
      <w:numFmt w:val="taiwaneseCountingThousand"/>
      <w:lvlText w:val="(%1)"/>
      <w:lvlJc w:val="left"/>
      <w:pPr>
        <w:tabs>
          <w:tab w:val="num" w:pos="1021"/>
        </w:tabs>
        <w:ind w:left="1021" w:hanging="454"/>
      </w:pPr>
      <w:rPr>
        <w:rFonts w:eastAsia="標楷體" w:hint="eastAsia"/>
        <w:b w:val="0"/>
        <w:i w:val="0"/>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CD2799"/>
    <w:multiLevelType w:val="hybridMultilevel"/>
    <w:tmpl w:val="F3140FF2"/>
    <w:lvl w:ilvl="0" w:tplc="FB2EC714">
      <w:start w:val="1"/>
      <w:numFmt w:val="taiwaneseCountingThousand"/>
      <w:lvlText w:val="%1、"/>
      <w:lvlJc w:val="left"/>
      <w:pPr>
        <w:ind w:left="75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5DB1D62"/>
    <w:multiLevelType w:val="hybridMultilevel"/>
    <w:tmpl w:val="3A485856"/>
    <w:lvl w:ilvl="0" w:tplc="420C5598">
      <w:start w:val="1"/>
      <w:numFmt w:val="taiwaneseCountingThousand"/>
      <w:lvlText w:val="%1、"/>
      <w:lvlJc w:val="left"/>
      <w:pPr>
        <w:ind w:left="480" w:hanging="480"/>
      </w:pPr>
      <w:rPr>
        <w:rFonts w:ascii="Book Antiqua"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B355C"/>
    <w:multiLevelType w:val="hybridMultilevel"/>
    <w:tmpl w:val="5CFC8D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B2493"/>
    <w:multiLevelType w:val="hybridMultilevel"/>
    <w:tmpl w:val="B0B0E772"/>
    <w:lvl w:ilvl="0" w:tplc="FBDE3CBA">
      <w:start w:val="1"/>
      <w:numFmt w:val="decimal"/>
      <w:lvlText w:val="%1."/>
      <w:lvlJc w:val="left"/>
      <w:pPr>
        <w:ind w:left="1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875AEA"/>
    <w:multiLevelType w:val="hybridMultilevel"/>
    <w:tmpl w:val="E34462BA"/>
    <w:lvl w:ilvl="0" w:tplc="8000EE0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8EE78D8"/>
    <w:multiLevelType w:val="hybridMultilevel"/>
    <w:tmpl w:val="6E3A12CC"/>
    <w:lvl w:ilvl="0" w:tplc="33AE1942">
      <w:start w:val="1"/>
      <w:numFmt w:val="taiwaneseCountingThousand"/>
      <w:suff w:val="nothing"/>
      <w:lvlText w:val="%1、"/>
      <w:lvlJc w:val="left"/>
      <w:pPr>
        <w:ind w:left="482" w:hanging="48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83B48"/>
    <w:multiLevelType w:val="hybridMultilevel"/>
    <w:tmpl w:val="13E82E5A"/>
    <w:lvl w:ilvl="0" w:tplc="083A1050">
      <w:start w:val="1"/>
      <w:numFmt w:val="decimal"/>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2BE77349"/>
    <w:multiLevelType w:val="hybridMultilevel"/>
    <w:tmpl w:val="5F769008"/>
    <w:lvl w:ilvl="0" w:tplc="0ABE80E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C590CED"/>
    <w:multiLevelType w:val="hybridMultilevel"/>
    <w:tmpl w:val="5B787CB0"/>
    <w:lvl w:ilvl="0" w:tplc="AE8CB0E2">
      <w:start w:val="1"/>
      <w:numFmt w:val="taiwaneseCountingThousand"/>
      <w:lvlText w:val="%1、"/>
      <w:lvlJc w:val="left"/>
      <w:pPr>
        <w:ind w:left="480" w:hanging="480"/>
      </w:pPr>
      <w:rPr>
        <w:rFonts w:ascii="Book Antiqua"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8B04A4"/>
    <w:multiLevelType w:val="hybridMultilevel"/>
    <w:tmpl w:val="5D82B796"/>
    <w:lvl w:ilvl="0" w:tplc="A5B47F6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0F64076"/>
    <w:multiLevelType w:val="hybridMultilevel"/>
    <w:tmpl w:val="6E02C1F4"/>
    <w:lvl w:ilvl="0" w:tplc="276A6C4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C63D38"/>
    <w:multiLevelType w:val="hybridMultilevel"/>
    <w:tmpl w:val="D95077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E506E1"/>
    <w:multiLevelType w:val="hybridMultilevel"/>
    <w:tmpl w:val="0D5AA8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4E47C4"/>
    <w:multiLevelType w:val="hybridMultilevel"/>
    <w:tmpl w:val="38581928"/>
    <w:lvl w:ilvl="0" w:tplc="88FE1B7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FDE1748"/>
    <w:multiLevelType w:val="hybridMultilevel"/>
    <w:tmpl w:val="2F180DE4"/>
    <w:lvl w:ilvl="0" w:tplc="838C14B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FB678F"/>
    <w:multiLevelType w:val="hybridMultilevel"/>
    <w:tmpl w:val="35F0B73A"/>
    <w:lvl w:ilvl="0" w:tplc="2C565A54">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609C08FA"/>
    <w:multiLevelType w:val="hybridMultilevel"/>
    <w:tmpl w:val="3828C9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0B41A1"/>
    <w:multiLevelType w:val="hybridMultilevel"/>
    <w:tmpl w:val="8488E97A"/>
    <w:lvl w:ilvl="0" w:tplc="986ABEBA">
      <w:start w:val="1"/>
      <w:numFmt w:val="taiwaneseCountingThousand"/>
      <w:lvlText w:val="%1、"/>
      <w:lvlJc w:val="left"/>
      <w:pPr>
        <w:ind w:left="468" w:hanging="4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1" w15:restartNumberingAfterBreak="0">
    <w:nsid w:val="64FA0BBE"/>
    <w:multiLevelType w:val="hybridMultilevel"/>
    <w:tmpl w:val="4BEE4528"/>
    <w:lvl w:ilvl="0" w:tplc="1DF0F71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7D274C"/>
    <w:multiLevelType w:val="hybridMultilevel"/>
    <w:tmpl w:val="2F180DE4"/>
    <w:lvl w:ilvl="0" w:tplc="838C14B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B93231"/>
    <w:multiLevelType w:val="hybridMultilevel"/>
    <w:tmpl w:val="CB1214DE"/>
    <w:lvl w:ilvl="0" w:tplc="FDAA1D8C">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840E4F"/>
    <w:multiLevelType w:val="hybridMultilevel"/>
    <w:tmpl w:val="4D82C9E2"/>
    <w:lvl w:ilvl="0" w:tplc="B796AAA2">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EB6B34"/>
    <w:multiLevelType w:val="multilevel"/>
    <w:tmpl w:val="65060744"/>
    <w:lvl w:ilvl="0">
      <w:start w:val="1"/>
      <w:numFmt w:val="ideographLegalTraditional"/>
      <w:lvlText w:val="%1、"/>
      <w:lvlJc w:val="left"/>
      <w:pPr>
        <w:tabs>
          <w:tab w:val="num" w:pos="720"/>
        </w:tabs>
        <w:ind w:left="284" w:hanging="284"/>
      </w:pPr>
      <w:rPr>
        <w:rFonts w:ascii="標楷體" w:eastAsia="標楷體" w:hAnsi="標楷體" w:hint="eastAsia"/>
      </w:rPr>
    </w:lvl>
    <w:lvl w:ilvl="1">
      <w:start w:val="1"/>
      <w:numFmt w:val="taiwaneseCountingThousand"/>
      <w:lvlText w:val="%2、"/>
      <w:lvlJc w:val="left"/>
      <w:pPr>
        <w:tabs>
          <w:tab w:val="num" w:pos="1004"/>
        </w:tabs>
        <w:ind w:left="567" w:hanging="283"/>
      </w:pPr>
      <w:rPr>
        <w:rFonts w:hint="eastAsia"/>
      </w:rPr>
    </w:lvl>
    <w:lvl w:ilvl="2">
      <w:start w:val="1"/>
      <w:numFmt w:val="taiwaneseCountingThousand"/>
      <w:lvlText w:val="(%3)"/>
      <w:lvlJc w:val="left"/>
      <w:pPr>
        <w:tabs>
          <w:tab w:val="num" w:pos="1287"/>
        </w:tabs>
        <w:ind w:left="851" w:hanging="284"/>
      </w:pPr>
      <w:rPr>
        <w:rFonts w:hint="eastAsia"/>
      </w:rPr>
    </w:lvl>
    <w:lvl w:ilvl="3">
      <w:start w:val="1"/>
      <w:numFmt w:val="decimal"/>
      <w:lvlText w:val="%4、"/>
      <w:lvlJc w:val="left"/>
      <w:pPr>
        <w:tabs>
          <w:tab w:val="num" w:pos="1571"/>
        </w:tabs>
        <w:ind w:left="1134" w:hanging="283"/>
      </w:pPr>
      <w:rPr>
        <w:rFonts w:hint="eastAsia"/>
      </w:rPr>
    </w:lvl>
    <w:lvl w:ilvl="4">
      <w:start w:val="1"/>
      <w:numFmt w:val="decimal"/>
      <w:lvlText w:val="(%5)"/>
      <w:lvlJc w:val="left"/>
      <w:pPr>
        <w:tabs>
          <w:tab w:val="num" w:pos="1854"/>
        </w:tabs>
        <w:ind w:left="1418" w:hanging="284"/>
      </w:pPr>
      <w:rPr>
        <w:rFonts w:hint="eastAsia"/>
      </w:rPr>
    </w:lvl>
    <w:lvl w:ilvl="5">
      <w:start w:val="1"/>
      <w:numFmt w:val="upperRoman"/>
      <w:pStyle w:val="1"/>
      <w:lvlText w:val="%6."/>
      <w:lvlJc w:val="left"/>
      <w:pPr>
        <w:tabs>
          <w:tab w:val="num" w:pos="2138"/>
        </w:tabs>
        <w:ind w:left="1701" w:hanging="283"/>
      </w:pPr>
      <w:rPr>
        <w:rFonts w:hint="eastAsia"/>
      </w:rPr>
    </w:lvl>
    <w:lvl w:ilvl="6">
      <w:start w:val="1"/>
      <w:numFmt w:val="upperLetter"/>
      <w:lvlText w:val="(%7)"/>
      <w:lvlJc w:val="left"/>
      <w:pPr>
        <w:tabs>
          <w:tab w:val="num" w:pos="2421"/>
        </w:tabs>
        <w:ind w:left="1985" w:hanging="284"/>
      </w:pPr>
      <w:rPr>
        <w:rFonts w:hint="eastAsia"/>
      </w:rPr>
    </w:lvl>
    <w:lvl w:ilvl="7">
      <w:start w:val="1"/>
      <w:numFmt w:val="lowerLetter"/>
      <w:lvlText w:val="%8."/>
      <w:lvlJc w:val="left"/>
      <w:pPr>
        <w:tabs>
          <w:tab w:val="num" w:pos="2345"/>
        </w:tabs>
        <w:ind w:left="2268" w:hanging="283"/>
      </w:pPr>
      <w:rPr>
        <w:rFonts w:hint="eastAsia"/>
      </w:rPr>
    </w:lvl>
    <w:lvl w:ilvl="8">
      <w:start w:val="1"/>
      <w:numFmt w:val="lowerLetter"/>
      <w:lvlText w:val="(%9)"/>
      <w:lvlJc w:val="left"/>
      <w:pPr>
        <w:tabs>
          <w:tab w:val="num" w:pos="2988"/>
        </w:tabs>
        <w:ind w:left="2552" w:hanging="284"/>
      </w:pPr>
      <w:rPr>
        <w:rFonts w:hint="eastAsia"/>
      </w:rPr>
    </w:lvl>
  </w:abstractNum>
  <w:abstractNum w:abstractNumId="26" w15:restartNumberingAfterBreak="0">
    <w:nsid w:val="700547CE"/>
    <w:multiLevelType w:val="hybridMultilevel"/>
    <w:tmpl w:val="F2983BA2"/>
    <w:lvl w:ilvl="0" w:tplc="3A1EDD18">
      <w:start w:val="1"/>
      <w:numFmt w:val="taiwaneseCountingThousand"/>
      <w:lvlText w:val="%1、"/>
      <w:lvlJc w:val="left"/>
      <w:pPr>
        <w:tabs>
          <w:tab w:val="num" w:pos="720"/>
        </w:tabs>
        <w:ind w:left="454" w:hanging="454"/>
      </w:pPr>
      <w:rPr>
        <w:rFonts w:eastAsia="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59788D"/>
    <w:multiLevelType w:val="hybridMultilevel"/>
    <w:tmpl w:val="677C5B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59145B"/>
    <w:multiLevelType w:val="hybridMultilevel"/>
    <w:tmpl w:val="42620B14"/>
    <w:lvl w:ilvl="0" w:tplc="9DB251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C33958"/>
    <w:multiLevelType w:val="hybridMultilevel"/>
    <w:tmpl w:val="C524819C"/>
    <w:lvl w:ilvl="0" w:tplc="D05E37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9"/>
  </w:num>
  <w:num w:numId="2">
    <w:abstractNumId w:val="25"/>
  </w:num>
  <w:num w:numId="3">
    <w:abstractNumId w:val="24"/>
  </w:num>
  <w:num w:numId="4">
    <w:abstractNumId w:val="27"/>
  </w:num>
  <w:num w:numId="5">
    <w:abstractNumId w:val="28"/>
  </w:num>
  <w:num w:numId="6">
    <w:abstractNumId w:val="21"/>
  </w:num>
  <w:num w:numId="7">
    <w:abstractNumId w:val="1"/>
  </w:num>
  <w:num w:numId="8">
    <w:abstractNumId w:val="0"/>
  </w:num>
  <w:num w:numId="9">
    <w:abstractNumId w:val="9"/>
  </w:num>
  <w:num w:numId="10">
    <w:abstractNumId w:val="6"/>
  </w:num>
  <w:num w:numId="11">
    <w:abstractNumId w:val="14"/>
  </w:num>
  <w:num w:numId="12">
    <w:abstractNumId w:val="22"/>
  </w:num>
  <w:num w:numId="13">
    <w:abstractNumId w:val="17"/>
  </w:num>
  <w:num w:numId="14">
    <w:abstractNumId w:val="5"/>
  </w:num>
  <w:num w:numId="15">
    <w:abstractNumId w:val="15"/>
  </w:num>
  <w:num w:numId="16">
    <w:abstractNumId w:val="20"/>
  </w:num>
  <w:num w:numId="17">
    <w:abstractNumId w:val="26"/>
  </w:num>
  <w:num w:numId="18">
    <w:abstractNumId w:val="13"/>
  </w:num>
  <w:num w:numId="19">
    <w:abstractNumId w:val="23"/>
  </w:num>
  <w:num w:numId="20">
    <w:abstractNumId w:val="12"/>
  </w:num>
  <w:num w:numId="21">
    <w:abstractNumId w:val="8"/>
  </w:num>
  <w:num w:numId="22">
    <w:abstractNumId w:val="7"/>
  </w:num>
  <w:num w:numId="23">
    <w:abstractNumId w:val="2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 w:numId="27">
    <w:abstractNumId w:val="3"/>
  </w:num>
  <w:num w:numId="28">
    <w:abstractNumId w:val="4"/>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58"/>
    <w:rsid w:val="00000E3F"/>
    <w:rsid w:val="00001978"/>
    <w:rsid w:val="00003944"/>
    <w:rsid w:val="00005B2A"/>
    <w:rsid w:val="00006D8B"/>
    <w:rsid w:val="00007173"/>
    <w:rsid w:val="00007816"/>
    <w:rsid w:val="0001081A"/>
    <w:rsid w:val="000118B6"/>
    <w:rsid w:val="00011EBA"/>
    <w:rsid w:val="0001285E"/>
    <w:rsid w:val="00014226"/>
    <w:rsid w:val="0001477C"/>
    <w:rsid w:val="00014FED"/>
    <w:rsid w:val="000179E8"/>
    <w:rsid w:val="000253A1"/>
    <w:rsid w:val="000309E3"/>
    <w:rsid w:val="00032FC2"/>
    <w:rsid w:val="000331A5"/>
    <w:rsid w:val="000332B1"/>
    <w:rsid w:val="000379BB"/>
    <w:rsid w:val="00040B5F"/>
    <w:rsid w:val="00041EC8"/>
    <w:rsid w:val="00044E3A"/>
    <w:rsid w:val="00045701"/>
    <w:rsid w:val="0004614E"/>
    <w:rsid w:val="000476E3"/>
    <w:rsid w:val="0004774A"/>
    <w:rsid w:val="00050AD8"/>
    <w:rsid w:val="000528F2"/>
    <w:rsid w:val="00052B38"/>
    <w:rsid w:val="000541C8"/>
    <w:rsid w:val="00055415"/>
    <w:rsid w:val="0005667F"/>
    <w:rsid w:val="000567A1"/>
    <w:rsid w:val="00057785"/>
    <w:rsid w:val="00061199"/>
    <w:rsid w:val="00061FD2"/>
    <w:rsid w:val="00062510"/>
    <w:rsid w:val="000642A2"/>
    <w:rsid w:val="000643BA"/>
    <w:rsid w:val="00064B0D"/>
    <w:rsid w:val="00066706"/>
    <w:rsid w:val="000678E1"/>
    <w:rsid w:val="00071C49"/>
    <w:rsid w:val="000733EB"/>
    <w:rsid w:val="00074572"/>
    <w:rsid w:val="0007592C"/>
    <w:rsid w:val="00077306"/>
    <w:rsid w:val="00077658"/>
    <w:rsid w:val="00081ECE"/>
    <w:rsid w:val="000831B3"/>
    <w:rsid w:val="00083617"/>
    <w:rsid w:val="00083B87"/>
    <w:rsid w:val="000848B5"/>
    <w:rsid w:val="00085500"/>
    <w:rsid w:val="00090147"/>
    <w:rsid w:val="000945BA"/>
    <w:rsid w:val="00095758"/>
    <w:rsid w:val="000A048C"/>
    <w:rsid w:val="000A0EB6"/>
    <w:rsid w:val="000A1A0E"/>
    <w:rsid w:val="000A4149"/>
    <w:rsid w:val="000A4979"/>
    <w:rsid w:val="000A5E87"/>
    <w:rsid w:val="000B053B"/>
    <w:rsid w:val="000B05C0"/>
    <w:rsid w:val="000B34A1"/>
    <w:rsid w:val="000B6D60"/>
    <w:rsid w:val="000B7B46"/>
    <w:rsid w:val="000C037D"/>
    <w:rsid w:val="000C5475"/>
    <w:rsid w:val="000C5AD3"/>
    <w:rsid w:val="000C7F26"/>
    <w:rsid w:val="000D1B2F"/>
    <w:rsid w:val="000D1DD5"/>
    <w:rsid w:val="000D2296"/>
    <w:rsid w:val="000D22EA"/>
    <w:rsid w:val="000D3D05"/>
    <w:rsid w:val="000D4D1E"/>
    <w:rsid w:val="000D50D9"/>
    <w:rsid w:val="000D5308"/>
    <w:rsid w:val="000D6026"/>
    <w:rsid w:val="000D6CFE"/>
    <w:rsid w:val="000D7610"/>
    <w:rsid w:val="000E06B6"/>
    <w:rsid w:val="000E3061"/>
    <w:rsid w:val="000E4101"/>
    <w:rsid w:val="000E425A"/>
    <w:rsid w:val="000E46EA"/>
    <w:rsid w:val="000E4CFF"/>
    <w:rsid w:val="000E5403"/>
    <w:rsid w:val="000E57FA"/>
    <w:rsid w:val="000E5C20"/>
    <w:rsid w:val="000E7536"/>
    <w:rsid w:val="000F16F1"/>
    <w:rsid w:val="000F252A"/>
    <w:rsid w:val="000F59B8"/>
    <w:rsid w:val="000F611E"/>
    <w:rsid w:val="000F7B5A"/>
    <w:rsid w:val="0010066E"/>
    <w:rsid w:val="001010AB"/>
    <w:rsid w:val="0010219B"/>
    <w:rsid w:val="00104A68"/>
    <w:rsid w:val="00105C29"/>
    <w:rsid w:val="00106DBD"/>
    <w:rsid w:val="00107F30"/>
    <w:rsid w:val="00114864"/>
    <w:rsid w:val="001159F9"/>
    <w:rsid w:val="001169FC"/>
    <w:rsid w:val="001215D6"/>
    <w:rsid w:val="0012208D"/>
    <w:rsid w:val="00122B5F"/>
    <w:rsid w:val="00126C77"/>
    <w:rsid w:val="001310B4"/>
    <w:rsid w:val="00132746"/>
    <w:rsid w:val="001343DC"/>
    <w:rsid w:val="0013615C"/>
    <w:rsid w:val="00136BB4"/>
    <w:rsid w:val="001414A6"/>
    <w:rsid w:val="00141A59"/>
    <w:rsid w:val="00143F2D"/>
    <w:rsid w:val="001449A4"/>
    <w:rsid w:val="00144C4F"/>
    <w:rsid w:val="0014595D"/>
    <w:rsid w:val="0015074B"/>
    <w:rsid w:val="0015275C"/>
    <w:rsid w:val="00152DA7"/>
    <w:rsid w:val="00156B8C"/>
    <w:rsid w:val="001578AC"/>
    <w:rsid w:val="00161A72"/>
    <w:rsid w:val="00161A79"/>
    <w:rsid w:val="001634C8"/>
    <w:rsid w:val="001639EC"/>
    <w:rsid w:val="001658CF"/>
    <w:rsid w:val="0016645B"/>
    <w:rsid w:val="001675A0"/>
    <w:rsid w:val="001730F0"/>
    <w:rsid w:val="00173248"/>
    <w:rsid w:val="00173803"/>
    <w:rsid w:val="001741B3"/>
    <w:rsid w:val="00174589"/>
    <w:rsid w:val="00174E3E"/>
    <w:rsid w:val="00177413"/>
    <w:rsid w:val="0018049D"/>
    <w:rsid w:val="001809C1"/>
    <w:rsid w:val="0018309C"/>
    <w:rsid w:val="0018348A"/>
    <w:rsid w:val="001858B8"/>
    <w:rsid w:val="001859CF"/>
    <w:rsid w:val="00185C51"/>
    <w:rsid w:val="00187A47"/>
    <w:rsid w:val="00187BCB"/>
    <w:rsid w:val="001904AC"/>
    <w:rsid w:val="001906D9"/>
    <w:rsid w:val="00192AC1"/>
    <w:rsid w:val="001939A4"/>
    <w:rsid w:val="00195900"/>
    <w:rsid w:val="00195B75"/>
    <w:rsid w:val="001974BF"/>
    <w:rsid w:val="001A08AC"/>
    <w:rsid w:val="001A141C"/>
    <w:rsid w:val="001A3287"/>
    <w:rsid w:val="001A36C8"/>
    <w:rsid w:val="001A37AC"/>
    <w:rsid w:val="001A5CA7"/>
    <w:rsid w:val="001A6828"/>
    <w:rsid w:val="001A69AC"/>
    <w:rsid w:val="001B0D17"/>
    <w:rsid w:val="001B2810"/>
    <w:rsid w:val="001B7A63"/>
    <w:rsid w:val="001C0A76"/>
    <w:rsid w:val="001C48EA"/>
    <w:rsid w:val="001D4C90"/>
    <w:rsid w:val="001D4C9F"/>
    <w:rsid w:val="001D53E3"/>
    <w:rsid w:val="001D5E11"/>
    <w:rsid w:val="001D705D"/>
    <w:rsid w:val="001D733C"/>
    <w:rsid w:val="001D7718"/>
    <w:rsid w:val="001D7798"/>
    <w:rsid w:val="001E0760"/>
    <w:rsid w:val="001E1219"/>
    <w:rsid w:val="001E2886"/>
    <w:rsid w:val="001E2E63"/>
    <w:rsid w:val="001E364B"/>
    <w:rsid w:val="001E3B56"/>
    <w:rsid w:val="001E72EC"/>
    <w:rsid w:val="001E779C"/>
    <w:rsid w:val="001F075E"/>
    <w:rsid w:val="001F0FEB"/>
    <w:rsid w:val="001F1BAF"/>
    <w:rsid w:val="001F38F6"/>
    <w:rsid w:val="001F3EF4"/>
    <w:rsid w:val="001F6410"/>
    <w:rsid w:val="001F77BA"/>
    <w:rsid w:val="001F7D11"/>
    <w:rsid w:val="0020041C"/>
    <w:rsid w:val="002013F7"/>
    <w:rsid w:val="0020168C"/>
    <w:rsid w:val="00201A1A"/>
    <w:rsid w:val="00203CCE"/>
    <w:rsid w:val="00206A38"/>
    <w:rsid w:val="0020703F"/>
    <w:rsid w:val="002079EC"/>
    <w:rsid w:val="00210E75"/>
    <w:rsid w:val="00212484"/>
    <w:rsid w:val="00212C0F"/>
    <w:rsid w:val="00213BBC"/>
    <w:rsid w:val="00213C0A"/>
    <w:rsid w:val="002147D1"/>
    <w:rsid w:val="00215FFE"/>
    <w:rsid w:val="00216D05"/>
    <w:rsid w:val="00217350"/>
    <w:rsid w:val="0022159E"/>
    <w:rsid w:val="002231B4"/>
    <w:rsid w:val="00223297"/>
    <w:rsid w:val="0022442A"/>
    <w:rsid w:val="002256CC"/>
    <w:rsid w:val="00225BD6"/>
    <w:rsid w:val="00226A6C"/>
    <w:rsid w:val="0023016F"/>
    <w:rsid w:val="00231980"/>
    <w:rsid w:val="00235912"/>
    <w:rsid w:val="0023662E"/>
    <w:rsid w:val="00241CD6"/>
    <w:rsid w:val="00242367"/>
    <w:rsid w:val="00242594"/>
    <w:rsid w:val="00243687"/>
    <w:rsid w:val="00245E59"/>
    <w:rsid w:val="00246D0D"/>
    <w:rsid w:val="002472B9"/>
    <w:rsid w:val="00251ABD"/>
    <w:rsid w:val="002521F2"/>
    <w:rsid w:val="002527FD"/>
    <w:rsid w:val="00254632"/>
    <w:rsid w:val="0025577F"/>
    <w:rsid w:val="00256AB3"/>
    <w:rsid w:val="002574A1"/>
    <w:rsid w:val="00257784"/>
    <w:rsid w:val="00261CB1"/>
    <w:rsid w:val="00262F11"/>
    <w:rsid w:val="002637AD"/>
    <w:rsid w:val="002648A8"/>
    <w:rsid w:val="00264A2A"/>
    <w:rsid w:val="0026584E"/>
    <w:rsid w:val="00267CA2"/>
    <w:rsid w:val="00267E1C"/>
    <w:rsid w:val="002700CD"/>
    <w:rsid w:val="00271565"/>
    <w:rsid w:val="00275C70"/>
    <w:rsid w:val="002764F7"/>
    <w:rsid w:val="00277DCC"/>
    <w:rsid w:val="00282491"/>
    <w:rsid w:val="002837A0"/>
    <w:rsid w:val="00283D48"/>
    <w:rsid w:val="00283E23"/>
    <w:rsid w:val="002864DC"/>
    <w:rsid w:val="002901DB"/>
    <w:rsid w:val="00292A3D"/>
    <w:rsid w:val="002940E5"/>
    <w:rsid w:val="002952D8"/>
    <w:rsid w:val="00297764"/>
    <w:rsid w:val="002A00C8"/>
    <w:rsid w:val="002A26F6"/>
    <w:rsid w:val="002A39A5"/>
    <w:rsid w:val="002A50F2"/>
    <w:rsid w:val="002A51A6"/>
    <w:rsid w:val="002A5212"/>
    <w:rsid w:val="002A578A"/>
    <w:rsid w:val="002A67C0"/>
    <w:rsid w:val="002A69EC"/>
    <w:rsid w:val="002A6C15"/>
    <w:rsid w:val="002B232C"/>
    <w:rsid w:val="002B23A7"/>
    <w:rsid w:val="002B4704"/>
    <w:rsid w:val="002B4CA7"/>
    <w:rsid w:val="002B5473"/>
    <w:rsid w:val="002C1821"/>
    <w:rsid w:val="002C2560"/>
    <w:rsid w:val="002C49D2"/>
    <w:rsid w:val="002C5503"/>
    <w:rsid w:val="002C5A70"/>
    <w:rsid w:val="002C602F"/>
    <w:rsid w:val="002D083C"/>
    <w:rsid w:val="002D1790"/>
    <w:rsid w:val="002D2897"/>
    <w:rsid w:val="002D44DC"/>
    <w:rsid w:val="002D4BA0"/>
    <w:rsid w:val="002E107E"/>
    <w:rsid w:val="002E4079"/>
    <w:rsid w:val="002E54B9"/>
    <w:rsid w:val="002E6248"/>
    <w:rsid w:val="002F0A6F"/>
    <w:rsid w:val="002F19CD"/>
    <w:rsid w:val="002F2AAA"/>
    <w:rsid w:val="002F2DC4"/>
    <w:rsid w:val="002F389A"/>
    <w:rsid w:val="002F3C4D"/>
    <w:rsid w:val="002F6F86"/>
    <w:rsid w:val="0030079F"/>
    <w:rsid w:val="00300C8E"/>
    <w:rsid w:val="003010DD"/>
    <w:rsid w:val="00301236"/>
    <w:rsid w:val="003044BC"/>
    <w:rsid w:val="00304820"/>
    <w:rsid w:val="0030500B"/>
    <w:rsid w:val="00305F7B"/>
    <w:rsid w:val="003062C4"/>
    <w:rsid w:val="00310520"/>
    <w:rsid w:val="00310DFF"/>
    <w:rsid w:val="0031248E"/>
    <w:rsid w:val="0031288F"/>
    <w:rsid w:val="003161A8"/>
    <w:rsid w:val="00316544"/>
    <w:rsid w:val="00316920"/>
    <w:rsid w:val="00317362"/>
    <w:rsid w:val="00320BBD"/>
    <w:rsid w:val="00320BBE"/>
    <w:rsid w:val="00322FFF"/>
    <w:rsid w:val="00323F6A"/>
    <w:rsid w:val="00326BCA"/>
    <w:rsid w:val="00327AD3"/>
    <w:rsid w:val="003328D8"/>
    <w:rsid w:val="003334E4"/>
    <w:rsid w:val="00333FCB"/>
    <w:rsid w:val="00334CAC"/>
    <w:rsid w:val="00337FD8"/>
    <w:rsid w:val="00341B1F"/>
    <w:rsid w:val="00343584"/>
    <w:rsid w:val="00344D10"/>
    <w:rsid w:val="00344EAF"/>
    <w:rsid w:val="0034677A"/>
    <w:rsid w:val="00350DCD"/>
    <w:rsid w:val="0035144C"/>
    <w:rsid w:val="00351570"/>
    <w:rsid w:val="00354FFD"/>
    <w:rsid w:val="003552F5"/>
    <w:rsid w:val="003610D6"/>
    <w:rsid w:val="003618A1"/>
    <w:rsid w:val="00361CC5"/>
    <w:rsid w:val="003653CB"/>
    <w:rsid w:val="00370AD6"/>
    <w:rsid w:val="003711F4"/>
    <w:rsid w:val="00372035"/>
    <w:rsid w:val="003728E4"/>
    <w:rsid w:val="0037308A"/>
    <w:rsid w:val="00373B4D"/>
    <w:rsid w:val="003741A6"/>
    <w:rsid w:val="003761CE"/>
    <w:rsid w:val="0037687A"/>
    <w:rsid w:val="00377E1C"/>
    <w:rsid w:val="00381066"/>
    <w:rsid w:val="00381989"/>
    <w:rsid w:val="00382CD9"/>
    <w:rsid w:val="00383D9E"/>
    <w:rsid w:val="003854DF"/>
    <w:rsid w:val="00386331"/>
    <w:rsid w:val="00391574"/>
    <w:rsid w:val="00392DF6"/>
    <w:rsid w:val="003943D7"/>
    <w:rsid w:val="00394B65"/>
    <w:rsid w:val="00394BBD"/>
    <w:rsid w:val="00396FCF"/>
    <w:rsid w:val="00397C2F"/>
    <w:rsid w:val="00397DBF"/>
    <w:rsid w:val="003A3B51"/>
    <w:rsid w:val="003A4670"/>
    <w:rsid w:val="003A4702"/>
    <w:rsid w:val="003A52D5"/>
    <w:rsid w:val="003A6483"/>
    <w:rsid w:val="003B1516"/>
    <w:rsid w:val="003B1D3A"/>
    <w:rsid w:val="003B2AD3"/>
    <w:rsid w:val="003B3079"/>
    <w:rsid w:val="003B331A"/>
    <w:rsid w:val="003B54C8"/>
    <w:rsid w:val="003C23AE"/>
    <w:rsid w:val="003C246B"/>
    <w:rsid w:val="003C2C46"/>
    <w:rsid w:val="003C50BF"/>
    <w:rsid w:val="003C5A9E"/>
    <w:rsid w:val="003C645B"/>
    <w:rsid w:val="003D1C41"/>
    <w:rsid w:val="003D3C13"/>
    <w:rsid w:val="003D45D1"/>
    <w:rsid w:val="003D4630"/>
    <w:rsid w:val="003D57C9"/>
    <w:rsid w:val="003D796D"/>
    <w:rsid w:val="003E2125"/>
    <w:rsid w:val="003E21F1"/>
    <w:rsid w:val="003E3654"/>
    <w:rsid w:val="003E4D82"/>
    <w:rsid w:val="003E5681"/>
    <w:rsid w:val="003E6A5D"/>
    <w:rsid w:val="003E7DA9"/>
    <w:rsid w:val="003F08D1"/>
    <w:rsid w:val="003F0B9D"/>
    <w:rsid w:val="003F0E11"/>
    <w:rsid w:val="003F109B"/>
    <w:rsid w:val="003F2741"/>
    <w:rsid w:val="003F5D3D"/>
    <w:rsid w:val="003F5E50"/>
    <w:rsid w:val="003F6709"/>
    <w:rsid w:val="003F6EE3"/>
    <w:rsid w:val="003F70CC"/>
    <w:rsid w:val="00400862"/>
    <w:rsid w:val="00400A03"/>
    <w:rsid w:val="0040104A"/>
    <w:rsid w:val="0040137D"/>
    <w:rsid w:val="004020FC"/>
    <w:rsid w:val="00402240"/>
    <w:rsid w:val="004031C5"/>
    <w:rsid w:val="00404C11"/>
    <w:rsid w:val="004061D3"/>
    <w:rsid w:val="004064B1"/>
    <w:rsid w:val="00410A92"/>
    <w:rsid w:val="00410DB5"/>
    <w:rsid w:val="00411FBB"/>
    <w:rsid w:val="0041458A"/>
    <w:rsid w:val="004174DC"/>
    <w:rsid w:val="00420C34"/>
    <w:rsid w:val="00425904"/>
    <w:rsid w:val="00425A28"/>
    <w:rsid w:val="00425DB5"/>
    <w:rsid w:val="0042702C"/>
    <w:rsid w:val="00427756"/>
    <w:rsid w:val="00432069"/>
    <w:rsid w:val="00432696"/>
    <w:rsid w:val="00433146"/>
    <w:rsid w:val="00433404"/>
    <w:rsid w:val="00434C57"/>
    <w:rsid w:val="004356FB"/>
    <w:rsid w:val="00436122"/>
    <w:rsid w:val="00436836"/>
    <w:rsid w:val="00437C8F"/>
    <w:rsid w:val="004436FE"/>
    <w:rsid w:val="00443E09"/>
    <w:rsid w:val="00443EFF"/>
    <w:rsid w:val="0044520C"/>
    <w:rsid w:val="004456E9"/>
    <w:rsid w:val="004519E5"/>
    <w:rsid w:val="004520C3"/>
    <w:rsid w:val="00452625"/>
    <w:rsid w:val="004526EF"/>
    <w:rsid w:val="00453F81"/>
    <w:rsid w:val="00454CDF"/>
    <w:rsid w:val="0045740D"/>
    <w:rsid w:val="00457B71"/>
    <w:rsid w:val="00462CC2"/>
    <w:rsid w:val="00463112"/>
    <w:rsid w:val="00463EDB"/>
    <w:rsid w:val="00466E85"/>
    <w:rsid w:val="004721FD"/>
    <w:rsid w:val="00474480"/>
    <w:rsid w:val="004747AB"/>
    <w:rsid w:val="00476D72"/>
    <w:rsid w:val="00481F54"/>
    <w:rsid w:val="00482F37"/>
    <w:rsid w:val="00484CA7"/>
    <w:rsid w:val="004869E8"/>
    <w:rsid w:val="00487B67"/>
    <w:rsid w:val="00487C94"/>
    <w:rsid w:val="0049077B"/>
    <w:rsid w:val="00491BF0"/>
    <w:rsid w:val="004930BB"/>
    <w:rsid w:val="00493C15"/>
    <w:rsid w:val="004953A2"/>
    <w:rsid w:val="00497044"/>
    <w:rsid w:val="00497096"/>
    <w:rsid w:val="004979CA"/>
    <w:rsid w:val="004A0D9F"/>
    <w:rsid w:val="004A13FA"/>
    <w:rsid w:val="004A2819"/>
    <w:rsid w:val="004A485C"/>
    <w:rsid w:val="004A57C6"/>
    <w:rsid w:val="004A6F4B"/>
    <w:rsid w:val="004B094F"/>
    <w:rsid w:val="004B45A7"/>
    <w:rsid w:val="004B54B7"/>
    <w:rsid w:val="004B626A"/>
    <w:rsid w:val="004C1375"/>
    <w:rsid w:val="004C32EC"/>
    <w:rsid w:val="004C3DA2"/>
    <w:rsid w:val="004C48B4"/>
    <w:rsid w:val="004C7E9D"/>
    <w:rsid w:val="004D0878"/>
    <w:rsid w:val="004D1964"/>
    <w:rsid w:val="004D1E73"/>
    <w:rsid w:val="004D2D24"/>
    <w:rsid w:val="004D72E5"/>
    <w:rsid w:val="004E2C76"/>
    <w:rsid w:val="004E3092"/>
    <w:rsid w:val="004E330F"/>
    <w:rsid w:val="004E6154"/>
    <w:rsid w:val="004F1BE5"/>
    <w:rsid w:val="004F2A0C"/>
    <w:rsid w:val="004F3F2F"/>
    <w:rsid w:val="004F3F83"/>
    <w:rsid w:val="004F4D1A"/>
    <w:rsid w:val="004F55E1"/>
    <w:rsid w:val="004F643E"/>
    <w:rsid w:val="004F6A2E"/>
    <w:rsid w:val="004F6C2A"/>
    <w:rsid w:val="004F6F14"/>
    <w:rsid w:val="004F6F7A"/>
    <w:rsid w:val="004F76E5"/>
    <w:rsid w:val="004F7B0F"/>
    <w:rsid w:val="004F7DAC"/>
    <w:rsid w:val="004F7EBC"/>
    <w:rsid w:val="005021A2"/>
    <w:rsid w:val="00505F4E"/>
    <w:rsid w:val="00506650"/>
    <w:rsid w:val="00506855"/>
    <w:rsid w:val="00510E50"/>
    <w:rsid w:val="00511A1E"/>
    <w:rsid w:val="00511B0C"/>
    <w:rsid w:val="00516A8C"/>
    <w:rsid w:val="00517236"/>
    <w:rsid w:val="0052109B"/>
    <w:rsid w:val="005214FD"/>
    <w:rsid w:val="00521FCF"/>
    <w:rsid w:val="005224A7"/>
    <w:rsid w:val="005230EA"/>
    <w:rsid w:val="005242A3"/>
    <w:rsid w:val="00525BE1"/>
    <w:rsid w:val="00525E0C"/>
    <w:rsid w:val="00525F7C"/>
    <w:rsid w:val="0052790F"/>
    <w:rsid w:val="00530DEE"/>
    <w:rsid w:val="00530FA8"/>
    <w:rsid w:val="00531769"/>
    <w:rsid w:val="00531B0A"/>
    <w:rsid w:val="00532424"/>
    <w:rsid w:val="00532EE9"/>
    <w:rsid w:val="0053314C"/>
    <w:rsid w:val="005346EE"/>
    <w:rsid w:val="00534E32"/>
    <w:rsid w:val="00540251"/>
    <w:rsid w:val="00540C10"/>
    <w:rsid w:val="005431CF"/>
    <w:rsid w:val="00545897"/>
    <w:rsid w:val="00547B0D"/>
    <w:rsid w:val="00550833"/>
    <w:rsid w:val="00553F2F"/>
    <w:rsid w:val="00555DC5"/>
    <w:rsid w:val="005564D2"/>
    <w:rsid w:val="00556C3C"/>
    <w:rsid w:val="0056094C"/>
    <w:rsid w:val="005620B4"/>
    <w:rsid w:val="00563BF4"/>
    <w:rsid w:val="00564B76"/>
    <w:rsid w:val="005653D9"/>
    <w:rsid w:val="0056614E"/>
    <w:rsid w:val="00566240"/>
    <w:rsid w:val="005675DF"/>
    <w:rsid w:val="00570BCB"/>
    <w:rsid w:val="00574757"/>
    <w:rsid w:val="005760BD"/>
    <w:rsid w:val="00576F16"/>
    <w:rsid w:val="005836B6"/>
    <w:rsid w:val="0059081D"/>
    <w:rsid w:val="00593A2D"/>
    <w:rsid w:val="00593CBF"/>
    <w:rsid w:val="00595E9A"/>
    <w:rsid w:val="00595FE5"/>
    <w:rsid w:val="005972C1"/>
    <w:rsid w:val="005A0672"/>
    <w:rsid w:val="005A08F9"/>
    <w:rsid w:val="005A234C"/>
    <w:rsid w:val="005A7ADF"/>
    <w:rsid w:val="005B09F1"/>
    <w:rsid w:val="005B239A"/>
    <w:rsid w:val="005B3F14"/>
    <w:rsid w:val="005B5875"/>
    <w:rsid w:val="005B7118"/>
    <w:rsid w:val="005C0B8D"/>
    <w:rsid w:val="005C188A"/>
    <w:rsid w:val="005C1FA5"/>
    <w:rsid w:val="005C2AB1"/>
    <w:rsid w:val="005C4FF5"/>
    <w:rsid w:val="005C7254"/>
    <w:rsid w:val="005C7264"/>
    <w:rsid w:val="005D06F1"/>
    <w:rsid w:val="005D175E"/>
    <w:rsid w:val="005D2419"/>
    <w:rsid w:val="005D39A1"/>
    <w:rsid w:val="005D5A3B"/>
    <w:rsid w:val="005D6C0A"/>
    <w:rsid w:val="005D71D5"/>
    <w:rsid w:val="005D7B80"/>
    <w:rsid w:val="005E2C77"/>
    <w:rsid w:val="005E2EAE"/>
    <w:rsid w:val="005E2FF8"/>
    <w:rsid w:val="005E792F"/>
    <w:rsid w:val="005E7CE7"/>
    <w:rsid w:val="005F1FC5"/>
    <w:rsid w:val="005F2757"/>
    <w:rsid w:val="005F2ED0"/>
    <w:rsid w:val="005F367A"/>
    <w:rsid w:val="005F4BD1"/>
    <w:rsid w:val="005F51A5"/>
    <w:rsid w:val="005F5268"/>
    <w:rsid w:val="005F5ACE"/>
    <w:rsid w:val="005F75C3"/>
    <w:rsid w:val="005F7B2D"/>
    <w:rsid w:val="005F7FB5"/>
    <w:rsid w:val="00602EB0"/>
    <w:rsid w:val="00613672"/>
    <w:rsid w:val="006174A2"/>
    <w:rsid w:val="006176E1"/>
    <w:rsid w:val="00621EB1"/>
    <w:rsid w:val="006223D6"/>
    <w:rsid w:val="00623537"/>
    <w:rsid w:val="0062385A"/>
    <w:rsid w:val="00625EE2"/>
    <w:rsid w:val="00630994"/>
    <w:rsid w:val="00631941"/>
    <w:rsid w:val="0063331B"/>
    <w:rsid w:val="0063661B"/>
    <w:rsid w:val="00636C18"/>
    <w:rsid w:val="00642380"/>
    <w:rsid w:val="006428E2"/>
    <w:rsid w:val="00642F16"/>
    <w:rsid w:val="00644D3E"/>
    <w:rsid w:val="006466EE"/>
    <w:rsid w:val="0064706A"/>
    <w:rsid w:val="00647923"/>
    <w:rsid w:val="00651F2B"/>
    <w:rsid w:val="00653016"/>
    <w:rsid w:val="006533A1"/>
    <w:rsid w:val="00653FD9"/>
    <w:rsid w:val="00654E4A"/>
    <w:rsid w:val="0065593C"/>
    <w:rsid w:val="006563B1"/>
    <w:rsid w:val="00656691"/>
    <w:rsid w:val="0066087C"/>
    <w:rsid w:val="00660A86"/>
    <w:rsid w:val="0066173C"/>
    <w:rsid w:val="006639B6"/>
    <w:rsid w:val="00665F56"/>
    <w:rsid w:val="006660B5"/>
    <w:rsid w:val="00667B47"/>
    <w:rsid w:val="00671714"/>
    <w:rsid w:val="006726C1"/>
    <w:rsid w:val="006755FE"/>
    <w:rsid w:val="00681029"/>
    <w:rsid w:val="006810EE"/>
    <w:rsid w:val="00681A7D"/>
    <w:rsid w:val="006822A4"/>
    <w:rsid w:val="00683418"/>
    <w:rsid w:val="00684B98"/>
    <w:rsid w:val="00686CFE"/>
    <w:rsid w:val="006908C2"/>
    <w:rsid w:val="00690A41"/>
    <w:rsid w:val="00690B88"/>
    <w:rsid w:val="00690BE1"/>
    <w:rsid w:val="00696BE0"/>
    <w:rsid w:val="006970A1"/>
    <w:rsid w:val="00697B60"/>
    <w:rsid w:val="006A0FA6"/>
    <w:rsid w:val="006A118C"/>
    <w:rsid w:val="006A2EB6"/>
    <w:rsid w:val="006A2F20"/>
    <w:rsid w:val="006A5CFD"/>
    <w:rsid w:val="006A6F0E"/>
    <w:rsid w:val="006B01F2"/>
    <w:rsid w:val="006B2D47"/>
    <w:rsid w:val="006B2E61"/>
    <w:rsid w:val="006B3236"/>
    <w:rsid w:val="006B332F"/>
    <w:rsid w:val="006B37CA"/>
    <w:rsid w:val="006B3B37"/>
    <w:rsid w:val="006B4ABF"/>
    <w:rsid w:val="006B5CA9"/>
    <w:rsid w:val="006B6143"/>
    <w:rsid w:val="006B78C2"/>
    <w:rsid w:val="006C0C97"/>
    <w:rsid w:val="006C5AC2"/>
    <w:rsid w:val="006C6015"/>
    <w:rsid w:val="006C612E"/>
    <w:rsid w:val="006C652A"/>
    <w:rsid w:val="006C6809"/>
    <w:rsid w:val="006C6E94"/>
    <w:rsid w:val="006C73A1"/>
    <w:rsid w:val="006D0157"/>
    <w:rsid w:val="006D14D3"/>
    <w:rsid w:val="006D2042"/>
    <w:rsid w:val="006D2BD9"/>
    <w:rsid w:val="006D44EE"/>
    <w:rsid w:val="006D5033"/>
    <w:rsid w:val="006D7CE8"/>
    <w:rsid w:val="006E298D"/>
    <w:rsid w:val="006E5B3A"/>
    <w:rsid w:val="006E6D21"/>
    <w:rsid w:val="006E7C73"/>
    <w:rsid w:val="006F031C"/>
    <w:rsid w:val="006F05BC"/>
    <w:rsid w:val="006F1564"/>
    <w:rsid w:val="006F1F1C"/>
    <w:rsid w:val="00702789"/>
    <w:rsid w:val="00703AC9"/>
    <w:rsid w:val="00705A28"/>
    <w:rsid w:val="007072AF"/>
    <w:rsid w:val="00707B45"/>
    <w:rsid w:val="00710127"/>
    <w:rsid w:val="0071192A"/>
    <w:rsid w:val="0071237F"/>
    <w:rsid w:val="0071278D"/>
    <w:rsid w:val="00713643"/>
    <w:rsid w:val="00713F98"/>
    <w:rsid w:val="00715A27"/>
    <w:rsid w:val="00716D18"/>
    <w:rsid w:val="0071793F"/>
    <w:rsid w:val="00717BF8"/>
    <w:rsid w:val="0072044F"/>
    <w:rsid w:val="00720834"/>
    <w:rsid w:val="00720D36"/>
    <w:rsid w:val="007241A9"/>
    <w:rsid w:val="00724515"/>
    <w:rsid w:val="00725C31"/>
    <w:rsid w:val="007274B6"/>
    <w:rsid w:val="007276EE"/>
    <w:rsid w:val="00730B4C"/>
    <w:rsid w:val="00731760"/>
    <w:rsid w:val="00731ED9"/>
    <w:rsid w:val="0073296C"/>
    <w:rsid w:val="00733CF7"/>
    <w:rsid w:val="007349DF"/>
    <w:rsid w:val="00736745"/>
    <w:rsid w:val="0074193A"/>
    <w:rsid w:val="00742C33"/>
    <w:rsid w:val="00743A4C"/>
    <w:rsid w:val="0074519A"/>
    <w:rsid w:val="007473BC"/>
    <w:rsid w:val="00747747"/>
    <w:rsid w:val="00747DFC"/>
    <w:rsid w:val="0075054E"/>
    <w:rsid w:val="0075127E"/>
    <w:rsid w:val="007512B1"/>
    <w:rsid w:val="007537DE"/>
    <w:rsid w:val="00754D40"/>
    <w:rsid w:val="00755E88"/>
    <w:rsid w:val="00757F7B"/>
    <w:rsid w:val="007622B2"/>
    <w:rsid w:val="007629C6"/>
    <w:rsid w:val="00762BA0"/>
    <w:rsid w:val="00762C1C"/>
    <w:rsid w:val="00766E79"/>
    <w:rsid w:val="00771442"/>
    <w:rsid w:val="00772A8B"/>
    <w:rsid w:val="00773764"/>
    <w:rsid w:val="007737A5"/>
    <w:rsid w:val="00776407"/>
    <w:rsid w:val="007764C7"/>
    <w:rsid w:val="0077740E"/>
    <w:rsid w:val="00777836"/>
    <w:rsid w:val="00782986"/>
    <w:rsid w:val="00782FAD"/>
    <w:rsid w:val="007834CA"/>
    <w:rsid w:val="007842E8"/>
    <w:rsid w:val="007847D8"/>
    <w:rsid w:val="00790656"/>
    <w:rsid w:val="00790B35"/>
    <w:rsid w:val="00790CC7"/>
    <w:rsid w:val="00790E94"/>
    <w:rsid w:val="00791E26"/>
    <w:rsid w:val="00793181"/>
    <w:rsid w:val="007942F7"/>
    <w:rsid w:val="007946B9"/>
    <w:rsid w:val="007950CF"/>
    <w:rsid w:val="00795F7E"/>
    <w:rsid w:val="007A0DAB"/>
    <w:rsid w:val="007A2B8E"/>
    <w:rsid w:val="007A2C03"/>
    <w:rsid w:val="007A46DD"/>
    <w:rsid w:val="007A475A"/>
    <w:rsid w:val="007A5A3C"/>
    <w:rsid w:val="007A5C93"/>
    <w:rsid w:val="007A7416"/>
    <w:rsid w:val="007A7E99"/>
    <w:rsid w:val="007B2E79"/>
    <w:rsid w:val="007B588A"/>
    <w:rsid w:val="007B5C82"/>
    <w:rsid w:val="007B6C55"/>
    <w:rsid w:val="007B7A99"/>
    <w:rsid w:val="007C0CA6"/>
    <w:rsid w:val="007C0FDA"/>
    <w:rsid w:val="007C2D64"/>
    <w:rsid w:val="007C376B"/>
    <w:rsid w:val="007C406C"/>
    <w:rsid w:val="007C5B59"/>
    <w:rsid w:val="007C5BEB"/>
    <w:rsid w:val="007C6286"/>
    <w:rsid w:val="007C62D5"/>
    <w:rsid w:val="007C662C"/>
    <w:rsid w:val="007D186E"/>
    <w:rsid w:val="007D2437"/>
    <w:rsid w:val="007D31AB"/>
    <w:rsid w:val="007D3BD4"/>
    <w:rsid w:val="007D40B6"/>
    <w:rsid w:val="007D45EE"/>
    <w:rsid w:val="007D5C36"/>
    <w:rsid w:val="007D65B2"/>
    <w:rsid w:val="007D6BDC"/>
    <w:rsid w:val="007D6C4C"/>
    <w:rsid w:val="007D6CDC"/>
    <w:rsid w:val="007D7141"/>
    <w:rsid w:val="007D72B1"/>
    <w:rsid w:val="007D750B"/>
    <w:rsid w:val="007E0EA4"/>
    <w:rsid w:val="007E2817"/>
    <w:rsid w:val="007E5BA3"/>
    <w:rsid w:val="007F1B1F"/>
    <w:rsid w:val="007F1E5D"/>
    <w:rsid w:val="007F69DD"/>
    <w:rsid w:val="007F75E2"/>
    <w:rsid w:val="00801905"/>
    <w:rsid w:val="00802F71"/>
    <w:rsid w:val="0080612B"/>
    <w:rsid w:val="008065E0"/>
    <w:rsid w:val="008076CF"/>
    <w:rsid w:val="008112DB"/>
    <w:rsid w:val="00811FBE"/>
    <w:rsid w:val="00815EFF"/>
    <w:rsid w:val="00820441"/>
    <w:rsid w:val="00820718"/>
    <w:rsid w:val="00822E8C"/>
    <w:rsid w:val="008249B1"/>
    <w:rsid w:val="0082500E"/>
    <w:rsid w:val="008263CB"/>
    <w:rsid w:val="008307DF"/>
    <w:rsid w:val="00833BAF"/>
    <w:rsid w:val="00836741"/>
    <w:rsid w:val="00841BEA"/>
    <w:rsid w:val="008424E5"/>
    <w:rsid w:val="00846A60"/>
    <w:rsid w:val="00847753"/>
    <w:rsid w:val="00851048"/>
    <w:rsid w:val="008516CC"/>
    <w:rsid w:val="00851CCD"/>
    <w:rsid w:val="008524D9"/>
    <w:rsid w:val="0085342D"/>
    <w:rsid w:val="008556B3"/>
    <w:rsid w:val="00855B56"/>
    <w:rsid w:val="0085630C"/>
    <w:rsid w:val="00856A02"/>
    <w:rsid w:val="008576C8"/>
    <w:rsid w:val="00857DBA"/>
    <w:rsid w:val="00863B51"/>
    <w:rsid w:val="00866F58"/>
    <w:rsid w:val="00867D8B"/>
    <w:rsid w:val="00872CB2"/>
    <w:rsid w:val="00872F84"/>
    <w:rsid w:val="00873C7E"/>
    <w:rsid w:val="00876840"/>
    <w:rsid w:val="00876897"/>
    <w:rsid w:val="008777E3"/>
    <w:rsid w:val="00883CD6"/>
    <w:rsid w:val="008840C1"/>
    <w:rsid w:val="0088429C"/>
    <w:rsid w:val="00884B56"/>
    <w:rsid w:val="00887AC2"/>
    <w:rsid w:val="00890A75"/>
    <w:rsid w:val="00891A5A"/>
    <w:rsid w:val="00892234"/>
    <w:rsid w:val="008930DD"/>
    <w:rsid w:val="008939A9"/>
    <w:rsid w:val="00894638"/>
    <w:rsid w:val="00894714"/>
    <w:rsid w:val="00896060"/>
    <w:rsid w:val="008A1685"/>
    <w:rsid w:val="008A51EB"/>
    <w:rsid w:val="008A5C35"/>
    <w:rsid w:val="008B3E86"/>
    <w:rsid w:val="008B465F"/>
    <w:rsid w:val="008B5885"/>
    <w:rsid w:val="008B5DAD"/>
    <w:rsid w:val="008B64CB"/>
    <w:rsid w:val="008B7866"/>
    <w:rsid w:val="008C1BB8"/>
    <w:rsid w:val="008C1EA4"/>
    <w:rsid w:val="008C234E"/>
    <w:rsid w:val="008C44FF"/>
    <w:rsid w:val="008C67E8"/>
    <w:rsid w:val="008C7C24"/>
    <w:rsid w:val="008D06F9"/>
    <w:rsid w:val="008D10FC"/>
    <w:rsid w:val="008D3849"/>
    <w:rsid w:val="008D5989"/>
    <w:rsid w:val="008D5C34"/>
    <w:rsid w:val="008D7D58"/>
    <w:rsid w:val="008D7D63"/>
    <w:rsid w:val="008E09D9"/>
    <w:rsid w:val="008E109B"/>
    <w:rsid w:val="008E13D9"/>
    <w:rsid w:val="008E1812"/>
    <w:rsid w:val="008E18A6"/>
    <w:rsid w:val="008E2100"/>
    <w:rsid w:val="008E4880"/>
    <w:rsid w:val="008E6762"/>
    <w:rsid w:val="008E6E98"/>
    <w:rsid w:val="008E7764"/>
    <w:rsid w:val="008F0D8C"/>
    <w:rsid w:val="008F0DC5"/>
    <w:rsid w:val="008F325C"/>
    <w:rsid w:val="008F341F"/>
    <w:rsid w:val="008F3604"/>
    <w:rsid w:val="008F4C53"/>
    <w:rsid w:val="00902C1C"/>
    <w:rsid w:val="00903132"/>
    <w:rsid w:val="009035DA"/>
    <w:rsid w:val="00904B88"/>
    <w:rsid w:val="00905FDF"/>
    <w:rsid w:val="009066DC"/>
    <w:rsid w:val="00907289"/>
    <w:rsid w:val="00907BD0"/>
    <w:rsid w:val="00907CC2"/>
    <w:rsid w:val="00910715"/>
    <w:rsid w:val="00912553"/>
    <w:rsid w:val="00912779"/>
    <w:rsid w:val="00913D6C"/>
    <w:rsid w:val="009177C4"/>
    <w:rsid w:val="0092169B"/>
    <w:rsid w:val="00921B88"/>
    <w:rsid w:val="0092303F"/>
    <w:rsid w:val="009232CF"/>
    <w:rsid w:val="00925362"/>
    <w:rsid w:val="00925E97"/>
    <w:rsid w:val="00927AB8"/>
    <w:rsid w:val="0093160C"/>
    <w:rsid w:val="00931C03"/>
    <w:rsid w:val="009320B0"/>
    <w:rsid w:val="009325D9"/>
    <w:rsid w:val="009332CF"/>
    <w:rsid w:val="00933ECF"/>
    <w:rsid w:val="00934FCB"/>
    <w:rsid w:val="00935FBB"/>
    <w:rsid w:val="00936528"/>
    <w:rsid w:val="0094123C"/>
    <w:rsid w:val="00941E1B"/>
    <w:rsid w:val="00944B04"/>
    <w:rsid w:val="00945F65"/>
    <w:rsid w:val="009507A3"/>
    <w:rsid w:val="009510E0"/>
    <w:rsid w:val="00951FA2"/>
    <w:rsid w:val="00952F50"/>
    <w:rsid w:val="00953D3A"/>
    <w:rsid w:val="00954C9A"/>
    <w:rsid w:val="00954FED"/>
    <w:rsid w:val="00960208"/>
    <w:rsid w:val="009602A7"/>
    <w:rsid w:val="009603D7"/>
    <w:rsid w:val="009635A3"/>
    <w:rsid w:val="0096489D"/>
    <w:rsid w:val="00964A25"/>
    <w:rsid w:val="00964A2F"/>
    <w:rsid w:val="00965C2F"/>
    <w:rsid w:val="009660A5"/>
    <w:rsid w:val="00967E80"/>
    <w:rsid w:val="0097132E"/>
    <w:rsid w:val="009723F7"/>
    <w:rsid w:val="009724DC"/>
    <w:rsid w:val="00972981"/>
    <w:rsid w:val="00972DC9"/>
    <w:rsid w:val="009736F3"/>
    <w:rsid w:val="009765E0"/>
    <w:rsid w:val="009766F0"/>
    <w:rsid w:val="00977247"/>
    <w:rsid w:val="009778DD"/>
    <w:rsid w:val="00980452"/>
    <w:rsid w:val="009815F7"/>
    <w:rsid w:val="00982D8D"/>
    <w:rsid w:val="009851F2"/>
    <w:rsid w:val="00986068"/>
    <w:rsid w:val="00986CFD"/>
    <w:rsid w:val="00987E45"/>
    <w:rsid w:val="0099148E"/>
    <w:rsid w:val="00992086"/>
    <w:rsid w:val="00992BE8"/>
    <w:rsid w:val="00992D5A"/>
    <w:rsid w:val="009935B9"/>
    <w:rsid w:val="009955C1"/>
    <w:rsid w:val="00995BD1"/>
    <w:rsid w:val="00996EF2"/>
    <w:rsid w:val="00997BFF"/>
    <w:rsid w:val="009A0F9B"/>
    <w:rsid w:val="009A2063"/>
    <w:rsid w:val="009A322E"/>
    <w:rsid w:val="009A4A79"/>
    <w:rsid w:val="009A6C56"/>
    <w:rsid w:val="009B1439"/>
    <w:rsid w:val="009B4287"/>
    <w:rsid w:val="009B4328"/>
    <w:rsid w:val="009B518E"/>
    <w:rsid w:val="009B605F"/>
    <w:rsid w:val="009B70F5"/>
    <w:rsid w:val="009C0B19"/>
    <w:rsid w:val="009C185B"/>
    <w:rsid w:val="009C1A58"/>
    <w:rsid w:val="009C782F"/>
    <w:rsid w:val="009D04AB"/>
    <w:rsid w:val="009D0634"/>
    <w:rsid w:val="009D08E8"/>
    <w:rsid w:val="009D0BBD"/>
    <w:rsid w:val="009D2202"/>
    <w:rsid w:val="009D27CD"/>
    <w:rsid w:val="009D53D3"/>
    <w:rsid w:val="009D5B9D"/>
    <w:rsid w:val="009D6C6F"/>
    <w:rsid w:val="009D70E3"/>
    <w:rsid w:val="009D7583"/>
    <w:rsid w:val="009E0737"/>
    <w:rsid w:val="009E0B9C"/>
    <w:rsid w:val="009E253D"/>
    <w:rsid w:val="009E506D"/>
    <w:rsid w:val="009E5FE4"/>
    <w:rsid w:val="009E62C6"/>
    <w:rsid w:val="009E7008"/>
    <w:rsid w:val="009E7836"/>
    <w:rsid w:val="009F4618"/>
    <w:rsid w:val="009F6777"/>
    <w:rsid w:val="009F699A"/>
    <w:rsid w:val="009F7319"/>
    <w:rsid w:val="00A060EC"/>
    <w:rsid w:val="00A10CB7"/>
    <w:rsid w:val="00A1168E"/>
    <w:rsid w:val="00A11709"/>
    <w:rsid w:val="00A125C6"/>
    <w:rsid w:val="00A132BE"/>
    <w:rsid w:val="00A1331C"/>
    <w:rsid w:val="00A138FB"/>
    <w:rsid w:val="00A13D2D"/>
    <w:rsid w:val="00A142F9"/>
    <w:rsid w:val="00A15258"/>
    <w:rsid w:val="00A1712D"/>
    <w:rsid w:val="00A2055E"/>
    <w:rsid w:val="00A21D89"/>
    <w:rsid w:val="00A22BE6"/>
    <w:rsid w:val="00A240E5"/>
    <w:rsid w:val="00A247B2"/>
    <w:rsid w:val="00A26BBA"/>
    <w:rsid w:val="00A2708C"/>
    <w:rsid w:val="00A27B81"/>
    <w:rsid w:val="00A313A1"/>
    <w:rsid w:val="00A314FC"/>
    <w:rsid w:val="00A323BF"/>
    <w:rsid w:val="00A32D25"/>
    <w:rsid w:val="00A33937"/>
    <w:rsid w:val="00A3539F"/>
    <w:rsid w:val="00A37BAD"/>
    <w:rsid w:val="00A41317"/>
    <w:rsid w:val="00A4173E"/>
    <w:rsid w:val="00A42232"/>
    <w:rsid w:val="00A43372"/>
    <w:rsid w:val="00A43BBF"/>
    <w:rsid w:val="00A43E26"/>
    <w:rsid w:val="00A47AB8"/>
    <w:rsid w:val="00A47BD3"/>
    <w:rsid w:val="00A522E8"/>
    <w:rsid w:val="00A52911"/>
    <w:rsid w:val="00A532A6"/>
    <w:rsid w:val="00A544EC"/>
    <w:rsid w:val="00A54A5E"/>
    <w:rsid w:val="00A561D5"/>
    <w:rsid w:val="00A67B79"/>
    <w:rsid w:val="00A73A30"/>
    <w:rsid w:val="00A74591"/>
    <w:rsid w:val="00A74814"/>
    <w:rsid w:val="00A7568F"/>
    <w:rsid w:val="00A75835"/>
    <w:rsid w:val="00A76668"/>
    <w:rsid w:val="00A77000"/>
    <w:rsid w:val="00A772D0"/>
    <w:rsid w:val="00A77440"/>
    <w:rsid w:val="00A77BBB"/>
    <w:rsid w:val="00A8060E"/>
    <w:rsid w:val="00A80BD2"/>
    <w:rsid w:val="00A8445D"/>
    <w:rsid w:val="00A84B67"/>
    <w:rsid w:val="00A852AD"/>
    <w:rsid w:val="00A8568A"/>
    <w:rsid w:val="00A90008"/>
    <w:rsid w:val="00A907F8"/>
    <w:rsid w:val="00A91256"/>
    <w:rsid w:val="00A91717"/>
    <w:rsid w:val="00A92227"/>
    <w:rsid w:val="00A93ACC"/>
    <w:rsid w:val="00A960FC"/>
    <w:rsid w:val="00A96960"/>
    <w:rsid w:val="00A96D2E"/>
    <w:rsid w:val="00AA3BC2"/>
    <w:rsid w:val="00AA4FE3"/>
    <w:rsid w:val="00AA5C7A"/>
    <w:rsid w:val="00AB1235"/>
    <w:rsid w:val="00AB1548"/>
    <w:rsid w:val="00AB180F"/>
    <w:rsid w:val="00AB1DF4"/>
    <w:rsid w:val="00AB26D1"/>
    <w:rsid w:val="00AB4976"/>
    <w:rsid w:val="00AB52E4"/>
    <w:rsid w:val="00AB5806"/>
    <w:rsid w:val="00AC1C3E"/>
    <w:rsid w:val="00AC2E71"/>
    <w:rsid w:val="00AC304A"/>
    <w:rsid w:val="00AC45B4"/>
    <w:rsid w:val="00AC4F6A"/>
    <w:rsid w:val="00AC4FA8"/>
    <w:rsid w:val="00AC52B5"/>
    <w:rsid w:val="00AC709B"/>
    <w:rsid w:val="00AD1F0C"/>
    <w:rsid w:val="00AD2A39"/>
    <w:rsid w:val="00AD33A0"/>
    <w:rsid w:val="00AD52C2"/>
    <w:rsid w:val="00AD5954"/>
    <w:rsid w:val="00AD6372"/>
    <w:rsid w:val="00AE0F61"/>
    <w:rsid w:val="00AE3135"/>
    <w:rsid w:val="00AE55E1"/>
    <w:rsid w:val="00AE5D69"/>
    <w:rsid w:val="00AE5E89"/>
    <w:rsid w:val="00AF0403"/>
    <w:rsid w:val="00AF0B7B"/>
    <w:rsid w:val="00AF309C"/>
    <w:rsid w:val="00AF334E"/>
    <w:rsid w:val="00AF33E5"/>
    <w:rsid w:val="00AF4598"/>
    <w:rsid w:val="00AF55D9"/>
    <w:rsid w:val="00AF6E11"/>
    <w:rsid w:val="00B0080F"/>
    <w:rsid w:val="00B009AC"/>
    <w:rsid w:val="00B0119F"/>
    <w:rsid w:val="00B03CA9"/>
    <w:rsid w:val="00B067A4"/>
    <w:rsid w:val="00B07320"/>
    <w:rsid w:val="00B1135D"/>
    <w:rsid w:val="00B113E7"/>
    <w:rsid w:val="00B119AC"/>
    <w:rsid w:val="00B138B5"/>
    <w:rsid w:val="00B13E59"/>
    <w:rsid w:val="00B1430A"/>
    <w:rsid w:val="00B14586"/>
    <w:rsid w:val="00B14855"/>
    <w:rsid w:val="00B154D6"/>
    <w:rsid w:val="00B169E7"/>
    <w:rsid w:val="00B20BD7"/>
    <w:rsid w:val="00B219EE"/>
    <w:rsid w:val="00B23535"/>
    <w:rsid w:val="00B237EA"/>
    <w:rsid w:val="00B24915"/>
    <w:rsid w:val="00B25CB4"/>
    <w:rsid w:val="00B26D6A"/>
    <w:rsid w:val="00B272D6"/>
    <w:rsid w:val="00B27FB7"/>
    <w:rsid w:val="00B27FD4"/>
    <w:rsid w:val="00B30A22"/>
    <w:rsid w:val="00B30F6A"/>
    <w:rsid w:val="00B31149"/>
    <w:rsid w:val="00B311EA"/>
    <w:rsid w:val="00B31435"/>
    <w:rsid w:val="00B31DEA"/>
    <w:rsid w:val="00B33DC9"/>
    <w:rsid w:val="00B3408D"/>
    <w:rsid w:val="00B3474E"/>
    <w:rsid w:val="00B35B0E"/>
    <w:rsid w:val="00B35CCC"/>
    <w:rsid w:val="00B36F6A"/>
    <w:rsid w:val="00B377C3"/>
    <w:rsid w:val="00B41C23"/>
    <w:rsid w:val="00B420FB"/>
    <w:rsid w:val="00B424D1"/>
    <w:rsid w:val="00B43ECC"/>
    <w:rsid w:val="00B45EFA"/>
    <w:rsid w:val="00B565A9"/>
    <w:rsid w:val="00B61939"/>
    <w:rsid w:val="00B61F98"/>
    <w:rsid w:val="00B63E70"/>
    <w:rsid w:val="00B65DEB"/>
    <w:rsid w:val="00B66118"/>
    <w:rsid w:val="00B70617"/>
    <w:rsid w:val="00B70758"/>
    <w:rsid w:val="00B7086C"/>
    <w:rsid w:val="00B72E09"/>
    <w:rsid w:val="00B73426"/>
    <w:rsid w:val="00B761D0"/>
    <w:rsid w:val="00B761D8"/>
    <w:rsid w:val="00B76939"/>
    <w:rsid w:val="00B80470"/>
    <w:rsid w:val="00B81266"/>
    <w:rsid w:val="00B8137F"/>
    <w:rsid w:val="00B81CC3"/>
    <w:rsid w:val="00B84A6C"/>
    <w:rsid w:val="00B863BE"/>
    <w:rsid w:val="00B87F2C"/>
    <w:rsid w:val="00B90242"/>
    <w:rsid w:val="00B91763"/>
    <w:rsid w:val="00B92E77"/>
    <w:rsid w:val="00B94926"/>
    <w:rsid w:val="00B95FC6"/>
    <w:rsid w:val="00B963E7"/>
    <w:rsid w:val="00B96C27"/>
    <w:rsid w:val="00B97B5E"/>
    <w:rsid w:val="00BA0498"/>
    <w:rsid w:val="00BA0613"/>
    <w:rsid w:val="00BA0B2E"/>
    <w:rsid w:val="00BA1534"/>
    <w:rsid w:val="00BA1913"/>
    <w:rsid w:val="00BA1B83"/>
    <w:rsid w:val="00BA2656"/>
    <w:rsid w:val="00BA6311"/>
    <w:rsid w:val="00BB0BAB"/>
    <w:rsid w:val="00BB4B38"/>
    <w:rsid w:val="00BB4D0F"/>
    <w:rsid w:val="00BB6931"/>
    <w:rsid w:val="00BB6B9D"/>
    <w:rsid w:val="00BB6CF5"/>
    <w:rsid w:val="00BB74D6"/>
    <w:rsid w:val="00BB74E1"/>
    <w:rsid w:val="00BB7E2C"/>
    <w:rsid w:val="00BC333B"/>
    <w:rsid w:val="00BC4756"/>
    <w:rsid w:val="00BC5B20"/>
    <w:rsid w:val="00BC62CE"/>
    <w:rsid w:val="00BC644F"/>
    <w:rsid w:val="00BC6AEF"/>
    <w:rsid w:val="00BC71A4"/>
    <w:rsid w:val="00BC71D3"/>
    <w:rsid w:val="00BC7846"/>
    <w:rsid w:val="00BD027E"/>
    <w:rsid w:val="00BD02C1"/>
    <w:rsid w:val="00BD149E"/>
    <w:rsid w:val="00BD4A8F"/>
    <w:rsid w:val="00BD756C"/>
    <w:rsid w:val="00BD7CAE"/>
    <w:rsid w:val="00BE0AE1"/>
    <w:rsid w:val="00BE1916"/>
    <w:rsid w:val="00BE1B9D"/>
    <w:rsid w:val="00BE1C0A"/>
    <w:rsid w:val="00BE47B4"/>
    <w:rsid w:val="00BE5ED3"/>
    <w:rsid w:val="00BE78E9"/>
    <w:rsid w:val="00BF1DF1"/>
    <w:rsid w:val="00BF2E47"/>
    <w:rsid w:val="00BF4A76"/>
    <w:rsid w:val="00BF5E89"/>
    <w:rsid w:val="00C00B20"/>
    <w:rsid w:val="00C011A5"/>
    <w:rsid w:val="00C0268C"/>
    <w:rsid w:val="00C03E32"/>
    <w:rsid w:val="00C069F4"/>
    <w:rsid w:val="00C06BAB"/>
    <w:rsid w:val="00C071FC"/>
    <w:rsid w:val="00C0786D"/>
    <w:rsid w:val="00C07BAE"/>
    <w:rsid w:val="00C11323"/>
    <w:rsid w:val="00C13C59"/>
    <w:rsid w:val="00C149DF"/>
    <w:rsid w:val="00C15057"/>
    <w:rsid w:val="00C17039"/>
    <w:rsid w:val="00C2018D"/>
    <w:rsid w:val="00C21161"/>
    <w:rsid w:val="00C21983"/>
    <w:rsid w:val="00C21E21"/>
    <w:rsid w:val="00C24D9E"/>
    <w:rsid w:val="00C253C1"/>
    <w:rsid w:val="00C2648E"/>
    <w:rsid w:val="00C32ED1"/>
    <w:rsid w:val="00C335DC"/>
    <w:rsid w:val="00C34C2D"/>
    <w:rsid w:val="00C34CCF"/>
    <w:rsid w:val="00C35A4F"/>
    <w:rsid w:val="00C35B94"/>
    <w:rsid w:val="00C36035"/>
    <w:rsid w:val="00C36785"/>
    <w:rsid w:val="00C373D5"/>
    <w:rsid w:val="00C37C47"/>
    <w:rsid w:val="00C410C3"/>
    <w:rsid w:val="00C411E4"/>
    <w:rsid w:val="00C42AF7"/>
    <w:rsid w:val="00C43AA7"/>
    <w:rsid w:val="00C43E1A"/>
    <w:rsid w:val="00C442CE"/>
    <w:rsid w:val="00C44604"/>
    <w:rsid w:val="00C4473B"/>
    <w:rsid w:val="00C44B5A"/>
    <w:rsid w:val="00C44FD2"/>
    <w:rsid w:val="00C45567"/>
    <w:rsid w:val="00C466D7"/>
    <w:rsid w:val="00C4678B"/>
    <w:rsid w:val="00C478DD"/>
    <w:rsid w:val="00C504FF"/>
    <w:rsid w:val="00C506BF"/>
    <w:rsid w:val="00C51FD4"/>
    <w:rsid w:val="00C5240F"/>
    <w:rsid w:val="00C5436D"/>
    <w:rsid w:val="00C55A0B"/>
    <w:rsid w:val="00C56880"/>
    <w:rsid w:val="00C57604"/>
    <w:rsid w:val="00C612EC"/>
    <w:rsid w:val="00C623A2"/>
    <w:rsid w:val="00C6413E"/>
    <w:rsid w:val="00C64DE7"/>
    <w:rsid w:val="00C654C5"/>
    <w:rsid w:val="00C66F98"/>
    <w:rsid w:val="00C67CCC"/>
    <w:rsid w:val="00C71329"/>
    <w:rsid w:val="00C73A87"/>
    <w:rsid w:val="00C74429"/>
    <w:rsid w:val="00C744A5"/>
    <w:rsid w:val="00C7486B"/>
    <w:rsid w:val="00C7563E"/>
    <w:rsid w:val="00C7581A"/>
    <w:rsid w:val="00C76201"/>
    <w:rsid w:val="00C771C9"/>
    <w:rsid w:val="00C77295"/>
    <w:rsid w:val="00C7732B"/>
    <w:rsid w:val="00C80270"/>
    <w:rsid w:val="00C827C0"/>
    <w:rsid w:val="00C82828"/>
    <w:rsid w:val="00C834BA"/>
    <w:rsid w:val="00C837FC"/>
    <w:rsid w:val="00C83DC8"/>
    <w:rsid w:val="00C86A03"/>
    <w:rsid w:val="00C9084E"/>
    <w:rsid w:val="00C926CF"/>
    <w:rsid w:val="00C94CCB"/>
    <w:rsid w:val="00C9590B"/>
    <w:rsid w:val="00C968B7"/>
    <w:rsid w:val="00C96AC6"/>
    <w:rsid w:val="00C96CDB"/>
    <w:rsid w:val="00C96FC6"/>
    <w:rsid w:val="00C97055"/>
    <w:rsid w:val="00C97F15"/>
    <w:rsid w:val="00CA5FDA"/>
    <w:rsid w:val="00CA7A63"/>
    <w:rsid w:val="00CB20FD"/>
    <w:rsid w:val="00CB31B0"/>
    <w:rsid w:val="00CB40C7"/>
    <w:rsid w:val="00CB467A"/>
    <w:rsid w:val="00CB4D27"/>
    <w:rsid w:val="00CB5EFD"/>
    <w:rsid w:val="00CB6E77"/>
    <w:rsid w:val="00CB7F8B"/>
    <w:rsid w:val="00CC0851"/>
    <w:rsid w:val="00CC0CBD"/>
    <w:rsid w:val="00CC13DD"/>
    <w:rsid w:val="00CC36F5"/>
    <w:rsid w:val="00CC3AB5"/>
    <w:rsid w:val="00CC44E0"/>
    <w:rsid w:val="00CC4E58"/>
    <w:rsid w:val="00CC5590"/>
    <w:rsid w:val="00CC6AF6"/>
    <w:rsid w:val="00CC7107"/>
    <w:rsid w:val="00CD0405"/>
    <w:rsid w:val="00CD1014"/>
    <w:rsid w:val="00CD47EF"/>
    <w:rsid w:val="00CD7C26"/>
    <w:rsid w:val="00CD7F33"/>
    <w:rsid w:val="00CE0D31"/>
    <w:rsid w:val="00CE1AF6"/>
    <w:rsid w:val="00CE2732"/>
    <w:rsid w:val="00CE4BDC"/>
    <w:rsid w:val="00CE520E"/>
    <w:rsid w:val="00CE5A15"/>
    <w:rsid w:val="00CE6B7C"/>
    <w:rsid w:val="00CE71ED"/>
    <w:rsid w:val="00CF033C"/>
    <w:rsid w:val="00CF1747"/>
    <w:rsid w:val="00CF1CBB"/>
    <w:rsid w:val="00CF22DC"/>
    <w:rsid w:val="00CF2397"/>
    <w:rsid w:val="00CF26FF"/>
    <w:rsid w:val="00CF2A52"/>
    <w:rsid w:val="00CF38FB"/>
    <w:rsid w:val="00CF5341"/>
    <w:rsid w:val="00CF571E"/>
    <w:rsid w:val="00CF5D41"/>
    <w:rsid w:val="00CF6221"/>
    <w:rsid w:val="00D004F6"/>
    <w:rsid w:val="00D010F5"/>
    <w:rsid w:val="00D016CE"/>
    <w:rsid w:val="00D02E11"/>
    <w:rsid w:val="00D039EF"/>
    <w:rsid w:val="00D03FF1"/>
    <w:rsid w:val="00D047E7"/>
    <w:rsid w:val="00D04971"/>
    <w:rsid w:val="00D04AFB"/>
    <w:rsid w:val="00D04EFE"/>
    <w:rsid w:val="00D05594"/>
    <w:rsid w:val="00D059F1"/>
    <w:rsid w:val="00D063A0"/>
    <w:rsid w:val="00D06500"/>
    <w:rsid w:val="00D07CE5"/>
    <w:rsid w:val="00D11AA0"/>
    <w:rsid w:val="00D1649C"/>
    <w:rsid w:val="00D204C7"/>
    <w:rsid w:val="00D21914"/>
    <w:rsid w:val="00D223AD"/>
    <w:rsid w:val="00D23DBF"/>
    <w:rsid w:val="00D24E0D"/>
    <w:rsid w:val="00D267E1"/>
    <w:rsid w:val="00D3163C"/>
    <w:rsid w:val="00D320C5"/>
    <w:rsid w:val="00D32DC7"/>
    <w:rsid w:val="00D344DA"/>
    <w:rsid w:val="00D34827"/>
    <w:rsid w:val="00D35B5D"/>
    <w:rsid w:val="00D36F36"/>
    <w:rsid w:val="00D37DFB"/>
    <w:rsid w:val="00D40438"/>
    <w:rsid w:val="00D43D4E"/>
    <w:rsid w:val="00D44128"/>
    <w:rsid w:val="00D4546E"/>
    <w:rsid w:val="00D45643"/>
    <w:rsid w:val="00D459AF"/>
    <w:rsid w:val="00D462FA"/>
    <w:rsid w:val="00D464A0"/>
    <w:rsid w:val="00D464C5"/>
    <w:rsid w:val="00D50DC1"/>
    <w:rsid w:val="00D513DE"/>
    <w:rsid w:val="00D55645"/>
    <w:rsid w:val="00D55B68"/>
    <w:rsid w:val="00D57B6A"/>
    <w:rsid w:val="00D604B9"/>
    <w:rsid w:val="00D6115E"/>
    <w:rsid w:val="00D6219E"/>
    <w:rsid w:val="00D62FCE"/>
    <w:rsid w:val="00D63A05"/>
    <w:rsid w:val="00D63C74"/>
    <w:rsid w:val="00D647B9"/>
    <w:rsid w:val="00D64B0F"/>
    <w:rsid w:val="00D6529E"/>
    <w:rsid w:val="00D65F4B"/>
    <w:rsid w:val="00D70F58"/>
    <w:rsid w:val="00D7191B"/>
    <w:rsid w:val="00D72DC3"/>
    <w:rsid w:val="00D733DF"/>
    <w:rsid w:val="00D74284"/>
    <w:rsid w:val="00D75624"/>
    <w:rsid w:val="00D76D04"/>
    <w:rsid w:val="00D8046F"/>
    <w:rsid w:val="00D87551"/>
    <w:rsid w:val="00D90196"/>
    <w:rsid w:val="00D902E6"/>
    <w:rsid w:val="00D90A48"/>
    <w:rsid w:val="00D94C60"/>
    <w:rsid w:val="00D9762A"/>
    <w:rsid w:val="00DA019C"/>
    <w:rsid w:val="00DA1DFC"/>
    <w:rsid w:val="00DA3F2D"/>
    <w:rsid w:val="00DA6882"/>
    <w:rsid w:val="00DA6A09"/>
    <w:rsid w:val="00DA7E00"/>
    <w:rsid w:val="00DB254F"/>
    <w:rsid w:val="00DB2761"/>
    <w:rsid w:val="00DB2D67"/>
    <w:rsid w:val="00DB501D"/>
    <w:rsid w:val="00DB6411"/>
    <w:rsid w:val="00DB6A90"/>
    <w:rsid w:val="00DC2F3A"/>
    <w:rsid w:val="00DC337B"/>
    <w:rsid w:val="00DC3510"/>
    <w:rsid w:val="00DC4B9A"/>
    <w:rsid w:val="00DC548E"/>
    <w:rsid w:val="00DC5528"/>
    <w:rsid w:val="00DD3333"/>
    <w:rsid w:val="00DD3CD3"/>
    <w:rsid w:val="00DD46AA"/>
    <w:rsid w:val="00DD530B"/>
    <w:rsid w:val="00DD5C2E"/>
    <w:rsid w:val="00DD60E7"/>
    <w:rsid w:val="00DE065F"/>
    <w:rsid w:val="00DE1F01"/>
    <w:rsid w:val="00DE2541"/>
    <w:rsid w:val="00DE55A2"/>
    <w:rsid w:val="00DE5B2E"/>
    <w:rsid w:val="00DE5D27"/>
    <w:rsid w:val="00DE6E09"/>
    <w:rsid w:val="00DF2217"/>
    <w:rsid w:val="00DF25A0"/>
    <w:rsid w:val="00DF4486"/>
    <w:rsid w:val="00DF4D7F"/>
    <w:rsid w:val="00DF5C43"/>
    <w:rsid w:val="00DF6984"/>
    <w:rsid w:val="00DF6C82"/>
    <w:rsid w:val="00E013EA"/>
    <w:rsid w:val="00E01BCD"/>
    <w:rsid w:val="00E04FD2"/>
    <w:rsid w:val="00E04FF4"/>
    <w:rsid w:val="00E06677"/>
    <w:rsid w:val="00E07889"/>
    <w:rsid w:val="00E10738"/>
    <w:rsid w:val="00E10B2B"/>
    <w:rsid w:val="00E12F13"/>
    <w:rsid w:val="00E138FE"/>
    <w:rsid w:val="00E13DA4"/>
    <w:rsid w:val="00E146A0"/>
    <w:rsid w:val="00E16F4C"/>
    <w:rsid w:val="00E17E1F"/>
    <w:rsid w:val="00E2172C"/>
    <w:rsid w:val="00E25028"/>
    <w:rsid w:val="00E26003"/>
    <w:rsid w:val="00E27142"/>
    <w:rsid w:val="00E27C2D"/>
    <w:rsid w:val="00E314EA"/>
    <w:rsid w:val="00E31B4E"/>
    <w:rsid w:val="00E31F75"/>
    <w:rsid w:val="00E322ED"/>
    <w:rsid w:val="00E32610"/>
    <w:rsid w:val="00E3268E"/>
    <w:rsid w:val="00E3279F"/>
    <w:rsid w:val="00E333F9"/>
    <w:rsid w:val="00E34916"/>
    <w:rsid w:val="00E34F00"/>
    <w:rsid w:val="00E37000"/>
    <w:rsid w:val="00E37388"/>
    <w:rsid w:val="00E4181E"/>
    <w:rsid w:val="00E4183C"/>
    <w:rsid w:val="00E42891"/>
    <w:rsid w:val="00E42BFF"/>
    <w:rsid w:val="00E42D23"/>
    <w:rsid w:val="00E45253"/>
    <w:rsid w:val="00E51636"/>
    <w:rsid w:val="00E5319C"/>
    <w:rsid w:val="00E5561F"/>
    <w:rsid w:val="00E5598B"/>
    <w:rsid w:val="00E6057E"/>
    <w:rsid w:val="00E62659"/>
    <w:rsid w:val="00E636B2"/>
    <w:rsid w:val="00E63A3D"/>
    <w:rsid w:val="00E641E8"/>
    <w:rsid w:val="00E6423A"/>
    <w:rsid w:val="00E66512"/>
    <w:rsid w:val="00E6691A"/>
    <w:rsid w:val="00E70B91"/>
    <w:rsid w:val="00E71F93"/>
    <w:rsid w:val="00E7215F"/>
    <w:rsid w:val="00E72B80"/>
    <w:rsid w:val="00E736CB"/>
    <w:rsid w:val="00E73D87"/>
    <w:rsid w:val="00E76E04"/>
    <w:rsid w:val="00E77ED4"/>
    <w:rsid w:val="00E8060B"/>
    <w:rsid w:val="00E81545"/>
    <w:rsid w:val="00E81A35"/>
    <w:rsid w:val="00E832D3"/>
    <w:rsid w:val="00E8574A"/>
    <w:rsid w:val="00E86C20"/>
    <w:rsid w:val="00E8710A"/>
    <w:rsid w:val="00E9252B"/>
    <w:rsid w:val="00E9317D"/>
    <w:rsid w:val="00E9344C"/>
    <w:rsid w:val="00E9380D"/>
    <w:rsid w:val="00E973B7"/>
    <w:rsid w:val="00EA05F9"/>
    <w:rsid w:val="00EA4119"/>
    <w:rsid w:val="00EA4D83"/>
    <w:rsid w:val="00EA666D"/>
    <w:rsid w:val="00EA6D24"/>
    <w:rsid w:val="00EA7DC5"/>
    <w:rsid w:val="00EB0546"/>
    <w:rsid w:val="00EB0CF7"/>
    <w:rsid w:val="00EB48E7"/>
    <w:rsid w:val="00EB6644"/>
    <w:rsid w:val="00EB6A8E"/>
    <w:rsid w:val="00EB7602"/>
    <w:rsid w:val="00EB7ED5"/>
    <w:rsid w:val="00EC00F0"/>
    <w:rsid w:val="00EC33A2"/>
    <w:rsid w:val="00EC3F27"/>
    <w:rsid w:val="00EC432A"/>
    <w:rsid w:val="00EC4F44"/>
    <w:rsid w:val="00EC5FB6"/>
    <w:rsid w:val="00EC602C"/>
    <w:rsid w:val="00ED0115"/>
    <w:rsid w:val="00ED128E"/>
    <w:rsid w:val="00ED5151"/>
    <w:rsid w:val="00ED6339"/>
    <w:rsid w:val="00ED67D3"/>
    <w:rsid w:val="00ED78D9"/>
    <w:rsid w:val="00EE04E1"/>
    <w:rsid w:val="00EE16E1"/>
    <w:rsid w:val="00EE7EC2"/>
    <w:rsid w:val="00EF01CB"/>
    <w:rsid w:val="00EF0782"/>
    <w:rsid w:val="00EF2495"/>
    <w:rsid w:val="00EF4446"/>
    <w:rsid w:val="00EF4999"/>
    <w:rsid w:val="00EF6148"/>
    <w:rsid w:val="00EF628C"/>
    <w:rsid w:val="00EF71B0"/>
    <w:rsid w:val="00EF71FE"/>
    <w:rsid w:val="00F001BD"/>
    <w:rsid w:val="00F00536"/>
    <w:rsid w:val="00F00767"/>
    <w:rsid w:val="00F01554"/>
    <w:rsid w:val="00F040A3"/>
    <w:rsid w:val="00F0567E"/>
    <w:rsid w:val="00F05732"/>
    <w:rsid w:val="00F06E2A"/>
    <w:rsid w:val="00F102D2"/>
    <w:rsid w:val="00F11B38"/>
    <w:rsid w:val="00F127B3"/>
    <w:rsid w:val="00F150F8"/>
    <w:rsid w:val="00F15671"/>
    <w:rsid w:val="00F159C8"/>
    <w:rsid w:val="00F16BF0"/>
    <w:rsid w:val="00F16C6D"/>
    <w:rsid w:val="00F174A3"/>
    <w:rsid w:val="00F2088A"/>
    <w:rsid w:val="00F22E4B"/>
    <w:rsid w:val="00F237E5"/>
    <w:rsid w:val="00F23D18"/>
    <w:rsid w:val="00F25095"/>
    <w:rsid w:val="00F25198"/>
    <w:rsid w:val="00F25DC5"/>
    <w:rsid w:val="00F26068"/>
    <w:rsid w:val="00F263B1"/>
    <w:rsid w:val="00F34631"/>
    <w:rsid w:val="00F36FA1"/>
    <w:rsid w:val="00F37D5D"/>
    <w:rsid w:val="00F47CA8"/>
    <w:rsid w:val="00F501A7"/>
    <w:rsid w:val="00F50C50"/>
    <w:rsid w:val="00F51D2C"/>
    <w:rsid w:val="00F52E67"/>
    <w:rsid w:val="00F530F8"/>
    <w:rsid w:val="00F553BD"/>
    <w:rsid w:val="00F55C35"/>
    <w:rsid w:val="00F57486"/>
    <w:rsid w:val="00F57A4F"/>
    <w:rsid w:val="00F6010B"/>
    <w:rsid w:val="00F6226F"/>
    <w:rsid w:val="00F63F20"/>
    <w:rsid w:val="00F6518B"/>
    <w:rsid w:val="00F6588E"/>
    <w:rsid w:val="00F66361"/>
    <w:rsid w:val="00F667F0"/>
    <w:rsid w:val="00F66A7E"/>
    <w:rsid w:val="00F70751"/>
    <w:rsid w:val="00F715D0"/>
    <w:rsid w:val="00F71856"/>
    <w:rsid w:val="00F72CDA"/>
    <w:rsid w:val="00F72E81"/>
    <w:rsid w:val="00F736D8"/>
    <w:rsid w:val="00F736F6"/>
    <w:rsid w:val="00F741C5"/>
    <w:rsid w:val="00F764B0"/>
    <w:rsid w:val="00F7683A"/>
    <w:rsid w:val="00F77CFE"/>
    <w:rsid w:val="00F80270"/>
    <w:rsid w:val="00F8127D"/>
    <w:rsid w:val="00F817FF"/>
    <w:rsid w:val="00F81F6D"/>
    <w:rsid w:val="00F84BC4"/>
    <w:rsid w:val="00F85CBA"/>
    <w:rsid w:val="00F866DE"/>
    <w:rsid w:val="00F87BE8"/>
    <w:rsid w:val="00F9061A"/>
    <w:rsid w:val="00F90A1B"/>
    <w:rsid w:val="00F933BE"/>
    <w:rsid w:val="00F9436E"/>
    <w:rsid w:val="00F94A1B"/>
    <w:rsid w:val="00F97E42"/>
    <w:rsid w:val="00FA1A34"/>
    <w:rsid w:val="00FA26FE"/>
    <w:rsid w:val="00FA34BD"/>
    <w:rsid w:val="00FA387E"/>
    <w:rsid w:val="00FA4E9F"/>
    <w:rsid w:val="00FA6086"/>
    <w:rsid w:val="00FB2415"/>
    <w:rsid w:val="00FB33AE"/>
    <w:rsid w:val="00FB3699"/>
    <w:rsid w:val="00FB3FCA"/>
    <w:rsid w:val="00FB40BE"/>
    <w:rsid w:val="00FB64C6"/>
    <w:rsid w:val="00FB7616"/>
    <w:rsid w:val="00FB7637"/>
    <w:rsid w:val="00FC1225"/>
    <w:rsid w:val="00FC2B78"/>
    <w:rsid w:val="00FC7402"/>
    <w:rsid w:val="00FD3FD5"/>
    <w:rsid w:val="00FD49A5"/>
    <w:rsid w:val="00FD6916"/>
    <w:rsid w:val="00FD6B24"/>
    <w:rsid w:val="00FD74ED"/>
    <w:rsid w:val="00FE25C0"/>
    <w:rsid w:val="00FE323E"/>
    <w:rsid w:val="00FE41D3"/>
    <w:rsid w:val="00FE7B07"/>
    <w:rsid w:val="00FF376F"/>
    <w:rsid w:val="00FF753F"/>
    <w:rsid w:val="00FF7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313CA"/>
  <w15:chartTrackingRefBased/>
  <w15:docId w15:val="{93A65983-4978-45D1-AA43-83E3D559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758"/>
    <w:pPr>
      <w:widowControl w:val="0"/>
    </w:pPr>
  </w:style>
  <w:style w:type="paragraph" w:styleId="1">
    <w:name w:val="heading 1"/>
    <w:basedOn w:val="a"/>
    <w:next w:val="a"/>
    <w:link w:val="10"/>
    <w:qFormat/>
    <w:rsid w:val="002527FD"/>
    <w:pPr>
      <w:keepNext/>
      <w:numPr>
        <w:ilvl w:val="5"/>
        <w:numId w:val="2"/>
      </w:numPr>
      <w:adjustRightInd w:val="0"/>
      <w:spacing w:before="180" w:after="180" w:line="720" w:lineRule="atLeast"/>
      <w:textAlignment w:val="baseline"/>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2E"/>
    <w:pPr>
      <w:tabs>
        <w:tab w:val="center" w:pos="4153"/>
        <w:tab w:val="right" w:pos="8306"/>
      </w:tabs>
      <w:snapToGrid w:val="0"/>
    </w:pPr>
  </w:style>
  <w:style w:type="character" w:customStyle="1" w:styleId="a4">
    <w:name w:val="頁首 字元"/>
    <w:link w:val="a3"/>
    <w:uiPriority w:val="99"/>
    <w:rsid w:val="009A322E"/>
    <w:rPr>
      <w:kern w:val="2"/>
    </w:rPr>
  </w:style>
  <w:style w:type="paragraph" w:styleId="a5">
    <w:name w:val="footer"/>
    <w:basedOn w:val="a"/>
    <w:link w:val="a6"/>
    <w:unhideWhenUsed/>
    <w:rsid w:val="009A322E"/>
    <w:pPr>
      <w:tabs>
        <w:tab w:val="center" w:pos="4153"/>
        <w:tab w:val="right" w:pos="8306"/>
      </w:tabs>
      <w:snapToGrid w:val="0"/>
    </w:pPr>
  </w:style>
  <w:style w:type="character" w:customStyle="1" w:styleId="a6">
    <w:name w:val="頁尾 字元"/>
    <w:link w:val="a5"/>
    <w:rsid w:val="009A322E"/>
    <w:rPr>
      <w:kern w:val="2"/>
    </w:rPr>
  </w:style>
  <w:style w:type="paragraph" w:styleId="HTML">
    <w:name w:val="HTML Preformatted"/>
    <w:basedOn w:val="a"/>
    <w:link w:val="HTML0"/>
    <w:uiPriority w:val="99"/>
    <w:rsid w:val="00252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rPr>
  </w:style>
  <w:style w:type="character" w:customStyle="1" w:styleId="HTML0">
    <w:name w:val="HTML 預設格式 字元"/>
    <w:link w:val="HTML"/>
    <w:uiPriority w:val="99"/>
    <w:rsid w:val="002527FD"/>
    <w:rPr>
      <w:rFonts w:ascii="細明體" w:eastAsia="細明體" w:hAnsi="Courier New"/>
      <w:color w:val="000000"/>
    </w:rPr>
  </w:style>
  <w:style w:type="character" w:customStyle="1" w:styleId="10">
    <w:name w:val="標題 1 字元"/>
    <w:link w:val="1"/>
    <w:rsid w:val="002527FD"/>
    <w:rPr>
      <w:rFonts w:ascii="Arial" w:hAnsi="Arial"/>
      <w:b/>
      <w:bCs/>
      <w:kern w:val="52"/>
      <w:sz w:val="52"/>
      <w:szCs w:val="52"/>
    </w:rPr>
  </w:style>
  <w:style w:type="paragraph" w:styleId="Web">
    <w:name w:val="Normal (Web)"/>
    <w:basedOn w:val="a"/>
    <w:rsid w:val="00A32D25"/>
    <w:pPr>
      <w:widowControl/>
      <w:spacing w:before="100" w:beforeAutospacing="1" w:after="100" w:afterAutospacing="1"/>
    </w:pPr>
    <w:rPr>
      <w:rFonts w:ascii="新細明體" w:hAnsi="新細明體"/>
      <w:szCs w:val="24"/>
    </w:rPr>
  </w:style>
  <w:style w:type="character" w:styleId="a7">
    <w:name w:val="Hyperlink"/>
    <w:uiPriority w:val="99"/>
    <w:semiHidden/>
    <w:unhideWhenUsed/>
    <w:rsid w:val="00E8710A"/>
    <w:rPr>
      <w:color w:val="003366"/>
      <w:u w:val="single"/>
    </w:rPr>
  </w:style>
  <w:style w:type="paragraph" w:styleId="a8">
    <w:name w:val="List Paragraph"/>
    <w:basedOn w:val="a"/>
    <w:uiPriority w:val="34"/>
    <w:qFormat/>
    <w:rsid w:val="00D40438"/>
    <w:pPr>
      <w:ind w:leftChars="200" w:left="480"/>
    </w:pPr>
  </w:style>
  <w:style w:type="paragraph" w:styleId="a9">
    <w:name w:val="Balloon Text"/>
    <w:basedOn w:val="a"/>
    <w:link w:val="aa"/>
    <w:uiPriority w:val="99"/>
    <w:semiHidden/>
    <w:unhideWhenUsed/>
    <w:rsid w:val="00B95FC6"/>
    <w:rPr>
      <w:rFonts w:ascii="Cambria" w:hAnsi="Cambria"/>
      <w:sz w:val="18"/>
      <w:szCs w:val="18"/>
    </w:rPr>
  </w:style>
  <w:style w:type="character" w:customStyle="1" w:styleId="aa">
    <w:name w:val="註解方塊文字 字元"/>
    <w:link w:val="a9"/>
    <w:uiPriority w:val="99"/>
    <w:semiHidden/>
    <w:rsid w:val="00B95FC6"/>
    <w:rPr>
      <w:rFonts w:ascii="Cambria" w:eastAsia="新細明體" w:hAnsi="Cambria" w:cs="Times New Roman"/>
      <w:kern w:val="2"/>
      <w:sz w:val="18"/>
      <w:szCs w:val="18"/>
    </w:rPr>
  </w:style>
  <w:style w:type="paragraph" w:styleId="ab">
    <w:name w:val="Body Text"/>
    <w:basedOn w:val="a"/>
    <w:link w:val="ac"/>
    <w:rsid w:val="00E07889"/>
    <w:pPr>
      <w:widowControl/>
      <w:jc w:val="both"/>
    </w:pPr>
    <w:rPr>
      <w:rFonts w:ascii="標楷體" w:eastAsia="標楷體" w:hAnsi="標楷體"/>
      <w:szCs w:val="24"/>
    </w:rPr>
  </w:style>
  <w:style w:type="character" w:customStyle="1" w:styleId="ac">
    <w:name w:val="本文 字元"/>
    <w:link w:val="ab"/>
    <w:rsid w:val="00E07889"/>
    <w:rPr>
      <w:rFonts w:ascii="標楷體" w:eastAsia="標楷體" w:hAnsi="標楷體"/>
      <w:szCs w:val="24"/>
    </w:rPr>
  </w:style>
  <w:style w:type="paragraph" w:styleId="ad">
    <w:name w:val="Body Text Indent"/>
    <w:basedOn w:val="a"/>
    <w:link w:val="ae"/>
    <w:rsid w:val="00E07889"/>
    <w:pPr>
      <w:widowControl/>
      <w:ind w:firstLine="540"/>
      <w:jc w:val="both"/>
    </w:pPr>
    <w:rPr>
      <w:rFonts w:ascii="標楷體" w:eastAsia="標楷體" w:hAnsi="標楷體"/>
      <w:szCs w:val="24"/>
    </w:rPr>
  </w:style>
  <w:style w:type="character" w:customStyle="1" w:styleId="ae">
    <w:name w:val="本文縮排 字元"/>
    <w:link w:val="ad"/>
    <w:rsid w:val="00E07889"/>
    <w:rPr>
      <w:rFonts w:ascii="標楷體" w:eastAsia="標楷體" w:hAnsi="標楷體"/>
      <w:szCs w:val="24"/>
    </w:rPr>
  </w:style>
  <w:style w:type="character" w:styleId="af">
    <w:name w:val="annotation reference"/>
    <w:rsid w:val="009635A3"/>
    <w:rPr>
      <w:sz w:val="18"/>
      <w:szCs w:val="18"/>
    </w:rPr>
  </w:style>
  <w:style w:type="paragraph" w:styleId="af0">
    <w:name w:val="annotation text"/>
    <w:basedOn w:val="a"/>
    <w:link w:val="af1"/>
    <w:rsid w:val="009635A3"/>
    <w:rPr>
      <w:rFonts w:ascii="Times New Roman" w:hAnsi="Times New Roman"/>
      <w:szCs w:val="24"/>
    </w:rPr>
  </w:style>
  <w:style w:type="character" w:customStyle="1" w:styleId="af1">
    <w:name w:val="註解文字 字元"/>
    <w:link w:val="af0"/>
    <w:rsid w:val="009635A3"/>
    <w:rPr>
      <w:rFonts w:ascii="Times New Roman" w:hAnsi="Times New Roman"/>
      <w:kern w:val="2"/>
      <w:sz w:val="24"/>
      <w:szCs w:val="24"/>
    </w:rPr>
  </w:style>
  <w:style w:type="paragraph" w:styleId="af2">
    <w:name w:val="annotation subject"/>
    <w:basedOn w:val="af0"/>
    <w:next w:val="af0"/>
    <w:link w:val="af3"/>
    <w:uiPriority w:val="99"/>
    <w:semiHidden/>
    <w:unhideWhenUsed/>
    <w:rsid w:val="009232CF"/>
    <w:rPr>
      <w:rFonts w:ascii="Calibri" w:hAnsi="Calibri"/>
      <w:b/>
      <w:bCs/>
      <w:szCs w:val="22"/>
    </w:rPr>
  </w:style>
  <w:style w:type="character" w:customStyle="1" w:styleId="af3">
    <w:name w:val="註解主旨 字元"/>
    <w:link w:val="af2"/>
    <w:uiPriority w:val="99"/>
    <w:semiHidden/>
    <w:rsid w:val="009232CF"/>
    <w:rPr>
      <w:rFonts w:ascii="Times New Roman" w:hAnsi="Times New Roman"/>
      <w:b/>
      <w:bCs/>
      <w:kern w:val="2"/>
      <w:sz w:val="24"/>
      <w:szCs w:val="22"/>
    </w:rPr>
  </w:style>
  <w:style w:type="paragraph" w:styleId="11">
    <w:name w:val="toc 1"/>
    <w:basedOn w:val="a"/>
    <w:next w:val="a"/>
    <w:autoRedefine/>
    <w:uiPriority w:val="39"/>
    <w:unhideWhenUsed/>
    <w:qFormat/>
    <w:rsid w:val="002E6248"/>
    <w:pPr>
      <w:tabs>
        <w:tab w:val="right" w:leader="dot" w:pos="9628"/>
      </w:tabs>
      <w:spacing w:before="120" w:after="120"/>
      <w:ind w:leftChars="-1" w:left="-1" w:hangingChars="1" w:hanging="2"/>
    </w:pPr>
    <w:rPr>
      <w:rFonts w:cs="Calibri"/>
      <w:b/>
      <w:bCs/>
      <w:caps/>
    </w:rPr>
  </w:style>
  <w:style w:type="paragraph" w:styleId="af4">
    <w:name w:val="Title"/>
    <w:basedOn w:val="a"/>
    <w:next w:val="a"/>
    <w:link w:val="af5"/>
    <w:uiPriority w:val="10"/>
    <w:qFormat/>
    <w:rsid w:val="0071278D"/>
    <w:pPr>
      <w:spacing w:before="240" w:after="60"/>
      <w:jc w:val="center"/>
      <w:outlineLvl w:val="0"/>
    </w:pPr>
    <w:rPr>
      <w:rFonts w:ascii="Calibri Light" w:hAnsi="Calibri Light"/>
      <w:b/>
      <w:bCs/>
      <w:sz w:val="32"/>
      <w:szCs w:val="32"/>
    </w:rPr>
  </w:style>
  <w:style w:type="character" w:customStyle="1" w:styleId="af5">
    <w:name w:val="標題 字元"/>
    <w:link w:val="af4"/>
    <w:uiPriority w:val="10"/>
    <w:rsid w:val="0071278D"/>
    <w:rPr>
      <w:rFonts w:ascii="Calibri Light" w:hAnsi="Calibri Light" w:cs="Times New Roman"/>
      <w:b/>
      <w:bCs/>
      <w:kern w:val="2"/>
      <w:sz w:val="32"/>
      <w:szCs w:val="32"/>
    </w:rPr>
  </w:style>
  <w:style w:type="character" w:customStyle="1" w:styleId="12">
    <w:name w:val="標題1 字元"/>
    <w:link w:val="13"/>
    <w:locked/>
    <w:rsid w:val="008930DD"/>
    <w:rPr>
      <w:rFonts w:ascii="標楷體" w:eastAsia="標楷體" w:hAnsi="標楷體"/>
      <w:b/>
      <w:bCs/>
      <w:kern w:val="52"/>
      <w:sz w:val="32"/>
      <w:szCs w:val="32"/>
      <w:lang w:val="x-none" w:eastAsia="x-none"/>
    </w:rPr>
  </w:style>
  <w:style w:type="paragraph" w:customStyle="1" w:styleId="13">
    <w:name w:val="標題1"/>
    <w:basedOn w:val="a"/>
    <w:link w:val="12"/>
    <w:qFormat/>
    <w:rsid w:val="008930DD"/>
    <w:pPr>
      <w:keepNext/>
      <w:spacing w:line="400" w:lineRule="exact"/>
      <w:jc w:val="center"/>
      <w:outlineLvl w:val="0"/>
    </w:pPr>
    <w:rPr>
      <w:rFonts w:ascii="標楷體" w:eastAsia="標楷體" w:hAnsi="標楷體"/>
      <w:b/>
      <w:bCs/>
      <w:kern w:val="52"/>
      <w:sz w:val="32"/>
      <w:szCs w:val="32"/>
      <w:lang w:val="x-none" w:eastAsia="x-none"/>
    </w:rPr>
  </w:style>
  <w:style w:type="table" w:styleId="af6">
    <w:name w:val="Table Grid"/>
    <w:basedOn w:val="a1"/>
    <w:uiPriority w:val="39"/>
    <w:rsid w:val="00A37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8C44FF"/>
    <w:rPr>
      <w:kern w:val="2"/>
      <w:sz w:val="24"/>
      <w:szCs w:val="22"/>
    </w:rPr>
  </w:style>
  <w:style w:type="paragraph" w:styleId="2">
    <w:name w:val="Body Text Indent 2"/>
    <w:basedOn w:val="a"/>
    <w:link w:val="20"/>
    <w:uiPriority w:val="99"/>
    <w:unhideWhenUsed/>
    <w:rsid w:val="003328D8"/>
    <w:pPr>
      <w:spacing w:after="120" w:line="480" w:lineRule="auto"/>
      <w:ind w:leftChars="200" w:left="480"/>
    </w:pPr>
  </w:style>
  <w:style w:type="character" w:customStyle="1" w:styleId="20">
    <w:name w:val="本文縮排 2 字元"/>
    <w:link w:val="2"/>
    <w:uiPriority w:val="99"/>
    <w:rsid w:val="003328D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064241">
      <w:bodyDiv w:val="1"/>
      <w:marLeft w:val="0"/>
      <w:marRight w:val="0"/>
      <w:marTop w:val="0"/>
      <w:marBottom w:val="0"/>
      <w:divBdr>
        <w:top w:val="none" w:sz="0" w:space="0" w:color="auto"/>
        <w:left w:val="none" w:sz="0" w:space="0" w:color="auto"/>
        <w:bottom w:val="none" w:sz="0" w:space="0" w:color="auto"/>
        <w:right w:val="none" w:sz="0" w:space="0" w:color="auto"/>
      </w:divBdr>
      <w:divsChild>
        <w:div w:id="584261541">
          <w:marLeft w:val="0"/>
          <w:marRight w:val="0"/>
          <w:marTop w:val="0"/>
          <w:marBottom w:val="0"/>
          <w:divBdr>
            <w:top w:val="none" w:sz="0" w:space="0" w:color="auto"/>
            <w:left w:val="none" w:sz="0" w:space="0" w:color="auto"/>
            <w:bottom w:val="none" w:sz="0" w:space="0" w:color="auto"/>
            <w:right w:val="none" w:sz="0" w:space="0" w:color="auto"/>
          </w:divBdr>
        </w:div>
      </w:divsChild>
    </w:div>
    <w:div w:id="604117538">
      <w:bodyDiv w:val="1"/>
      <w:marLeft w:val="0"/>
      <w:marRight w:val="0"/>
      <w:marTop w:val="0"/>
      <w:marBottom w:val="0"/>
      <w:divBdr>
        <w:top w:val="none" w:sz="0" w:space="0" w:color="auto"/>
        <w:left w:val="none" w:sz="0" w:space="0" w:color="auto"/>
        <w:bottom w:val="none" w:sz="0" w:space="0" w:color="auto"/>
        <w:right w:val="none" w:sz="0" w:space="0" w:color="auto"/>
      </w:divBdr>
    </w:div>
    <w:div w:id="827792879">
      <w:bodyDiv w:val="1"/>
      <w:marLeft w:val="0"/>
      <w:marRight w:val="0"/>
      <w:marTop w:val="0"/>
      <w:marBottom w:val="0"/>
      <w:divBdr>
        <w:top w:val="none" w:sz="0" w:space="0" w:color="auto"/>
        <w:left w:val="none" w:sz="0" w:space="0" w:color="auto"/>
        <w:bottom w:val="none" w:sz="0" w:space="0" w:color="auto"/>
        <w:right w:val="none" w:sz="0" w:space="0" w:color="auto"/>
      </w:divBdr>
    </w:div>
    <w:div w:id="888028608">
      <w:bodyDiv w:val="1"/>
      <w:marLeft w:val="0"/>
      <w:marRight w:val="0"/>
      <w:marTop w:val="0"/>
      <w:marBottom w:val="0"/>
      <w:divBdr>
        <w:top w:val="none" w:sz="0" w:space="0" w:color="auto"/>
        <w:left w:val="none" w:sz="0" w:space="0" w:color="auto"/>
        <w:bottom w:val="none" w:sz="0" w:space="0" w:color="auto"/>
        <w:right w:val="none" w:sz="0" w:space="0" w:color="auto"/>
      </w:divBdr>
    </w:div>
    <w:div w:id="1092165493">
      <w:bodyDiv w:val="1"/>
      <w:marLeft w:val="0"/>
      <w:marRight w:val="0"/>
      <w:marTop w:val="0"/>
      <w:marBottom w:val="0"/>
      <w:divBdr>
        <w:top w:val="none" w:sz="0" w:space="0" w:color="auto"/>
        <w:left w:val="none" w:sz="0" w:space="0" w:color="auto"/>
        <w:bottom w:val="none" w:sz="0" w:space="0" w:color="auto"/>
        <w:right w:val="none" w:sz="0" w:space="0" w:color="auto"/>
      </w:divBdr>
    </w:div>
    <w:div w:id="1562710566">
      <w:bodyDiv w:val="1"/>
      <w:marLeft w:val="0"/>
      <w:marRight w:val="0"/>
      <w:marTop w:val="0"/>
      <w:marBottom w:val="0"/>
      <w:divBdr>
        <w:top w:val="none" w:sz="0" w:space="0" w:color="auto"/>
        <w:left w:val="none" w:sz="0" w:space="0" w:color="auto"/>
        <w:bottom w:val="none" w:sz="0" w:space="0" w:color="auto"/>
        <w:right w:val="none" w:sz="0" w:space="0" w:color="auto"/>
      </w:divBdr>
    </w:div>
    <w:div w:id="1703747732">
      <w:bodyDiv w:val="1"/>
      <w:marLeft w:val="300"/>
      <w:marRight w:val="0"/>
      <w:marTop w:val="0"/>
      <w:marBottom w:val="0"/>
      <w:divBdr>
        <w:top w:val="none" w:sz="0" w:space="0" w:color="auto"/>
        <w:left w:val="none" w:sz="0" w:space="0" w:color="auto"/>
        <w:bottom w:val="none" w:sz="0" w:space="0" w:color="auto"/>
        <w:right w:val="none" w:sz="0" w:space="0" w:color="auto"/>
      </w:divBdr>
    </w:div>
    <w:div w:id="20736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B9D8A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58DE-BDCA-4683-8B8F-F581ACBC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財團法人中華民國證券櫃檯買賣中心指數股票型基金受益憑證買賣辦法部分條文修正草案條文對照表</dc:title>
  <dc:subject/>
  <dc:creator>LENOVO USER</dc:creator>
  <cp:keywords/>
  <dc:description/>
  <cp:lastModifiedBy>高婉容</cp:lastModifiedBy>
  <cp:revision>4</cp:revision>
  <cp:lastPrinted>2018-11-21T06:07:00Z</cp:lastPrinted>
  <dcterms:created xsi:type="dcterms:W3CDTF">2018-11-19T06:15:00Z</dcterms:created>
  <dcterms:modified xsi:type="dcterms:W3CDTF">2018-11-21T06:07:00Z</dcterms:modified>
</cp:coreProperties>
</file>