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9F" w:rsidRPr="00B508C5" w:rsidRDefault="004E519F">
      <w:pPr>
        <w:pStyle w:val="a9"/>
        <w:spacing w:line="360" w:lineRule="auto"/>
        <w:jc w:val="center"/>
        <w:rPr>
          <w:rFonts w:ascii="標楷體" w:eastAsia="標楷體"/>
          <w:sz w:val="36"/>
        </w:rPr>
      </w:pPr>
      <w:bookmarkStart w:id="0" w:name="_GoBack"/>
      <w:bookmarkEnd w:id="0"/>
      <w:r w:rsidRPr="00B508C5">
        <w:rPr>
          <w:rFonts w:ascii="標楷體" w:eastAsia="標楷體" w:hint="eastAsia"/>
          <w:sz w:val="36"/>
        </w:rPr>
        <w:t>新台幣計價外國債券櫃檯買賣契約</w:t>
      </w:r>
    </w:p>
    <w:p w:rsidR="004E519F" w:rsidRPr="00B508C5" w:rsidRDefault="004E519F">
      <w:pPr>
        <w:rPr>
          <w:rFonts w:ascii="標楷體" w:eastAsia="標楷體"/>
          <w:sz w:val="22"/>
        </w:rPr>
      </w:pPr>
      <w:r w:rsidRPr="00B508C5">
        <w:rPr>
          <w:rFonts w:ascii="標楷體" w:eastAsia="標楷體" w:hint="eastAsia"/>
        </w:rPr>
        <w:t xml:space="preserve">　　　</w:t>
      </w:r>
      <w:r w:rsidRPr="00B508C5">
        <w:rPr>
          <w:rFonts w:ascii="標楷體" w:eastAsia="標楷體" w:hint="eastAsia"/>
          <w:sz w:val="28"/>
        </w:rPr>
        <w:t xml:space="preserve">　　</w:t>
      </w:r>
      <w:r w:rsidRPr="00B508C5">
        <w:rPr>
          <w:rFonts w:ascii="標楷體" w:eastAsia="標楷體" w:hint="eastAsia"/>
          <w:sz w:val="22"/>
        </w:rPr>
        <w:t>公司（以下簡稱發行人）</w:t>
      </w:r>
      <w:proofErr w:type="gramStart"/>
      <w:r w:rsidRPr="00B508C5">
        <w:rPr>
          <w:rFonts w:ascii="標楷體" w:eastAsia="標楷體" w:hint="eastAsia"/>
          <w:sz w:val="22"/>
        </w:rPr>
        <w:t>暨受其</w:t>
      </w:r>
      <w:proofErr w:type="gramEnd"/>
      <w:r w:rsidRPr="00B508C5">
        <w:rPr>
          <w:rFonts w:ascii="標楷體" w:eastAsia="標楷體" w:hint="eastAsia"/>
          <w:sz w:val="22"/>
        </w:rPr>
        <w:t>委託之代理機構（以下簡稱代理人，代理人應檢附全權委託書）依據證券商營業處所買賣有價證券管理辦法第九條規定，向財團法人中華民國證券櫃檯買賣中心（以下簡稱本中心）申請其發行之新台幣計價外國債券為櫃檯買賣，經雙方同意訂立本契約，確實遵守下列條款：</w:t>
      </w:r>
    </w:p>
    <w:p w:rsidR="004E519F" w:rsidRPr="00B508C5" w:rsidRDefault="004E519F">
      <w:pPr>
        <w:tabs>
          <w:tab w:val="num" w:pos="1287"/>
        </w:tabs>
        <w:ind w:left="960"/>
        <w:rPr>
          <w:rFonts w:ascii="標楷體" w:eastAsia="標楷體"/>
          <w:sz w:val="22"/>
        </w:rPr>
      </w:pPr>
      <w:r w:rsidRPr="00B508C5">
        <w:rPr>
          <w:rFonts w:ascii="標楷體" w:eastAsia="標楷體" w:hint="eastAsia"/>
          <w:sz w:val="22"/>
        </w:rPr>
        <w:t>第一條　　發行人或代理人初次依本契約申請櫃檯買賣之外國債券計有：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5"/>
        <w:gridCol w:w="1456"/>
        <w:gridCol w:w="1442"/>
        <w:gridCol w:w="1472"/>
        <w:gridCol w:w="1456"/>
        <w:gridCol w:w="1456"/>
        <w:gridCol w:w="1458"/>
      </w:tblGrid>
      <w:tr w:rsidR="004E519F" w:rsidRPr="00B508C5">
        <w:trPr>
          <w:trHeight w:val="780"/>
        </w:trPr>
        <w:tc>
          <w:tcPr>
            <w:tcW w:w="714" w:type="pct"/>
            <w:vAlign w:val="center"/>
          </w:tcPr>
          <w:p w:rsidR="000119FC" w:rsidRDefault="004E519F">
            <w:pPr>
              <w:spacing w:before="120" w:after="120"/>
              <w:jc w:val="distribute"/>
              <w:rPr>
                <w:rFonts w:ascii="標楷體" w:eastAsia="標楷體"/>
                <w:sz w:val="22"/>
              </w:rPr>
            </w:pPr>
            <w:r w:rsidRPr="00B508C5">
              <w:rPr>
                <w:rFonts w:ascii="標楷體" w:eastAsia="標楷體" w:hint="eastAsia"/>
                <w:sz w:val="22"/>
              </w:rPr>
              <w:t>債券種類</w:t>
            </w:r>
          </w:p>
          <w:p w:rsidR="004E519F" w:rsidRPr="00B508C5" w:rsidRDefault="000119FC">
            <w:pPr>
              <w:spacing w:before="120" w:after="120"/>
              <w:jc w:val="distribute"/>
              <w:rPr>
                <w:rFonts w:ascii="標楷體" w:eastAsia="標楷體"/>
                <w:sz w:val="22"/>
              </w:rPr>
            </w:pPr>
            <w:r>
              <w:rPr>
                <w:rFonts w:ascii="標楷體" w:eastAsia="標楷體" w:hint="eastAsia"/>
                <w:sz w:val="22"/>
              </w:rPr>
              <w:t>及名稱</w:t>
            </w:r>
          </w:p>
        </w:tc>
        <w:tc>
          <w:tcPr>
            <w:tcW w:w="714"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發行日期</w:t>
            </w:r>
          </w:p>
        </w:tc>
        <w:tc>
          <w:tcPr>
            <w:tcW w:w="707"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票面金額</w:t>
            </w:r>
          </w:p>
        </w:tc>
        <w:tc>
          <w:tcPr>
            <w:tcW w:w="722"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票面利率</w:t>
            </w:r>
          </w:p>
        </w:tc>
        <w:tc>
          <w:tcPr>
            <w:tcW w:w="714"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發行總數</w:t>
            </w:r>
          </w:p>
        </w:tc>
        <w:tc>
          <w:tcPr>
            <w:tcW w:w="714"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償還期限</w:t>
            </w:r>
          </w:p>
        </w:tc>
        <w:tc>
          <w:tcPr>
            <w:tcW w:w="715"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備</w:t>
            </w:r>
            <w:r w:rsidR="004D5D94">
              <w:rPr>
                <w:rFonts w:ascii="標楷體" w:eastAsia="標楷體" w:hint="eastAsia"/>
                <w:sz w:val="22"/>
              </w:rPr>
              <w:t>註</w:t>
            </w:r>
          </w:p>
        </w:tc>
      </w:tr>
      <w:tr w:rsidR="004E519F" w:rsidRPr="00B508C5">
        <w:trPr>
          <w:trHeight w:val="780"/>
        </w:trPr>
        <w:tc>
          <w:tcPr>
            <w:tcW w:w="714" w:type="pct"/>
          </w:tcPr>
          <w:p w:rsidR="004E519F" w:rsidRPr="00B508C5" w:rsidRDefault="004E519F">
            <w:pPr>
              <w:spacing w:before="120" w:after="120"/>
              <w:rPr>
                <w:rFonts w:ascii="標楷體" w:eastAsia="標楷體"/>
                <w:sz w:val="22"/>
              </w:rPr>
            </w:pPr>
          </w:p>
        </w:tc>
        <w:tc>
          <w:tcPr>
            <w:tcW w:w="714" w:type="pct"/>
          </w:tcPr>
          <w:p w:rsidR="004E519F" w:rsidRPr="00B508C5" w:rsidRDefault="004E519F">
            <w:pPr>
              <w:spacing w:before="120" w:after="120"/>
              <w:rPr>
                <w:rFonts w:ascii="標楷體" w:eastAsia="標楷體"/>
                <w:sz w:val="22"/>
              </w:rPr>
            </w:pPr>
          </w:p>
        </w:tc>
        <w:tc>
          <w:tcPr>
            <w:tcW w:w="707" w:type="pct"/>
          </w:tcPr>
          <w:p w:rsidR="004E519F" w:rsidRPr="00B508C5" w:rsidRDefault="004E519F">
            <w:pPr>
              <w:spacing w:before="120" w:after="120"/>
              <w:rPr>
                <w:rFonts w:ascii="標楷體" w:eastAsia="標楷體"/>
                <w:sz w:val="22"/>
              </w:rPr>
            </w:pPr>
          </w:p>
        </w:tc>
        <w:tc>
          <w:tcPr>
            <w:tcW w:w="722" w:type="pct"/>
          </w:tcPr>
          <w:p w:rsidR="004E519F" w:rsidRPr="00B508C5" w:rsidRDefault="004E519F">
            <w:pPr>
              <w:spacing w:before="120" w:after="120"/>
              <w:rPr>
                <w:rFonts w:ascii="標楷體" w:eastAsia="標楷體"/>
                <w:sz w:val="22"/>
              </w:rPr>
            </w:pPr>
          </w:p>
        </w:tc>
        <w:tc>
          <w:tcPr>
            <w:tcW w:w="714" w:type="pct"/>
          </w:tcPr>
          <w:p w:rsidR="004E519F" w:rsidRPr="00B508C5" w:rsidRDefault="004E519F">
            <w:pPr>
              <w:spacing w:before="120" w:after="120"/>
              <w:rPr>
                <w:rFonts w:ascii="標楷體" w:eastAsia="標楷體"/>
                <w:sz w:val="22"/>
              </w:rPr>
            </w:pPr>
          </w:p>
        </w:tc>
        <w:tc>
          <w:tcPr>
            <w:tcW w:w="714" w:type="pct"/>
          </w:tcPr>
          <w:p w:rsidR="004E519F" w:rsidRPr="00B508C5" w:rsidRDefault="004E519F">
            <w:pPr>
              <w:spacing w:before="120" w:after="120"/>
              <w:rPr>
                <w:rFonts w:ascii="標楷體" w:eastAsia="標楷體"/>
                <w:sz w:val="22"/>
              </w:rPr>
            </w:pPr>
          </w:p>
        </w:tc>
        <w:tc>
          <w:tcPr>
            <w:tcW w:w="715" w:type="pct"/>
          </w:tcPr>
          <w:p w:rsidR="004E519F" w:rsidRPr="00B508C5" w:rsidRDefault="004E519F">
            <w:pPr>
              <w:spacing w:before="120" w:after="120"/>
              <w:rPr>
                <w:rFonts w:ascii="標楷體" w:eastAsia="標楷體"/>
                <w:sz w:val="22"/>
              </w:rPr>
            </w:pPr>
          </w:p>
        </w:tc>
      </w:tr>
    </w:tbl>
    <w:p w:rsidR="004E519F" w:rsidRPr="00B508C5" w:rsidRDefault="004E519F">
      <w:pPr>
        <w:ind w:leftChars="900" w:left="2160"/>
        <w:jc w:val="both"/>
        <w:rPr>
          <w:rFonts w:ascii="標楷體" w:eastAsia="標楷體"/>
          <w:color w:val="FF0000"/>
          <w:sz w:val="22"/>
        </w:rPr>
      </w:pPr>
      <w:r w:rsidRPr="00B508C5">
        <w:rPr>
          <w:rFonts w:ascii="標楷體" w:eastAsia="標楷體" w:hint="eastAsia"/>
          <w:sz w:val="22"/>
        </w:rPr>
        <w:t>發行公司嗣後櫃檯買賣之新台幣計價</w:t>
      </w:r>
      <w:r w:rsidR="004D5D94">
        <w:rPr>
          <w:rFonts w:ascii="標楷體" w:eastAsia="標楷體" w:hint="eastAsia"/>
          <w:sz w:val="22"/>
        </w:rPr>
        <w:t>外國</w:t>
      </w:r>
      <w:r w:rsidRPr="00B508C5">
        <w:rPr>
          <w:rFonts w:ascii="標楷體" w:eastAsia="標楷體" w:hint="eastAsia"/>
          <w:sz w:val="22"/>
        </w:rPr>
        <w:t>債券如有增減或內容變更，其經櫃檯買賣中心同意後之新台幣計價</w:t>
      </w:r>
      <w:r w:rsidR="004D5D94">
        <w:rPr>
          <w:rFonts w:ascii="標楷體" w:eastAsia="標楷體" w:hint="eastAsia"/>
          <w:sz w:val="22"/>
        </w:rPr>
        <w:t>外國</w:t>
      </w:r>
      <w:r w:rsidRPr="00B508C5">
        <w:rPr>
          <w:rFonts w:ascii="標楷體" w:eastAsia="標楷體" w:hint="eastAsia"/>
          <w:sz w:val="22"/>
        </w:rPr>
        <w:t>債券櫃檯買賣申請書所載之櫃檯買賣新台幣計價</w:t>
      </w:r>
      <w:r w:rsidR="004D5D94">
        <w:rPr>
          <w:rFonts w:ascii="標楷體" w:eastAsia="標楷體" w:hint="eastAsia"/>
          <w:sz w:val="22"/>
        </w:rPr>
        <w:t>外國</w:t>
      </w:r>
      <w:r w:rsidRPr="00B508C5">
        <w:rPr>
          <w:rFonts w:ascii="標楷體" w:eastAsia="標楷體" w:hint="eastAsia"/>
          <w:sz w:val="22"/>
        </w:rPr>
        <w:t>債券增減或內容變更事項，作為本新台幣計價</w:t>
      </w:r>
      <w:r w:rsidR="004D5D94">
        <w:rPr>
          <w:rFonts w:ascii="標楷體" w:eastAsia="標楷體" w:hint="eastAsia"/>
          <w:sz w:val="22"/>
        </w:rPr>
        <w:t>外國</w:t>
      </w:r>
      <w:r w:rsidRPr="00B508C5">
        <w:rPr>
          <w:rFonts w:ascii="標楷體" w:eastAsia="標楷體" w:hint="eastAsia"/>
          <w:sz w:val="22"/>
        </w:rPr>
        <w:t>債券櫃檯買賣契約之一部分。</w:t>
      </w:r>
    </w:p>
    <w:p w:rsidR="004E519F" w:rsidRPr="004D5D94" w:rsidRDefault="004E519F">
      <w:pPr>
        <w:ind w:leftChars="900" w:left="2160"/>
        <w:rPr>
          <w:rFonts w:ascii="標楷體" w:eastAsia="標楷體"/>
          <w:sz w:val="22"/>
        </w:rPr>
      </w:pPr>
    </w:p>
    <w:p w:rsidR="004E519F" w:rsidRPr="00B508C5" w:rsidRDefault="004E519F">
      <w:pPr>
        <w:ind w:leftChars="398" w:left="2055" w:hangingChars="500" w:hanging="1100"/>
        <w:rPr>
          <w:rFonts w:ascii="標楷體" w:eastAsia="標楷體"/>
          <w:sz w:val="22"/>
        </w:rPr>
      </w:pPr>
      <w:r w:rsidRPr="00B508C5">
        <w:rPr>
          <w:rFonts w:ascii="標楷體" w:eastAsia="標楷體" w:hint="eastAsia"/>
          <w:sz w:val="22"/>
        </w:rPr>
        <w:t>第二條　　證券相關法令及</w:t>
      </w:r>
      <w:r w:rsidR="00E90FFA">
        <w:rPr>
          <w:rFonts w:ascii="標楷體" w:eastAsia="標楷體" w:hint="eastAsia"/>
          <w:sz w:val="22"/>
        </w:rPr>
        <w:t>本</w:t>
      </w:r>
      <w:r w:rsidRPr="00B508C5">
        <w:rPr>
          <w:rFonts w:ascii="標楷體" w:eastAsia="標楷體" w:hint="eastAsia"/>
          <w:sz w:val="22"/>
        </w:rPr>
        <w:t>中心章則暨公告事項</w:t>
      </w:r>
      <w:proofErr w:type="gramStart"/>
      <w:r w:rsidRPr="00B508C5">
        <w:rPr>
          <w:rFonts w:ascii="標楷體" w:eastAsia="標楷體" w:hint="eastAsia"/>
          <w:sz w:val="22"/>
        </w:rPr>
        <w:t>規定均為新台幣</w:t>
      </w:r>
      <w:proofErr w:type="gramEnd"/>
      <w:r w:rsidRPr="00B508C5">
        <w:rPr>
          <w:rFonts w:ascii="標楷體" w:eastAsia="標楷體" w:hint="eastAsia"/>
          <w:sz w:val="22"/>
        </w:rPr>
        <w:t>計價外國債券櫃檯買賣契約之一部分，發行人暨代理人及</w:t>
      </w:r>
      <w:r w:rsidR="004D5D94">
        <w:rPr>
          <w:rFonts w:ascii="標楷體" w:eastAsia="標楷體" w:hint="eastAsia"/>
          <w:sz w:val="22"/>
        </w:rPr>
        <w:t>本</w:t>
      </w:r>
      <w:r w:rsidRPr="00B508C5">
        <w:rPr>
          <w:rFonts w:ascii="標楷體" w:eastAsia="標楷體" w:hint="eastAsia"/>
          <w:sz w:val="22"/>
        </w:rPr>
        <w:t>中心皆應遵守之</w:t>
      </w:r>
      <w:r w:rsidRPr="00B508C5">
        <w:rPr>
          <w:rFonts w:ascii="標楷體" w:eastAsia="標楷體"/>
          <w:sz w:val="22"/>
        </w:rPr>
        <w:t>。</w:t>
      </w:r>
    </w:p>
    <w:p w:rsidR="004E519F" w:rsidRPr="00B508C5" w:rsidRDefault="004E519F">
      <w:pPr>
        <w:numPr>
          <w:ilvl w:val="0"/>
          <w:numId w:val="34"/>
        </w:numPr>
        <w:rPr>
          <w:rFonts w:ascii="標楷體" w:eastAsia="標楷體"/>
          <w:sz w:val="22"/>
        </w:rPr>
      </w:pPr>
      <w:r w:rsidRPr="00B508C5">
        <w:rPr>
          <w:rFonts w:ascii="標楷體" w:eastAsia="標楷體" w:hint="eastAsia"/>
          <w:sz w:val="22"/>
        </w:rPr>
        <w:t>發行人暨代理人申請櫃檯買賣之新台幣計價外國債券，本中心依據外國有價證券櫃檯買賣審查準則審定之</w:t>
      </w:r>
      <w:r w:rsidRPr="00B508C5">
        <w:rPr>
          <w:rFonts w:ascii="標楷體" w:eastAsia="標楷體"/>
          <w:sz w:val="22"/>
        </w:rPr>
        <w:t>。</w:t>
      </w:r>
    </w:p>
    <w:p w:rsidR="004E519F" w:rsidRPr="00B508C5" w:rsidRDefault="004E519F">
      <w:pPr>
        <w:ind w:leftChars="400" w:left="2060" w:hangingChars="500" w:hanging="1100"/>
        <w:rPr>
          <w:rFonts w:ascii="標楷體" w:eastAsia="標楷體"/>
          <w:sz w:val="22"/>
        </w:rPr>
      </w:pPr>
      <w:r w:rsidRPr="00B508C5">
        <w:rPr>
          <w:rFonts w:ascii="標楷體" w:eastAsia="標楷體" w:hint="eastAsia"/>
          <w:sz w:val="22"/>
        </w:rPr>
        <w:t>第四條　　發行人暨代理人於本契約</w:t>
      </w:r>
      <w:r w:rsidR="00B73EAF" w:rsidRPr="00B508C5">
        <w:rPr>
          <w:rFonts w:ascii="標楷體" w:eastAsia="標楷體" w:hint="eastAsia"/>
          <w:sz w:val="22"/>
        </w:rPr>
        <w:t>簽訂</w:t>
      </w:r>
      <w:r w:rsidRPr="00B508C5">
        <w:rPr>
          <w:rFonts w:ascii="標楷體" w:eastAsia="標楷體" w:hint="eastAsia"/>
          <w:sz w:val="22"/>
        </w:rPr>
        <w:t>後，應依</w:t>
      </w:r>
      <w:r w:rsidR="004D5D94">
        <w:rPr>
          <w:rFonts w:ascii="標楷體" w:eastAsia="標楷體" w:hint="eastAsia"/>
          <w:sz w:val="22"/>
        </w:rPr>
        <w:t>本</w:t>
      </w:r>
      <w:r w:rsidRPr="00B508C5">
        <w:rPr>
          <w:rFonts w:ascii="標楷體" w:eastAsia="標楷體" w:hint="eastAsia"/>
          <w:sz w:val="22"/>
        </w:rPr>
        <w:t>中心訂定之</w:t>
      </w:r>
      <w:r w:rsidRPr="00B508C5">
        <w:rPr>
          <w:rFonts w:ascii="標楷體" w:eastAsia="標楷體"/>
          <w:sz w:val="22"/>
        </w:rPr>
        <w:t>「</w:t>
      </w:r>
      <w:r w:rsidR="004D5D94" w:rsidRPr="004D5D94">
        <w:rPr>
          <w:rFonts w:ascii="標楷體" w:eastAsia="標楷體" w:hint="eastAsia"/>
          <w:sz w:val="22"/>
        </w:rPr>
        <w:t>有價證券上櫃費費率標準</w:t>
      </w:r>
      <w:r w:rsidRPr="00B508C5">
        <w:rPr>
          <w:rFonts w:ascii="標楷體" w:eastAsia="標楷體"/>
          <w:sz w:val="22"/>
        </w:rPr>
        <w:t>」</w:t>
      </w:r>
      <w:r w:rsidRPr="00B508C5">
        <w:rPr>
          <w:rFonts w:ascii="標楷體" w:eastAsia="標楷體" w:hint="eastAsia"/>
          <w:sz w:val="22"/>
        </w:rPr>
        <w:t>所列有價證券櫃檯買賣收費標準，於初次櫃檯買賣新台幣計價外國債券時及以後每年開始一個月內，向</w:t>
      </w:r>
      <w:r w:rsidR="004D5D94">
        <w:rPr>
          <w:rFonts w:ascii="標楷體" w:eastAsia="標楷體" w:hint="eastAsia"/>
          <w:sz w:val="22"/>
        </w:rPr>
        <w:t>本</w:t>
      </w:r>
      <w:r w:rsidRPr="00B508C5">
        <w:rPr>
          <w:rFonts w:ascii="標楷體" w:eastAsia="標楷體" w:hint="eastAsia"/>
          <w:sz w:val="22"/>
        </w:rPr>
        <w:t>中心繳付有價證券櫃檯買賣費用</w:t>
      </w:r>
      <w:r w:rsidRPr="00B508C5">
        <w:rPr>
          <w:rStyle w:val="a5"/>
          <w:sz w:val="20"/>
        </w:rPr>
        <w:t>。</w:t>
      </w:r>
    </w:p>
    <w:p w:rsidR="004E519F" w:rsidRPr="00B508C5" w:rsidRDefault="004E519F">
      <w:pPr>
        <w:ind w:leftChars="400" w:left="2060" w:hangingChars="500" w:hanging="1100"/>
        <w:rPr>
          <w:rFonts w:ascii="標楷體" w:eastAsia="標楷體"/>
          <w:sz w:val="22"/>
        </w:rPr>
      </w:pPr>
      <w:r w:rsidRPr="00B508C5">
        <w:rPr>
          <w:rFonts w:ascii="標楷體" w:eastAsia="標楷體" w:hint="eastAsia"/>
          <w:sz w:val="22"/>
        </w:rPr>
        <w:t xml:space="preserve">第五條　　</w:t>
      </w:r>
      <w:r w:rsidR="004D5D94">
        <w:rPr>
          <w:rFonts w:ascii="標楷體" w:eastAsia="標楷體" w:hint="eastAsia"/>
          <w:sz w:val="22"/>
        </w:rPr>
        <w:t>本</w:t>
      </w:r>
      <w:r w:rsidRPr="00B508C5">
        <w:rPr>
          <w:rFonts w:ascii="標楷體" w:eastAsia="標楷體" w:hint="eastAsia"/>
          <w:sz w:val="22"/>
        </w:rPr>
        <w:t>中心依據有關法令</w:t>
      </w:r>
      <w:r w:rsidRPr="00B508C5">
        <w:rPr>
          <w:rFonts w:ascii="標楷體" w:eastAsia="標楷體"/>
          <w:sz w:val="22"/>
        </w:rPr>
        <w:t>、</w:t>
      </w:r>
      <w:r w:rsidR="004D5D94">
        <w:rPr>
          <w:rFonts w:ascii="標楷體" w:eastAsia="標楷體" w:hint="eastAsia"/>
          <w:sz w:val="22"/>
        </w:rPr>
        <w:t>本</w:t>
      </w:r>
      <w:r w:rsidRPr="00B508C5">
        <w:rPr>
          <w:rFonts w:ascii="標楷體" w:eastAsia="標楷體" w:hint="eastAsia"/>
          <w:sz w:val="22"/>
        </w:rPr>
        <w:t>中心章則規定或基於其他原因認為有必要者，得對櫃檯買賣之新台幣計價外國債券予以</w:t>
      </w:r>
      <w:r w:rsidR="002123F7" w:rsidRPr="00B508C5">
        <w:rPr>
          <w:rFonts w:ascii="標楷體" w:eastAsia="標楷體" w:hint="eastAsia"/>
          <w:sz w:val="22"/>
        </w:rPr>
        <w:t>變更交易方式、</w:t>
      </w:r>
      <w:r w:rsidRPr="00B508C5">
        <w:rPr>
          <w:rFonts w:ascii="標楷體" w:eastAsia="標楷體" w:hint="eastAsia"/>
          <w:sz w:val="22"/>
        </w:rPr>
        <w:t>停止或終止其買賣</w:t>
      </w:r>
      <w:r w:rsidRPr="00B508C5">
        <w:rPr>
          <w:rFonts w:ascii="標楷體" w:eastAsia="標楷體"/>
          <w:sz w:val="22"/>
        </w:rPr>
        <w:t>。</w:t>
      </w:r>
      <w:r w:rsidRPr="00B508C5">
        <w:rPr>
          <w:rFonts w:ascii="標楷體" w:eastAsia="標楷體" w:hint="eastAsia"/>
          <w:sz w:val="22"/>
        </w:rPr>
        <w:t>新台幣計價外國債券屆期還本金時，本中心得逕行公告終止其櫃檯買賣</w:t>
      </w:r>
      <w:r w:rsidRPr="00B508C5">
        <w:rPr>
          <w:rFonts w:ascii="標楷體" w:eastAsia="標楷體"/>
          <w:sz w:val="22"/>
        </w:rPr>
        <w:t>。</w:t>
      </w:r>
    </w:p>
    <w:p w:rsidR="004E519F" w:rsidRPr="00B508C5" w:rsidRDefault="004E519F">
      <w:pPr>
        <w:ind w:leftChars="398" w:left="2055" w:hangingChars="500" w:hanging="1100"/>
        <w:rPr>
          <w:rFonts w:ascii="標楷體" w:eastAsia="標楷體"/>
          <w:sz w:val="22"/>
        </w:rPr>
      </w:pPr>
      <w:r w:rsidRPr="00B508C5">
        <w:rPr>
          <w:rFonts w:ascii="標楷體" w:eastAsia="標楷體" w:hint="eastAsia"/>
          <w:sz w:val="22"/>
        </w:rPr>
        <w:t>第六條　　因本契約所生之</w:t>
      </w:r>
      <w:proofErr w:type="gramStart"/>
      <w:r w:rsidRPr="00B508C5">
        <w:rPr>
          <w:rFonts w:ascii="標楷體" w:eastAsia="標楷體" w:hint="eastAsia"/>
          <w:sz w:val="22"/>
        </w:rPr>
        <w:t>訟</w:t>
      </w:r>
      <w:proofErr w:type="gramEnd"/>
      <w:r w:rsidRPr="00B508C5">
        <w:rPr>
          <w:rFonts w:ascii="標楷體" w:eastAsia="標楷體" w:hint="eastAsia"/>
          <w:sz w:val="22"/>
        </w:rPr>
        <w:t>爭，</w:t>
      </w:r>
      <w:r w:rsidR="00F0483F">
        <w:rPr>
          <w:rFonts w:ascii="標楷體" w:eastAsia="標楷體" w:hint="eastAsia"/>
          <w:sz w:val="22"/>
        </w:rPr>
        <w:t>發行人暨代理人及</w:t>
      </w:r>
      <w:r w:rsidR="004D5D94">
        <w:rPr>
          <w:rFonts w:ascii="標楷體" w:eastAsia="標楷體" w:hint="eastAsia"/>
          <w:sz w:val="22"/>
        </w:rPr>
        <w:t>本</w:t>
      </w:r>
      <w:r w:rsidR="00F0483F">
        <w:rPr>
          <w:rFonts w:ascii="標楷體" w:eastAsia="標楷體" w:hint="eastAsia"/>
          <w:sz w:val="22"/>
        </w:rPr>
        <w:t>中心</w:t>
      </w:r>
      <w:r w:rsidR="00347460">
        <w:rPr>
          <w:rFonts w:ascii="標楷體" w:eastAsia="標楷體" w:hint="eastAsia"/>
          <w:sz w:val="22"/>
        </w:rPr>
        <w:t>雙方</w:t>
      </w:r>
      <w:r w:rsidR="00F0483F" w:rsidRPr="00F0483F">
        <w:rPr>
          <w:rFonts w:ascii="標楷體" w:eastAsia="標楷體" w:hint="eastAsia"/>
          <w:sz w:val="22"/>
        </w:rPr>
        <w:t>同意以台灣台北地方法院為第一審管轄法院。</w:t>
      </w:r>
    </w:p>
    <w:p w:rsidR="004E519F" w:rsidRPr="00B508C5" w:rsidRDefault="004E519F">
      <w:pPr>
        <w:ind w:left="960"/>
        <w:rPr>
          <w:rFonts w:ascii="標楷體" w:eastAsia="標楷體"/>
          <w:sz w:val="22"/>
        </w:rPr>
      </w:pPr>
      <w:r w:rsidRPr="00B508C5">
        <w:rPr>
          <w:rFonts w:ascii="標楷體" w:eastAsia="標楷體" w:hint="eastAsia"/>
          <w:sz w:val="22"/>
        </w:rPr>
        <w:t>第七條　　本契約一式五份，除一份送主管機關外，</w:t>
      </w:r>
      <w:proofErr w:type="gramStart"/>
      <w:r w:rsidRPr="00B508C5">
        <w:rPr>
          <w:rFonts w:ascii="標楷體" w:eastAsia="標楷體" w:hint="eastAsia"/>
          <w:sz w:val="22"/>
        </w:rPr>
        <w:t>餘分由</w:t>
      </w:r>
      <w:proofErr w:type="gramEnd"/>
      <w:r w:rsidRPr="00B508C5">
        <w:rPr>
          <w:rFonts w:ascii="標楷體" w:eastAsia="標楷體" w:hint="eastAsia"/>
          <w:sz w:val="22"/>
        </w:rPr>
        <w:t>發行人暨代理人及</w:t>
      </w:r>
      <w:r w:rsidR="004D5D94">
        <w:rPr>
          <w:rFonts w:ascii="標楷體" w:eastAsia="標楷體" w:hint="eastAsia"/>
          <w:sz w:val="22"/>
        </w:rPr>
        <w:t>本</w:t>
      </w:r>
      <w:r w:rsidRPr="00B508C5">
        <w:rPr>
          <w:rFonts w:ascii="標楷體" w:eastAsia="標楷體" w:hint="eastAsia"/>
          <w:sz w:val="22"/>
        </w:rPr>
        <w:t>中心存執</w:t>
      </w:r>
      <w:r w:rsidRPr="00B508C5">
        <w:rPr>
          <w:rFonts w:ascii="標楷體" w:eastAsia="標楷體"/>
          <w:sz w:val="22"/>
        </w:rPr>
        <w:t>。</w:t>
      </w:r>
    </w:p>
    <w:p w:rsidR="004E519F" w:rsidRPr="00B508C5" w:rsidRDefault="004E519F">
      <w:pPr>
        <w:ind w:left="960"/>
        <w:rPr>
          <w:rFonts w:ascii="標楷體" w:eastAsia="標楷體"/>
          <w:sz w:val="22"/>
        </w:rPr>
      </w:pPr>
      <w:r w:rsidRPr="00B508C5">
        <w:rPr>
          <w:rFonts w:ascii="標楷體" w:eastAsia="標楷體" w:hint="eastAsia"/>
          <w:sz w:val="22"/>
        </w:rPr>
        <w:t>第八條　　本契約於</w:t>
      </w:r>
      <w:r w:rsidR="00B73EAF" w:rsidRPr="00B508C5">
        <w:rPr>
          <w:rFonts w:ascii="標楷體" w:eastAsia="標楷體" w:hint="eastAsia"/>
          <w:sz w:val="22"/>
        </w:rPr>
        <w:t>發行人及</w:t>
      </w:r>
      <w:r w:rsidR="004D5D94">
        <w:rPr>
          <w:rFonts w:ascii="標楷體" w:eastAsia="標楷體" w:hint="eastAsia"/>
          <w:sz w:val="22"/>
        </w:rPr>
        <w:t>本</w:t>
      </w:r>
      <w:r w:rsidR="00B73EAF" w:rsidRPr="00B508C5">
        <w:rPr>
          <w:rFonts w:ascii="標楷體" w:eastAsia="標楷體" w:hint="eastAsia"/>
          <w:sz w:val="22"/>
        </w:rPr>
        <w:t>中心雙方用印</w:t>
      </w:r>
      <w:r w:rsidRPr="00B508C5">
        <w:rPr>
          <w:rFonts w:ascii="標楷體" w:eastAsia="標楷體" w:hint="eastAsia"/>
          <w:sz w:val="22"/>
        </w:rPr>
        <w:t>後生效</w:t>
      </w:r>
      <w:r w:rsidRPr="00B508C5">
        <w:rPr>
          <w:rFonts w:ascii="標楷體" w:eastAsia="標楷體"/>
          <w:sz w:val="22"/>
        </w:rPr>
        <w:t>。</w:t>
      </w:r>
    </w:p>
    <w:p w:rsidR="004E519F" w:rsidRPr="00B508C5" w:rsidRDefault="004E519F">
      <w:pPr>
        <w:pStyle w:val="a9"/>
        <w:adjustRightInd w:val="0"/>
        <w:snapToGrid w:val="0"/>
        <w:spacing w:line="380" w:lineRule="exact"/>
        <w:ind w:left="11" w:hanging="11"/>
        <w:jc w:val="both"/>
        <w:rPr>
          <w:rFonts w:ascii="標楷體" w:eastAsia="標楷體"/>
          <w:sz w:val="28"/>
        </w:rPr>
      </w:pPr>
    </w:p>
    <w:p w:rsidR="004E519F" w:rsidRPr="00B508C5" w:rsidRDefault="004E519F">
      <w:pPr>
        <w:spacing w:line="280" w:lineRule="exact"/>
        <w:ind w:left="4536"/>
        <w:rPr>
          <w:rFonts w:ascii="標楷體" w:eastAsia="標楷體"/>
          <w:sz w:val="22"/>
        </w:rPr>
      </w:pPr>
      <w:r w:rsidRPr="00B508C5">
        <w:rPr>
          <w:rFonts w:ascii="標楷體" w:eastAsia="標楷體" w:hint="eastAsia"/>
          <w:sz w:val="28"/>
        </w:rPr>
        <w:t xml:space="preserve"> </w:t>
      </w:r>
      <w:r w:rsidRPr="00B508C5">
        <w:rPr>
          <w:rFonts w:ascii="標楷體" w:eastAsia="標楷體" w:hint="eastAsia"/>
          <w:sz w:val="22"/>
        </w:rPr>
        <w:t>發 行 人：</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（法定代理人）</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 xml:space="preserve">　住　　所：</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 xml:space="preserve">　代理機構：</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（法定代理人）</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 xml:space="preserve">　住　　所：</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 xml:space="preserve">　財團法人中華民國證券櫃檯買賣中心</w:t>
      </w:r>
    </w:p>
    <w:p w:rsidR="003860FC" w:rsidRPr="00B508C5" w:rsidRDefault="004E519F" w:rsidP="003860FC">
      <w:pPr>
        <w:spacing w:line="280" w:lineRule="exact"/>
        <w:ind w:left="4536"/>
        <w:rPr>
          <w:rFonts w:ascii="標楷體" w:eastAsia="標楷體"/>
          <w:sz w:val="22"/>
        </w:rPr>
      </w:pPr>
      <w:r w:rsidRPr="00B508C5">
        <w:rPr>
          <w:rFonts w:ascii="標楷體" w:eastAsia="標楷體" w:hint="eastAsia"/>
          <w:sz w:val="22"/>
        </w:rPr>
        <w:t>（法定代理人）</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 xml:space="preserve">　住　　所：</w:t>
      </w:r>
      <w:r w:rsidR="003860FC">
        <w:rPr>
          <w:rFonts w:ascii="標楷體" w:eastAsia="標楷體" w:hint="eastAsia"/>
          <w:sz w:val="22"/>
        </w:rPr>
        <w:t>台北市中正區羅斯福路二段100號15樓</w:t>
      </w:r>
    </w:p>
    <w:p w:rsidR="004E519F" w:rsidRPr="00B508C5" w:rsidRDefault="004E519F">
      <w:pPr>
        <w:jc w:val="distribute"/>
        <w:rPr>
          <w:rFonts w:ascii="標楷體" w:eastAsia="標楷體"/>
          <w:sz w:val="22"/>
        </w:rPr>
      </w:pPr>
    </w:p>
    <w:p w:rsidR="004E519F" w:rsidRPr="00B508C5" w:rsidRDefault="004E519F">
      <w:pPr>
        <w:jc w:val="distribute"/>
        <w:rPr>
          <w:rFonts w:ascii="標楷體" w:eastAsia="標楷體"/>
          <w:sz w:val="22"/>
        </w:rPr>
      </w:pPr>
      <w:r w:rsidRPr="00B508C5">
        <w:rPr>
          <w:rFonts w:ascii="標楷體" w:eastAsia="標楷體" w:hint="eastAsia"/>
          <w:sz w:val="22"/>
        </w:rPr>
        <w:t>中華民國年月日</w:t>
      </w:r>
    </w:p>
    <w:p w:rsidR="004E519F" w:rsidRPr="00B508C5" w:rsidRDefault="004E519F">
      <w:pPr>
        <w:pStyle w:val="10"/>
        <w:tabs>
          <w:tab w:val="left" w:pos="0"/>
        </w:tabs>
        <w:rPr>
          <w:rFonts w:ascii="標楷體"/>
          <w:color w:val="000000"/>
        </w:rPr>
      </w:pPr>
    </w:p>
    <w:sectPr w:rsidR="004E519F" w:rsidRPr="00B508C5">
      <w:footerReference w:type="even" r:id="rId8"/>
      <w:footerReference w:type="default" r:id="rId9"/>
      <w:pgSz w:w="11907" w:h="16840"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26" w:rsidRDefault="00DD6E26">
      <w:r>
        <w:separator/>
      </w:r>
    </w:p>
  </w:endnote>
  <w:endnote w:type="continuationSeparator" w:id="0">
    <w:p w:rsidR="00DD6E26" w:rsidRDefault="00DD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楷書體W5(P)">
    <w:altName w:val="新細明體"/>
    <w:charset w:val="88"/>
    <w:family w:val="auto"/>
    <w:pitch w:val="variable"/>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38" w:rsidRDefault="00E23C3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3C38" w:rsidRDefault="00E23C3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38" w:rsidRDefault="00E23C38">
    <w:pPr>
      <w:pStyle w:val="a4"/>
      <w:ind w:right="360"/>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26" w:rsidRDefault="00DD6E26">
      <w:r>
        <w:separator/>
      </w:r>
    </w:p>
  </w:footnote>
  <w:footnote w:type="continuationSeparator" w:id="0">
    <w:p w:rsidR="00DD6E26" w:rsidRDefault="00DD6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E95"/>
    <w:multiLevelType w:val="hybridMultilevel"/>
    <w:tmpl w:val="DA5E02F0"/>
    <w:lvl w:ilvl="0" w:tplc="B49E9768">
      <w:start w:val="1"/>
      <w:numFmt w:val="taiwaneseCountingThousand"/>
      <w:lvlText w:val="%1、"/>
      <w:lvlJc w:val="left"/>
      <w:pPr>
        <w:tabs>
          <w:tab w:val="num" w:pos="720"/>
        </w:tabs>
        <w:ind w:left="720" w:hanging="720"/>
      </w:pPr>
      <w:rPr>
        <w:rFonts w:eastAsia="標楷體" w:hint="eastAsia"/>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08083961"/>
    <w:multiLevelType w:val="hybridMultilevel"/>
    <w:tmpl w:val="E1BEE5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B5F84"/>
    <w:multiLevelType w:val="hybridMultilevel"/>
    <w:tmpl w:val="3E2A3C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996DD6"/>
    <w:multiLevelType w:val="hybridMultilevel"/>
    <w:tmpl w:val="D356229C"/>
    <w:lvl w:ilvl="0" w:tplc="68FCEB5E">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0B207F4"/>
    <w:multiLevelType w:val="hybridMultilevel"/>
    <w:tmpl w:val="EC587324"/>
    <w:lvl w:ilvl="0" w:tplc="1F0EA8D8">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D274D8"/>
    <w:multiLevelType w:val="hybridMultilevel"/>
    <w:tmpl w:val="99E452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BBA28FC"/>
    <w:multiLevelType w:val="hybridMultilevel"/>
    <w:tmpl w:val="3A44B04E"/>
    <w:lvl w:ilvl="0" w:tplc="B49E9768">
      <w:start w:val="1"/>
      <w:numFmt w:val="taiwaneseCountingThousand"/>
      <w:lvlText w:val="%1、"/>
      <w:lvlJc w:val="left"/>
      <w:pPr>
        <w:tabs>
          <w:tab w:val="num" w:pos="720"/>
        </w:tabs>
        <w:ind w:left="720" w:hanging="720"/>
      </w:pPr>
      <w:rPr>
        <w:rFonts w:eastAsia="標楷體" w:hint="eastAsia"/>
        <w:color w:val="auto"/>
      </w:rPr>
    </w:lvl>
    <w:lvl w:ilvl="1" w:tplc="48CC4BD8">
      <w:start w:val="1"/>
      <w:numFmt w:val="taiwaneseCountingThousand"/>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15:restartNumberingAfterBreak="0">
    <w:nsid w:val="2C155B53"/>
    <w:multiLevelType w:val="hybridMultilevel"/>
    <w:tmpl w:val="A6AEEC60"/>
    <w:lvl w:ilvl="0" w:tplc="1F0EA8D8">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077402"/>
    <w:multiLevelType w:val="multilevel"/>
    <w:tmpl w:val="2D428C84"/>
    <w:lvl w:ilvl="0">
      <w:start w:val="1"/>
      <w:numFmt w:val="decimal"/>
      <w:lvlText w:val="%1."/>
      <w:lvlJc w:val="left"/>
      <w:pPr>
        <w:tabs>
          <w:tab w:val="num" w:pos="1440"/>
        </w:tabs>
        <w:ind w:left="1440" w:hanging="480"/>
      </w:pPr>
    </w:lvl>
    <w:lvl w:ilvl="1">
      <w:start w:val="1"/>
      <w:numFmt w:val="taiwaneseCountingThousand"/>
      <w:suff w:val="nothing"/>
      <w:lvlText w:val="(%2)"/>
      <w:lvlJc w:val="left"/>
      <w:pPr>
        <w:ind w:left="1935" w:hanging="652"/>
      </w:pPr>
      <w:rPr>
        <w:rFonts w:ascii="標楷體" w:eastAsia="標楷體" w:hint="eastAsia"/>
        <w:b w:val="0"/>
        <w:i w:val="0"/>
        <w:sz w:val="32"/>
      </w:rPr>
    </w:lvl>
    <w:lvl w:ilvl="2">
      <w:start w:val="1"/>
      <w:numFmt w:val="decimalFullWidth"/>
      <w:suff w:val="nothing"/>
      <w:lvlText w:val="%3、"/>
      <w:lvlJc w:val="left"/>
      <w:pPr>
        <w:ind w:left="2253" w:hanging="641"/>
      </w:pPr>
      <w:rPr>
        <w:rFonts w:ascii="標楷體" w:eastAsia="標楷體" w:hint="eastAsia"/>
        <w:b w:val="0"/>
        <w:i w:val="0"/>
        <w:sz w:val="32"/>
      </w:rPr>
    </w:lvl>
    <w:lvl w:ilvl="3">
      <w:start w:val="1"/>
      <w:numFmt w:val="decimalFullWidth"/>
      <w:suff w:val="nothing"/>
      <w:lvlText w:val="(%4)"/>
      <w:lvlJc w:val="left"/>
      <w:pPr>
        <w:ind w:left="2576" w:hanging="641"/>
      </w:pPr>
      <w:rPr>
        <w:rFonts w:ascii="標楷體" w:eastAsia="標楷體" w:hint="eastAsia"/>
        <w:b w:val="0"/>
        <w:i w:val="0"/>
        <w:sz w:val="32"/>
      </w:rPr>
    </w:lvl>
    <w:lvl w:ilvl="4">
      <w:start w:val="1"/>
      <w:numFmt w:val="ideographTraditional"/>
      <w:suff w:val="nothing"/>
      <w:lvlText w:val="%5、"/>
      <w:lvlJc w:val="left"/>
      <w:pPr>
        <w:ind w:left="2888" w:hanging="635"/>
      </w:pPr>
      <w:rPr>
        <w:rFonts w:ascii="標楷體" w:eastAsia="標楷體" w:hint="eastAsia"/>
        <w:b w:val="0"/>
        <w:i w:val="0"/>
        <w:sz w:val="32"/>
      </w:rPr>
    </w:lvl>
    <w:lvl w:ilvl="5">
      <w:start w:val="5"/>
      <w:numFmt w:val="taiwaneseCountingThousand"/>
      <w:lvlText w:val="（%6)、"/>
      <w:lvlJc w:val="left"/>
      <w:pPr>
        <w:tabs>
          <w:tab w:val="num" w:pos="4560"/>
        </w:tabs>
        <w:ind w:left="4560" w:hanging="3061"/>
      </w:pPr>
      <w:rPr>
        <w:rFonts w:hint="eastAsia"/>
      </w:rPr>
    </w:lvl>
    <w:lvl w:ilvl="6">
      <w:start w:val="1"/>
      <w:numFmt w:val="none"/>
      <w:lvlText w:val=""/>
      <w:lvlJc w:val="left"/>
      <w:pPr>
        <w:tabs>
          <w:tab w:val="num" w:pos="4560"/>
        </w:tabs>
        <w:ind w:left="4560" w:hanging="3061"/>
      </w:pPr>
      <w:rPr>
        <w:rFonts w:hint="eastAsia"/>
      </w:rPr>
    </w:lvl>
    <w:lvl w:ilvl="7">
      <w:start w:val="1"/>
      <w:numFmt w:val="none"/>
      <w:lvlText w:val=""/>
      <w:lvlJc w:val="left"/>
      <w:pPr>
        <w:tabs>
          <w:tab w:val="num" w:pos="5042"/>
        </w:tabs>
        <w:ind w:left="5042" w:hanging="1418"/>
      </w:pPr>
      <w:rPr>
        <w:rFonts w:hint="eastAsia"/>
      </w:rPr>
    </w:lvl>
    <w:lvl w:ilvl="8">
      <w:start w:val="1"/>
      <w:numFmt w:val="none"/>
      <w:lvlText w:val=""/>
      <w:lvlJc w:val="left"/>
      <w:pPr>
        <w:tabs>
          <w:tab w:val="num" w:pos="5750"/>
        </w:tabs>
        <w:ind w:left="5750" w:hanging="1700"/>
      </w:pPr>
      <w:rPr>
        <w:rFonts w:hint="eastAsia"/>
      </w:rPr>
    </w:lvl>
  </w:abstractNum>
  <w:abstractNum w:abstractNumId="9" w15:restartNumberingAfterBreak="0">
    <w:nsid w:val="354B352A"/>
    <w:multiLevelType w:val="hybridMultilevel"/>
    <w:tmpl w:val="ADD2E506"/>
    <w:lvl w:ilvl="0" w:tplc="3410A5A4">
      <w:start w:val="1"/>
      <w:numFmt w:val="taiwaneseCountingThousand"/>
      <w:lvlText w:val="%1、"/>
      <w:lvlJc w:val="left"/>
      <w:pPr>
        <w:tabs>
          <w:tab w:val="num" w:pos="720"/>
        </w:tabs>
        <w:ind w:left="720" w:hanging="720"/>
      </w:pPr>
      <w:rPr>
        <w:rFonts w:eastAsia="標楷體"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15:restartNumberingAfterBreak="0">
    <w:nsid w:val="36580807"/>
    <w:multiLevelType w:val="hybridMultilevel"/>
    <w:tmpl w:val="9492143A"/>
    <w:lvl w:ilvl="0" w:tplc="308E0650">
      <w:start w:val="5"/>
      <w:numFmt w:val="bullet"/>
      <w:lvlText w:val="□"/>
      <w:lvlJc w:val="left"/>
      <w:pPr>
        <w:tabs>
          <w:tab w:val="num" w:pos="372"/>
        </w:tabs>
        <w:ind w:left="372" w:hanging="360"/>
      </w:pPr>
      <w:rPr>
        <w:rFonts w:ascii="Times New Roman" w:eastAsia="標楷體" w:hAnsi="Times New Roman" w:cs="Times New Roman" w:hint="default"/>
      </w:rPr>
    </w:lvl>
    <w:lvl w:ilvl="1" w:tplc="04090003" w:tentative="1">
      <w:start w:val="1"/>
      <w:numFmt w:val="bullet"/>
      <w:lvlText w:val=""/>
      <w:lvlJc w:val="left"/>
      <w:pPr>
        <w:tabs>
          <w:tab w:val="num" w:pos="972"/>
        </w:tabs>
        <w:ind w:left="972" w:hanging="480"/>
      </w:pPr>
      <w:rPr>
        <w:rFonts w:ascii="Wingdings" w:hAnsi="Wingdings" w:hint="default"/>
      </w:rPr>
    </w:lvl>
    <w:lvl w:ilvl="2" w:tplc="04090005" w:tentative="1">
      <w:start w:val="1"/>
      <w:numFmt w:val="bullet"/>
      <w:lvlText w:val=""/>
      <w:lvlJc w:val="left"/>
      <w:pPr>
        <w:tabs>
          <w:tab w:val="num" w:pos="1452"/>
        </w:tabs>
        <w:ind w:left="1452" w:hanging="480"/>
      </w:pPr>
      <w:rPr>
        <w:rFonts w:ascii="Wingdings" w:hAnsi="Wingdings" w:hint="default"/>
      </w:rPr>
    </w:lvl>
    <w:lvl w:ilvl="3" w:tplc="04090001" w:tentative="1">
      <w:start w:val="1"/>
      <w:numFmt w:val="bullet"/>
      <w:lvlText w:val=""/>
      <w:lvlJc w:val="left"/>
      <w:pPr>
        <w:tabs>
          <w:tab w:val="num" w:pos="1932"/>
        </w:tabs>
        <w:ind w:left="1932" w:hanging="480"/>
      </w:pPr>
      <w:rPr>
        <w:rFonts w:ascii="Wingdings" w:hAnsi="Wingdings" w:hint="default"/>
      </w:rPr>
    </w:lvl>
    <w:lvl w:ilvl="4" w:tplc="04090003" w:tentative="1">
      <w:start w:val="1"/>
      <w:numFmt w:val="bullet"/>
      <w:lvlText w:val=""/>
      <w:lvlJc w:val="left"/>
      <w:pPr>
        <w:tabs>
          <w:tab w:val="num" w:pos="2412"/>
        </w:tabs>
        <w:ind w:left="2412" w:hanging="480"/>
      </w:pPr>
      <w:rPr>
        <w:rFonts w:ascii="Wingdings" w:hAnsi="Wingdings" w:hint="default"/>
      </w:rPr>
    </w:lvl>
    <w:lvl w:ilvl="5" w:tplc="04090005" w:tentative="1">
      <w:start w:val="1"/>
      <w:numFmt w:val="bullet"/>
      <w:lvlText w:val=""/>
      <w:lvlJc w:val="left"/>
      <w:pPr>
        <w:tabs>
          <w:tab w:val="num" w:pos="2892"/>
        </w:tabs>
        <w:ind w:left="2892" w:hanging="480"/>
      </w:pPr>
      <w:rPr>
        <w:rFonts w:ascii="Wingdings" w:hAnsi="Wingdings" w:hint="default"/>
      </w:rPr>
    </w:lvl>
    <w:lvl w:ilvl="6" w:tplc="04090001" w:tentative="1">
      <w:start w:val="1"/>
      <w:numFmt w:val="bullet"/>
      <w:lvlText w:val=""/>
      <w:lvlJc w:val="left"/>
      <w:pPr>
        <w:tabs>
          <w:tab w:val="num" w:pos="3372"/>
        </w:tabs>
        <w:ind w:left="3372" w:hanging="480"/>
      </w:pPr>
      <w:rPr>
        <w:rFonts w:ascii="Wingdings" w:hAnsi="Wingdings" w:hint="default"/>
      </w:rPr>
    </w:lvl>
    <w:lvl w:ilvl="7" w:tplc="04090003" w:tentative="1">
      <w:start w:val="1"/>
      <w:numFmt w:val="bullet"/>
      <w:lvlText w:val=""/>
      <w:lvlJc w:val="left"/>
      <w:pPr>
        <w:tabs>
          <w:tab w:val="num" w:pos="3852"/>
        </w:tabs>
        <w:ind w:left="3852" w:hanging="480"/>
      </w:pPr>
      <w:rPr>
        <w:rFonts w:ascii="Wingdings" w:hAnsi="Wingdings" w:hint="default"/>
      </w:rPr>
    </w:lvl>
    <w:lvl w:ilvl="8" w:tplc="04090005" w:tentative="1">
      <w:start w:val="1"/>
      <w:numFmt w:val="bullet"/>
      <w:lvlText w:val=""/>
      <w:lvlJc w:val="left"/>
      <w:pPr>
        <w:tabs>
          <w:tab w:val="num" w:pos="4332"/>
        </w:tabs>
        <w:ind w:left="4332" w:hanging="480"/>
      </w:pPr>
      <w:rPr>
        <w:rFonts w:ascii="Wingdings" w:hAnsi="Wingdings" w:hint="default"/>
      </w:rPr>
    </w:lvl>
  </w:abstractNum>
  <w:abstractNum w:abstractNumId="11" w15:restartNumberingAfterBreak="0">
    <w:nsid w:val="377E10B8"/>
    <w:multiLevelType w:val="hybridMultilevel"/>
    <w:tmpl w:val="42E83028"/>
    <w:lvl w:ilvl="0" w:tplc="0526FE7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A72FF6"/>
    <w:multiLevelType w:val="hybridMultilevel"/>
    <w:tmpl w:val="35009830"/>
    <w:lvl w:ilvl="0" w:tplc="2ACAE404">
      <w:start w:val="1"/>
      <w:numFmt w:val="taiwaneseCountingThousand"/>
      <w:lvlText w:val="%1、"/>
      <w:lvlJc w:val="left"/>
      <w:pPr>
        <w:tabs>
          <w:tab w:val="num" w:pos="1104"/>
        </w:tabs>
        <w:ind w:left="1104" w:hanging="624"/>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8850900"/>
    <w:multiLevelType w:val="hybridMultilevel"/>
    <w:tmpl w:val="FA44AA68"/>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ED949BE"/>
    <w:multiLevelType w:val="hybridMultilevel"/>
    <w:tmpl w:val="6C7EB6B4"/>
    <w:lvl w:ilvl="0" w:tplc="ED50B27A">
      <w:start w:val="2"/>
      <w:numFmt w:val="taiwaneseCountingThousand"/>
      <w:lvlText w:val="%1、"/>
      <w:lvlJc w:val="left"/>
      <w:pPr>
        <w:tabs>
          <w:tab w:val="num" w:pos="624"/>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DF7FC4"/>
    <w:multiLevelType w:val="hybridMultilevel"/>
    <w:tmpl w:val="9BCA4284"/>
    <w:lvl w:ilvl="0" w:tplc="861A29A0">
      <w:start w:val="1"/>
      <w:numFmt w:val="decimal"/>
      <w:lvlText w:val="（%1）"/>
      <w:lvlJc w:val="left"/>
      <w:pPr>
        <w:tabs>
          <w:tab w:val="num" w:pos="1200"/>
        </w:tabs>
        <w:ind w:left="1200" w:hanging="720"/>
      </w:pPr>
      <w:rPr>
        <w:rFonts w:hint="eastAsia"/>
      </w:rPr>
    </w:lvl>
    <w:lvl w:ilvl="1" w:tplc="E1868C8C">
      <w:start w:val="1"/>
      <w:numFmt w:val="taiwaneseCountingThousand"/>
      <w:lvlText w:val="%2、"/>
      <w:lvlJc w:val="left"/>
      <w:pPr>
        <w:tabs>
          <w:tab w:val="num" w:pos="998"/>
        </w:tabs>
        <w:ind w:left="998" w:hanging="681"/>
      </w:pPr>
      <w:rPr>
        <w:rFonts w:hint="eastAsia"/>
        <w:color w:val="FF0000"/>
      </w:rPr>
    </w:lvl>
    <w:lvl w:ilvl="2" w:tplc="0409000F">
      <w:start w:val="1"/>
      <w:numFmt w:val="decimal"/>
      <w:lvlText w:val="%3."/>
      <w:lvlJc w:val="left"/>
      <w:pPr>
        <w:tabs>
          <w:tab w:val="num" w:pos="1440"/>
        </w:tabs>
        <w:ind w:left="1440" w:hanging="480"/>
      </w:pPr>
    </w:lvl>
    <w:lvl w:ilvl="3" w:tplc="498AAC2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314BB8"/>
    <w:multiLevelType w:val="hybridMultilevel"/>
    <w:tmpl w:val="4664EA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A684F0B"/>
    <w:multiLevelType w:val="hybridMultilevel"/>
    <w:tmpl w:val="6030714E"/>
    <w:lvl w:ilvl="0" w:tplc="2ACAE404">
      <w:start w:val="1"/>
      <w:numFmt w:val="taiwaneseCountingThousand"/>
      <w:lvlText w:val="%1、"/>
      <w:lvlJc w:val="left"/>
      <w:pPr>
        <w:tabs>
          <w:tab w:val="num" w:pos="624"/>
        </w:tabs>
        <w:ind w:left="624" w:hanging="624"/>
      </w:pPr>
      <w:rPr>
        <w:rFonts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A610C0"/>
    <w:multiLevelType w:val="hybridMultilevel"/>
    <w:tmpl w:val="6D722E46"/>
    <w:lvl w:ilvl="0" w:tplc="A9EC60D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3C57ECB"/>
    <w:multiLevelType w:val="hybridMultilevel"/>
    <w:tmpl w:val="EFDC5670"/>
    <w:lvl w:ilvl="0" w:tplc="3410A5A4">
      <w:start w:val="1"/>
      <w:numFmt w:val="taiwaneseCountingThousand"/>
      <w:lvlText w:val="%1、"/>
      <w:lvlJc w:val="left"/>
      <w:pPr>
        <w:tabs>
          <w:tab w:val="num" w:pos="1200"/>
        </w:tabs>
        <w:ind w:left="1200" w:hanging="720"/>
      </w:pPr>
      <w:rPr>
        <w:rFonts w:eastAsia="標楷體" w:hint="eastAsia"/>
      </w:rPr>
    </w:lvl>
    <w:lvl w:ilvl="1" w:tplc="9B300258">
      <w:start w:val="1"/>
      <w:numFmt w:val="taiwaneseCountingThousand"/>
      <w:lvlText w:val="（%2）"/>
      <w:lvlJc w:val="left"/>
      <w:pPr>
        <w:tabs>
          <w:tab w:val="num" w:pos="1448"/>
        </w:tabs>
        <w:ind w:left="1448" w:hanging="96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8591C9C"/>
    <w:multiLevelType w:val="hybridMultilevel"/>
    <w:tmpl w:val="BB240256"/>
    <w:lvl w:ilvl="0" w:tplc="C7C41E7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98E688C"/>
    <w:multiLevelType w:val="hybridMultilevel"/>
    <w:tmpl w:val="0BE48FD0"/>
    <w:lvl w:ilvl="0" w:tplc="3410A5A4">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8F6907"/>
    <w:multiLevelType w:val="hybridMultilevel"/>
    <w:tmpl w:val="E16472AA"/>
    <w:lvl w:ilvl="0" w:tplc="3410A5A4">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615C51DF"/>
    <w:multiLevelType w:val="hybridMultilevel"/>
    <w:tmpl w:val="592E9C4A"/>
    <w:lvl w:ilvl="0" w:tplc="E3386710">
      <w:start w:val="1"/>
      <w:numFmt w:val="taiwaneseCountingThousand"/>
      <w:lvlText w:val="%1、"/>
      <w:lvlJc w:val="left"/>
      <w:pPr>
        <w:tabs>
          <w:tab w:val="num" w:pos="421"/>
        </w:tabs>
        <w:ind w:left="421" w:hanging="450"/>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4" w15:restartNumberingAfterBreak="0">
    <w:nsid w:val="66D36ADE"/>
    <w:multiLevelType w:val="hybridMultilevel"/>
    <w:tmpl w:val="48D2EF70"/>
    <w:lvl w:ilvl="0" w:tplc="1F0EA8D8">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8682170"/>
    <w:multiLevelType w:val="hybridMultilevel"/>
    <w:tmpl w:val="000ADADE"/>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2F3069"/>
    <w:multiLevelType w:val="singleLevel"/>
    <w:tmpl w:val="DF2ADDE6"/>
    <w:lvl w:ilvl="0">
      <w:start w:val="3"/>
      <w:numFmt w:val="taiwaneseCountingThousand"/>
      <w:lvlText w:val="第%1條"/>
      <w:lvlJc w:val="left"/>
      <w:pPr>
        <w:tabs>
          <w:tab w:val="num" w:pos="2052"/>
        </w:tabs>
        <w:ind w:left="2052" w:hanging="1092"/>
      </w:pPr>
      <w:rPr>
        <w:rFonts w:hint="eastAsia"/>
      </w:rPr>
    </w:lvl>
  </w:abstractNum>
  <w:abstractNum w:abstractNumId="27" w15:restartNumberingAfterBreak="0">
    <w:nsid w:val="6B5735D4"/>
    <w:multiLevelType w:val="hybridMultilevel"/>
    <w:tmpl w:val="A282C5BA"/>
    <w:lvl w:ilvl="0" w:tplc="2ACAE404">
      <w:start w:val="1"/>
      <w:numFmt w:val="taiwaneseCountingThousand"/>
      <w:lvlText w:val="%1、"/>
      <w:lvlJc w:val="left"/>
      <w:pPr>
        <w:tabs>
          <w:tab w:val="num" w:pos="624"/>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B8517FB"/>
    <w:multiLevelType w:val="hybridMultilevel"/>
    <w:tmpl w:val="4FCCB4EA"/>
    <w:lvl w:ilvl="0" w:tplc="D0CA84E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57E24E8"/>
    <w:multiLevelType w:val="hybridMultilevel"/>
    <w:tmpl w:val="E5C410FC"/>
    <w:lvl w:ilvl="0" w:tplc="9140B95E">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7BC3F83"/>
    <w:multiLevelType w:val="hybridMultilevel"/>
    <w:tmpl w:val="DA2450E8"/>
    <w:lvl w:ilvl="0" w:tplc="2ACAE404">
      <w:start w:val="1"/>
      <w:numFmt w:val="taiwaneseCountingThousand"/>
      <w:lvlText w:val="%1、"/>
      <w:lvlJc w:val="left"/>
      <w:pPr>
        <w:tabs>
          <w:tab w:val="num" w:pos="624"/>
        </w:tabs>
        <w:ind w:left="624" w:hanging="624"/>
      </w:pPr>
      <w:rPr>
        <w:rFonts w:hint="eastAsia"/>
        <w:color w:val="auto"/>
      </w:rPr>
    </w:lvl>
    <w:lvl w:ilvl="1" w:tplc="DEB41EFE">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DF4471"/>
    <w:multiLevelType w:val="hybridMultilevel"/>
    <w:tmpl w:val="C67C2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8FD5348"/>
    <w:multiLevelType w:val="hybridMultilevel"/>
    <w:tmpl w:val="58A667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D35C20"/>
    <w:multiLevelType w:val="hybridMultilevel"/>
    <w:tmpl w:val="274CE5F6"/>
    <w:lvl w:ilvl="0" w:tplc="E9342396">
      <w:start w:val="1"/>
      <w:numFmt w:val="taiwaneseCountingThousand"/>
      <w:lvlText w:val="%1、"/>
      <w:lvlJc w:val="left"/>
      <w:pPr>
        <w:tabs>
          <w:tab w:val="num" w:pos="431"/>
        </w:tabs>
        <w:ind w:left="431"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22"/>
  </w:num>
  <w:num w:numId="3">
    <w:abstractNumId w:val="8"/>
  </w:num>
  <w:num w:numId="4">
    <w:abstractNumId w:val="15"/>
  </w:num>
  <w:num w:numId="5">
    <w:abstractNumId w:val="6"/>
  </w:num>
  <w:num w:numId="6">
    <w:abstractNumId w:val="0"/>
  </w:num>
  <w:num w:numId="7">
    <w:abstractNumId w:val="13"/>
  </w:num>
  <w:num w:numId="8">
    <w:abstractNumId w:val="30"/>
  </w:num>
  <w:num w:numId="9">
    <w:abstractNumId w:val="32"/>
  </w:num>
  <w:num w:numId="10">
    <w:abstractNumId w:val="18"/>
  </w:num>
  <w:num w:numId="11">
    <w:abstractNumId w:val="19"/>
  </w:num>
  <w:num w:numId="12">
    <w:abstractNumId w:val="25"/>
  </w:num>
  <w:num w:numId="13">
    <w:abstractNumId w:val="3"/>
  </w:num>
  <w:num w:numId="14">
    <w:abstractNumId w:val="12"/>
  </w:num>
  <w:num w:numId="15">
    <w:abstractNumId w:val="17"/>
  </w:num>
  <w:num w:numId="16">
    <w:abstractNumId w:val="2"/>
  </w:num>
  <w:num w:numId="17">
    <w:abstractNumId w:val="5"/>
  </w:num>
  <w:num w:numId="18">
    <w:abstractNumId w:val="16"/>
  </w:num>
  <w:num w:numId="19">
    <w:abstractNumId w:val="31"/>
  </w:num>
  <w:num w:numId="20">
    <w:abstractNumId w:val="20"/>
  </w:num>
  <w:num w:numId="21">
    <w:abstractNumId w:val="29"/>
  </w:num>
  <w:num w:numId="22">
    <w:abstractNumId w:val="9"/>
  </w:num>
  <w:num w:numId="23">
    <w:abstractNumId w:val="21"/>
  </w:num>
  <w:num w:numId="24">
    <w:abstractNumId w:val="23"/>
  </w:num>
  <w:num w:numId="25">
    <w:abstractNumId w:val="4"/>
  </w:num>
  <w:num w:numId="26">
    <w:abstractNumId w:val="24"/>
  </w:num>
  <w:num w:numId="27">
    <w:abstractNumId w:val="7"/>
  </w:num>
  <w:num w:numId="28">
    <w:abstractNumId w:val="27"/>
  </w:num>
  <w:num w:numId="29">
    <w:abstractNumId w:val="14"/>
  </w:num>
  <w:num w:numId="30">
    <w:abstractNumId w:val="11"/>
  </w:num>
  <w:num w:numId="31">
    <w:abstractNumId w:val="28"/>
  </w:num>
  <w:num w:numId="32">
    <w:abstractNumId w:val="1"/>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AF"/>
    <w:rsid w:val="000119FC"/>
    <w:rsid w:val="000C6785"/>
    <w:rsid w:val="000D5FE5"/>
    <w:rsid w:val="0014758C"/>
    <w:rsid w:val="0016611A"/>
    <w:rsid w:val="00197940"/>
    <w:rsid w:val="001A2325"/>
    <w:rsid w:val="001F0904"/>
    <w:rsid w:val="002123F7"/>
    <w:rsid w:val="00216A07"/>
    <w:rsid w:val="002805A7"/>
    <w:rsid w:val="002B172D"/>
    <w:rsid w:val="002F35FD"/>
    <w:rsid w:val="00347460"/>
    <w:rsid w:val="003860FC"/>
    <w:rsid w:val="0039669B"/>
    <w:rsid w:val="003E357A"/>
    <w:rsid w:val="00400804"/>
    <w:rsid w:val="004365FF"/>
    <w:rsid w:val="004615C8"/>
    <w:rsid w:val="004D10A4"/>
    <w:rsid w:val="004D5D94"/>
    <w:rsid w:val="004E519F"/>
    <w:rsid w:val="005A6CC6"/>
    <w:rsid w:val="005F029B"/>
    <w:rsid w:val="006241BA"/>
    <w:rsid w:val="007752E4"/>
    <w:rsid w:val="00945ECD"/>
    <w:rsid w:val="009F4E35"/>
    <w:rsid w:val="00A566A7"/>
    <w:rsid w:val="00B12370"/>
    <w:rsid w:val="00B508C5"/>
    <w:rsid w:val="00B73EAF"/>
    <w:rsid w:val="00DD6E26"/>
    <w:rsid w:val="00E23C38"/>
    <w:rsid w:val="00E61FBF"/>
    <w:rsid w:val="00E90FFA"/>
    <w:rsid w:val="00F048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D8CE42-95F2-4136-876B-0EEC5D7E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3">
    <w:name w:val="Body Text Indent"/>
    <w:basedOn w:val="a"/>
    <w:semiHidden/>
    <w:pPr>
      <w:tabs>
        <w:tab w:val="left" w:pos="960"/>
        <w:tab w:val="left" w:pos="1920"/>
        <w:tab w:val="left" w:pos="2880"/>
        <w:tab w:val="left" w:pos="3840"/>
        <w:tab w:val="left" w:pos="4800"/>
        <w:tab w:val="left" w:pos="5760"/>
        <w:tab w:val="left" w:pos="6720"/>
        <w:tab w:val="left" w:pos="7680"/>
      </w:tabs>
      <w:autoSpaceDE w:val="0"/>
      <w:autoSpaceDN w:val="0"/>
      <w:adjustRightInd w:val="0"/>
      <w:spacing w:before="120" w:after="120" w:line="360" w:lineRule="atLeast"/>
      <w:ind w:left="398" w:hanging="398"/>
      <w:jc w:val="both"/>
      <w:textDirection w:val="lrTbV"/>
      <w:textAlignment w:val="baseline"/>
    </w:pPr>
    <w:rPr>
      <w:rFonts w:ascii="華康楷書體W5(P)" w:eastAsia="華康楷書體W5(P)"/>
      <w:kern w:val="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Body Text"/>
    <w:basedOn w:val="a"/>
    <w:semiHidden/>
    <w:pPr>
      <w:jc w:val="both"/>
    </w:pPr>
    <w:rPr>
      <w:rFonts w:eastAsia="標楷體"/>
      <w:color w:val="000000"/>
    </w:rPr>
  </w:style>
  <w:style w:type="paragraph" w:styleId="20">
    <w:name w:val="Body Text Indent 2"/>
    <w:basedOn w:val="a"/>
    <w:semiHidden/>
    <w:pPr>
      <w:ind w:firstLineChars="200" w:firstLine="480"/>
      <w:jc w:val="both"/>
    </w:pPr>
    <w:rPr>
      <w:rFonts w:ascii="標楷體" w:eastAsia="標楷體" w:hAnsi="標楷體"/>
      <w:color w:val="000000"/>
    </w:rPr>
  </w:style>
  <w:style w:type="paragraph" w:customStyle="1" w:styleId="10">
    <w:name w:val="內文1"/>
    <w:basedOn w:val="a"/>
    <w:pPr>
      <w:snapToGrid w:val="0"/>
      <w:spacing w:line="300" w:lineRule="auto"/>
    </w:pPr>
    <w:rPr>
      <w:rFonts w:eastAsia="標楷體"/>
      <w:sz w:val="28"/>
    </w:rPr>
  </w:style>
  <w:style w:type="paragraph" w:customStyle="1" w:styleId="11">
    <w:name w:val="樣式1"/>
    <w:basedOn w:val="10"/>
    <w:rPr>
      <w:sz w:val="24"/>
    </w:rPr>
  </w:style>
  <w:style w:type="paragraph" w:styleId="3">
    <w:name w:val="Body Text Indent 3"/>
    <w:basedOn w:val="a"/>
    <w:semiHidden/>
    <w:pPr>
      <w:snapToGrid w:val="0"/>
      <w:spacing w:line="300" w:lineRule="auto"/>
      <w:ind w:leftChars="225" w:left="540" w:firstLineChars="300" w:firstLine="721"/>
      <w:jc w:val="both"/>
    </w:pPr>
    <w:rPr>
      <w:rFonts w:ascii="標楷體" w:eastAsia="標楷體" w:hAnsi="標楷體"/>
      <w:b/>
      <w:color w:val="FF0000"/>
      <w:u w:val="single"/>
    </w:rPr>
  </w:style>
  <w:style w:type="paragraph" w:customStyle="1" w:styleId="a8">
    <w:name w:val="分項段落"/>
    <w:basedOn w:val="a"/>
    <w:pPr>
      <w:snapToGrid w:val="0"/>
    </w:pPr>
    <w:rPr>
      <w:rFonts w:eastAsia="標楷體"/>
      <w:sz w:val="32"/>
      <w:szCs w:val="20"/>
    </w:rPr>
  </w:style>
  <w:style w:type="paragraph" w:styleId="a9">
    <w:name w:val="Plain Text"/>
    <w:basedOn w:val="a"/>
    <w:semiHidden/>
    <w:rPr>
      <w:rFonts w:ascii="細明體" w:eastAsia="細明體" w:hAnsi="Courier New"/>
      <w:szCs w:val="20"/>
    </w:rPr>
  </w:style>
  <w:style w:type="paragraph" w:styleId="21">
    <w:name w:val="Body Text 2"/>
    <w:basedOn w:val="a"/>
    <w:semiHidden/>
    <w:pPr>
      <w:jc w:val="both"/>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paragraph" w:styleId="aa">
    <w:name w:val="footnote text"/>
    <w:basedOn w:val="a"/>
    <w:semiHidden/>
    <w:pPr>
      <w:snapToGrid w:val="0"/>
    </w:pPr>
    <w:rPr>
      <w:sz w:val="20"/>
      <w:szCs w:val="20"/>
    </w:rPr>
  </w:style>
  <w:style w:type="character" w:styleId="ab">
    <w:name w:val="footnote reference"/>
    <w:semiHidden/>
    <w:rPr>
      <w:vertAlign w:val="superscript"/>
    </w:rPr>
  </w:style>
  <w:style w:type="paragraph" w:styleId="ac">
    <w:name w:val="Balloon Text"/>
    <w:basedOn w:val="a"/>
    <w:semiHidden/>
    <w:rPr>
      <w:rFonts w:ascii="Arial" w:hAnsi="Arial"/>
      <w:sz w:val="18"/>
      <w:szCs w:val="18"/>
    </w:rPr>
  </w:style>
  <w:style w:type="paragraph" w:styleId="30">
    <w:name w:val="Body Text 3"/>
    <w:basedOn w:val="a"/>
    <w:semiHidden/>
    <w:pPr>
      <w:spacing w:after="120"/>
      <w:jc w:val="both"/>
    </w:pPr>
    <w:rPr>
      <w:rFonts w:eastAsia="標楷體"/>
      <w:b/>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D343A-EA07-4C5E-A1D6-9A1132EA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財團法人中華民國證券櫃檯買賣中心證券商營業處所買賣有價證券業務規則部分條文修正（草案）對照表</dc:title>
  <dc:subject/>
  <dc:creator>pc1</dc:creator>
  <cp:keywords/>
  <cp:lastModifiedBy>曾寶磁</cp:lastModifiedBy>
  <cp:revision>10</cp:revision>
  <cp:lastPrinted>2014-02-17T03:12:00Z</cp:lastPrinted>
  <dcterms:created xsi:type="dcterms:W3CDTF">2018-09-27T03:56:00Z</dcterms:created>
  <dcterms:modified xsi:type="dcterms:W3CDTF">2018-11-27T02:26:00Z</dcterms:modified>
</cp:coreProperties>
</file>