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B21" w:rsidRPr="0052557B" w:rsidRDefault="006E1F54" w:rsidP="003C7D43">
      <w:pPr>
        <w:adjustRightInd w:val="0"/>
        <w:snapToGrid w:val="0"/>
        <w:spacing w:line="460" w:lineRule="exact"/>
        <w:jc w:val="center"/>
        <w:rPr>
          <w:rFonts w:ascii="標楷體" w:eastAsia="標楷體" w:hAnsi="標楷體"/>
          <w:b/>
          <w:sz w:val="28"/>
          <w:szCs w:val="28"/>
        </w:rPr>
      </w:pPr>
      <w:r w:rsidRPr="0052557B">
        <w:rPr>
          <w:rFonts w:ascii="標楷體" w:eastAsia="標楷體" w:hAnsi="標楷體" w:hint="eastAsia"/>
          <w:b/>
          <w:sz w:val="28"/>
          <w:szCs w:val="28"/>
        </w:rPr>
        <w:t>財團法人中華民國證券櫃檯買賣中心</w:t>
      </w:r>
      <w:r w:rsidR="00A6442B" w:rsidRPr="0052557B">
        <w:rPr>
          <w:rFonts w:ascii="Times New Roman" w:eastAsia="標楷體" w:hAnsi="Times New Roman" w:cs="Times New Roman" w:hint="eastAsia"/>
          <w:b/>
          <w:bCs/>
          <w:sz w:val="28"/>
          <w:szCs w:val="28"/>
        </w:rPr>
        <w:t>綠色債券作業要點</w:t>
      </w:r>
    </w:p>
    <w:p w:rsidR="00A6442B" w:rsidRPr="0052557B" w:rsidRDefault="00A6442B" w:rsidP="003C7D43">
      <w:pPr>
        <w:tabs>
          <w:tab w:val="left" w:pos="0"/>
        </w:tabs>
        <w:adjustRightInd w:val="0"/>
        <w:snapToGrid w:val="0"/>
        <w:spacing w:line="460" w:lineRule="exact"/>
        <w:ind w:left="561" w:hangingChars="200" w:hanging="561"/>
        <w:jc w:val="center"/>
        <w:rPr>
          <w:rFonts w:ascii="Times New Roman" w:eastAsia="標楷體" w:hAnsi="Times New Roman" w:cs="Times New Roman"/>
          <w:b/>
          <w:bCs/>
          <w:sz w:val="28"/>
          <w:szCs w:val="28"/>
        </w:rPr>
      </w:pPr>
      <w:r w:rsidRPr="0052557B">
        <w:rPr>
          <w:rFonts w:ascii="標楷體" w:eastAsia="標楷體" w:hAnsi="標楷體" w:hint="eastAsia"/>
          <w:b/>
          <w:sz w:val="28"/>
          <w:szCs w:val="28"/>
        </w:rPr>
        <w:t>部分條文修正</w:t>
      </w:r>
      <w:r w:rsidRPr="0052557B">
        <w:rPr>
          <w:rFonts w:ascii="Times New Roman" w:eastAsia="標楷體" w:hAnsi="Times New Roman" w:cs="Times New Roman" w:hint="eastAsia"/>
          <w:b/>
          <w:bCs/>
          <w:sz w:val="28"/>
          <w:szCs w:val="28"/>
        </w:rPr>
        <w:t>總說明</w:t>
      </w:r>
    </w:p>
    <w:p w:rsidR="00A161E3" w:rsidRPr="0052557B" w:rsidRDefault="00A161E3" w:rsidP="003C7D43">
      <w:pPr>
        <w:tabs>
          <w:tab w:val="left" w:pos="0"/>
        </w:tabs>
        <w:adjustRightInd w:val="0"/>
        <w:snapToGrid w:val="0"/>
        <w:spacing w:beforeLines="50" w:before="180" w:line="460" w:lineRule="exact"/>
        <w:ind w:firstLineChars="200" w:firstLine="560"/>
        <w:jc w:val="both"/>
        <w:rPr>
          <w:rFonts w:ascii="Times New Roman" w:eastAsia="標楷體" w:hAnsi="Times New Roman" w:cs="Times New Roman"/>
          <w:bCs/>
          <w:sz w:val="28"/>
          <w:szCs w:val="28"/>
        </w:rPr>
      </w:pPr>
      <w:r w:rsidRPr="0052557B">
        <w:rPr>
          <w:rFonts w:ascii="Times New Roman" w:eastAsia="標楷體" w:hAnsi="Times New Roman" w:cs="Times New Roman" w:hint="eastAsia"/>
          <w:bCs/>
          <w:sz w:val="28"/>
          <w:szCs w:val="28"/>
        </w:rPr>
        <w:t>為協助綠能科技產業取得中長期資金，並促進環境永續發展，</w:t>
      </w:r>
      <w:r w:rsidR="0052557B">
        <w:rPr>
          <w:rFonts w:ascii="Times New Roman" w:eastAsia="標楷體" w:hAnsi="Times New Roman" w:cs="Times New Roman" w:hint="eastAsia"/>
          <w:bCs/>
          <w:sz w:val="28"/>
          <w:szCs w:val="28"/>
        </w:rPr>
        <w:t>本</w:t>
      </w:r>
      <w:r w:rsidRPr="0052557B">
        <w:rPr>
          <w:rFonts w:ascii="Times New Roman" w:eastAsia="標楷體" w:hAnsi="Times New Roman" w:cs="Times New Roman" w:hint="eastAsia"/>
          <w:bCs/>
          <w:sz w:val="28"/>
          <w:szCs w:val="28"/>
        </w:rPr>
        <w:t>中心已於</w:t>
      </w:r>
      <w:r w:rsidRPr="0052557B">
        <w:rPr>
          <w:rFonts w:ascii="Times New Roman" w:eastAsia="標楷體" w:hAnsi="Times New Roman" w:cs="Times New Roman" w:hint="eastAsia"/>
          <w:bCs/>
          <w:sz w:val="28"/>
          <w:szCs w:val="28"/>
        </w:rPr>
        <w:t>106</w:t>
      </w:r>
      <w:r w:rsidRPr="0052557B">
        <w:rPr>
          <w:rFonts w:ascii="Times New Roman" w:eastAsia="標楷體" w:hAnsi="Times New Roman" w:cs="Times New Roman" w:hint="eastAsia"/>
          <w:bCs/>
          <w:sz w:val="28"/>
          <w:szCs w:val="28"/>
        </w:rPr>
        <w:t>年</w:t>
      </w:r>
      <w:r w:rsidRPr="0052557B">
        <w:rPr>
          <w:rFonts w:ascii="Times New Roman" w:eastAsia="標楷體" w:hAnsi="Times New Roman" w:cs="Times New Roman" w:hint="eastAsia"/>
          <w:bCs/>
          <w:sz w:val="28"/>
          <w:szCs w:val="28"/>
        </w:rPr>
        <w:t>4</w:t>
      </w:r>
      <w:r w:rsidRPr="0052557B">
        <w:rPr>
          <w:rFonts w:ascii="Times New Roman" w:eastAsia="標楷體" w:hAnsi="Times New Roman" w:cs="Times New Roman" w:hint="eastAsia"/>
          <w:bCs/>
          <w:sz w:val="28"/>
          <w:szCs w:val="28"/>
        </w:rPr>
        <w:t>月</w:t>
      </w:r>
      <w:r w:rsidRPr="0052557B">
        <w:rPr>
          <w:rFonts w:ascii="Times New Roman" w:eastAsia="標楷體" w:hAnsi="Times New Roman" w:cs="Times New Roman" w:hint="eastAsia"/>
          <w:bCs/>
          <w:sz w:val="28"/>
          <w:szCs w:val="28"/>
        </w:rPr>
        <w:t>21</w:t>
      </w:r>
      <w:r w:rsidRPr="0052557B">
        <w:rPr>
          <w:rFonts w:ascii="Times New Roman" w:eastAsia="標楷體" w:hAnsi="Times New Roman" w:cs="Times New Roman" w:hint="eastAsia"/>
          <w:bCs/>
          <w:sz w:val="28"/>
          <w:szCs w:val="28"/>
        </w:rPr>
        <w:t>日建立綠色債券上櫃制度，並積極推動綠色債券上櫃掛牌及各項宣導活動，截至</w:t>
      </w:r>
      <w:r w:rsidRPr="0052557B">
        <w:rPr>
          <w:rFonts w:ascii="Times New Roman" w:eastAsia="標楷體" w:hAnsi="Times New Roman" w:cs="Times New Roman" w:hint="eastAsia"/>
          <w:bCs/>
          <w:sz w:val="28"/>
          <w:szCs w:val="28"/>
        </w:rPr>
        <w:t>10</w:t>
      </w:r>
      <w:r w:rsidR="009C7280">
        <w:rPr>
          <w:rFonts w:ascii="Times New Roman" w:eastAsia="標楷體" w:hAnsi="Times New Roman" w:cs="Times New Roman" w:hint="eastAsia"/>
          <w:bCs/>
          <w:sz w:val="28"/>
          <w:szCs w:val="28"/>
        </w:rPr>
        <w:t>7</w:t>
      </w:r>
      <w:bookmarkStart w:id="0" w:name="_GoBack"/>
      <w:bookmarkEnd w:id="0"/>
      <w:r w:rsidRPr="0052557B">
        <w:rPr>
          <w:rFonts w:ascii="Times New Roman" w:eastAsia="標楷體" w:hAnsi="Times New Roman" w:cs="Times New Roman" w:hint="eastAsia"/>
          <w:bCs/>
          <w:sz w:val="28"/>
          <w:szCs w:val="28"/>
        </w:rPr>
        <w:t>年</w:t>
      </w:r>
      <w:r w:rsidRPr="0052557B">
        <w:rPr>
          <w:rFonts w:ascii="Times New Roman" w:eastAsia="標楷體" w:hAnsi="Times New Roman" w:cs="Times New Roman" w:hint="eastAsia"/>
          <w:bCs/>
          <w:sz w:val="28"/>
          <w:szCs w:val="28"/>
        </w:rPr>
        <w:t>1</w:t>
      </w:r>
      <w:r w:rsidR="003F5F0F">
        <w:rPr>
          <w:rFonts w:ascii="Times New Roman" w:eastAsia="標楷體" w:hAnsi="Times New Roman" w:cs="Times New Roman" w:hint="eastAsia"/>
          <w:bCs/>
          <w:sz w:val="28"/>
          <w:szCs w:val="28"/>
        </w:rPr>
        <w:t>2</w:t>
      </w:r>
      <w:r w:rsidRPr="0052557B">
        <w:rPr>
          <w:rFonts w:ascii="Times New Roman" w:eastAsia="標楷體" w:hAnsi="Times New Roman" w:cs="Times New Roman" w:hint="eastAsia"/>
          <w:bCs/>
          <w:sz w:val="28"/>
          <w:szCs w:val="28"/>
        </w:rPr>
        <w:t>月底</w:t>
      </w:r>
      <w:r w:rsidR="00942ADC">
        <w:rPr>
          <w:rFonts w:ascii="Times New Roman" w:eastAsia="標楷體" w:hAnsi="Times New Roman" w:cs="Times New Roman" w:hint="eastAsia"/>
          <w:bCs/>
          <w:sz w:val="28"/>
          <w:szCs w:val="28"/>
        </w:rPr>
        <w:t>為止</w:t>
      </w:r>
      <w:r w:rsidRPr="0052557B">
        <w:rPr>
          <w:rFonts w:ascii="Times New Roman" w:eastAsia="標楷體" w:hAnsi="Times New Roman" w:cs="Times New Roman" w:hint="eastAsia"/>
          <w:bCs/>
          <w:sz w:val="28"/>
          <w:szCs w:val="28"/>
        </w:rPr>
        <w:t>，共計有</w:t>
      </w:r>
      <w:r w:rsidRPr="0052557B">
        <w:rPr>
          <w:rFonts w:ascii="Times New Roman" w:eastAsia="標楷體" w:hAnsi="Times New Roman" w:cs="Times New Roman" w:hint="eastAsia"/>
          <w:bCs/>
          <w:sz w:val="28"/>
          <w:szCs w:val="28"/>
        </w:rPr>
        <w:t>2</w:t>
      </w:r>
      <w:r w:rsidR="003F5F0F">
        <w:rPr>
          <w:rFonts w:ascii="Times New Roman" w:eastAsia="標楷體" w:hAnsi="Times New Roman" w:cs="Times New Roman" w:hint="eastAsia"/>
          <w:bCs/>
          <w:sz w:val="28"/>
          <w:szCs w:val="28"/>
        </w:rPr>
        <w:t>3</w:t>
      </w:r>
      <w:r w:rsidRPr="0052557B">
        <w:rPr>
          <w:rFonts w:ascii="Times New Roman" w:eastAsia="標楷體" w:hAnsi="Times New Roman" w:cs="Times New Roman" w:hint="eastAsia"/>
          <w:bCs/>
          <w:sz w:val="28"/>
          <w:szCs w:val="28"/>
        </w:rPr>
        <w:t>檔綠色債券掛牌發行，</w:t>
      </w:r>
      <w:r w:rsidR="00942ADC">
        <w:rPr>
          <w:rFonts w:ascii="Times New Roman" w:eastAsia="標楷體" w:hAnsi="Times New Roman" w:cs="Times New Roman" w:hint="eastAsia"/>
          <w:bCs/>
          <w:sz w:val="28"/>
          <w:szCs w:val="28"/>
        </w:rPr>
        <w:t>發行</w:t>
      </w:r>
      <w:r w:rsidRPr="0052557B">
        <w:rPr>
          <w:rFonts w:ascii="Times New Roman" w:eastAsia="標楷體" w:hAnsi="Times New Roman" w:cs="Times New Roman" w:hint="eastAsia"/>
          <w:bCs/>
          <w:sz w:val="28"/>
          <w:szCs w:val="28"/>
        </w:rPr>
        <w:t>金額約為新台幣</w:t>
      </w:r>
      <w:r w:rsidRPr="0052557B">
        <w:rPr>
          <w:rFonts w:ascii="Times New Roman" w:eastAsia="標楷體" w:hAnsi="Times New Roman" w:cs="Times New Roman" w:hint="eastAsia"/>
          <w:bCs/>
          <w:sz w:val="28"/>
          <w:szCs w:val="28"/>
        </w:rPr>
        <w:t>5</w:t>
      </w:r>
      <w:r w:rsidR="003F5F0F">
        <w:rPr>
          <w:rFonts w:ascii="Times New Roman" w:eastAsia="標楷體" w:hAnsi="Times New Roman" w:cs="Times New Roman" w:hint="eastAsia"/>
          <w:bCs/>
          <w:sz w:val="28"/>
          <w:szCs w:val="28"/>
        </w:rPr>
        <w:t>39</w:t>
      </w:r>
      <w:r w:rsidRPr="0052557B">
        <w:rPr>
          <w:rFonts w:ascii="Times New Roman" w:eastAsia="標楷體" w:hAnsi="Times New Roman" w:cs="Times New Roman" w:hint="eastAsia"/>
          <w:bCs/>
          <w:sz w:val="28"/>
          <w:szCs w:val="28"/>
        </w:rPr>
        <w:t>億元。</w:t>
      </w:r>
    </w:p>
    <w:p w:rsidR="00A63B21" w:rsidRDefault="0052557B" w:rsidP="003C7D43">
      <w:pPr>
        <w:tabs>
          <w:tab w:val="left" w:pos="0"/>
        </w:tabs>
        <w:adjustRightInd w:val="0"/>
        <w:snapToGrid w:val="0"/>
        <w:spacing w:beforeLines="50" w:before="180" w:afterLines="50" w:after="180" w:line="460" w:lineRule="exact"/>
        <w:ind w:firstLineChars="200" w:firstLine="560"/>
        <w:jc w:val="both"/>
        <w:rPr>
          <w:rFonts w:ascii="Times New Roman" w:eastAsia="標楷體" w:hAnsi="Times New Roman" w:cs="Times New Roman"/>
          <w:bCs/>
          <w:sz w:val="28"/>
          <w:szCs w:val="28"/>
        </w:rPr>
      </w:pPr>
      <w:r w:rsidRPr="003017B5">
        <w:rPr>
          <w:rFonts w:ascii="標楷體" w:eastAsia="標楷體" w:hAnsi="標楷體" w:cs="Times New Roman" w:hint="eastAsia"/>
          <w:color w:val="000000"/>
          <w:kern w:val="0"/>
          <w:sz w:val="28"/>
          <w:szCs w:val="28"/>
        </w:rPr>
        <w:t>為</w:t>
      </w:r>
      <w:r w:rsidR="003017B5" w:rsidRPr="003017B5">
        <w:rPr>
          <w:rFonts w:ascii="標楷體" w:eastAsia="標楷體" w:hAnsi="標楷體" w:cs="Times New Roman" w:hint="eastAsia"/>
          <w:color w:val="000000"/>
          <w:kern w:val="0"/>
          <w:sz w:val="28"/>
          <w:szCs w:val="28"/>
        </w:rPr>
        <w:t>進一步推動我國綠色債券市場之發展，提供離岸風力發電等再生能源業者及</w:t>
      </w:r>
      <w:r w:rsidR="00A471AC">
        <w:rPr>
          <w:rFonts w:ascii="標楷體" w:eastAsia="標楷體" w:hAnsi="標楷體" w:cs="Times New Roman" w:hint="eastAsia"/>
          <w:color w:val="000000"/>
          <w:kern w:val="0"/>
          <w:sz w:val="28"/>
          <w:szCs w:val="28"/>
        </w:rPr>
        <w:t>辦理</w:t>
      </w:r>
      <w:r w:rsidR="003017B5" w:rsidRPr="003017B5">
        <w:rPr>
          <w:rFonts w:ascii="標楷體" w:eastAsia="標楷體" w:hAnsi="標楷體" w:cs="Times New Roman" w:hint="eastAsia"/>
          <w:color w:val="000000"/>
          <w:kern w:val="0"/>
          <w:sz w:val="28"/>
          <w:szCs w:val="28"/>
        </w:rPr>
        <w:t>綠能授信放款</w:t>
      </w:r>
      <w:r w:rsidR="00A471AC">
        <w:rPr>
          <w:rFonts w:ascii="標楷體" w:eastAsia="標楷體" w:hAnsi="標楷體" w:cs="Times New Roman" w:hint="eastAsia"/>
          <w:color w:val="000000"/>
          <w:kern w:val="0"/>
          <w:sz w:val="28"/>
          <w:szCs w:val="28"/>
        </w:rPr>
        <w:t>之</w:t>
      </w:r>
      <w:r w:rsidR="003017B5" w:rsidRPr="003017B5">
        <w:rPr>
          <w:rFonts w:ascii="標楷體" w:eastAsia="標楷體" w:hAnsi="標楷體" w:cs="Times New Roman" w:hint="eastAsia"/>
          <w:color w:val="000000"/>
          <w:kern w:val="0"/>
          <w:sz w:val="28"/>
          <w:szCs w:val="28"/>
        </w:rPr>
        <w:t>銀行更多元之籌資管道，以及投資人更多樣化之綠色投資選擇，本中心</w:t>
      </w:r>
      <w:r w:rsidR="00A6442B" w:rsidRPr="003017B5">
        <w:rPr>
          <w:rFonts w:ascii="標楷體" w:eastAsia="標楷體" w:hAnsi="標楷體" w:cs="Times New Roman" w:hint="eastAsia"/>
          <w:bCs/>
          <w:sz w:val="28"/>
          <w:szCs w:val="28"/>
        </w:rPr>
        <w:t>規劃建立綠色金融資產證券化商品上櫃制度</w:t>
      </w:r>
      <w:r w:rsidR="003017B5" w:rsidRPr="003017B5">
        <w:rPr>
          <w:rFonts w:ascii="標楷體" w:eastAsia="標楷體" w:hAnsi="標楷體" w:cs="Times New Roman" w:hint="eastAsia"/>
          <w:bCs/>
          <w:sz w:val="28"/>
          <w:szCs w:val="28"/>
        </w:rPr>
        <w:t>，以期</w:t>
      </w:r>
      <w:r w:rsidR="003017B5" w:rsidRPr="003017B5">
        <w:rPr>
          <w:rFonts w:ascii="標楷體" w:eastAsia="標楷體" w:hAnsi="標楷體" w:cs="Times New Roman" w:hint="eastAsia"/>
          <w:color w:val="000000"/>
          <w:kern w:val="0"/>
          <w:sz w:val="28"/>
          <w:szCs w:val="28"/>
        </w:rPr>
        <w:t>擴大我國綠色債券商品範圍，而配合綠色金融資產證券化商品上櫃制度作業</w:t>
      </w:r>
      <w:r w:rsidR="003017B5" w:rsidRPr="003017B5">
        <w:rPr>
          <w:rFonts w:ascii="新細明體" w:eastAsia="新細明體" w:hAnsi="新細明體" w:cs="Times New Roman" w:hint="eastAsia"/>
          <w:color w:val="000000"/>
          <w:kern w:val="0"/>
          <w:sz w:val="28"/>
          <w:szCs w:val="28"/>
        </w:rPr>
        <w:t>，</w:t>
      </w:r>
      <w:r w:rsidR="00942ADC" w:rsidRPr="003017B5">
        <w:rPr>
          <w:rFonts w:ascii="標楷體" w:eastAsia="標楷體" w:hAnsi="標楷體" w:cs="Times New Roman"/>
          <w:color w:val="000000"/>
          <w:kern w:val="0"/>
          <w:sz w:val="28"/>
          <w:szCs w:val="28"/>
        </w:rPr>
        <w:t>爰擬具</w:t>
      </w:r>
      <w:r w:rsidR="00EA72CA">
        <w:rPr>
          <w:rFonts w:ascii="標楷體" w:eastAsia="標楷體" w:hAnsi="標楷體" w:cs="Times New Roman" w:hint="eastAsia"/>
          <w:color w:val="000000"/>
          <w:kern w:val="0"/>
          <w:sz w:val="28"/>
          <w:szCs w:val="28"/>
        </w:rPr>
        <w:t>本中心</w:t>
      </w:r>
      <w:r w:rsidR="00942ADC" w:rsidRPr="003017B5">
        <w:rPr>
          <w:rFonts w:ascii="標楷體" w:eastAsia="標楷體" w:hAnsi="標楷體" w:cs="Times New Roman" w:hint="eastAsia"/>
          <w:color w:val="000000"/>
          <w:kern w:val="0"/>
          <w:sz w:val="28"/>
          <w:szCs w:val="28"/>
        </w:rPr>
        <w:t>「綠色債券作業要點」</w:t>
      </w:r>
      <w:r w:rsidR="00EA72CA">
        <w:rPr>
          <w:rFonts w:ascii="標楷體" w:eastAsia="標楷體" w:hAnsi="標楷體" w:cs="Times New Roman"/>
          <w:color w:val="000000"/>
          <w:kern w:val="0"/>
          <w:sz w:val="28"/>
          <w:szCs w:val="28"/>
        </w:rPr>
        <w:t>修正草案，</w:t>
      </w:r>
      <w:r w:rsidR="00942ADC" w:rsidRPr="00942ADC">
        <w:rPr>
          <w:rFonts w:ascii="Times New Roman" w:eastAsia="標楷體" w:hAnsi="Times New Roman" w:cs="Times New Roman"/>
          <w:bCs/>
          <w:sz w:val="28"/>
          <w:szCs w:val="28"/>
        </w:rPr>
        <w:t>其修正要點如次：</w:t>
      </w:r>
    </w:p>
    <w:p w:rsidR="0067539F" w:rsidRDefault="0067539F" w:rsidP="003C7D43">
      <w:pPr>
        <w:pStyle w:val="aa"/>
        <w:numPr>
          <w:ilvl w:val="0"/>
          <w:numId w:val="40"/>
        </w:numPr>
        <w:tabs>
          <w:tab w:val="left" w:pos="0"/>
        </w:tabs>
        <w:adjustRightInd w:val="0"/>
        <w:snapToGrid w:val="0"/>
        <w:spacing w:line="460" w:lineRule="exact"/>
        <w:ind w:leftChars="0"/>
        <w:jc w:val="both"/>
        <w:rPr>
          <w:rFonts w:ascii="Times New Roman" w:eastAsia="標楷體" w:hAnsi="Times New Roman" w:cs="Times New Roman"/>
          <w:bCs/>
          <w:sz w:val="28"/>
          <w:szCs w:val="28"/>
        </w:rPr>
      </w:pPr>
      <w:r w:rsidRPr="0067539F">
        <w:rPr>
          <w:rFonts w:ascii="Times New Roman" w:eastAsia="標楷體" w:hAnsi="Times New Roman" w:cs="Times New Roman" w:hint="eastAsia"/>
          <w:bCs/>
          <w:sz w:val="28"/>
          <w:szCs w:val="28"/>
        </w:rPr>
        <w:t>為擴大我國綠色債券商品範圍，增訂金融資產證券化受益證券及資產基礎證券為得向本中心申請綠色債券資格認可之有價證券。（修正</w:t>
      </w:r>
      <w:r w:rsidR="009934E3">
        <w:rPr>
          <w:rFonts w:ascii="Times New Roman" w:eastAsia="標楷體" w:hAnsi="Times New Roman" w:cs="Times New Roman" w:hint="eastAsia"/>
          <w:bCs/>
          <w:sz w:val="28"/>
          <w:szCs w:val="28"/>
        </w:rPr>
        <w:t>條文</w:t>
      </w:r>
      <w:r w:rsidRPr="0067539F">
        <w:rPr>
          <w:rFonts w:ascii="Times New Roman" w:eastAsia="標楷體" w:hAnsi="Times New Roman" w:cs="Times New Roman" w:hint="eastAsia"/>
          <w:bCs/>
          <w:sz w:val="28"/>
          <w:szCs w:val="28"/>
        </w:rPr>
        <w:t>第三條）</w:t>
      </w:r>
    </w:p>
    <w:p w:rsidR="0067539F" w:rsidRDefault="0067539F" w:rsidP="003C7D43">
      <w:pPr>
        <w:pStyle w:val="aa"/>
        <w:numPr>
          <w:ilvl w:val="0"/>
          <w:numId w:val="40"/>
        </w:numPr>
        <w:tabs>
          <w:tab w:val="left" w:pos="0"/>
        </w:tabs>
        <w:adjustRightInd w:val="0"/>
        <w:snapToGrid w:val="0"/>
        <w:spacing w:line="460" w:lineRule="exact"/>
        <w:ind w:leftChars="0"/>
        <w:jc w:val="both"/>
        <w:rPr>
          <w:rFonts w:ascii="Times New Roman" w:eastAsia="標楷體" w:hAnsi="Times New Roman" w:cs="Times New Roman"/>
          <w:bCs/>
          <w:sz w:val="28"/>
          <w:szCs w:val="28"/>
        </w:rPr>
      </w:pPr>
      <w:r w:rsidRPr="0067539F">
        <w:rPr>
          <w:rFonts w:ascii="Times New Roman" w:eastAsia="標楷體" w:hAnsi="Times New Roman" w:cs="Times New Roman" w:hint="eastAsia"/>
          <w:bCs/>
          <w:sz w:val="28"/>
          <w:szCs w:val="28"/>
        </w:rPr>
        <w:t>參酌國際市場現行實務，訂定金融資產證券化受益證券及資產基礎證券之資產池須源自綠色投資計畫，並明定資產池係依據金融資產證券化條例之規定認定。（修正</w:t>
      </w:r>
      <w:r w:rsidR="009934E3">
        <w:rPr>
          <w:rFonts w:ascii="Times New Roman" w:eastAsia="標楷體" w:hAnsi="Times New Roman" w:cs="Times New Roman" w:hint="eastAsia"/>
          <w:bCs/>
          <w:sz w:val="28"/>
          <w:szCs w:val="28"/>
        </w:rPr>
        <w:t>條文</w:t>
      </w:r>
      <w:r w:rsidRPr="0067539F">
        <w:rPr>
          <w:rFonts w:ascii="Times New Roman" w:eastAsia="標楷體" w:hAnsi="Times New Roman" w:cs="Times New Roman" w:hint="eastAsia"/>
          <w:bCs/>
          <w:sz w:val="28"/>
          <w:szCs w:val="28"/>
        </w:rPr>
        <w:t>第四條）</w:t>
      </w:r>
    </w:p>
    <w:p w:rsidR="0067539F" w:rsidRDefault="0067539F" w:rsidP="003C7D43">
      <w:pPr>
        <w:pStyle w:val="aa"/>
        <w:numPr>
          <w:ilvl w:val="0"/>
          <w:numId w:val="40"/>
        </w:numPr>
        <w:tabs>
          <w:tab w:val="left" w:pos="0"/>
        </w:tabs>
        <w:adjustRightInd w:val="0"/>
        <w:snapToGrid w:val="0"/>
        <w:spacing w:line="460" w:lineRule="exact"/>
        <w:ind w:leftChars="0"/>
        <w:jc w:val="both"/>
        <w:rPr>
          <w:rFonts w:ascii="Times New Roman" w:eastAsia="標楷體" w:hAnsi="Times New Roman" w:cs="Times New Roman"/>
          <w:bCs/>
          <w:sz w:val="28"/>
          <w:szCs w:val="28"/>
        </w:rPr>
      </w:pPr>
      <w:r w:rsidRPr="0067539F">
        <w:rPr>
          <w:rFonts w:ascii="Times New Roman" w:eastAsia="標楷體" w:hAnsi="Times New Roman" w:cs="Times New Roman" w:hint="eastAsia"/>
          <w:bCs/>
          <w:sz w:val="28"/>
          <w:szCs w:val="28"/>
        </w:rPr>
        <w:t>為客觀評估金融資產證券化受益證券或資產基礎證券之資產池，是否均源自符合本中心綠色債券作業要點之綠色投資計畫，明定金融資產證券化受益證券或資產基礎證券之發行人不適用自行出具評估意見之規定。（修正</w:t>
      </w:r>
      <w:r w:rsidR="009934E3">
        <w:rPr>
          <w:rFonts w:ascii="Times New Roman" w:eastAsia="標楷體" w:hAnsi="Times New Roman" w:cs="Times New Roman" w:hint="eastAsia"/>
          <w:bCs/>
          <w:sz w:val="28"/>
          <w:szCs w:val="28"/>
        </w:rPr>
        <w:t>條文</w:t>
      </w:r>
      <w:r w:rsidRPr="0067539F">
        <w:rPr>
          <w:rFonts w:ascii="Times New Roman" w:eastAsia="標楷體" w:hAnsi="Times New Roman" w:cs="Times New Roman" w:hint="eastAsia"/>
          <w:bCs/>
          <w:sz w:val="28"/>
          <w:szCs w:val="28"/>
        </w:rPr>
        <w:t>第五條）</w:t>
      </w:r>
    </w:p>
    <w:p w:rsidR="0067539F" w:rsidRDefault="0067539F" w:rsidP="003C7D43">
      <w:pPr>
        <w:pStyle w:val="aa"/>
        <w:numPr>
          <w:ilvl w:val="0"/>
          <w:numId w:val="40"/>
        </w:numPr>
        <w:tabs>
          <w:tab w:val="left" w:pos="0"/>
        </w:tabs>
        <w:adjustRightInd w:val="0"/>
        <w:snapToGrid w:val="0"/>
        <w:spacing w:line="460" w:lineRule="exact"/>
        <w:ind w:leftChars="0"/>
        <w:jc w:val="both"/>
        <w:rPr>
          <w:rFonts w:ascii="Times New Roman" w:eastAsia="標楷體" w:hAnsi="Times New Roman" w:cs="Times New Roman"/>
          <w:bCs/>
          <w:sz w:val="28"/>
          <w:szCs w:val="28"/>
        </w:rPr>
      </w:pPr>
      <w:r w:rsidRPr="0067539F">
        <w:rPr>
          <w:rFonts w:ascii="Times New Roman" w:eastAsia="標楷體" w:hAnsi="Times New Roman" w:cs="Times New Roman" w:hint="eastAsia"/>
          <w:bCs/>
          <w:sz w:val="28"/>
          <w:szCs w:val="28"/>
        </w:rPr>
        <w:t>參酌現行實務，增訂金融資產證券化受益證券或資產基礎證券適用之綠色債券資格認可申請書。（修正</w:t>
      </w:r>
      <w:r w:rsidR="009934E3">
        <w:rPr>
          <w:rFonts w:ascii="Times New Roman" w:eastAsia="標楷體" w:hAnsi="Times New Roman" w:cs="Times New Roman" w:hint="eastAsia"/>
          <w:bCs/>
          <w:sz w:val="28"/>
          <w:szCs w:val="28"/>
        </w:rPr>
        <w:t>條文</w:t>
      </w:r>
      <w:r w:rsidRPr="0067539F">
        <w:rPr>
          <w:rFonts w:ascii="Times New Roman" w:eastAsia="標楷體" w:hAnsi="Times New Roman" w:cs="Times New Roman" w:hint="eastAsia"/>
          <w:bCs/>
          <w:sz w:val="28"/>
          <w:szCs w:val="28"/>
        </w:rPr>
        <w:t>第七條）</w:t>
      </w:r>
    </w:p>
    <w:p w:rsidR="0067539F" w:rsidRPr="0067539F" w:rsidRDefault="0067539F" w:rsidP="003C7D43">
      <w:pPr>
        <w:pStyle w:val="aa"/>
        <w:numPr>
          <w:ilvl w:val="0"/>
          <w:numId w:val="40"/>
        </w:numPr>
        <w:tabs>
          <w:tab w:val="left" w:pos="0"/>
        </w:tabs>
        <w:adjustRightInd w:val="0"/>
        <w:snapToGrid w:val="0"/>
        <w:spacing w:line="460" w:lineRule="exact"/>
        <w:ind w:leftChars="0"/>
        <w:jc w:val="both"/>
        <w:rPr>
          <w:rFonts w:ascii="Times New Roman" w:eastAsia="標楷體" w:hAnsi="Times New Roman" w:cs="Times New Roman"/>
          <w:bCs/>
          <w:sz w:val="28"/>
          <w:szCs w:val="28"/>
        </w:rPr>
      </w:pPr>
      <w:r w:rsidRPr="0067539F">
        <w:rPr>
          <w:rFonts w:ascii="Times New Roman" w:eastAsia="標楷體" w:hAnsi="Times New Roman" w:cs="Times New Roman" w:hint="eastAsia"/>
          <w:bCs/>
          <w:sz w:val="28"/>
          <w:szCs w:val="28"/>
        </w:rPr>
        <w:t>考量現行金融資產證券化受益證券及資產基礎證券之發行實務，為增加發行人辦理有價證券相關募集與發行作業之彈性，增訂發行人有其正當理由，得申請其綠色債券資格認可文件有效期限延長兩個月，並以一次為限。（修正</w:t>
      </w:r>
      <w:r w:rsidR="009934E3">
        <w:rPr>
          <w:rFonts w:ascii="Times New Roman" w:eastAsia="標楷體" w:hAnsi="Times New Roman" w:cs="Times New Roman" w:hint="eastAsia"/>
          <w:bCs/>
          <w:sz w:val="28"/>
          <w:szCs w:val="28"/>
        </w:rPr>
        <w:t>條文</w:t>
      </w:r>
      <w:r w:rsidRPr="0067539F">
        <w:rPr>
          <w:rFonts w:ascii="Times New Roman" w:eastAsia="標楷體" w:hAnsi="Times New Roman" w:cs="Times New Roman" w:hint="eastAsia"/>
          <w:bCs/>
          <w:sz w:val="28"/>
          <w:szCs w:val="28"/>
        </w:rPr>
        <w:t>第八條）</w:t>
      </w:r>
    </w:p>
    <w:p w:rsidR="0067539F" w:rsidRDefault="0067539F" w:rsidP="0067539F">
      <w:pPr>
        <w:tabs>
          <w:tab w:val="left" w:pos="0"/>
        </w:tabs>
        <w:adjustRightInd w:val="0"/>
        <w:snapToGrid w:val="0"/>
        <w:spacing w:line="460" w:lineRule="exact"/>
        <w:rPr>
          <w:rFonts w:ascii="Times New Roman" w:eastAsia="標楷體" w:hAnsi="Times New Roman" w:cs="Times New Roman"/>
          <w:bCs/>
          <w:sz w:val="28"/>
          <w:szCs w:val="28"/>
        </w:rPr>
      </w:pPr>
    </w:p>
    <w:p w:rsidR="0067539F" w:rsidRPr="0067539F" w:rsidRDefault="0067539F" w:rsidP="0067539F">
      <w:pPr>
        <w:tabs>
          <w:tab w:val="left" w:pos="0"/>
        </w:tabs>
        <w:adjustRightInd w:val="0"/>
        <w:snapToGrid w:val="0"/>
        <w:spacing w:line="460" w:lineRule="exact"/>
        <w:rPr>
          <w:rFonts w:ascii="Times New Roman" w:eastAsia="標楷體" w:hAnsi="Times New Roman" w:cs="Times New Roman"/>
          <w:bCs/>
          <w:sz w:val="28"/>
          <w:szCs w:val="28"/>
        </w:rPr>
      </w:pPr>
    </w:p>
    <w:p w:rsidR="007532D0" w:rsidRPr="007532D0" w:rsidRDefault="007532D0" w:rsidP="007532D0">
      <w:pPr>
        <w:adjustRightInd w:val="0"/>
        <w:snapToGrid w:val="0"/>
        <w:spacing w:line="460" w:lineRule="exact"/>
        <w:jc w:val="center"/>
        <w:rPr>
          <w:rFonts w:ascii="標楷體" w:eastAsia="標楷體" w:hAnsi="標楷體"/>
          <w:b/>
          <w:sz w:val="32"/>
          <w:szCs w:val="32"/>
        </w:rPr>
      </w:pPr>
      <w:r w:rsidRPr="007532D0">
        <w:rPr>
          <w:rFonts w:ascii="標楷體" w:eastAsia="標楷體" w:hAnsi="標楷體" w:hint="eastAsia"/>
          <w:b/>
          <w:sz w:val="32"/>
          <w:szCs w:val="32"/>
        </w:rPr>
        <w:lastRenderedPageBreak/>
        <w:t>財團法人中華民國證券櫃檯買賣中心</w:t>
      </w:r>
      <w:r w:rsidRPr="007532D0">
        <w:rPr>
          <w:rFonts w:ascii="Times New Roman" w:eastAsia="標楷體" w:hAnsi="Times New Roman" w:cs="Times New Roman" w:hint="eastAsia"/>
          <w:b/>
          <w:bCs/>
          <w:sz w:val="32"/>
          <w:szCs w:val="32"/>
        </w:rPr>
        <w:t>綠色債券作業要點</w:t>
      </w:r>
    </w:p>
    <w:p w:rsidR="00A6442B" w:rsidRDefault="00A6442B" w:rsidP="00942ADC">
      <w:pPr>
        <w:snapToGrid w:val="0"/>
        <w:spacing w:line="300" w:lineRule="auto"/>
        <w:ind w:leftChars="-59" w:left="611" w:rightChars="-82" w:right="-197" w:hangingChars="235" w:hanging="753"/>
        <w:jc w:val="center"/>
        <w:rPr>
          <w:rFonts w:ascii="Times New Roman" w:eastAsia="標楷體" w:hAnsi="Times New Roman" w:cs="Times New Roman"/>
          <w:b/>
          <w:bCs/>
          <w:sz w:val="32"/>
          <w:szCs w:val="32"/>
        </w:rPr>
      </w:pPr>
      <w:r w:rsidRPr="007532D0">
        <w:rPr>
          <w:rFonts w:ascii="Times New Roman" w:eastAsia="標楷體" w:hAnsi="Times New Roman" w:cs="Times New Roman" w:hint="eastAsia"/>
          <w:b/>
          <w:bCs/>
          <w:sz w:val="32"/>
          <w:szCs w:val="32"/>
        </w:rPr>
        <w:t>部分條文修正條文對照表</w:t>
      </w:r>
    </w:p>
    <w:p w:rsidR="002148D8" w:rsidRPr="002148D8" w:rsidRDefault="002148D8" w:rsidP="002148D8">
      <w:pPr>
        <w:tabs>
          <w:tab w:val="left" w:pos="0"/>
        </w:tabs>
        <w:snapToGrid w:val="0"/>
        <w:spacing w:line="300" w:lineRule="auto"/>
        <w:ind w:left="480" w:hangingChars="200" w:hanging="480"/>
        <w:jc w:val="center"/>
        <w:rPr>
          <w:rFonts w:ascii="Times New Roman" w:eastAsia="標楷體" w:hAnsi="Times New Roman" w:cs="Times New Roman"/>
          <w:b/>
          <w:bCs/>
          <w:szCs w:val="24"/>
        </w:rPr>
      </w:pPr>
      <w:r w:rsidRPr="00202DA0">
        <w:rPr>
          <w:rFonts w:ascii="Times New Roman" w:eastAsia="標楷體" w:hAnsi="Times New Roman" w:cs="Times New Roman" w:hint="eastAsia"/>
          <w:b/>
          <w:bCs/>
          <w:szCs w:val="24"/>
        </w:rPr>
        <w:t>金融監督管理委員會</w:t>
      </w:r>
      <w:r w:rsidRPr="00202DA0">
        <w:rPr>
          <w:rFonts w:ascii="Times New Roman" w:eastAsia="標楷體" w:hAnsi="Times New Roman" w:cs="Times New Roman" w:hint="eastAsia"/>
          <w:b/>
          <w:bCs/>
          <w:szCs w:val="24"/>
        </w:rPr>
        <w:t>10</w:t>
      </w:r>
      <w:r>
        <w:rPr>
          <w:rFonts w:ascii="Times New Roman" w:eastAsia="標楷體" w:hAnsi="Times New Roman" w:cs="Times New Roman" w:hint="eastAsia"/>
          <w:b/>
          <w:bCs/>
          <w:szCs w:val="24"/>
        </w:rPr>
        <w:t>8</w:t>
      </w:r>
      <w:r w:rsidRPr="00202DA0">
        <w:rPr>
          <w:rFonts w:ascii="Times New Roman" w:eastAsia="標楷體" w:hAnsi="Times New Roman" w:cs="Times New Roman" w:hint="eastAsia"/>
          <w:b/>
          <w:bCs/>
          <w:szCs w:val="24"/>
        </w:rPr>
        <w:t>年</w:t>
      </w:r>
      <w:r>
        <w:rPr>
          <w:rFonts w:ascii="Times New Roman" w:eastAsia="標楷體" w:hAnsi="Times New Roman" w:cs="Times New Roman" w:hint="eastAsia"/>
          <w:b/>
          <w:bCs/>
          <w:szCs w:val="24"/>
        </w:rPr>
        <w:t>1</w:t>
      </w:r>
      <w:r w:rsidRPr="00202DA0">
        <w:rPr>
          <w:rFonts w:ascii="Times New Roman" w:eastAsia="標楷體" w:hAnsi="Times New Roman" w:cs="Times New Roman" w:hint="eastAsia"/>
          <w:b/>
          <w:bCs/>
          <w:szCs w:val="24"/>
        </w:rPr>
        <w:t>月</w:t>
      </w:r>
      <w:r w:rsidR="00A900DD">
        <w:rPr>
          <w:rFonts w:ascii="Times New Roman" w:eastAsia="標楷體" w:hAnsi="Times New Roman" w:cs="Times New Roman" w:hint="eastAsia"/>
          <w:b/>
          <w:bCs/>
          <w:szCs w:val="24"/>
        </w:rPr>
        <w:t>15</w:t>
      </w:r>
      <w:r w:rsidRPr="00202DA0">
        <w:rPr>
          <w:rFonts w:ascii="Times New Roman" w:eastAsia="標楷體" w:hAnsi="Times New Roman" w:cs="Times New Roman" w:hint="eastAsia"/>
          <w:b/>
          <w:bCs/>
          <w:szCs w:val="24"/>
        </w:rPr>
        <w:t>日金管證發字第</w:t>
      </w:r>
      <w:r w:rsidR="00A900DD">
        <w:rPr>
          <w:rFonts w:ascii="Times New Roman" w:eastAsia="標楷體" w:hAnsi="Times New Roman" w:cs="Times New Roman" w:hint="eastAsia"/>
          <w:b/>
          <w:bCs/>
          <w:szCs w:val="24"/>
        </w:rPr>
        <w:t>1070344684</w:t>
      </w:r>
      <w:r w:rsidRPr="00202DA0">
        <w:rPr>
          <w:rFonts w:ascii="Times New Roman" w:eastAsia="標楷體" w:hAnsi="Times New Roman" w:cs="Times New Roman" w:hint="eastAsia"/>
          <w:b/>
          <w:bCs/>
          <w:szCs w:val="24"/>
        </w:rPr>
        <w:t>號函准予備查</w:t>
      </w:r>
    </w:p>
    <w:tbl>
      <w:tblPr>
        <w:tblStyle w:val="a3"/>
        <w:tblW w:w="0" w:type="auto"/>
        <w:tblLook w:val="04A0" w:firstRow="1" w:lastRow="0" w:firstColumn="1" w:lastColumn="0" w:noHBand="0" w:noVBand="1"/>
      </w:tblPr>
      <w:tblGrid>
        <w:gridCol w:w="2765"/>
        <w:gridCol w:w="2759"/>
        <w:gridCol w:w="2772"/>
      </w:tblGrid>
      <w:tr w:rsidR="00B369FE" w:rsidRPr="00B369FE" w:rsidTr="00872287">
        <w:tc>
          <w:tcPr>
            <w:tcW w:w="2765" w:type="dxa"/>
          </w:tcPr>
          <w:p w:rsidR="00C670C0" w:rsidRPr="00B369FE" w:rsidRDefault="00C670C0" w:rsidP="00C670C0">
            <w:pPr>
              <w:adjustRightInd w:val="0"/>
              <w:snapToGrid w:val="0"/>
              <w:spacing w:line="300" w:lineRule="exact"/>
              <w:jc w:val="center"/>
              <w:rPr>
                <w:rFonts w:ascii="標楷體" w:eastAsia="標楷體" w:hAnsi="標楷體"/>
                <w:bCs/>
              </w:rPr>
            </w:pPr>
            <w:r w:rsidRPr="00B369FE">
              <w:rPr>
                <w:rFonts w:ascii="標楷體" w:eastAsia="標楷體" w:hAnsi="標楷體"/>
                <w:b/>
              </w:rPr>
              <w:t>修正條文</w:t>
            </w:r>
          </w:p>
        </w:tc>
        <w:tc>
          <w:tcPr>
            <w:tcW w:w="2759" w:type="dxa"/>
          </w:tcPr>
          <w:p w:rsidR="00C670C0" w:rsidRPr="00B369FE" w:rsidRDefault="00C670C0" w:rsidP="00C670C0">
            <w:pPr>
              <w:adjustRightInd w:val="0"/>
              <w:snapToGrid w:val="0"/>
              <w:spacing w:line="300" w:lineRule="exact"/>
              <w:jc w:val="center"/>
              <w:rPr>
                <w:rFonts w:ascii="標楷體" w:eastAsia="標楷體" w:hAnsi="標楷體"/>
                <w:bCs/>
              </w:rPr>
            </w:pPr>
            <w:r w:rsidRPr="00B369FE">
              <w:rPr>
                <w:rFonts w:ascii="標楷體" w:eastAsia="標楷體" w:hAnsi="標楷體"/>
                <w:b/>
              </w:rPr>
              <w:t>現行條文</w:t>
            </w:r>
          </w:p>
        </w:tc>
        <w:tc>
          <w:tcPr>
            <w:tcW w:w="2772" w:type="dxa"/>
          </w:tcPr>
          <w:p w:rsidR="00C670C0" w:rsidRPr="00B369FE" w:rsidRDefault="00C670C0" w:rsidP="00C670C0">
            <w:pPr>
              <w:adjustRightInd w:val="0"/>
              <w:snapToGrid w:val="0"/>
              <w:spacing w:line="300" w:lineRule="exact"/>
              <w:jc w:val="center"/>
              <w:rPr>
                <w:rFonts w:ascii="標楷體" w:eastAsia="標楷體" w:hAnsi="標楷體"/>
                <w:bCs/>
              </w:rPr>
            </w:pPr>
            <w:r w:rsidRPr="00B369FE">
              <w:rPr>
                <w:rFonts w:ascii="標楷體" w:eastAsia="標楷體" w:hAnsi="標楷體"/>
                <w:b/>
              </w:rPr>
              <w:t>說明</w:t>
            </w:r>
          </w:p>
        </w:tc>
      </w:tr>
      <w:tr w:rsidR="00B369FE" w:rsidRPr="00B369FE" w:rsidTr="00872287">
        <w:tc>
          <w:tcPr>
            <w:tcW w:w="2765" w:type="dxa"/>
          </w:tcPr>
          <w:p w:rsidR="00C670C0" w:rsidRPr="00B369FE" w:rsidRDefault="00C670C0" w:rsidP="00C670C0">
            <w:pPr>
              <w:jc w:val="both"/>
              <w:rPr>
                <w:rFonts w:ascii="標楷體" w:eastAsia="標楷體" w:hAnsi="標楷體" w:cs="Times New Roman"/>
                <w:szCs w:val="24"/>
              </w:rPr>
            </w:pPr>
            <w:r w:rsidRPr="00B369FE">
              <w:rPr>
                <w:rFonts w:ascii="標楷體" w:eastAsia="標楷體" w:hAnsi="標楷體" w:cs="Times New Roman" w:hint="eastAsia"/>
                <w:szCs w:val="24"/>
              </w:rPr>
              <w:t xml:space="preserve">第三條   </w:t>
            </w:r>
          </w:p>
          <w:p w:rsidR="00C670C0" w:rsidRPr="00B369FE" w:rsidRDefault="00C670C0" w:rsidP="00C670C0">
            <w:pPr>
              <w:jc w:val="both"/>
              <w:rPr>
                <w:rFonts w:ascii="標楷體" w:eastAsia="標楷體" w:hAnsi="標楷體" w:cs="Times New Roman"/>
                <w:szCs w:val="24"/>
              </w:rPr>
            </w:pPr>
            <w:r w:rsidRPr="00B369FE">
              <w:rPr>
                <w:rFonts w:ascii="標楷體" w:eastAsia="標楷體" w:hAnsi="標楷體" w:cs="Times New Roman" w:hint="eastAsia"/>
                <w:szCs w:val="24"/>
              </w:rPr>
              <w:t xml:space="preserve">    發行人發行下列之有價證券，符合第四條規定者，得向本中心申請綠色債券資格認可：</w:t>
            </w:r>
          </w:p>
          <w:p w:rsidR="00C670C0" w:rsidRPr="00B369FE" w:rsidRDefault="00C670C0" w:rsidP="00C670C0">
            <w:pPr>
              <w:pStyle w:val="aa"/>
              <w:widowControl/>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標楷體" w:eastAsia="標楷體" w:hAnsi="標楷體" w:cs="Times New Roman"/>
                <w:szCs w:val="24"/>
              </w:rPr>
            </w:pPr>
            <w:r w:rsidRPr="00B369FE">
              <w:rPr>
                <w:rFonts w:ascii="標楷體" w:eastAsia="標楷體" w:hAnsi="標楷體" w:cs="Times New Roman" w:hint="eastAsia"/>
                <w:szCs w:val="24"/>
              </w:rPr>
              <w:t>依本中心證券商營業處所買賣有價證券審查準則第六條、第七條或第十五條規定，申請櫃檯買賣之普通公司債或金融債券。</w:t>
            </w:r>
          </w:p>
          <w:p w:rsidR="00C670C0" w:rsidRPr="00B369FE" w:rsidRDefault="00C670C0" w:rsidP="00C670C0">
            <w:pPr>
              <w:pStyle w:val="aa"/>
              <w:widowControl/>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標楷體" w:eastAsia="標楷體" w:hAnsi="標楷體" w:cs="Times New Roman"/>
                <w:szCs w:val="24"/>
              </w:rPr>
            </w:pPr>
            <w:r w:rsidRPr="00B369FE">
              <w:rPr>
                <w:rFonts w:ascii="標楷體" w:eastAsia="標楷體" w:hAnsi="標楷體" w:cs="Times New Roman" w:hint="eastAsia"/>
                <w:szCs w:val="24"/>
              </w:rPr>
              <w:t>依本中心外國有價證券櫃檯買賣審查準則第三十六條規定，申請櫃檯買賣之新臺幣計價外國普通債券。</w:t>
            </w:r>
          </w:p>
          <w:p w:rsidR="00C670C0" w:rsidRPr="00B369FE" w:rsidRDefault="00C670C0" w:rsidP="00C670C0">
            <w:pPr>
              <w:pStyle w:val="aa"/>
              <w:widowControl/>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標楷體" w:eastAsia="標楷體" w:hAnsi="標楷體" w:cs="Times New Roman"/>
                <w:szCs w:val="24"/>
              </w:rPr>
            </w:pPr>
            <w:r w:rsidRPr="00B369FE">
              <w:rPr>
                <w:rFonts w:ascii="標楷體" w:eastAsia="標楷體" w:hAnsi="標楷體" w:cs="Times New Roman" w:hint="eastAsia"/>
                <w:szCs w:val="24"/>
              </w:rPr>
              <w:t>依本中心外幣計價國際債券管理規則第三條規定，申請櫃檯買賣之有價證券。但具股權性質之有價證券除外。</w:t>
            </w:r>
          </w:p>
          <w:p w:rsidR="00C670C0" w:rsidRPr="00B369FE" w:rsidRDefault="00C670C0" w:rsidP="00D64714">
            <w:pPr>
              <w:pStyle w:val="aa"/>
              <w:widowControl/>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標楷體" w:eastAsia="標楷體" w:hAnsi="標楷體" w:cs="Times New Roman"/>
                <w:szCs w:val="24"/>
              </w:rPr>
            </w:pPr>
            <w:r w:rsidRPr="00B369FE">
              <w:rPr>
                <w:rFonts w:ascii="標楷體" w:eastAsia="標楷體" w:hAnsi="標楷體" w:cs="Times New Roman" w:hint="eastAsia"/>
                <w:szCs w:val="24"/>
                <w:u w:val="single"/>
              </w:rPr>
              <w:t>依本中心證券商營業處所買賣有價證券審查準則第七條條之一規定，申請櫃檯買賣之受益證券或資產基礎證券。</w:t>
            </w:r>
          </w:p>
        </w:tc>
        <w:tc>
          <w:tcPr>
            <w:tcW w:w="2759" w:type="dxa"/>
          </w:tcPr>
          <w:p w:rsidR="00C670C0" w:rsidRPr="00B369FE" w:rsidRDefault="00C670C0" w:rsidP="00C670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szCs w:val="24"/>
              </w:rPr>
            </w:pPr>
            <w:r w:rsidRPr="00B369FE">
              <w:rPr>
                <w:rFonts w:ascii="標楷體" w:eastAsia="標楷體" w:hAnsi="標楷體" w:cs="細明體" w:hint="eastAsia"/>
                <w:kern w:val="0"/>
                <w:szCs w:val="24"/>
              </w:rPr>
              <w:t xml:space="preserve">第三條   </w:t>
            </w:r>
          </w:p>
          <w:p w:rsidR="00C670C0" w:rsidRPr="00B369FE" w:rsidRDefault="00C670C0" w:rsidP="00C670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szCs w:val="24"/>
              </w:rPr>
            </w:pPr>
            <w:r w:rsidRPr="00B369FE">
              <w:rPr>
                <w:rFonts w:ascii="標楷體" w:eastAsia="標楷體" w:hAnsi="標楷體" w:cs="細明體" w:hint="eastAsia"/>
                <w:kern w:val="0"/>
                <w:szCs w:val="24"/>
              </w:rPr>
              <w:t xml:space="preserve">    發行人發行下列之有價證券，符合第四條規定者，得向本中心申請綠色債券資格認可：</w:t>
            </w:r>
          </w:p>
          <w:p w:rsidR="00C670C0" w:rsidRPr="00B369FE" w:rsidRDefault="00C670C0" w:rsidP="00C670C0">
            <w:pPr>
              <w:pStyle w:val="aa"/>
              <w:widowControl/>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標楷體" w:eastAsia="標楷體" w:hAnsi="標楷體" w:cs="Times New Roman"/>
                <w:szCs w:val="24"/>
              </w:rPr>
            </w:pPr>
            <w:r w:rsidRPr="00B369FE">
              <w:rPr>
                <w:rFonts w:ascii="標楷體" w:eastAsia="標楷體" w:hAnsi="標楷體" w:cs="Times New Roman" w:hint="eastAsia"/>
                <w:szCs w:val="24"/>
              </w:rPr>
              <w:t>依本中心證券商營業處所買賣有價證券審查準則第六條、第七條或第十五條規定，申請櫃檯買賣之普通公司債或金融債券。</w:t>
            </w:r>
          </w:p>
          <w:p w:rsidR="00C670C0" w:rsidRPr="00B369FE" w:rsidRDefault="00C670C0" w:rsidP="00C670C0">
            <w:pPr>
              <w:pStyle w:val="aa"/>
              <w:widowControl/>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標楷體" w:eastAsia="標楷體" w:hAnsi="標楷體" w:cs="Times New Roman"/>
                <w:szCs w:val="24"/>
              </w:rPr>
            </w:pPr>
            <w:r w:rsidRPr="00B369FE">
              <w:rPr>
                <w:rFonts w:ascii="標楷體" w:eastAsia="標楷體" w:hAnsi="標楷體" w:cs="Times New Roman" w:hint="eastAsia"/>
                <w:szCs w:val="24"/>
              </w:rPr>
              <w:t>依本中心外國有價證券櫃檯買賣審查準則第三十六條規定，申請櫃檯買賣之新臺幣計價外國普通債券。</w:t>
            </w:r>
          </w:p>
          <w:p w:rsidR="00C670C0" w:rsidRPr="00B369FE" w:rsidRDefault="00C670C0" w:rsidP="00C670C0">
            <w:pPr>
              <w:pStyle w:val="aa"/>
              <w:widowControl/>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標楷體" w:eastAsia="標楷體" w:hAnsi="標楷體" w:cs="Times New Roman"/>
                <w:szCs w:val="24"/>
              </w:rPr>
            </w:pPr>
            <w:r w:rsidRPr="00B369FE">
              <w:rPr>
                <w:rFonts w:ascii="標楷體" w:eastAsia="標楷體" w:hAnsi="標楷體" w:cs="Times New Roman" w:hint="eastAsia"/>
                <w:szCs w:val="24"/>
              </w:rPr>
              <w:t>依本中心外幣計價國際債券管理規則第三條規定，申請櫃檯買賣之有價證券。但具股權性質之有價證券除外。</w:t>
            </w:r>
          </w:p>
          <w:p w:rsidR="00C670C0" w:rsidRPr="00B369FE" w:rsidRDefault="00C670C0" w:rsidP="00741BFE">
            <w:pPr>
              <w:pStyle w:val="a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標楷體" w:eastAsia="標楷體" w:hAnsi="標楷體" w:cs="細明體"/>
                <w:kern w:val="0"/>
                <w:szCs w:val="24"/>
                <w:u w:val="single"/>
              </w:rPr>
            </w:pPr>
          </w:p>
        </w:tc>
        <w:tc>
          <w:tcPr>
            <w:tcW w:w="2772" w:type="dxa"/>
          </w:tcPr>
          <w:p w:rsidR="00C670C0" w:rsidRPr="00B369FE" w:rsidRDefault="00C670C0" w:rsidP="00C670C0">
            <w:pPr>
              <w:jc w:val="both"/>
              <w:rPr>
                <w:rFonts w:ascii="標楷體" w:eastAsia="標楷體" w:hAnsi="標楷體" w:cs="細明體"/>
                <w:kern w:val="0"/>
                <w:szCs w:val="24"/>
              </w:rPr>
            </w:pPr>
            <w:r w:rsidRPr="00B369FE">
              <w:rPr>
                <w:rFonts w:ascii="標楷體" w:eastAsia="標楷體" w:hAnsi="標楷體" w:cs="細明體" w:hint="eastAsia"/>
                <w:kern w:val="0"/>
                <w:szCs w:val="24"/>
              </w:rPr>
              <w:t>為擴大綠色債券商品範圍，</w:t>
            </w:r>
            <w:r w:rsidR="003F5F0F">
              <w:rPr>
                <w:rFonts w:ascii="標楷體" w:eastAsia="標楷體" w:hAnsi="標楷體" w:cs="細明體" w:hint="eastAsia"/>
                <w:kern w:val="0"/>
                <w:szCs w:val="24"/>
              </w:rPr>
              <w:t>增加企業籌資管道及活化銀行綠色金融放款之運用，</w:t>
            </w:r>
            <w:r w:rsidR="0028099B" w:rsidRPr="00B369FE">
              <w:rPr>
                <w:rFonts w:ascii="標楷體" w:eastAsia="標楷體" w:hAnsi="標楷體" w:cs="細明體" w:hint="eastAsia"/>
                <w:kern w:val="0"/>
                <w:szCs w:val="24"/>
              </w:rPr>
              <w:t>將</w:t>
            </w:r>
            <w:r w:rsidRPr="00B369FE">
              <w:rPr>
                <w:rFonts w:ascii="標楷體" w:eastAsia="標楷體" w:hAnsi="標楷體" w:cs="細明體" w:hint="eastAsia"/>
                <w:kern w:val="0"/>
                <w:szCs w:val="24"/>
              </w:rPr>
              <w:t>金融資產證券化</w:t>
            </w:r>
            <w:r w:rsidR="003555BB" w:rsidRPr="00B369FE">
              <w:rPr>
                <w:rFonts w:ascii="標楷體" w:eastAsia="標楷體" w:hAnsi="標楷體" w:cs="細明體" w:hint="eastAsia"/>
                <w:kern w:val="0"/>
                <w:szCs w:val="24"/>
              </w:rPr>
              <w:t>商品，包括</w:t>
            </w:r>
            <w:r w:rsidRPr="00B369FE">
              <w:rPr>
                <w:rFonts w:ascii="標楷體" w:eastAsia="標楷體" w:hAnsi="標楷體" w:cs="細明體" w:hint="eastAsia"/>
                <w:kern w:val="0"/>
                <w:szCs w:val="24"/>
              </w:rPr>
              <w:t>受益證券或資產基礎證券</w:t>
            </w:r>
            <w:r w:rsidR="0028099B" w:rsidRPr="00B369FE">
              <w:rPr>
                <w:rFonts w:ascii="標楷體" w:eastAsia="標楷體" w:hAnsi="標楷體" w:cs="細明體" w:hint="eastAsia"/>
                <w:kern w:val="0"/>
                <w:szCs w:val="24"/>
              </w:rPr>
              <w:t>納入</w:t>
            </w:r>
            <w:r w:rsidRPr="00B369FE">
              <w:rPr>
                <w:rFonts w:ascii="標楷體" w:eastAsia="標楷體" w:hAnsi="標楷體" w:cs="細明體" w:hint="eastAsia"/>
                <w:kern w:val="0"/>
                <w:szCs w:val="24"/>
              </w:rPr>
              <w:t>得申請綠色債券資格認可</w:t>
            </w:r>
            <w:r w:rsidR="0028099B" w:rsidRPr="00B369FE">
              <w:rPr>
                <w:rFonts w:ascii="標楷體" w:eastAsia="標楷體" w:hAnsi="標楷體" w:cs="細明體" w:hint="eastAsia"/>
                <w:kern w:val="0"/>
                <w:szCs w:val="24"/>
              </w:rPr>
              <w:t>之有價證券</w:t>
            </w:r>
            <w:r w:rsidRPr="00B369FE">
              <w:rPr>
                <w:rFonts w:ascii="標楷體" w:eastAsia="標楷體" w:hAnsi="標楷體" w:cs="細明體" w:hint="eastAsia"/>
                <w:kern w:val="0"/>
                <w:szCs w:val="24"/>
              </w:rPr>
              <w:t>，爰增訂第四款規定。</w:t>
            </w:r>
          </w:p>
          <w:p w:rsidR="00C670C0" w:rsidRPr="00B369FE" w:rsidRDefault="00C670C0" w:rsidP="00C670C0">
            <w:pPr>
              <w:pStyle w:val="aa"/>
              <w:ind w:leftChars="0"/>
              <w:jc w:val="both"/>
              <w:rPr>
                <w:rFonts w:ascii="標楷體" w:eastAsia="標楷體" w:hAnsi="標楷體" w:cs="細明體"/>
                <w:kern w:val="0"/>
                <w:szCs w:val="24"/>
              </w:rPr>
            </w:pPr>
          </w:p>
        </w:tc>
      </w:tr>
      <w:tr w:rsidR="00B369FE" w:rsidRPr="00B369FE" w:rsidTr="00872287">
        <w:tc>
          <w:tcPr>
            <w:tcW w:w="2765" w:type="dxa"/>
          </w:tcPr>
          <w:p w:rsidR="00C670C0" w:rsidRPr="00B369FE" w:rsidRDefault="00C670C0" w:rsidP="00C670C0">
            <w:pPr>
              <w:jc w:val="both"/>
              <w:rPr>
                <w:rFonts w:ascii="標楷體" w:eastAsia="標楷體" w:hAnsi="標楷體" w:cs="Times New Roman"/>
                <w:szCs w:val="24"/>
              </w:rPr>
            </w:pPr>
            <w:r w:rsidRPr="00B369FE">
              <w:rPr>
                <w:rFonts w:ascii="標楷體" w:eastAsia="標楷體" w:hAnsi="標楷體" w:cs="Times New Roman" w:hint="eastAsia"/>
                <w:szCs w:val="24"/>
              </w:rPr>
              <w:t>第四條</w:t>
            </w:r>
          </w:p>
          <w:p w:rsidR="00C670C0" w:rsidRPr="00B369FE" w:rsidRDefault="00C670C0" w:rsidP="00C670C0">
            <w:pPr>
              <w:ind w:firstLineChars="200" w:firstLine="480"/>
              <w:jc w:val="both"/>
              <w:rPr>
                <w:rFonts w:ascii="標楷體" w:eastAsia="標楷體" w:hAnsi="標楷體" w:cs="Times New Roman"/>
                <w:szCs w:val="24"/>
              </w:rPr>
            </w:pPr>
            <w:r w:rsidRPr="00B369FE">
              <w:rPr>
                <w:rFonts w:ascii="標楷體" w:eastAsia="標楷體" w:hAnsi="標楷體" w:cs="Times New Roman" w:hint="eastAsia"/>
                <w:szCs w:val="24"/>
              </w:rPr>
              <w:t>發行人申請綠色債券資格認可，應依其有價證券種類分別符合下列</w:t>
            </w:r>
            <w:r w:rsidR="00A1734D" w:rsidRPr="00B369FE">
              <w:rPr>
                <w:rFonts w:ascii="標楷體" w:eastAsia="標楷體" w:hAnsi="標楷體" w:cs="Times New Roman" w:hint="eastAsia"/>
                <w:szCs w:val="24"/>
                <w:u w:val="single"/>
              </w:rPr>
              <w:t>規定</w:t>
            </w:r>
            <w:r w:rsidRPr="00B369FE">
              <w:rPr>
                <w:rFonts w:ascii="標楷體" w:eastAsia="標楷體" w:hAnsi="標楷體" w:cs="Times New Roman" w:hint="eastAsia"/>
                <w:szCs w:val="24"/>
              </w:rPr>
              <w:t>：</w:t>
            </w:r>
          </w:p>
          <w:p w:rsidR="00C10278" w:rsidRPr="00B369FE" w:rsidRDefault="00C10278" w:rsidP="00C10278">
            <w:pPr>
              <w:pStyle w:val="aa"/>
              <w:numPr>
                <w:ilvl w:val="0"/>
                <w:numId w:val="24"/>
              </w:numPr>
              <w:ind w:leftChars="0"/>
              <w:jc w:val="both"/>
              <w:rPr>
                <w:rFonts w:ascii="標楷體" w:eastAsia="標楷體" w:hAnsi="標楷體" w:cs="Times New Roman"/>
                <w:szCs w:val="24"/>
              </w:rPr>
            </w:pPr>
            <w:r w:rsidRPr="00B369FE">
              <w:rPr>
                <w:rFonts w:ascii="標楷體" w:eastAsia="標楷體" w:hAnsi="標楷體" w:cs="Times New Roman" w:hint="eastAsia"/>
                <w:szCs w:val="24"/>
              </w:rPr>
              <w:lastRenderedPageBreak/>
              <w:t>普通公司債：發行人所募集之資金全部用於綠色投資計畫支出或償還綠色投資計畫之債務；外國金融機構所募集之資金全部用於綠色投資計畫之放款。</w:t>
            </w:r>
          </w:p>
          <w:p w:rsidR="00C10278" w:rsidRPr="00B369FE" w:rsidRDefault="00C670C0" w:rsidP="00C10278">
            <w:pPr>
              <w:pStyle w:val="aa"/>
              <w:numPr>
                <w:ilvl w:val="0"/>
                <w:numId w:val="24"/>
              </w:numPr>
              <w:ind w:leftChars="0"/>
              <w:jc w:val="both"/>
              <w:rPr>
                <w:rFonts w:ascii="標楷體" w:eastAsia="標楷體" w:hAnsi="標楷體" w:cs="Times New Roman"/>
                <w:szCs w:val="24"/>
              </w:rPr>
            </w:pPr>
            <w:r w:rsidRPr="00B369FE">
              <w:rPr>
                <w:rFonts w:ascii="標楷體" w:eastAsia="標楷體" w:hAnsi="標楷體" w:cs="Times New Roman" w:hint="eastAsia"/>
                <w:szCs w:val="24"/>
              </w:rPr>
              <w:t>金融債券：發行人所募集之資金全部用於綠色投資計畫之放款。</w:t>
            </w:r>
          </w:p>
          <w:p w:rsidR="009509DC" w:rsidRPr="00B369FE" w:rsidRDefault="00C670C0" w:rsidP="009509DC">
            <w:pPr>
              <w:pStyle w:val="aa"/>
              <w:numPr>
                <w:ilvl w:val="0"/>
                <w:numId w:val="24"/>
              </w:numPr>
              <w:ind w:leftChars="0"/>
              <w:rPr>
                <w:rFonts w:ascii="標楷體" w:eastAsia="標楷體" w:hAnsi="標楷體" w:cs="Times New Roman"/>
                <w:szCs w:val="24"/>
                <w:u w:val="single"/>
              </w:rPr>
            </w:pPr>
            <w:r w:rsidRPr="00B369FE">
              <w:rPr>
                <w:rFonts w:ascii="標楷體" w:eastAsia="標楷體" w:hAnsi="標楷體" w:cs="Times New Roman" w:hint="eastAsia"/>
                <w:szCs w:val="24"/>
                <w:u w:val="single"/>
              </w:rPr>
              <w:t>受益證券或資產基礎證券</w:t>
            </w:r>
            <w:r w:rsidR="00C23916" w:rsidRPr="00B369FE">
              <w:rPr>
                <w:rFonts w:ascii="標楷體" w:eastAsia="標楷體" w:hAnsi="標楷體" w:cs="Times New Roman" w:hint="eastAsia"/>
                <w:szCs w:val="24"/>
                <w:u w:val="single"/>
              </w:rPr>
              <w:t>：</w:t>
            </w:r>
            <w:r w:rsidR="009509DC" w:rsidRPr="00B369FE">
              <w:rPr>
                <w:rFonts w:ascii="標楷體" w:eastAsia="標楷體" w:hAnsi="標楷體" w:cs="Times New Roman" w:hint="eastAsia"/>
                <w:szCs w:val="24"/>
                <w:u w:val="single"/>
              </w:rPr>
              <w:t>資產池</w:t>
            </w:r>
            <w:r w:rsidR="008951A3">
              <w:rPr>
                <w:rFonts w:ascii="標楷體" w:eastAsia="標楷體" w:hAnsi="標楷體" w:cs="Times New Roman" w:hint="eastAsia"/>
                <w:szCs w:val="24"/>
                <w:u w:val="single"/>
              </w:rPr>
              <w:t>均源自</w:t>
            </w:r>
            <w:r w:rsidR="009509DC" w:rsidRPr="00B369FE">
              <w:rPr>
                <w:rFonts w:ascii="標楷體" w:eastAsia="標楷體" w:hAnsi="標楷體" w:cs="Times New Roman" w:hint="eastAsia"/>
                <w:szCs w:val="24"/>
                <w:u w:val="single"/>
              </w:rPr>
              <w:t>綠色投資計畫。</w:t>
            </w:r>
          </w:p>
          <w:p w:rsidR="00E81DFF" w:rsidRPr="00B369FE" w:rsidRDefault="007D6B73" w:rsidP="0058264A">
            <w:pPr>
              <w:jc w:val="both"/>
              <w:rPr>
                <w:rFonts w:ascii="標楷體" w:eastAsia="標楷體" w:hAnsi="標楷體" w:cs="Times New Roman"/>
                <w:szCs w:val="24"/>
                <w:u w:val="single"/>
              </w:rPr>
            </w:pPr>
            <w:r w:rsidRPr="00B369FE">
              <w:rPr>
                <w:rFonts w:ascii="標楷體" w:eastAsia="標楷體" w:hAnsi="標楷體" w:cs="Times New Roman" w:hint="eastAsia"/>
                <w:szCs w:val="24"/>
              </w:rPr>
              <w:t xml:space="preserve">    </w:t>
            </w:r>
            <w:r w:rsidR="00FD3385" w:rsidRPr="00B369FE">
              <w:rPr>
                <w:rFonts w:ascii="標楷體" w:eastAsia="標楷體" w:hAnsi="標楷體" w:cs="Times New Roman" w:hint="eastAsia"/>
                <w:szCs w:val="24"/>
                <w:u w:val="single"/>
              </w:rPr>
              <w:t>前項</w:t>
            </w:r>
            <w:r w:rsidR="00C23916" w:rsidRPr="00B369FE">
              <w:rPr>
                <w:rFonts w:ascii="標楷體" w:eastAsia="標楷體" w:hAnsi="標楷體" w:cs="Times New Roman" w:hint="eastAsia"/>
                <w:szCs w:val="24"/>
                <w:u w:val="single"/>
              </w:rPr>
              <w:t>第三款</w:t>
            </w:r>
            <w:r w:rsidR="00E81DFF" w:rsidRPr="00B369FE">
              <w:rPr>
                <w:rFonts w:ascii="標楷體" w:eastAsia="標楷體" w:hAnsi="標楷體" w:cs="Times New Roman" w:hint="eastAsia"/>
                <w:szCs w:val="24"/>
                <w:u w:val="single"/>
              </w:rPr>
              <w:t>所稱資產池</w:t>
            </w:r>
            <w:r w:rsidRPr="00B369FE">
              <w:rPr>
                <w:rFonts w:ascii="標楷體" w:eastAsia="標楷體" w:hAnsi="標楷體" w:cs="Times New Roman" w:hint="eastAsia"/>
                <w:szCs w:val="24"/>
                <w:u w:val="single"/>
              </w:rPr>
              <w:t>，依金融資產證券化條例之規定</w:t>
            </w:r>
            <w:r w:rsidR="00F60969" w:rsidRPr="00B369FE">
              <w:rPr>
                <w:rFonts w:ascii="標楷體" w:eastAsia="標楷體" w:hAnsi="標楷體" w:cs="Times New Roman" w:hint="eastAsia"/>
                <w:szCs w:val="24"/>
                <w:u w:val="single"/>
              </w:rPr>
              <w:t>認定之</w:t>
            </w:r>
            <w:r w:rsidRPr="00B369FE">
              <w:rPr>
                <w:rFonts w:ascii="標楷體" w:eastAsia="標楷體" w:hAnsi="標楷體" w:cs="Times New Roman" w:hint="eastAsia"/>
                <w:szCs w:val="24"/>
                <w:u w:val="single"/>
              </w:rPr>
              <w:t>。</w:t>
            </w:r>
          </w:p>
        </w:tc>
        <w:tc>
          <w:tcPr>
            <w:tcW w:w="2759" w:type="dxa"/>
          </w:tcPr>
          <w:p w:rsidR="00C670C0" w:rsidRPr="00B369FE" w:rsidRDefault="00C670C0" w:rsidP="00C670C0">
            <w:pPr>
              <w:jc w:val="both"/>
              <w:rPr>
                <w:rFonts w:ascii="標楷體" w:eastAsia="標楷體" w:hAnsi="標楷體" w:cs="Times New Roman"/>
                <w:szCs w:val="24"/>
              </w:rPr>
            </w:pPr>
            <w:r w:rsidRPr="00B369FE">
              <w:rPr>
                <w:rFonts w:ascii="標楷體" w:eastAsia="標楷體" w:hAnsi="標楷體" w:cs="Times New Roman" w:hint="eastAsia"/>
                <w:szCs w:val="24"/>
              </w:rPr>
              <w:lastRenderedPageBreak/>
              <w:t>第四條</w:t>
            </w:r>
          </w:p>
          <w:p w:rsidR="00C670C0" w:rsidRPr="00B369FE" w:rsidRDefault="00C670C0" w:rsidP="00C670C0">
            <w:pPr>
              <w:ind w:firstLineChars="200" w:firstLine="480"/>
              <w:jc w:val="both"/>
              <w:rPr>
                <w:rFonts w:ascii="標楷體" w:eastAsia="標楷體" w:hAnsi="標楷體" w:cs="Times New Roman"/>
                <w:szCs w:val="24"/>
              </w:rPr>
            </w:pPr>
            <w:r w:rsidRPr="00B369FE">
              <w:rPr>
                <w:rFonts w:ascii="標楷體" w:eastAsia="標楷體" w:hAnsi="標楷體" w:cs="Times New Roman" w:hint="eastAsia"/>
                <w:szCs w:val="24"/>
              </w:rPr>
              <w:t>發行人申請綠色債券資格認可，應依其有價證券種類分別符合下列</w:t>
            </w:r>
            <w:r w:rsidRPr="00B369FE">
              <w:rPr>
                <w:rFonts w:ascii="標楷體" w:eastAsia="標楷體" w:hAnsi="標楷體" w:cs="Times New Roman" w:hint="eastAsia"/>
                <w:szCs w:val="24"/>
                <w:u w:val="single"/>
              </w:rPr>
              <w:t>資金用途</w:t>
            </w:r>
            <w:r w:rsidRPr="00B369FE">
              <w:rPr>
                <w:rFonts w:ascii="標楷體" w:eastAsia="標楷體" w:hAnsi="標楷體" w:cs="Times New Roman" w:hint="eastAsia"/>
                <w:szCs w:val="24"/>
              </w:rPr>
              <w:t>：</w:t>
            </w:r>
          </w:p>
          <w:p w:rsidR="00C670C0" w:rsidRPr="00B369FE" w:rsidRDefault="00C670C0" w:rsidP="005E50A7">
            <w:pPr>
              <w:pStyle w:val="aa"/>
              <w:numPr>
                <w:ilvl w:val="0"/>
                <w:numId w:val="30"/>
              </w:numPr>
              <w:ind w:leftChars="0"/>
              <w:jc w:val="both"/>
              <w:rPr>
                <w:rFonts w:ascii="標楷體" w:eastAsia="標楷體" w:hAnsi="標楷體" w:cs="Times New Roman"/>
                <w:szCs w:val="24"/>
                <w:shd w:val="pct15" w:color="auto" w:fill="FFFFFF"/>
              </w:rPr>
            </w:pPr>
            <w:r w:rsidRPr="00B369FE">
              <w:rPr>
                <w:rFonts w:ascii="標楷體" w:eastAsia="標楷體" w:hAnsi="標楷體" w:cs="Times New Roman" w:hint="eastAsia"/>
                <w:szCs w:val="24"/>
              </w:rPr>
              <w:lastRenderedPageBreak/>
              <w:t>普通公司債：發行人所募集之資金全部用於綠色投資計畫支出或償還綠色投資計畫之債務</w:t>
            </w:r>
            <w:r w:rsidRPr="00B369FE">
              <w:rPr>
                <w:rFonts w:ascii="新細明體" w:eastAsia="新細明體" w:hAnsi="新細明體" w:cs="Times New Roman" w:hint="eastAsia"/>
                <w:szCs w:val="24"/>
              </w:rPr>
              <w:t>；</w:t>
            </w:r>
            <w:r w:rsidRPr="00B369FE">
              <w:rPr>
                <w:rFonts w:ascii="標楷體" w:eastAsia="標楷體" w:hAnsi="標楷體" w:cs="Times New Roman" w:hint="eastAsia"/>
                <w:szCs w:val="24"/>
              </w:rPr>
              <w:t>外國金融機構所募集之資金全部用於綠色投資計畫之放款。</w:t>
            </w:r>
          </w:p>
          <w:p w:rsidR="00C670C0" w:rsidRPr="00B369FE" w:rsidRDefault="00C670C0" w:rsidP="005E50A7">
            <w:pPr>
              <w:pStyle w:val="aa"/>
              <w:numPr>
                <w:ilvl w:val="0"/>
                <w:numId w:val="30"/>
              </w:numPr>
              <w:ind w:leftChars="0"/>
              <w:jc w:val="both"/>
              <w:rPr>
                <w:rFonts w:ascii="標楷體" w:eastAsia="標楷體" w:hAnsi="標楷體" w:cs="Times New Roman"/>
                <w:szCs w:val="24"/>
                <w:shd w:val="pct15" w:color="auto" w:fill="FFFFFF"/>
              </w:rPr>
            </w:pPr>
            <w:r w:rsidRPr="00B369FE">
              <w:rPr>
                <w:rFonts w:ascii="標楷體" w:eastAsia="標楷體" w:hAnsi="標楷體" w:cs="Times New Roman" w:hint="eastAsia"/>
                <w:szCs w:val="24"/>
              </w:rPr>
              <w:t>金融債券：發行人所募集之資金全部用於綠色投資計畫之放款。</w:t>
            </w:r>
          </w:p>
          <w:p w:rsidR="00C670C0" w:rsidRPr="00B369FE" w:rsidRDefault="00C670C0" w:rsidP="0016227E">
            <w:pPr>
              <w:jc w:val="both"/>
              <w:rPr>
                <w:rFonts w:ascii="標楷體" w:eastAsia="標楷體" w:hAnsi="標楷體" w:cs="Times New Roman"/>
                <w:szCs w:val="24"/>
                <w:shd w:val="pct15" w:color="auto" w:fill="FFFFFF"/>
              </w:rPr>
            </w:pPr>
          </w:p>
        </w:tc>
        <w:tc>
          <w:tcPr>
            <w:tcW w:w="2772" w:type="dxa"/>
          </w:tcPr>
          <w:p w:rsidR="005E686E" w:rsidRPr="00B369FE" w:rsidRDefault="00C670C0" w:rsidP="00A1734D">
            <w:pPr>
              <w:pStyle w:val="aa"/>
              <w:numPr>
                <w:ilvl w:val="0"/>
                <w:numId w:val="32"/>
              </w:numPr>
              <w:ind w:leftChars="0"/>
              <w:jc w:val="both"/>
              <w:rPr>
                <w:rFonts w:ascii="標楷體" w:eastAsia="標楷體" w:hAnsi="標楷體" w:cs="Times New Roman"/>
                <w:szCs w:val="24"/>
              </w:rPr>
            </w:pPr>
            <w:r w:rsidRPr="00B369FE">
              <w:rPr>
                <w:rFonts w:ascii="標楷體" w:eastAsia="標楷體" w:hAnsi="標楷體" w:cs="Times New Roman" w:hint="eastAsia"/>
                <w:szCs w:val="24"/>
              </w:rPr>
              <w:lastRenderedPageBreak/>
              <w:t>因</w:t>
            </w:r>
            <w:r w:rsidR="00A1734D" w:rsidRPr="00B369FE">
              <w:rPr>
                <w:rFonts w:ascii="標楷體" w:eastAsia="標楷體" w:hAnsi="標楷體" w:cs="Times New Roman" w:hint="eastAsia"/>
                <w:szCs w:val="24"/>
              </w:rPr>
              <w:t>納入金融資產證券</w:t>
            </w:r>
            <w:r w:rsidR="00713069" w:rsidRPr="00B369FE">
              <w:rPr>
                <w:rFonts w:ascii="標楷體" w:eastAsia="標楷體" w:hAnsi="標楷體" w:cs="Times New Roman" w:hint="eastAsia"/>
                <w:szCs w:val="24"/>
              </w:rPr>
              <w:t>化</w:t>
            </w:r>
            <w:r w:rsidR="004C5D3E" w:rsidRPr="00B369FE">
              <w:rPr>
                <w:rFonts w:ascii="標楷體" w:eastAsia="標楷體" w:hAnsi="標楷體" w:cs="Times New Roman" w:hint="eastAsia"/>
                <w:szCs w:val="24"/>
              </w:rPr>
              <w:t>商品</w:t>
            </w:r>
            <w:r w:rsidR="00A1734D" w:rsidRPr="00B369FE">
              <w:rPr>
                <w:rFonts w:ascii="標楷體" w:eastAsia="標楷體" w:hAnsi="標楷體" w:cs="Times New Roman" w:hint="eastAsia"/>
                <w:szCs w:val="24"/>
              </w:rPr>
              <w:t>得為</w:t>
            </w:r>
            <w:r w:rsidRPr="00B369FE">
              <w:rPr>
                <w:rFonts w:ascii="標楷體" w:eastAsia="標楷體" w:hAnsi="標楷體" w:cs="Times New Roman" w:hint="eastAsia"/>
                <w:szCs w:val="24"/>
              </w:rPr>
              <w:t>可申請綠色債券資格認可之有價證券，</w:t>
            </w:r>
            <w:r w:rsidR="00A1734D" w:rsidRPr="00B369FE">
              <w:rPr>
                <w:rFonts w:ascii="標楷體" w:eastAsia="標楷體" w:hAnsi="標楷體" w:cs="Times New Roman" w:hint="eastAsia"/>
                <w:szCs w:val="24"/>
              </w:rPr>
              <w:t>爰修正第一項後段文字，</w:t>
            </w:r>
            <w:r w:rsidR="00A1734D" w:rsidRPr="00B369FE">
              <w:rPr>
                <w:rFonts w:ascii="標楷體" w:eastAsia="標楷體" w:hAnsi="標楷體" w:cs="Times New Roman" w:hint="eastAsia"/>
                <w:szCs w:val="24"/>
              </w:rPr>
              <w:lastRenderedPageBreak/>
              <w:t>並</w:t>
            </w:r>
            <w:r w:rsidR="00C10278" w:rsidRPr="00B369FE">
              <w:rPr>
                <w:rFonts w:ascii="標楷體" w:eastAsia="標楷體" w:hAnsi="標楷體" w:cs="Times New Roman" w:hint="eastAsia"/>
                <w:szCs w:val="24"/>
              </w:rPr>
              <w:t>增訂第</w:t>
            </w:r>
            <w:r w:rsidR="007D6B73" w:rsidRPr="00B369FE">
              <w:rPr>
                <w:rFonts w:ascii="標楷體" w:eastAsia="標楷體" w:hAnsi="標楷體" w:cs="Times New Roman" w:hint="eastAsia"/>
                <w:szCs w:val="24"/>
              </w:rPr>
              <w:t>一項第</w:t>
            </w:r>
            <w:r w:rsidR="00C10278" w:rsidRPr="00B369FE">
              <w:rPr>
                <w:rFonts w:ascii="標楷體" w:eastAsia="標楷體" w:hAnsi="標楷體" w:cs="Times New Roman" w:hint="eastAsia"/>
                <w:szCs w:val="24"/>
              </w:rPr>
              <w:t>三</w:t>
            </w:r>
            <w:r w:rsidRPr="00B369FE">
              <w:rPr>
                <w:rFonts w:ascii="標楷體" w:eastAsia="標楷體" w:hAnsi="標楷體" w:cs="Times New Roman" w:hint="eastAsia"/>
                <w:szCs w:val="24"/>
              </w:rPr>
              <w:t>款規定。</w:t>
            </w:r>
          </w:p>
          <w:p w:rsidR="007D6B73" w:rsidRPr="00B369FE" w:rsidRDefault="007D6B73" w:rsidP="0058264A">
            <w:pPr>
              <w:pStyle w:val="aa"/>
              <w:numPr>
                <w:ilvl w:val="0"/>
                <w:numId w:val="32"/>
              </w:numPr>
              <w:ind w:leftChars="0"/>
              <w:jc w:val="both"/>
              <w:rPr>
                <w:rFonts w:ascii="標楷體" w:eastAsia="標楷體" w:hAnsi="標楷體" w:cs="Times New Roman"/>
                <w:szCs w:val="24"/>
              </w:rPr>
            </w:pPr>
            <w:r w:rsidRPr="00B369FE">
              <w:rPr>
                <w:rFonts w:ascii="標楷體" w:eastAsia="標楷體" w:hAnsi="標楷體" w:cs="細明體" w:hint="eastAsia"/>
                <w:kern w:val="0"/>
                <w:szCs w:val="24"/>
              </w:rPr>
              <w:t>明定資產池係依據金融資產證券化條例之規定</w:t>
            </w:r>
            <w:r w:rsidR="0016227E" w:rsidRPr="00B369FE">
              <w:rPr>
                <w:rFonts w:ascii="標楷體" w:eastAsia="標楷體" w:hAnsi="標楷體" w:cs="細明體" w:hint="eastAsia"/>
                <w:kern w:val="0"/>
                <w:szCs w:val="24"/>
              </w:rPr>
              <w:t>認定</w:t>
            </w:r>
            <w:r w:rsidR="005E686E" w:rsidRPr="00B369FE">
              <w:rPr>
                <w:rFonts w:ascii="標楷體" w:eastAsia="標楷體" w:hAnsi="標楷體" w:cs="細明體" w:hint="eastAsia"/>
                <w:kern w:val="0"/>
                <w:szCs w:val="24"/>
              </w:rPr>
              <w:t>，爰增訂第二項定義說明。</w:t>
            </w:r>
          </w:p>
        </w:tc>
      </w:tr>
      <w:tr w:rsidR="00B369FE" w:rsidRPr="00B369FE" w:rsidTr="00872287">
        <w:tc>
          <w:tcPr>
            <w:tcW w:w="2765" w:type="dxa"/>
          </w:tcPr>
          <w:p w:rsidR="00DD57BD" w:rsidRPr="00B369FE" w:rsidRDefault="00DD57BD" w:rsidP="00DD57BD">
            <w:pPr>
              <w:jc w:val="both"/>
              <w:rPr>
                <w:rFonts w:ascii="標楷體" w:eastAsia="標楷體" w:hAnsi="標楷體" w:cs="Times New Roman"/>
                <w:szCs w:val="24"/>
              </w:rPr>
            </w:pPr>
            <w:r w:rsidRPr="00B369FE">
              <w:rPr>
                <w:rFonts w:ascii="標楷體" w:eastAsia="標楷體" w:hAnsi="標楷體" w:cs="Times New Roman" w:hint="eastAsia"/>
                <w:szCs w:val="24"/>
              </w:rPr>
              <w:lastRenderedPageBreak/>
              <w:t>第五條</w:t>
            </w:r>
          </w:p>
          <w:p w:rsidR="00DD57BD" w:rsidRPr="00B369FE" w:rsidRDefault="00DD57BD" w:rsidP="00DD57BD">
            <w:pPr>
              <w:jc w:val="both"/>
              <w:rPr>
                <w:rFonts w:ascii="標楷體" w:eastAsia="標楷體" w:hAnsi="標楷體" w:cs="Times New Roman"/>
                <w:szCs w:val="24"/>
              </w:rPr>
            </w:pPr>
            <w:r w:rsidRPr="00B369FE">
              <w:rPr>
                <w:rFonts w:ascii="標楷體" w:eastAsia="標楷體" w:hAnsi="標楷體" w:cs="Times New Roman" w:hint="eastAsia"/>
                <w:szCs w:val="24"/>
              </w:rPr>
              <w:t xml:space="preserve">    前條所稱綠色投資計畫係指投資於下列事項，並具實質改善環境之效益者：</w:t>
            </w:r>
          </w:p>
          <w:p w:rsidR="00DD57BD" w:rsidRPr="00B369FE" w:rsidRDefault="00DD57BD" w:rsidP="00DD57BD">
            <w:pPr>
              <w:pStyle w:val="aa"/>
              <w:numPr>
                <w:ilvl w:val="0"/>
                <w:numId w:val="34"/>
              </w:numPr>
              <w:ind w:leftChars="0"/>
              <w:jc w:val="both"/>
              <w:rPr>
                <w:rFonts w:ascii="標楷體" w:eastAsia="標楷體" w:hAnsi="標楷體" w:cs="Times New Roman"/>
                <w:szCs w:val="24"/>
              </w:rPr>
            </w:pPr>
            <w:r w:rsidRPr="00B369FE">
              <w:rPr>
                <w:rFonts w:ascii="標楷體" w:eastAsia="標楷體" w:hAnsi="標楷體" w:cs="Times New Roman" w:hint="eastAsia"/>
                <w:szCs w:val="24"/>
              </w:rPr>
              <w:t>再生能源及能源科技發展。</w:t>
            </w:r>
          </w:p>
          <w:p w:rsidR="00DD57BD" w:rsidRPr="00B369FE" w:rsidRDefault="00DD57BD" w:rsidP="00DD57BD">
            <w:pPr>
              <w:pStyle w:val="aa"/>
              <w:numPr>
                <w:ilvl w:val="0"/>
                <w:numId w:val="34"/>
              </w:numPr>
              <w:ind w:leftChars="0"/>
              <w:jc w:val="both"/>
              <w:rPr>
                <w:rFonts w:ascii="標楷體" w:eastAsia="標楷體" w:hAnsi="標楷體" w:cs="Times New Roman"/>
                <w:szCs w:val="24"/>
              </w:rPr>
            </w:pPr>
            <w:r w:rsidRPr="00B369FE">
              <w:rPr>
                <w:rFonts w:ascii="標楷體" w:eastAsia="標楷體" w:hAnsi="標楷體" w:cs="Times New Roman" w:hint="eastAsia"/>
                <w:szCs w:val="24"/>
              </w:rPr>
              <w:t>能源使用效率提昇及能源節約。</w:t>
            </w:r>
          </w:p>
          <w:p w:rsidR="00DD57BD" w:rsidRPr="00B369FE" w:rsidRDefault="00DD57BD" w:rsidP="00DD57BD">
            <w:pPr>
              <w:pStyle w:val="aa"/>
              <w:numPr>
                <w:ilvl w:val="0"/>
                <w:numId w:val="34"/>
              </w:numPr>
              <w:ind w:leftChars="0"/>
              <w:jc w:val="both"/>
              <w:rPr>
                <w:rFonts w:ascii="標楷體" w:eastAsia="標楷體" w:hAnsi="標楷體" w:cs="Times New Roman"/>
                <w:szCs w:val="24"/>
              </w:rPr>
            </w:pPr>
            <w:r w:rsidRPr="00B369FE">
              <w:rPr>
                <w:rFonts w:ascii="標楷體" w:eastAsia="標楷體" w:hAnsi="標楷體" w:cs="Times New Roman" w:hint="eastAsia"/>
                <w:szCs w:val="24"/>
              </w:rPr>
              <w:t>溫室氣體減量。</w:t>
            </w:r>
          </w:p>
          <w:p w:rsidR="00DD57BD" w:rsidRPr="00B369FE" w:rsidRDefault="00DD57BD" w:rsidP="00DD57BD">
            <w:pPr>
              <w:pStyle w:val="aa"/>
              <w:numPr>
                <w:ilvl w:val="0"/>
                <w:numId w:val="34"/>
              </w:numPr>
              <w:ind w:leftChars="0"/>
              <w:jc w:val="both"/>
              <w:rPr>
                <w:rFonts w:ascii="標楷體" w:eastAsia="標楷體" w:hAnsi="標楷體" w:cs="Times New Roman"/>
                <w:szCs w:val="24"/>
              </w:rPr>
            </w:pPr>
            <w:r w:rsidRPr="00B369FE">
              <w:rPr>
                <w:rFonts w:ascii="標楷體" w:eastAsia="標楷體" w:hAnsi="標楷體" w:cs="Times New Roman" w:hint="eastAsia"/>
                <w:szCs w:val="24"/>
              </w:rPr>
              <w:t>廢棄物回收處理或再利用。</w:t>
            </w:r>
          </w:p>
          <w:p w:rsidR="00DD57BD" w:rsidRPr="00B369FE" w:rsidRDefault="00DD57BD" w:rsidP="00DD57BD">
            <w:pPr>
              <w:pStyle w:val="aa"/>
              <w:numPr>
                <w:ilvl w:val="0"/>
                <w:numId w:val="34"/>
              </w:numPr>
              <w:ind w:leftChars="0"/>
              <w:jc w:val="both"/>
              <w:rPr>
                <w:rFonts w:ascii="標楷體" w:eastAsia="標楷體" w:hAnsi="標楷體" w:cs="Times New Roman"/>
                <w:szCs w:val="24"/>
              </w:rPr>
            </w:pPr>
            <w:r w:rsidRPr="00B369FE">
              <w:rPr>
                <w:rFonts w:ascii="標楷體" w:eastAsia="標楷體" w:hAnsi="標楷體" w:cs="Times New Roman" w:hint="eastAsia"/>
                <w:szCs w:val="24"/>
              </w:rPr>
              <w:t>農林資源保育。</w:t>
            </w:r>
          </w:p>
          <w:p w:rsidR="00DD57BD" w:rsidRPr="00B369FE" w:rsidRDefault="00DD57BD" w:rsidP="00DD57BD">
            <w:pPr>
              <w:pStyle w:val="aa"/>
              <w:numPr>
                <w:ilvl w:val="0"/>
                <w:numId w:val="34"/>
              </w:numPr>
              <w:ind w:leftChars="0"/>
              <w:jc w:val="both"/>
              <w:rPr>
                <w:rFonts w:ascii="標楷體" w:eastAsia="標楷體" w:hAnsi="標楷體" w:cs="Times New Roman"/>
                <w:szCs w:val="24"/>
              </w:rPr>
            </w:pPr>
            <w:r w:rsidRPr="00B369FE">
              <w:rPr>
                <w:rFonts w:ascii="標楷體" w:eastAsia="標楷體" w:hAnsi="標楷體" w:cs="Times New Roman" w:hint="eastAsia"/>
                <w:szCs w:val="24"/>
              </w:rPr>
              <w:t>生物多樣性保育。</w:t>
            </w:r>
          </w:p>
          <w:p w:rsidR="00DD57BD" w:rsidRPr="00B369FE" w:rsidRDefault="00DD57BD" w:rsidP="00DD57BD">
            <w:pPr>
              <w:pStyle w:val="aa"/>
              <w:numPr>
                <w:ilvl w:val="0"/>
                <w:numId w:val="34"/>
              </w:numPr>
              <w:ind w:leftChars="0"/>
              <w:jc w:val="both"/>
              <w:rPr>
                <w:rFonts w:ascii="標楷體" w:eastAsia="標楷體" w:hAnsi="標楷體" w:cs="Times New Roman"/>
                <w:szCs w:val="24"/>
              </w:rPr>
            </w:pPr>
            <w:r w:rsidRPr="00B369FE">
              <w:rPr>
                <w:rFonts w:ascii="標楷體" w:eastAsia="標楷體" w:hAnsi="標楷體" w:cs="Times New Roman" w:hint="eastAsia"/>
                <w:szCs w:val="24"/>
              </w:rPr>
              <w:t>污染防治與控制。</w:t>
            </w:r>
          </w:p>
          <w:p w:rsidR="00DD57BD" w:rsidRPr="00B369FE" w:rsidRDefault="00DD57BD" w:rsidP="00DD57BD">
            <w:pPr>
              <w:pStyle w:val="aa"/>
              <w:numPr>
                <w:ilvl w:val="0"/>
                <w:numId w:val="34"/>
              </w:numPr>
              <w:ind w:leftChars="0"/>
              <w:jc w:val="both"/>
              <w:rPr>
                <w:rFonts w:ascii="標楷體" w:eastAsia="標楷體" w:hAnsi="標楷體" w:cs="Times New Roman"/>
                <w:szCs w:val="24"/>
              </w:rPr>
            </w:pPr>
            <w:r w:rsidRPr="00B369FE">
              <w:rPr>
                <w:rFonts w:ascii="標楷體" w:eastAsia="標楷體" w:hAnsi="標楷體" w:cs="Times New Roman" w:hint="eastAsia"/>
                <w:szCs w:val="24"/>
              </w:rPr>
              <w:t>水資源節約、潔淨或回收循環再利用。</w:t>
            </w:r>
          </w:p>
          <w:p w:rsidR="00DD57BD" w:rsidRPr="00B369FE" w:rsidRDefault="00DD57BD" w:rsidP="00DD57BD">
            <w:pPr>
              <w:pStyle w:val="aa"/>
              <w:numPr>
                <w:ilvl w:val="0"/>
                <w:numId w:val="34"/>
              </w:numPr>
              <w:ind w:leftChars="0"/>
              <w:jc w:val="both"/>
              <w:rPr>
                <w:rFonts w:ascii="標楷體" w:eastAsia="標楷體" w:hAnsi="標楷體" w:cs="Times New Roman"/>
                <w:szCs w:val="24"/>
              </w:rPr>
            </w:pPr>
            <w:r w:rsidRPr="00B369FE">
              <w:rPr>
                <w:rFonts w:ascii="標楷體" w:eastAsia="標楷體" w:hAnsi="標楷體" w:cs="Times New Roman" w:hint="eastAsia"/>
                <w:szCs w:val="24"/>
              </w:rPr>
              <w:t>其他氣候變遷調適或經本中心認可者。</w:t>
            </w:r>
          </w:p>
          <w:p w:rsidR="00DD57BD" w:rsidRPr="00B369FE" w:rsidRDefault="00DD57BD" w:rsidP="00DD57BD">
            <w:pPr>
              <w:jc w:val="both"/>
              <w:rPr>
                <w:rFonts w:ascii="標楷體" w:eastAsia="標楷體" w:hAnsi="標楷體" w:cs="Times New Roman"/>
                <w:szCs w:val="24"/>
              </w:rPr>
            </w:pPr>
            <w:r w:rsidRPr="00B369FE">
              <w:rPr>
                <w:rFonts w:ascii="標楷體" w:eastAsia="標楷體" w:hAnsi="標楷體" w:cs="Times New Roman" w:hint="eastAsia"/>
                <w:szCs w:val="24"/>
              </w:rPr>
              <w:t xml:space="preserve">    前項綠色投資計畫須經政府機關出具符合</w:t>
            </w:r>
            <w:r w:rsidRPr="00B369FE">
              <w:rPr>
                <w:rFonts w:ascii="標楷體" w:eastAsia="標楷體" w:hAnsi="標楷體" w:cs="Times New Roman" w:hint="eastAsia"/>
                <w:szCs w:val="24"/>
              </w:rPr>
              <w:lastRenderedPageBreak/>
              <w:t>綠色投資計畫之證明文件，或由國內外認證機構出具符合綠色投資計畫之評估意見或認證報告。但發行人為本國銀行、外國銀行在臺分行或具能源供應專業之國營事業者，得自行依國際金融市場慣例之綠色債券原則出具符合綠色投資計畫之評估意見。</w:t>
            </w:r>
          </w:p>
          <w:p w:rsidR="007506AC" w:rsidRPr="00B369FE" w:rsidRDefault="007506AC" w:rsidP="00DD57BD">
            <w:pPr>
              <w:jc w:val="both"/>
              <w:rPr>
                <w:rFonts w:ascii="標楷體" w:eastAsia="標楷體" w:hAnsi="標楷體" w:cs="Times New Roman"/>
                <w:szCs w:val="24"/>
                <w:u w:val="single"/>
              </w:rPr>
            </w:pPr>
            <w:r w:rsidRPr="00B369FE">
              <w:rPr>
                <w:rFonts w:ascii="標楷體" w:eastAsia="標楷體" w:hAnsi="標楷體" w:cs="Times New Roman" w:hint="eastAsia"/>
                <w:szCs w:val="24"/>
              </w:rPr>
              <w:t xml:space="preserve">   </w:t>
            </w:r>
            <w:r w:rsidRPr="00B369FE">
              <w:rPr>
                <w:rFonts w:ascii="標楷體" w:eastAsia="標楷體" w:hAnsi="標楷體" w:cs="Times New Roman" w:hint="eastAsia"/>
                <w:szCs w:val="24"/>
                <w:u w:val="single"/>
              </w:rPr>
              <w:t>發行人</w:t>
            </w:r>
            <w:r w:rsidR="00344B4C" w:rsidRPr="00B369FE">
              <w:rPr>
                <w:rFonts w:ascii="標楷體" w:eastAsia="標楷體" w:hAnsi="標楷體" w:cs="Times New Roman" w:hint="eastAsia"/>
                <w:szCs w:val="24"/>
                <w:u w:val="single"/>
              </w:rPr>
              <w:t>依</w:t>
            </w:r>
            <w:r w:rsidRPr="00B369FE">
              <w:rPr>
                <w:rFonts w:ascii="標楷體" w:eastAsia="標楷體" w:hAnsi="標楷體" w:cs="Times New Roman" w:hint="eastAsia"/>
                <w:szCs w:val="24"/>
                <w:u w:val="single"/>
              </w:rPr>
              <w:t>前條第一項第三款</w:t>
            </w:r>
            <w:r w:rsidR="00344B4C" w:rsidRPr="00B369FE">
              <w:rPr>
                <w:rFonts w:ascii="標楷體" w:eastAsia="標楷體" w:hAnsi="標楷體" w:cs="Times New Roman" w:hint="eastAsia"/>
                <w:szCs w:val="24"/>
                <w:u w:val="single"/>
              </w:rPr>
              <w:t>申</w:t>
            </w:r>
            <w:r w:rsidR="00A467B0" w:rsidRPr="00B369FE">
              <w:rPr>
                <w:rFonts w:ascii="標楷體" w:eastAsia="標楷體" w:hAnsi="標楷體" w:cs="Times New Roman" w:hint="eastAsia"/>
                <w:szCs w:val="24"/>
                <w:u w:val="single"/>
              </w:rPr>
              <w:t>請認可</w:t>
            </w:r>
            <w:r w:rsidRPr="00B369FE">
              <w:rPr>
                <w:rFonts w:ascii="標楷體" w:eastAsia="標楷體" w:hAnsi="標楷體" w:cs="Times New Roman" w:hint="eastAsia"/>
                <w:szCs w:val="24"/>
                <w:u w:val="single"/>
              </w:rPr>
              <w:t>者，不適用前項但書規定。</w:t>
            </w:r>
          </w:p>
          <w:p w:rsidR="00DD57BD" w:rsidRPr="00B369FE" w:rsidRDefault="00DD57BD" w:rsidP="00DD57BD">
            <w:pPr>
              <w:jc w:val="both"/>
              <w:rPr>
                <w:rFonts w:ascii="標楷體" w:eastAsia="標楷體" w:hAnsi="標楷體" w:cs="Times New Roman"/>
                <w:szCs w:val="24"/>
              </w:rPr>
            </w:pPr>
            <w:r w:rsidRPr="00B369FE">
              <w:rPr>
                <w:rFonts w:ascii="標楷體" w:eastAsia="標楷體" w:hAnsi="標楷體" w:cs="Times New Roman" w:hint="eastAsia"/>
                <w:szCs w:val="24"/>
              </w:rPr>
              <w:t xml:space="preserve">    本作業要點所稱具能源供應專業者，係指能源管理法第四條規定之能源供應事業。</w:t>
            </w:r>
          </w:p>
        </w:tc>
        <w:tc>
          <w:tcPr>
            <w:tcW w:w="2759" w:type="dxa"/>
          </w:tcPr>
          <w:p w:rsidR="00DD57BD" w:rsidRPr="00B369FE" w:rsidRDefault="00DD57BD" w:rsidP="00DD57BD">
            <w:pPr>
              <w:jc w:val="both"/>
              <w:rPr>
                <w:rFonts w:ascii="標楷體" w:eastAsia="標楷體" w:hAnsi="標楷體" w:cs="Times New Roman"/>
                <w:szCs w:val="24"/>
              </w:rPr>
            </w:pPr>
            <w:r w:rsidRPr="00B369FE">
              <w:rPr>
                <w:rFonts w:ascii="標楷體" w:eastAsia="標楷體" w:hAnsi="標楷體" w:cs="Times New Roman" w:hint="eastAsia"/>
                <w:szCs w:val="24"/>
              </w:rPr>
              <w:lastRenderedPageBreak/>
              <w:t>第五條</w:t>
            </w:r>
          </w:p>
          <w:p w:rsidR="00DD57BD" w:rsidRPr="00B369FE" w:rsidRDefault="00DD57BD" w:rsidP="00DD57BD">
            <w:pPr>
              <w:jc w:val="both"/>
              <w:rPr>
                <w:rFonts w:ascii="標楷體" w:eastAsia="標楷體" w:hAnsi="標楷體" w:cs="Times New Roman"/>
                <w:szCs w:val="24"/>
              </w:rPr>
            </w:pPr>
            <w:r w:rsidRPr="00B369FE">
              <w:rPr>
                <w:rFonts w:ascii="標楷體" w:eastAsia="標楷體" w:hAnsi="標楷體" w:cs="Times New Roman" w:hint="eastAsia"/>
                <w:szCs w:val="24"/>
              </w:rPr>
              <w:t xml:space="preserve">    前條所稱綠色投資計畫係指投資於下列事項，並具實質改善環境之效益者：</w:t>
            </w:r>
          </w:p>
          <w:p w:rsidR="00DD57BD" w:rsidRPr="00B369FE" w:rsidRDefault="00DD57BD" w:rsidP="007506AC">
            <w:pPr>
              <w:pStyle w:val="aa"/>
              <w:numPr>
                <w:ilvl w:val="0"/>
                <w:numId w:val="35"/>
              </w:numPr>
              <w:ind w:leftChars="0"/>
              <w:jc w:val="both"/>
              <w:rPr>
                <w:rFonts w:ascii="標楷體" w:eastAsia="標楷體" w:hAnsi="標楷體" w:cs="Times New Roman"/>
                <w:szCs w:val="24"/>
              </w:rPr>
            </w:pPr>
            <w:r w:rsidRPr="00B369FE">
              <w:rPr>
                <w:rFonts w:ascii="標楷體" w:eastAsia="標楷體" w:hAnsi="標楷體" w:cs="Times New Roman" w:hint="eastAsia"/>
                <w:szCs w:val="24"/>
              </w:rPr>
              <w:t>再生能源及能源科技發展。</w:t>
            </w:r>
          </w:p>
          <w:p w:rsidR="00DD57BD" w:rsidRPr="00B369FE" w:rsidRDefault="00DD57BD" w:rsidP="007506AC">
            <w:pPr>
              <w:pStyle w:val="aa"/>
              <w:numPr>
                <w:ilvl w:val="0"/>
                <w:numId w:val="35"/>
              </w:numPr>
              <w:ind w:leftChars="0"/>
              <w:jc w:val="both"/>
              <w:rPr>
                <w:rFonts w:ascii="標楷體" w:eastAsia="標楷體" w:hAnsi="標楷體" w:cs="Times New Roman"/>
                <w:szCs w:val="24"/>
              </w:rPr>
            </w:pPr>
            <w:r w:rsidRPr="00B369FE">
              <w:rPr>
                <w:rFonts w:ascii="標楷體" w:eastAsia="標楷體" w:hAnsi="標楷體" w:cs="Times New Roman" w:hint="eastAsia"/>
                <w:szCs w:val="24"/>
              </w:rPr>
              <w:t>能源使用效率提昇及能源節約。</w:t>
            </w:r>
          </w:p>
          <w:p w:rsidR="00DD57BD" w:rsidRPr="00B369FE" w:rsidRDefault="00DD57BD" w:rsidP="007506AC">
            <w:pPr>
              <w:pStyle w:val="aa"/>
              <w:numPr>
                <w:ilvl w:val="0"/>
                <w:numId w:val="35"/>
              </w:numPr>
              <w:ind w:leftChars="0"/>
              <w:jc w:val="both"/>
              <w:rPr>
                <w:rFonts w:ascii="標楷體" w:eastAsia="標楷體" w:hAnsi="標楷體" w:cs="Times New Roman"/>
                <w:szCs w:val="24"/>
              </w:rPr>
            </w:pPr>
            <w:r w:rsidRPr="00B369FE">
              <w:rPr>
                <w:rFonts w:ascii="標楷體" w:eastAsia="標楷體" w:hAnsi="標楷體" w:cs="Times New Roman" w:hint="eastAsia"/>
                <w:szCs w:val="24"/>
              </w:rPr>
              <w:t>溫室氣體減量。</w:t>
            </w:r>
          </w:p>
          <w:p w:rsidR="00DD57BD" w:rsidRPr="00B369FE" w:rsidRDefault="00DD57BD" w:rsidP="007506AC">
            <w:pPr>
              <w:pStyle w:val="aa"/>
              <w:numPr>
                <w:ilvl w:val="0"/>
                <w:numId w:val="35"/>
              </w:numPr>
              <w:ind w:leftChars="0"/>
              <w:jc w:val="both"/>
              <w:rPr>
                <w:rFonts w:ascii="標楷體" w:eastAsia="標楷體" w:hAnsi="標楷體" w:cs="Times New Roman"/>
                <w:szCs w:val="24"/>
              </w:rPr>
            </w:pPr>
            <w:r w:rsidRPr="00B369FE">
              <w:rPr>
                <w:rFonts w:ascii="標楷體" w:eastAsia="標楷體" w:hAnsi="標楷體" w:cs="Times New Roman" w:hint="eastAsia"/>
                <w:szCs w:val="24"/>
              </w:rPr>
              <w:t>廢棄物回收處理或再利用。</w:t>
            </w:r>
          </w:p>
          <w:p w:rsidR="00DD57BD" w:rsidRPr="00B369FE" w:rsidRDefault="00DD57BD" w:rsidP="007506AC">
            <w:pPr>
              <w:pStyle w:val="aa"/>
              <w:numPr>
                <w:ilvl w:val="0"/>
                <w:numId w:val="35"/>
              </w:numPr>
              <w:ind w:leftChars="0"/>
              <w:jc w:val="both"/>
              <w:rPr>
                <w:rFonts w:ascii="標楷體" w:eastAsia="標楷體" w:hAnsi="標楷體" w:cs="Times New Roman"/>
                <w:szCs w:val="24"/>
              </w:rPr>
            </w:pPr>
            <w:r w:rsidRPr="00B369FE">
              <w:rPr>
                <w:rFonts w:ascii="標楷體" w:eastAsia="標楷體" w:hAnsi="標楷體" w:cs="Times New Roman" w:hint="eastAsia"/>
                <w:szCs w:val="24"/>
              </w:rPr>
              <w:t>農林資源保育。</w:t>
            </w:r>
          </w:p>
          <w:p w:rsidR="00DD57BD" w:rsidRPr="00B369FE" w:rsidRDefault="00DD57BD" w:rsidP="007506AC">
            <w:pPr>
              <w:pStyle w:val="aa"/>
              <w:numPr>
                <w:ilvl w:val="0"/>
                <w:numId w:val="35"/>
              </w:numPr>
              <w:ind w:leftChars="0"/>
              <w:jc w:val="both"/>
              <w:rPr>
                <w:rFonts w:ascii="標楷體" w:eastAsia="標楷體" w:hAnsi="標楷體" w:cs="Times New Roman"/>
                <w:szCs w:val="24"/>
              </w:rPr>
            </w:pPr>
            <w:r w:rsidRPr="00B369FE">
              <w:rPr>
                <w:rFonts w:ascii="標楷體" w:eastAsia="標楷體" w:hAnsi="標楷體" w:cs="Times New Roman" w:hint="eastAsia"/>
                <w:szCs w:val="24"/>
              </w:rPr>
              <w:t>生物多樣性保育。</w:t>
            </w:r>
          </w:p>
          <w:p w:rsidR="00DD57BD" w:rsidRPr="00B369FE" w:rsidRDefault="00DD57BD" w:rsidP="007506AC">
            <w:pPr>
              <w:pStyle w:val="aa"/>
              <w:numPr>
                <w:ilvl w:val="0"/>
                <w:numId w:val="35"/>
              </w:numPr>
              <w:ind w:leftChars="0"/>
              <w:jc w:val="both"/>
              <w:rPr>
                <w:rFonts w:ascii="標楷體" w:eastAsia="標楷體" w:hAnsi="標楷體" w:cs="Times New Roman"/>
                <w:szCs w:val="24"/>
              </w:rPr>
            </w:pPr>
            <w:r w:rsidRPr="00B369FE">
              <w:rPr>
                <w:rFonts w:ascii="標楷體" w:eastAsia="標楷體" w:hAnsi="標楷體" w:cs="Times New Roman" w:hint="eastAsia"/>
                <w:szCs w:val="24"/>
              </w:rPr>
              <w:t>污染防治與控制。</w:t>
            </w:r>
          </w:p>
          <w:p w:rsidR="00DD57BD" w:rsidRPr="00B369FE" w:rsidRDefault="00DD57BD" w:rsidP="007506AC">
            <w:pPr>
              <w:pStyle w:val="aa"/>
              <w:numPr>
                <w:ilvl w:val="0"/>
                <w:numId w:val="35"/>
              </w:numPr>
              <w:ind w:leftChars="0"/>
              <w:jc w:val="both"/>
              <w:rPr>
                <w:rFonts w:ascii="標楷體" w:eastAsia="標楷體" w:hAnsi="標楷體" w:cs="Times New Roman"/>
                <w:szCs w:val="24"/>
              </w:rPr>
            </w:pPr>
            <w:r w:rsidRPr="00B369FE">
              <w:rPr>
                <w:rFonts w:ascii="標楷體" w:eastAsia="標楷體" w:hAnsi="標楷體" w:cs="Times New Roman" w:hint="eastAsia"/>
                <w:szCs w:val="24"/>
              </w:rPr>
              <w:t>水資源節約、潔淨或回收循環再利用。</w:t>
            </w:r>
          </w:p>
          <w:p w:rsidR="00DD57BD" w:rsidRPr="00B369FE" w:rsidRDefault="007506AC" w:rsidP="007506AC">
            <w:pPr>
              <w:pStyle w:val="aa"/>
              <w:numPr>
                <w:ilvl w:val="0"/>
                <w:numId w:val="35"/>
              </w:numPr>
              <w:ind w:leftChars="0"/>
              <w:jc w:val="both"/>
              <w:rPr>
                <w:rFonts w:ascii="標楷體" w:eastAsia="標楷體" w:hAnsi="標楷體" w:cs="Times New Roman"/>
                <w:szCs w:val="24"/>
              </w:rPr>
            </w:pPr>
            <w:r w:rsidRPr="00B369FE">
              <w:rPr>
                <w:rFonts w:ascii="標楷體" w:eastAsia="標楷體" w:hAnsi="標楷體" w:cs="Times New Roman" w:hint="eastAsia"/>
                <w:szCs w:val="24"/>
              </w:rPr>
              <w:t>其他氣候變遷調</w:t>
            </w:r>
            <w:r w:rsidR="00DD57BD" w:rsidRPr="00B369FE">
              <w:rPr>
                <w:rFonts w:ascii="標楷體" w:eastAsia="標楷體" w:hAnsi="標楷體" w:cs="Times New Roman" w:hint="eastAsia"/>
                <w:szCs w:val="24"/>
              </w:rPr>
              <w:t>或經本中心認可者。</w:t>
            </w:r>
          </w:p>
          <w:p w:rsidR="00DD57BD" w:rsidRPr="00B369FE" w:rsidRDefault="00DD57BD" w:rsidP="00DD57BD">
            <w:pPr>
              <w:jc w:val="both"/>
              <w:rPr>
                <w:rFonts w:ascii="標楷體" w:eastAsia="標楷體" w:hAnsi="標楷體" w:cs="Times New Roman"/>
                <w:szCs w:val="24"/>
              </w:rPr>
            </w:pPr>
            <w:r w:rsidRPr="00B369FE">
              <w:rPr>
                <w:rFonts w:ascii="標楷體" w:eastAsia="標楷體" w:hAnsi="標楷體" w:cs="Times New Roman" w:hint="eastAsia"/>
                <w:szCs w:val="24"/>
              </w:rPr>
              <w:t xml:space="preserve">    前項綠色投資計畫須經政府機關出具符合</w:t>
            </w:r>
            <w:r w:rsidRPr="00B369FE">
              <w:rPr>
                <w:rFonts w:ascii="標楷體" w:eastAsia="標楷體" w:hAnsi="標楷體" w:cs="Times New Roman" w:hint="eastAsia"/>
                <w:szCs w:val="24"/>
              </w:rPr>
              <w:lastRenderedPageBreak/>
              <w:t>綠色投資計畫之證明文件，或由國內外認證機構出具符合綠色投資計畫之評估意見或認證報告。但發行人為本國銀行、外國銀行在臺分行或具能源供應專業之國營事業者，得自行依國際金融市場慣例之綠色債券原則出具符合綠色投資計畫之評估意見。</w:t>
            </w:r>
          </w:p>
          <w:p w:rsidR="007506AC" w:rsidRPr="00B369FE" w:rsidRDefault="007506AC" w:rsidP="00DD57BD">
            <w:pPr>
              <w:jc w:val="both"/>
              <w:rPr>
                <w:rFonts w:ascii="標楷體" w:eastAsia="標楷體" w:hAnsi="標楷體" w:cs="Times New Roman"/>
                <w:szCs w:val="24"/>
              </w:rPr>
            </w:pPr>
            <w:r w:rsidRPr="00B369FE">
              <w:rPr>
                <w:rFonts w:ascii="標楷體" w:eastAsia="標楷體" w:hAnsi="標楷體" w:cs="Times New Roman" w:hint="eastAsia"/>
                <w:szCs w:val="24"/>
              </w:rPr>
              <w:t xml:space="preserve">  (本項新增)</w:t>
            </w:r>
          </w:p>
          <w:p w:rsidR="007506AC" w:rsidRPr="00B369FE" w:rsidRDefault="007506AC" w:rsidP="00DD57BD">
            <w:pPr>
              <w:jc w:val="both"/>
              <w:rPr>
                <w:rFonts w:ascii="標楷體" w:eastAsia="標楷體" w:hAnsi="標楷體" w:cs="Times New Roman"/>
                <w:szCs w:val="24"/>
              </w:rPr>
            </w:pPr>
          </w:p>
          <w:p w:rsidR="007506AC" w:rsidRPr="00B369FE" w:rsidRDefault="007506AC" w:rsidP="00DD57BD">
            <w:pPr>
              <w:jc w:val="both"/>
              <w:rPr>
                <w:rFonts w:ascii="標楷體" w:eastAsia="標楷體" w:hAnsi="標楷體" w:cs="Times New Roman"/>
                <w:szCs w:val="24"/>
              </w:rPr>
            </w:pPr>
          </w:p>
          <w:p w:rsidR="00DD57BD" w:rsidRPr="00B369FE" w:rsidRDefault="007506AC" w:rsidP="00DD57BD">
            <w:pPr>
              <w:jc w:val="both"/>
              <w:rPr>
                <w:rFonts w:ascii="標楷體" w:eastAsia="標楷體" w:hAnsi="標楷體" w:cs="Times New Roman"/>
                <w:szCs w:val="24"/>
              </w:rPr>
            </w:pPr>
            <w:r w:rsidRPr="00B369FE">
              <w:rPr>
                <w:rFonts w:ascii="標楷體" w:eastAsia="標楷體" w:hAnsi="標楷體" w:cs="Times New Roman" w:hint="eastAsia"/>
                <w:szCs w:val="24"/>
              </w:rPr>
              <w:t xml:space="preserve">   </w:t>
            </w:r>
            <w:r w:rsidR="00DD57BD" w:rsidRPr="00B369FE">
              <w:rPr>
                <w:rFonts w:ascii="標楷體" w:eastAsia="標楷體" w:hAnsi="標楷體" w:cs="Times New Roman" w:hint="eastAsia"/>
                <w:szCs w:val="24"/>
              </w:rPr>
              <w:t xml:space="preserve"> 本作業要點所稱具能源供應專業者，係指能源管理法第四條規定之能源供應事業。</w:t>
            </w:r>
          </w:p>
        </w:tc>
        <w:tc>
          <w:tcPr>
            <w:tcW w:w="2772" w:type="dxa"/>
          </w:tcPr>
          <w:p w:rsidR="0046765C" w:rsidRPr="00ED3836" w:rsidRDefault="0098182A" w:rsidP="0046765C">
            <w:pPr>
              <w:pStyle w:val="aa"/>
              <w:numPr>
                <w:ilvl w:val="0"/>
                <w:numId w:val="42"/>
              </w:numPr>
              <w:tabs>
                <w:tab w:val="left" w:pos="600"/>
              </w:tabs>
              <w:ind w:leftChars="0" w:left="600" w:hanging="600"/>
              <w:jc w:val="both"/>
              <w:rPr>
                <w:rFonts w:ascii="標楷體" w:eastAsia="標楷體" w:hAnsi="標楷體" w:cs="細明體"/>
                <w:kern w:val="0"/>
                <w:szCs w:val="24"/>
              </w:rPr>
            </w:pPr>
            <w:r w:rsidRPr="0046765C">
              <w:rPr>
                <w:rFonts w:ascii="標楷體" w:eastAsia="標楷體" w:hAnsi="標楷體" w:cs="細明體" w:hint="eastAsia"/>
                <w:kern w:val="0"/>
                <w:szCs w:val="24"/>
              </w:rPr>
              <w:lastRenderedPageBreak/>
              <w:t>配合增訂第四條第一項第三款，將金</w:t>
            </w:r>
            <w:r w:rsidRPr="00ED3836">
              <w:rPr>
                <w:rFonts w:ascii="標楷體" w:eastAsia="標楷體" w:hAnsi="標楷體" w:cs="細明體" w:hint="eastAsia"/>
                <w:kern w:val="0"/>
                <w:szCs w:val="24"/>
              </w:rPr>
              <w:t>融資產</w:t>
            </w:r>
            <w:r w:rsidR="00D66468" w:rsidRPr="00ED3836">
              <w:rPr>
                <w:rFonts w:ascii="標楷體" w:eastAsia="標楷體" w:hAnsi="標楷體" w:cs="細明體" w:hint="eastAsia"/>
                <w:kern w:val="0"/>
                <w:szCs w:val="24"/>
              </w:rPr>
              <w:t>證券化</w:t>
            </w:r>
            <w:r w:rsidRPr="00ED3836">
              <w:rPr>
                <w:rFonts w:ascii="標楷體" w:eastAsia="標楷體" w:hAnsi="標楷體" w:cs="細明體" w:hint="eastAsia"/>
                <w:kern w:val="0"/>
                <w:szCs w:val="24"/>
              </w:rPr>
              <w:t>受益證券</w:t>
            </w:r>
            <w:r w:rsidR="00D66468" w:rsidRPr="00ED3836">
              <w:rPr>
                <w:rFonts w:ascii="標楷體" w:eastAsia="標楷體" w:hAnsi="標楷體" w:cs="細明體" w:hint="eastAsia"/>
                <w:kern w:val="0"/>
                <w:szCs w:val="24"/>
              </w:rPr>
              <w:t>及資產基礎證券</w:t>
            </w:r>
            <w:r w:rsidRPr="00ED3836">
              <w:rPr>
                <w:rFonts w:ascii="標楷體" w:eastAsia="標楷體" w:hAnsi="標楷體" w:cs="細明體" w:hint="eastAsia"/>
                <w:kern w:val="0"/>
                <w:szCs w:val="24"/>
              </w:rPr>
              <w:t>納入得為可申請綠色債券資格認可之有價證券</w:t>
            </w:r>
            <w:r w:rsidR="0046765C" w:rsidRPr="00ED3836">
              <w:rPr>
                <w:rFonts w:ascii="標楷體" w:eastAsia="標楷體" w:hAnsi="標楷體" w:cs="細明體" w:hint="eastAsia"/>
                <w:kern w:val="0"/>
                <w:szCs w:val="24"/>
              </w:rPr>
              <w:t>。</w:t>
            </w:r>
          </w:p>
          <w:p w:rsidR="0046765C" w:rsidRPr="0046765C" w:rsidRDefault="0098182A" w:rsidP="0046765C">
            <w:pPr>
              <w:pStyle w:val="aa"/>
              <w:numPr>
                <w:ilvl w:val="0"/>
                <w:numId w:val="42"/>
              </w:numPr>
              <w:tabs>
                <w:tab w:val="left" w:pos="600"/>
              </w:tabs>
              <w:ind w:leftChars="0" w:left="600" w:hanging="600"/>
              <w:jc w:val="both"/>
              <w:rPr>
                <w:rFonts w:ascii="標楷體" w:eastAsia="標楷體" w:hAnsi="標楷體" w:cs="細明體"/>
                <w:kern w:val="0"/>
                <w:szCs w:val="24"/>
              </w:rPr>
            </w:pPr>
            <w:r w:rsidRPr="00ED3836">
              <w:rPr>
                <w:rFonts w:ascii="標楷體" w:eastAsia="標楷體" w:hAnsi="標楷體" w:cs="Times New Roman" w:hint="eastAsia"/>
                <w:szCs w:val="24"/>
              </w:rPr>
              <w:t>考量</w:t>
            </w:r>
            <w:r w:rsidR="0016229E" w:rsidRPr="00ED3836">
              <w:rPr>
                <w:rFonts w:ascii="標楷體" w:eastAsia="標楷體" w:hAnsi="標楷體" w:cs="Times New Roman" w:hint="eastAsia"/>
                <w:szCs w:val="24"/>
              </w:rPr>
              <w:t>金融資產</w:t>
            </w:r>
            <w:r w:rsidR="00D66468" w:rsidRPr="00ED3836">
              <w:rPr>
                <w:rFonts w:ascii="標楷體" w:eastAsia="標楷體" w:hAnsi="標楷體" w:cs="Times New Roman" w:hint="eastAsia"/>
                <w:szCs w:val="24"/>
              </w:rPr>
              <w:t>證券化</w:t>
            </w:r>
            <w:r w:rsidR="0016229E" w:rsidRPr="00ED3836">
              <w:rPr>
                <w:rFonts w:ascii="標楷體" w:eastAsia="標楷體" w:hAnsi="標楷體" w:cs="Times New Roman" w:hint="eastAsia"/>
                <w:szCs w:val="24"/>
              </w:rPr>
              <w:t>受益證券</w:t>
            </w:r>
            <w:r w:rsidR="00D66468" w:rsidRPr="00ED3836">
              <w:rPr>
                <w:rFonts w:ascii="標楷體" w:eastAsia="標楷體" w:hAnsi="標楷體" w:cs="Times New Roman" w:hint="eastAsia"/>
                <w:szCs w:val="24"/>
              </w:rPr>
              <w:t>及資產基礎證券</w:t>
            </w:r>
            <w:r w:rsidR="003C7D43">
              <w:rPr>
                <w:rFonts w:ascii="標楷體" w:eastAsia="標楷體" w:hAnsi="標楷體" w:cs="Times New Roman" w:hint="eastAsia"/>
                <w:szCs w:val="24"/>
              </w:rPr>
              <w:t>之資產池係由創始機構信託予</w:t>
            </w:r>
            <w:r w:rsidR="0016229E" w:rsidRPr="00ED3836">
              <w:rPr>
                <w:rFonts w:ascii="標楷體" w:eastAsia="標楷體" w:hAnsi="標楷體" w:cs="Times New Roman" w:hint="eastAsia"/>
                <w:szCs w:val="24"/>
              </w:rPr>
              <w:t>受託機構或讓與特殊目的公司，</w:t>
            </w:r>
            <w:r w:rsidR="00866DFA" w:rsidRPr="00ED3836">
              <w:rPr>
                <w:rFonts w:ascii="標楷體" w:eastAsia="標楷體" w:hAnsi="標楷體" w:cs="Times New Roman" w:hint="eastAsia"/>
                <w:szCs w:val="24"/>
              </w:rPr>
              <w:t>並</w:t>
            </w:r>
            <w:r w:rsidR="0046765C" w:rsidRPr="00ED3836">
              <w:rPr>
                <w:rFonts w:ascii="標楷體" w:eastAsia="標楷體" w:hAnsi="標楷體" w:cs="Times New Roman" w:hint="eastAsia"/>
                <w:szCs w:val="24"/>
              </w:rPr>
              <w:t>由受託機構或特殊目的公司以該資產為基礎發行受益證券或資產基礎證券，</w:t>
            </w:r>
            <w:r w:rsidR="0016229E" w:rsidRPr="00ED3836">
              <w:rPr>
                <w:rFonts w:ascii="標楷體" w:eastAsia="標楷體" w:hAnsi="標楷體" w:cs="Times New Roman" w:hint="eastAsia"/>
                <w:szCs w:val="24"/>
              </w:rPr>
              <w:t>該資產池是否符合</w:t>
            </w:r>
            <w:r w:rsidR="0046765C" w:rsidRPr="00ED3836">
              <w:rPr>
                <w:rFonts w:ascii="標楷體" w:eastAsia="標楷體" w:hAnsi="標楷體" w:cs="Times New Roman" w:hint="eastAsia"/>
                <w:szCs w:val="24"/>
              </w:rPr>
              <w:t>第五</w:t>
            </w:r>
            <w:r w:rsidR="0016229E" w:rsidRPr="00ED3836">
              <w:rPr>
                <w:rFonts w:ascii="標楷體" w:eastAsia="標楷體" w:hAnsi="標楷體" w:cs="Times New Roman" w:hint="eastAsia"/>
                <w:szCs w:val="24"/>
              </w:rPr>
              <w:t>條第一項之規定，</w:t>
            </w:r>
            <w:r w:rsidR="0046765C" w:rsidRPr="00ED3836">
              <w:rPr>
                <w:rFonts w:ascii="標楷體" w:eastAsia="標楷體" w:hAnsi="標楷體" w:cs="Times New Roman" w:hint="eastAsia"/>
                <w:szCs w:val="24"/>
              </w:rPr>
              <w:t>仍</w:t>
            </w:r>
            <w:r w:rsidR="0016229E" w:rsidRPr="00ED3836">
              <w:rPr>
                <w:rFonts w:ascii="標楷體" w:eastAsia="標楷體" w:hAnsi="標楷體" w:cs="Times New Roman" w:hint="eastAsia"/>
                <w:szCs w:val="24"/>
              </w:rPr>
              <w:t>應經外部機構提供評估意</w:t>
            </w:r>
            <w:r w:rsidR="0016229E" w:rsidRPr="00ED3836">
              <w:rPr>
                <w:rFonts w:ascii="標楷體" w:eastAsia="標楷體" w:hAnsi="標楷體" w:cs="Times New Roman" w:hint="eastAsia"/>
                <w:szCs w:val="24"/>
              </w:rPr>
              <w:lastRenderedPageBreak/>
              <w:t>見或認證報告，</w:t>
            </w:r>
            <w:r w:rsidR="00A6442B" w:rsidRPr="0046765C">
              <w:rPr>
                <w:rFonts w:ascii="標楷體" w:eastAsia="標楷體" w:hAnsi="標楷體" w:cs="Times New Roman" w:hint="eastAsia"/>
                <w:szCs w:val="24"/>
              </w:rPr>
              <w:t>爰增訂第</w:t>
            </w:r>
            <w:r w:rsidRPr="0046765C">
              <w:rPr>
                <w:rFonts w:ascii="標楷體" w:eastAsia="標楷體" w:hAnsi="標楷體" w:cs="Times New Roman" w:hint="eastAsia"/>
                <w:szCs w:val="24"/>
              </w:rPr>
              <w:t>三項，</w:t>
            </w:r>
            <w:r w:rsidR="00BF1914" w:rsidRPr="0046765C">
              <w:rPr>
                <w:rFonts w:ascii="標楷體" w:eastAsia="標楷體" w:hAnsi="標楷體" w:cs="Times New Roman" w:hint="eastAsia"/>
                <w:szCs w:val="24"/>
              </w:rPr>
              <w:t>以規範其不適用第二項後段但書之規定</w:t>
            </w:r>
            <w:r w:rsidR="0046765C">
              <w:rPr>
                <w:rFonts w:ascii="標楷體" w:eastAsia="標楷體" w:hAnsi="標楷體" w:cs="Times New Roman" w:hint="eastAsia"/>
                <w:szCs w:val="24"/>
              </w:rPr>
              <w:t>。</w:t>
            </w:r>
          </w:p>
          <w:p w:rsidR="00BF1914" w:rsidRPr="0046765C" w:rsidRDefault="00A467B0" w:rsidP="0046765C">
            <w:pPr>
              <w:pStyle w:val="aa"/>
              <w:numPr>
                <w:ilvl w:val="0"/>
                <w:numId w:val="42"/>
              </w:numPr>
              <w:tabs>
                <w:tab w:val="left" w:pos="600"/>
              </w:tabs>
              <w:ind w:leftChars="0" w:left="600" w:hanging="600"/>
              <w:jc w:val="both"/>
              <w:rPr>
                <w:rFonts w:ascii="標楷體" w:eastAsia="標楷體" w:hAnsi="標楷體" w:cs="細明體"/>
                <w:kern w:val="0"/>
                <w:szCs w:val="24"/>
              </w:rPr>
            </w:pPr>
            <w:r w:rsidRPr="0046765C">
              <w:rPr>
                <w:rFonts w:ascii="標楷體" w:eastAsia="標楷體" w:hAnsi="標楷體" w:cs="Times New Roman" w:hint="eastAsia"/>
                <w:szCs w:val="24"/>
              </w:rPr>
              <w:t>現行條文</w:t>
            </w:r>
            <w:r w:rsidR="00BF1914" w:rsidRPr="0046765C">
              <w:rPr>
                <w:rFonts w:ascii="標楷體" w:eastAsia="標楷體" w:hAnsi="標楷體" w:cs="Times New Roman" w:hint="eastAsia"/>
                <w:szCs w:val="24"/>
              </w:rPr>
              <w:t>第三項則調整為第四項。</w:t>
            </w:r>
          </w:p>
        </w:tc>
      </w:tr>
      <w:tr w:rsidR="00B369FE" w:rsidRPr="00B369FE" w:rsidTr="00872287">
        <w:tc>
          <w:tcPr>
            <w:tcW w:w="2765" w:type="dxa"/>
          </w:tcPr>
          <w:p w:rsidR="00C670C0" w:rsidRPr="00B369FE" w:rsidRDefault="00C670C0" w:rsidP="00C670C0">
            <w:pPr>
              <w:jc w:val="both"/>
              <w:rPr>
                <w:rFonts w:ascii="標楷體" w:eastAsia="標楷體" w:hAnsi="標楷體" w:cs="Times New Roman"/>
                <w:szCs w:val="24"/>
              </w:rPr>
            </w:pPr>
            <w:r w:rsidRPr="00B369FE">
              <w:rPr>
                <w:rFonts w:ascii="標楷體" w:eastAsia="標楷體" w:hAnsi="標楷體" w:cs="Times New Roman" w:hint="eastAsia"/>
                <w:szCs w:val="24"/>
              </w:rPr>
              <w:lastRenderedPageBreak/>
              <w:t>第七條</w:t>
            </w:r>
          </w:p>
          <w:p w:rsidR="00C670C0" w:rsidRPr="00B369FE" w:rsidRDefault="00C670C0" w:rsidP="00FB3951">
            <w:pPr>
              <w:jc w:val="both"/>
              <w:rPr>
                <w:rFonts w:ascii="標楷體" w:eastAsia="標楷體" w:hAnsi="標楷體" w:cs="Times New Roman"/>
                <w:szCs w:val="24"/>
              </w:rPr>
            </w:pPr>
            <w:r w:rsidRPr="00B369FE">
              <w:rPr>
                <w:rFonts w:ascii="標楷體" w:eastAsia="標楷體" w:hAnsi="標楷體" w:cs="Times New Roman" w:hint="eastAsia"/>
                <w:szCs w:val="24"/>
              </w:rPr>
              <w:t xml:space="preserve">    發行人申請綠色債券資格認可，應檢具綠色債券資格認可申請書</w:t>
            </w:r>
            <w:r w:rsidRPr="00B369FE">
              <w:rPr>
                <w:rFonts w:ascii="標楷體" w:eastAsia="標楷體" w:hAnsi="標楷體" w:cs="Times New Roman"/>
                <w:szCs w:val="24"/>
              </w:rPr>
              <w:t>(附表</w:t>
            </w:r>
            <w:r w:rsidRPr="00B369FE">
              <w:rPr>
                <w:rFonts w:ascii="標楷體" w:eastAsia="標楷體" w:hAnsi="標楷體" w:cs="Times New Roman" w:hint="eastAsia"/>
                <w:szCs w:val="24"/>
              </w:rPr>
              <w:t>一</w:t>
            </w:r>
            <w:r w:rsidRPr="00B369FE">
              <w:rPr>
                <w:rFonts w:ascii="標楷體" w:eastAsia="標楷體" w:hAnsi="標楷體" w:cs="Times New Roman" w:hint="eastAsia"/>
                <w:szCs w:val="24"/>
                <w:u w:val="single"/>
              </w:rPr>
              <w:t>、</w:t>
            </w:r>
            <w:r w:rsidRPr="00B369FE">
              <w:rPr>
                <w:rFonts w:ascii="標楷體" w:eastAsia="標楷體" w:hAnsi="標楷體" w:cs="Times New Roman" w:hint="eastAsia"/>
                <w:szCs w:val="24"/>
              </w:rPr>
              <w:t>附表二</w:t>
            </w:r>
            <w:r w:rsidRPr="00B369FE">
              <w:rPr>
                <w:rFonts w:ascii="標楷體" w:eastAsia="標楷體" w:hAnsi="標楷體" w:cs="Times New Roman" w:hint="eastAsia"/>
                <w:szCs w:val="24"/>
                <w:u w:val="single"/>
              </w:rPr>
              <w:t>及附表三</w:t>
            </w:r>
            <w:r w:rsidRPr="00B369FE">
              <w:rPr>
                <w:rFonts w:ascii="標楷體" w:eastAsia="標楷體" w:hAnsi="標楷體" w:cs="Times New Roman"/>
                <w:szCs w:val="24"/>
              </w:rPr>
              <w:t>)，</w:t>
            </w:r>
            <w:r w:rsidRPr="00B369FE">
              <w:rPr>
                <w:rFonts w:ascii="標楷體" w:eastAsia="標楷體" w:hAnsi="標楷體" w:cs="Times New Roman" w:hint="eastAsia"/>
                <w:szCs w:val="24"/>
              </w:rPr>
              <w:t>連同應檢附書件，</w:t>
            </w:r>
            <w:r w:rsidRPr="00B369FE">
              <w:rPr>
                <w:rFonts w:ascii="標楷體" w:eastAsia="標楷體" w:hAnsi="標楷體" w:cs="Times New Roman"/>
                <w:szCs w:val="24"/>
              </w:rPr>
              <w:t>載明其應記載事項</w:t>
            </w:r>
            <w:r w:rsidRPr="00B369FE">
              <w:rPr>
                <w:rFonts w:ascii="標楷體" w:eastAsia="標楷體" w:hAnsi="標楷體" w:cs="Times New Roman" w:hint="eastAsia"/>
                <w:szCs w:val="24"/>
              </w:rPr>
              <w:t>，</w:t>
            </w:r>
            <w:r w:rsidRPr="00B369FE">
              <w:rPr>
                <w:rFonts w:ascii="標楷體" w:eastAsia="標楷體" w:hAnsi="標楷體" w:cs="Times New Roman"/>
                <w:szCs w:val="24"/>
              </w:rPr>
              <w:t>向本中心</w:t>
            </w:r>
            <w:r w:rsidRPr="00B369FE">
              <w:rPr>
                <w:rFonts w:ascii="標楷體" w:eastAsia="標楷體" w:hAnsi="標楷體" w:cs="Times New Roman" w:hint="eastAsia"/>
                <w:szCs w:val="24"/>
              </w:rPr>
              <w:t>申請。</w:t>
            </w:r>
          </w:p>
        </w:tc>
        <w:tc>
          <w:tcPr>
            <w:tcW w:w="2759" w:type="dxa"/>
          </w:tcPr>
          <w:p w:rsidR="00C670C0" w:rsidRPr="00B369FE" w:rsidRDefault="00C670C0" w:rsidP="00C670C0">
            <w:pPr>
              <w:jc w:val="both"/>
              <w:rPr>
                <w:rFonts w:ascii="標楷體" w:eastAsia="標楷體" w:hAnsi="標楷體" w:cs="Times New Roman"/>
                <w:szCs w:val="24"/>
              </w:rPr>
            </w:pPr>
            <w:r w:rsidRPr="00B369FE">
              <w:rPr>
                <w:rFonts w:ascii="標楷體" w:eastAsia="標楷體" w:hAnsi="標楷體" w:cs="Times New Roman" w:hint="eastAsia"/>
                <w:szCs w:val="24"/>
              </w:rPr>
              <w:t>第七條</w:t>
            </w:r>
          </w:p>
          <w:p w:rsidR="00C670C0" w:rsidRPr="00B369FE" w:rsidRDefault="00C670C0" w:rsidP="00C670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szCs w:val="24"/>
              </w:rPr>
            </w:pPr>
            <w:r w:rsidRPr="00B369FE">
              <w:rPr>
                <w:rFonts w:ascii="標楷體" w:eastAsia="標楷體" w:hAnsi="標楷體" w:cs="Times New Roman" w:hint="eastAsia"/>
                <w:szCs w:val="24"/>
              </w:rPr>
              <w:t xml:space="preserve">    發行人申請綠色債券資格認可，應檢具綠色債券資格認可申請書</w:t>
            </w:r>
            <w:r w:rsidRPr="00B369FE">
              <w:rPr>
                <w:rFonts w:ascii="標楷體" w:eastAsia="標楷體" w:hAnsi="標楷體" w:cs="Times New Roman"/>
                <w:szCs w:val="24"/>
              </w:rPr>
              <w:t>(附表</w:t>
            </w:r>
            <w:r w:rsidRPr="00B369FE">
              <w:rPr>
                <w:rFonts w:ascii="標楷體" w:eastAsia="標楷體" w:hAnsi="標楷體" w:cs="Times New Roman" w:hint="eastAsia"/>
                <w:szCs w:val="24"/>
              </w:rPr>
              <w:t>一</w:t>
            </w:r>
            <w:r w:rsidRPr="00B369FE">
              <w:rPr>
                <w:rFonts w:ascii="標楷體" w:eastAsia="標楷體" w:hAnsi="標楷體" w:cs="Times New Roman" w:hint="eastAsia"/>
                <w:szCs w:val="24"/>
                <w:u w:val="single"/>
              </w:rPr>
              <w:t>及</w:t>
            </w:r>
            <w:r w:rsidRPr="00B369FE">
              <w:rPr>
                <w:rFonts w:ascii="標楷體" w:eastAsia="標楷體" w:hAnsi="標楷體" w:cs="Times New Roman" w:hint="eastAsia"/>
                <w:szCs w:val="24"/>
              </w:rPr>
              <w:t>附表二</w:t>
            </w:r>
            <w:r w:rsidRPr="00B369FE">
              <w:rPr>
                <w:rFonts w:ascii="標楷體" w:eastAsia="標楷體" w:hAnsi="標楷體" w:cs="Times New Roman"/>
                <w:szCs w:val="24"/>
              </w:rPr>
              <w:t>)，</w:t>
            </w:r>
            <w:r w:rsidRPr="00B369FE">
              <w:rPr>
                <w:rFonts w:ascii="標楷體" w:eastAsia="標楷體" w:hAnsi="標楷體" w:cs="Times New Roman" w:hint="eastAsia"/>
                <w:szCs w:val="24"/>
              </w:rPr>
              <w:t>連同應檢附書件，</w:t>
            </w:r>
            <w:r w:rsidRPr="00B369FE">
              <w:rPr>
                <w:rFonts w:ascii="標楷體" w:eastAsia="標楷體" w:hAnsi="標楷體" w:cs="Times New Roman"/>
                <w:szCs w:val="24"/>
              </w:rPr>
              <w:t>載明其應記載事項</w:t>
            </w:r>
            <w:r w:rsidRPr="00B369FE">
              <w:rPr>
                <w:rFonts w:ascii="標楷體" w:eastAsia="標楷體" w:hAnsi="標楷體" w:cs="Times New Roman" w:hint="eastAsia"/>
                <w:szCs w:val="24"/>
              </w:rPr>
              <w:t>，</w:t>
            </w:r>
            <w:r w:rsidRPr="00B369FE">
              <w:rPr>
                <w:rFonts w:ascii="標楷體" w:eastAsia="標楷體" w:hAnsi="標楷體" w:cs="Times New Roman"/>
                <w:szCs w:val="24"/>
              </w:rPr>
              <w:t>向本中心</w:t>
            </w:r>
            <w:r w:rsidRPr="00B369FE">
              <w:rPr>
                <w:rFonts w:ascii="標楷體" w:eastAsia="標楷體" w:hAnsi="標楷體" w:cs="Times New Roman" w:hint="eastAsia"/>
                <w:szCs w:val="24"/>
              </w:rPr>
              <w:t>申請。</w:t>
            </w:r>
          </w:p>
        </w:tc>
        <w:tc>
          <w:tcPr>
            <w:tcW w:w="2772" w:type="dxa"/>
          </w:tcPr>
          <w:p w:rsidR="00C670C0" w:rsidRPr="00B369FE" w:rsidRDefault="00FB3951" w:rsidP="00FF15D9">
            <w:pPr>
              <w:jc w:val="both"/>
              <w:rPr>
                <w:rFonts w:ascii="標楷體" w:eastAsia="標楷體" w:hAnsi="標楷體" w:cs="細明體"/>
                <w:kern w:val="0"/>
                <w:szCs w:val="24"/>
              </w:rPr>
            </w:pPr>
            <w:r w:rsidRPr="00B369FE">
              <w:rPr>
                <w:rFonts w:ascii="標楷體" w:eastAsia="標楷體" w:hAnsi="標楷體" w:cs="細明體" w:hint="eastAsia"/>
                <w:kern w:val="0"/>
                <w:szCs w:val="24"/>
              </w:rPr>
              <w:t>配合</w:t>
            </w:r>
            <w:r w:rsidR="00D3250D" w:rsidRPr="00B369FE">
              <w:rPr>
                <w:rFonts w:ascii="標楷體" w:eastAsia="標楷體" w:hAnsi="標楷體" w:cs="細明體" w:hint="eastAsia"/>
                <w:kern w:val="0"/>
                <w:szCs w:val="24"/>
              </w:rPr>
              <w:t>增訂</w:t>
            </w:r>
            <w:r w:rsidRPr="00B369FE">
              <w:rPr>
                <w:rFonts w:ascii="標楷體" w:eastAsia="標楷體" w:hAnsi="標楷體" w:cs="細明體" w:hint="eastAsia"/>
                <w:kern w:val="0"/>
                <w:szCs w:val="24"/>
              </w:rPr>
              <w:t>金融資產</w:t>
            </w:r>
            <w:r w:rsidR="00FF15D9" w:rsidRPr="00B369FE">
              <w:rPr>
                <w:rFonts w:ascii="標楷體" w:eastAsia="標楷體" w:hAnsi="標楷體" w:cs="細明體" w:hint="eastAsia"/>
                <w:kern w:val="0"/>
                <w:szCs w:val="24"/>
              </w:rPr>
              <w:t>證券化商品得申請綠色債券資格認可，爰增訂附表三</w:t>
            </w:r>
            <w:r w:rsidR="00D3250D" w:rsidRPr="00B369FE">
              <w:rPr>
                <w:rFonts w:ascii="標楷體" w:eastAsia="標楷體" w:hAnsi="標楷體" w:cs="細明體" w:hint="eastAsia"/>
                <w:kern w:val="0"/>
                <w:szCs w:val="24"/>
              </w:rPr>
              <w:t>綠色</w:t>
            </w:r>
            <w:r w:rsidR="00D66468" w:rsidRPr="00ED3836">
              <w:rPr>
                <w:rFonts w:ascii="標楷體" w:eastAsia="標楷體" w:hAnsi="標楷體" w:cs="細明體" w:hint="eastAsia"/>
                <w:kern w:val="0"/>
                <w:szCs w:val="24"/>
              </w:rPr>
              <w:t>金融資產</w:t>
            </w:r>
            <w:r w:rsidR="00D3250D" w:rsidRPr="00ED3836">
              <w:rPr>
                <w:rFonts w:ascii="標楷體" w:eastAsia="標楷體" w:hAnsi="標楷體" w:cs="細明體" w:hint="eastAsia"/>
                <w:kern w:val="0"/>
                <w:szCs w:val="24"/>
              </w:rPr>
              <w:t>證券化</w:t>
            </w:r>
            <w:r w:rsidR="00D3250D" w:rsidRPr="00A47B01">
              <w:rPr>
                <w:rFonts w:ascii="標楷體" w:eastAsia="標楷體" w:hAnsi="標楷體" w:cs="細明體" w:hint="eastAsia"/>
                <w:kern w:val="0"/>
                <w:szCs w:val="24"/>
              </w:rPr>
              <w:t>受益證券或資產基礎證券</w:t>
            </w:r>
            <w:r w:rsidR="00D3250D" w:rsidRPr="00B369FE">
              <w:rPr>
                <w:rFonts w:ascii="標楷體" w:eastAsia="標楷體" w:hAnsi="標楷體" w:cs="細明體" w:hint="eastAsia"/>
                <w:kern w:val="0"/>
                <w:szCs w:val="24"/>
              </w:rPr>
              <w:t>適用之申請書件</w:t>
            </w:r>
            <w:r w:rsidR="00C670C0" w:rsidRPr="00B369FE">
              <w:rPr>
                <w:rFonts w:ascii="標楷體" w:eastAsia="標楷體" w:hAnsi="標楷體" w:cs="細明體" w:hint="eastAsia"/>
                <w:kern w:val="0"/>
                <w:szCs w:val="24"/>
              </w:rPr>
              <w:t>。</w:t>
            </w:r>
          </w:p>
        </w:tc>
      </w:tr>
      <w:tr w:rsidR="00C670C0" w:rsidRPr="00B369FE" w:rsidTr="00872287">
        <w:tc>
          <w:tcPr>
            <w:tcW w:w="2765" w:type="dxa"/>
          </w:tcPr>
          <w:p w:rsidR="000E5F16" w:rsidRPr="00B369FE" w:rsidRDefault="000E5F16" w:rsidP="000E5F16">
            <w:pPr>
              <w:pStyle w:val="HTML"/>
              <w:jc w:val="both"/>
              <w:rPr>
                <w:rFonts w:ascii="標楷體" w:eastAsia="標楷體" w:hAnsi="標楷體"/>
                <w:color w:val="auto"/>
              </w:rPr>
            </w:pPr>
            <w:r w:rsidRPr="00B369FE">
              <w:rPr>
                <w:rFonts w:ascii="標楷體" w:eastAsia="標楷體" w:hAnsi="標楷體" w:hint="eastAsia"/>
                <w:color w:val="auto"/>
              </w:rPr>
              <w:t>第八條</w:t>
            </w:r>
          </w:p>
          <w:p w:rsidR="000E5F16" w:rsidRPr="00B369FE" w:rsidRDefault="000E5F16" w:rsidP="000E5F16">
            <w:pPr>
              <w:pStyle w:val="HTML"/>
              <w:jc w:val="both"/>
              <w:rPr>
                <w:rFonts w:ascii="標楷體" w:eastAsia="標楷體" w:hAnsi="標楷體"/>
                <w:color w:val="auto"/>
              </w:rPr>
            </w:pPr>
            <w:r w:rsidRPr="00B369FE">
              <w:rPr>
                <w:rFonts w:ascii="標楷體" w:eastAsia="標楷體" w:hAnsi="標楷體" w:hint="eastAsia"/>
                <w:color w:val="auto"/>
              </w:rPr>
              <w:t xml:space="preserve">    發行人申請綠色債券資格認可，本中心於申請書件送達之日起三個營業日內完成審查。但有特殊情形，得簽報核准後延長審查。</w:t>
            </w:r>
          </w:p>
          <w:p w:rsidR="00C670C0" w:rsidRPr="00B369FE" w:rsidRDefault="000E5F16" w:rsidP="000E5F16">
            <w:pPr>
              <w:pStyle w:val="HTML"/>
              <w:jc w:val="both"/>
              <w:rPr>
                <w:rFonts w:ascii="標楷體" w:eastAsia="標楷體" w:hAnsi="標楷體"/>
                <w:color w:val="auto"/>
              </w:rPr>
            </w:pPr>
            <w:r w:rsidRPr="00B369FE">
              <w:rPr>
                <w:rFonts w:ascii="標楷體" w:eastAsia="標楷體" w:hAnsi="標楷體" w:hint="eastAsia"/>
                <w:color w:val="auto"/>
              </w:rPr>
              <w:t xml:space="preserve">    經本中心審查前項書件齊備，並符合本作業要點規定者，本中心得出具綠色債券資格認可文件；如審查發現有申請書件不完備或記載事項不充分者，應限期請其補</w:t>
            </w:r>
            <w:r w:rsidRPr="00B369FE">
              <w:rPr>
                <w:rFonts w:ascii="標楷體" w:eastAsia="標楷體" w:hAnsi="標楷體" w:hint="eastAsia"/>
                <w:color w:val="auto"/>
              </w:rPr>
              <w:lastRenderedPageBreak/>
              <w:t>正；逾期未補正者，即簽報予以退件。</w:t>
            </w:r>
          </w:p>
          <w:p w:rsidR="000E5F16" w:rsidRPr="00B369FE" w:rsidRDefault="000E5F16" w:rsidP="00D64714">
            <w:pPr>
              <w:pStyle w:val="HTML"/>
              <w:jc w:val="both"/>
              <w:rPr>
                <w:rFonts w:ascii="標楷體" w:eastAsia="標楷體" w:hAnsi="標楷體"/>
                <w:color w:val="auto"/>
              </w:rPr>
            </w:pPr>
            <w:r w:rsidRPr="00B369FE">
              <w:rPr>
                <w:rFonts w:ascii="標楷體" w:eastAsia="標楷體" w:hAnsi="標楷體" w:hint="eastAsia"/>
                <w:color w:val="auto"/>
              </w:rPr>
              <w:t xml:space="preserve">    發行人應於前項認可文件發文日起兩個月內向本中心申請債券櫃檯買賣，逾期該認可文件失其效力。</w:t>
            </w:r>
            <w:r w:rsidR="00D64714" w:rsidRPr="00B369FE">
              <w:rPr>
                <w:rFonts w:ascii="標楷體" w:eastAsia="標楷體" w:hAnsi="標楷體" w:hint="eastAsia"/>
                <w:color w:val="auto"/>
                <w:u w:val="single"/>
              </w:rPr>
              <w:t>但</w:t>
            </w:r>
            <w:r w:rsidR="001C4B8D" w:rsidRPr="00B369FE">
              <w:rPr>
                <w:rFonts w:ascii="標楷體" w:eastAsia="標楷體" w:hAnsi="標楷體" w:hint="eastAsia"/>
                <w:color w:val="auto"/>
                <w:u w:val="single"/>
              </w:rPr>
              <w:t>其</w:t>
            </w:r>
            <w:r w:rsidR="00D64714" w:rsidRPr="00B369FE">
              <w:rPr>
                <w:rFonts w:ascii="標楷體" w:eastAsia="標楷體" w:hAnsi="標楷體" w:hint="eastAsia"/>
                <w:color w:val="auto"/>
                <w:u w:val="single"/>
              </w:rPr>
              <w:t>有正當理由申請延期，經本中心核准者，得再延長兩個月，並以一次為限。</w:t>
            </w:r>
          </w:p>
        </w:tc>
        <w:tc>
          <w:tcPr>
            <w:tcW w:w="2759" w:type="dxa"/>
          </w:tcPr>
          <w:p w:rsidR="00C670C0" w:rsidRPr="00B369FE" w:rsidRDefault="00C670C0" w:rsidP="00C670C0">
            <w:pPr>
              <w:pStyle w:val="HTML"/>
              <w:jc w:val="both"/>
              <w:rPr>
                <w:rFonts w:ascii="標楷體" w:eastAsia="標楷體" w:hAnsi="標楷體"/>
                <w:color w:val="auto"/>
              </w:rPr>
            </w:pPr>
            <w:r w:rsidRPr="00B369FE">
              <w:rPr>
                <w:rFonts w:ascii="標楷體" w:eastAsia="標楷體" w:hAnsi="標楷體" w:hint="eastAsia"/>
                <w:color w:val="auto"/>
              </w:rPr>
              <w:lastRenderedPageBreak/>
              <w:t>第八條</w:t>
            </w:r>
          </w:p>
          <w:p w:rsidR="00C670C0" w:rsidRPr="00B369FE" w:rsidRDefault="00C670C0" w:rsidP="00C670C0">
            <w:pPr>
              <w:pStyle w:val="HTML"/>
              <w:jc w:val="both"/>
              <w:rPr>
                <w:rFonts w:ascii="標楷體" w:eastAsia="標楷體" w:hAnsi="標楷體"/>
                <w:color w:val="auto"/>
              </w:rPr>
            </w:pPr>
            <w:r w:rsidRPr="00B369FE">
              <w:rPr>
                <w:rFonts w:ascii="標楷體" w:eastAsia="標楷體" w:hAnsi="標楷體" w:hint="eastAsia"/>
                <w:color w:val="auto"/>
              </w:rPr>
              <w:t xml:space="preserve">    發行人申請綠色債券資格認可，本中心於申請書件送達之日起三個營業日內完成審查。但有特殊情形，得簽報核准後延長審查。</w:t>
            </w:r>
          </w:p>
          <w:p w:rsidR="00C670C0" w:rsidRPr="00B369FE" w:rsidRDefault="00C670C0" w:rsidP="00C670C0">
            <w:pPr>
              <w:pStyle w:val="HTML"/>
              <w:jc w:val="both"/>
              <w:rPr>
                <w:rFonts w:ascii="標楷體" w:eastAsia="標楷體" w:hAnsi="標楷體"/>
                <w:color w:val="auto"/>
              </w:rPr>
            </w:pPr>
            <w:r w:rsidRPr="00B369FE">
              <w:rPr>
                <w:rFonts w:ascii="標楷體" w:eastAsia="標楷體" w:hAnsi="標楷體" w:hint="eastAsia"/>
                <w:color w:val="auto"/>
              </w:rPr>
              <w:t xml:space="preserve">    經本中心審查前項書件齊備，並符合本作業要點規定者，本中心得出具綠色債券資格認可文件；如審查發現有申請書件不完備或記載事項不充分者，應限期請其補</w:t>
            </w:r>
            <w:r w:rsidRPr="00B369FE">
              <w:rPr>
                <w:rFonts w:ascii="標楷體" w:eastAsia="標楷體" w:hAnsi="標楷體" w:hint="eastAsia"/>
                <w:color w:val="auto"/>
              </w:rPr>
              <w:lastRenderedPageBreak/>
              <w:t>正；逾期未補正者，即簽報予以退件。</w:t>
            </w:r>
          </w:p>
          <w:p w:rsidR="00C670C0" w:rsidRPr="00B369FE" w:rsidRDefault="00C670C0" w:rsidP="00C670C0">
            <w:pPr>
              <w:pStyle w:val="HTML"/>
              <w:jc w:val="both"/>
              <w:rPr>
                <w:rFonts w:ascii="標楷體" w:eastAsia="標楷體" w:hAnsi="標楷體"/>
                <w:color w:val="auto"/>
              </w:rPr>
            </w:pPr>
            <w:r w:rsidRPr="00B369FE">
              <w:rPr>
                <w:rFonts w:ascii="標楷體" w:eastAsia="標楷體" w:hAnsi="標楷體" w:hint="eastAsia"/>
                <w:color w:val="auto"/>
              </w:rPr>
              <w:t xml:space="preserve">    發行人應於前項認可文件發文日起兩個月內向本中心申請債券櫃檯買賣，逾期該認可文件失其效力。</w:t>
            </w:r>
          </w:p>
          <w:p w:rsidR="0075210B" w:rsidRPr="00B369FE" w:rsidRDefault="0075210B" w:rsidP="00D64714">
            <w:pPr>
              <w:pStyle w:val="HTML"/>
              <w:jc w:val="both"/>
              <w:rPr>
                <w:rFonts w:ascii="標楷體" w:eastAsia="標楷體" w:hAnsi="標楷體"/>
                <w:color w:val="auto"/>
                <w:u w:val="single"/>
              </w:rPr>
            </w:pPr>
            <w:r w:rsidRPr="00B369FE">
              <w:rPr>
                <w:rFonts w:ascii="標楷體" w:eastAsia="標楷體" w:hAnsi="標楷體" w:hint="eastAsia"/>
                <w:color w:val="auto"/>
              </w:rPr>
              <w:t xml:space="preserve"> </w:t>
            </w:r>
          </w:p>
        </w:tc>
        <w:tc>
          <w:tcPr>
            <w:tcW w:w="2772" w:type="dxa"/>
          </w:tcPr>
          <w:p w:rsidR="00C670C0" w:rsidRPr="00B369FE" w:rsidRDefault="00656B4D" w:rsidP="00D66468">
            <w:pPr>
              <w:jc w:val="both"/>
              <w:rPr>
                <w:rFonts w:ascii="標楷體" w:eastAsia="標楷體" w:hAnsi="標楷體"/>
              </w:rPr>
            </w:pPr>
            <w:r w:rsidRPr="00B369FE">
              <w:rPr>
                <w:rFonts w:ascii="標楷體" w:eastAsia="標楷體" w:hAnsi="標楷體" w:hint="eastAsia"/>
              </w:rPr>
              <w:lastRenderedPageBreak/>
              <w:t>配合新增金融資產證券化受益證券及資產基礎證券得申請綠色債券資格認可，並考量金融資產證券化受益證券及資產基礎證券之實務作業，大致均採用申請方式向主管機關申請核准，故為提供發行人於取得綠色債券資格認可，後續辦理有價證券相關募集與發行作業之彈性，爰增</w:t>
            </w:r>
            <w:r w:rsidR="00B32408" w:rsidRPr="00B369FE">
              <w:rPr>
                <w:rFonts w:ascii="標楷體" w:eastAsia="標楷體" w:hAnsi="標楷體" w:hint="eastAsia"/>
              </w:rPr>
              <w:t>訂</w:t>
            </w:r>
            <w:r w:rsidRPr="00B369FE">
              <w:rPr>
                <w:rFonts w:ascii="標楷體" w:eastAsia="標楷體" w:hAnsi="標楷體" w:hint="eastAsia"/>
              </w:rPr>
              <w:t>第</w:t>
            </w:r>
            <w:r w:rsidR="00CE7C57">
              <w:rPr>
                <w:rFonts w:ascii="標楷體" w:eastAsia="標楷體" w:hAnsi="標楷體" w:hint="eastAsia"/>
              </w:rPr>
              <w:t>三</w:t>
            </w:r>
            <w:r w:rsidRPr="00B369FE">
              <w:rPr>
                <w:rFonts w:ascii="標楷體" w:eastAsia="標楷體" w:hAnsi="標楷體" w:hint="eastAsia"/>
              </w:rPr>
              <w:t>項但書規定。</w:t>
            </w:r>
          </w:p>
        </w:tc>
      </w:tr>
    </w:tbl>
    <w:p w:rsidR="003014F4" w:rsidRPr="00B369FE" w:rsidRDefault="003014F4" w:rsidP="001557EF">
      <w:pPr>
        <w:jc w:val="both"/>
        <w:rPr>
          <w:rFonts w:ascii="標楷體" w:eastAsia="標楷體" w:hAnsi="標楷體"/>
          <w:szCs w:val="24"/>
        </w:rPr>
      </w:pPr>
    </w:p>
    <w:p w:rsidR="00F00891" w:rsidRPr="00B369FE" w:rsidRDefault="00F00891" w:rsidP="001557EF">
      <w:pPr>
        <w:jc w:val="both"/>
        <w:rPr>
          <w:rFonts w:ascii="標楷體" w:eastAsia="標楷體" w:hAnsi="標楷體"/>
          <w:szCs w:val="24"/>
        </w:rPr>
      </w:pPr>
    </w:p>
    <w:p w:rsidR="00A273C7" w:rsidRPr="00B369FE" w:rsidRDefault="00A273C7"/>
    <w:sectPr w:rsidR="00A273C7" w:rsidRPr="00B369FE" w:rsidSect="003017B5">
      <w:footerReference w:type="default" r:id="rId8"/>
      <w:pgSz w:w="11906" w:h="16838"/>
      <w:pgMar w:top="1134" w:right="1800" w:bottom="709" w:left="1800" w:header="851" w:footer="61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703" w:rsidRDefault="00865703" w:rsidP="003014F4">
      <w:r>
        <w:separator/>
      </w:r>
    </w:p>
  </w:endnote>
  <w:endnote w:type="continuationSeparator" w:id="0">
    <w:p w:rsidR="00865703" w:rsidRDefault="00865703" w:rsidP="0030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3523"/>
      <w:docPartObj>
        <w:docPartGallery w:val="Page Numbers (Bottom of Page)"/>
        <w:docPartUnique/>
      </w:docPartObj>
    </w:sdtPr>
    <w:sdtEndPr/>
    <w:sdtContent>
      <w:p w:rsidR="003017B5" w:rsidRDefault="003017B5">
        <w:pPr>
          <w:pStyle w:val="a6"/>
          <w:jc w:val="center"/>
        </w:pPr>
        <w:r>
          <w:fldChar w:fldCharType="begin"/>
        </w:r>
        <w:r>
          <w:instrText>PAGE   \* MERGEFORMAT</w:instrText>
        </w:r>
        <w:r>
          <w:fldChar w:fldCharType="separate"/>
        </w:r>
        <w:r w:rsidR="009C7280" w:rsidRPr="009C7280">
          <w:rPr>
            <w:noProof/>
            <w:lang w:val="zh-TW"/>
          </w:rPr>
          <w:t>1</w:t>
        </w:r>
        <w:r>
          <w:fldChar w:fldCharType="end"/>
        </w:r>
      </w:p>
    </w:sdtContent>
  </w:sdt>
  <w:p w:rsidR="00AB12CC" w:rsidRDefault="00AB12C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703" w:rsidRDefault="00865703" w:rsidP="003014F4">
      <w:r>
        <w:separator/>
      </w:r>
    </w:p>
  </w:footnote>
  <w:footnote w:type="continuationSeparator" w:id="0">
    <w:p w:rsidR="00865703" w:rsidRDefault="00865703" w:rsidP="003014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E004F"/>
    <w:multiLevelType w:val="hybridMultilevel"/>
    <w:tmpl w:val="04E2CD1A"/>
    <w:lvl w:ilvl="0" w:tplc="AF6AF8D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7FE421A"/>
    <w:multiLevelType w:val="hybridMultilevel"/>
    <w:tmpl w:val="D5BE9774"/>
    <w:lvl w:ilvl="0" w:tplc="1E0E7E8A">
      <w:start w:val="1"/>
      <w:numFmt w:val="taiwaneseCountingThousand"/>
      <w:lvlText w:val="%1、"/>
      <w:lvlJc w:val="left"/>
      <w:pPr>
        <w:ind w:left="886" w:hanging="360"/>
      </w:pPr>
      <w:rPr>
        <w:rFonts w:hint="default"/>
      </w:rPr>
    </w:lvl>
    <w:lvl w:ilvl="1" w:tplc="04090019" w:tentative="1">
      <w:start w:val="1"/>
      <w:numFmt w:val="ideographTraditional"/>
      <w:lvlText w:val="%2、"/>
      <w:lvlJc w:val="left"/>
      <w:pPr>
        <w:ind w:left="1486" w:hanging="480"/>
      </w:pPr>
    </w:lvl>
    <w:lvl w:ilvl="2" w:tplc="0409001B" w:tentative="1">
      <w:start w:val="1"/>
      <w:numFmt w:val="lowerRoman"/>
      <w:lvlText w:val="%3."/>
      <w:lvlJc w:val="right"/>
      <w:pPr>
        <w:ind w:left="1966" w:hanging="480"/>
      </w:pPr>
    </w:lvl>
    <w:lvl w:ilvl="3" w:tplc="0409000F" w:tentative="1">
      <w:start w:val="1"/>
      <w:numFmt w:val="decimal"/>
      <w:lvlText w:val="%4."/>
      <w:lvlJc w:val="left"/>
      <w:pPr>
        <w:ind w:left="2446" w:hanging="480"/>
      </w:pPr>
    </w:lvl>
    <w:lvl w:ilvl="4" w:tplc="04090019" w:tentative="1">
      <w:start w:val="1"/>
      <w:numFmt w:val="ideographTraditional"/>
      <w:lvlText w:val="%5、"/>
      <w:lvlJc w:val="left"/>
      <w:pPr>
        <w:ind w:left="2926" w:hanging="480"/>
      </w:pPr>
    </w:lvl>
    <w:lvl w:ilvl="5" w:tplc="0409001B" w:tentative="1">
      <w:start w:val="1"/>
      <w:numFmt w:val="lowerRoman"/>
      <w:lvlText w:val="%6."/>
      <w:lvlJc w:val="right"/>
      <w:pPr>
        <w:ind w:left="3406" w:hanging="480"/>
      </w:pPr>
    </w:lvl>
    <w:lvl w:ilvl="6" w:tplc="0409000F" w:tentative="1">
      <w:start w:val="1"/>
      <w:numFmt w:val="decimal"/>
      <w:lvlText w:val="%7."/>
      <w:lvlJc w:val="left"/>
      <w:pPr>
        <w:ind w:left="3886" w:hanging="480"/>
      </w:pPr>
    </w:lvl>
    <w:lvl w:ilvl="7" w:tplc="04090019" w:tentative="1">
      <w:start w:val="1"/>
      <w:numFmt w:val="ideographTraditional"/>
      <w:lvlText w:val="%8、"/>
      <w:lvlJc w:val="left"/>
      <w:pPr>
        <w:ind w:left="4366" w:hanging="480"/>
      </w:pPr>
    </w:lvl>
    <w:lvl w:ilvl="8" w:tplc="0409001B" w:tentative="1">
      <w:start w:val="1"/>
      <w:numFmt w:val="lowerRoman"/>
      <w:lvlText w:val="%9."/>
      <w:lvlJc w:val="right"/>
      <w:pPr>
        <w:ind w:left="4846" w:hanging="480"/>
      </w:pPr>
    </w:lvl>
  </w:abstractNum>
  <w:abstractNum w:abstractNumId="2" w15:restartNumberingAfterBreak="0">
    <w:nsid w:val="081E285A"/>
    <w:multiLevelType w:val="hybridMultilevel"/>
    <w:tmpl w:val="C296A2D8"/>
    <w:lvl w:ilvl="0" w:tplc="C65E8974">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1D3450"/>
    <w:multiLevelType w:val="hybridMultilevel"/>
    <w:tmpl w:val="9AA40FFE"/>
    <w:lvl w:ilvl="0" w:tplc="D2885314">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2166C9"/>
    <w:multiLevelType w:val="hybridMultilevel"/>
    <w:tmpl w:val="FB545EB2"/>
    <w:lvl w:ilvl="0" w:tplc="E91C714C">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A00DE4"/>
    <w:multiLevelType w:val="hybridMultilevel"/>
    <w:tmpl w:val="66C88410"/>
    <w:lvl w:ilvl="0" w:tplc="2F72B280">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B416B6"/>
    <w:multiLevelType w:val="hybridMultilevel"/>
    <w:tmpl w:val="3DFA29C2"/>
    <w:lvl w:ilvl="0" w:tplc="9FB0CF2A">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6543BD"/>
    <w:multiLevelType w:val="hybridMultilevel"/>
    <w:tmpl w:val="C0701284"/>
    <w:lvl w:ilvl="0" w:tplc="145E9CEE">
      <w:start w:val="1"/>
      <w:numFmt w:val="taiwaneseCountingThousand"/>
      <w:lvlText w:val="%1、"/>
      <w:lvlJc w:val="left"/>
      <w:pPr>
        <w:ind w:left="1048"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7F2BB6"/>
    <w:multiLevelType w:val="hybridMultilevel"/>
    <w:tmpl w:val="5E58B5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5159D8"/>
    <w:multiLevelType w:val="hybridMultilevel"/>
    <w:tmpl w:val="18F27A8C"/>
    <w:lvl w:ilvl="0" w:tplc="FCD8ACCA">
      <w:start w:val="1"/>
      <w:numFmt w:val="taiwaneseCountingThousand"/>
      <w:lvlText w:val="%1、"/>
      <w:lvlJc w:val="left"/>
      <w:pPr>
        <w:ind w:left="480" w:hanging="480"/>
      </w:pPr>
      <w:rPr>
        <w:rFonts w:ascii="標楷體" w:eastAsia="標楷體" w:hAnsi="標楷體" w:cstheme="minorBidi"/>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C67827"/>
    <w:multiLevelType w:val="hybridMultilevel"/>
    <w:tmpl w:val="C0701284"/>
    <w:lvl w:ilvl="0" w:tplc="145E9CEE">
      <w:start w:val="1"/>
      <w:numFmt w:val="taiwaneseCountingThousand"/>
      <w:lvlText w:val="%1、"/>
      <w:lvlJc w:val="left"/>
      <w:pPr>
        <w:ind w:left="1048"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A419A7"/>
    <w:multiLevelType w:val="hybridMultilevel"/>
    <w:tmpl w:val="B67678B4"/>
    <w:lvl w:ilvl="0" w:tplc="042EA2D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4D394C"/>
    <w:multiLevelType w:val="hybridMultilevel"/>
    <w:tmpl w:val="EB70AC7A"/>
    <w:lvl w:ilvl="0" w:tplc="04090015">
      <w:start w:val="1"/>
      <w:numFmt w:val="taiwaneseCountingThousand"/>
      <w:lvlText w:val="%1、"/>
      <w:lvlJc w:val="left"/>
      <w:pPr>
        <w:ind w:left="480" w:hanging="480"/>
      </w:pPr>
    </w:lvl>
    <w:lvl w:ilvl="1" w:tplc="202A531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EF018C"/>
    <w:multiLevelType w:val="hybridMultilevel"/>
    <w:tmpl w:val="C0701284"/>
    <w:lvl w:ilvl="0" w:tplc="145E9CEE">
      <w:start w:val="1"/>
      <w:numFmt w:val="taiwaneseCountingThousand"/>
      <w:lvlText w:val="%1、"/>
      <w:lvlJc w:val="left"/>
      <w:pPr>
        <w:ind w:left="1048"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D05475D"/>
    <w:multiLevelType w:val="hybridMultilevel"/>
    <w:tmpl w:val="F4C6D024"/>
    <w:lvl w:ilvl="0" w:tplc="73C0F7B4">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FB3F70"/>
    <w:multiLevelType w:val="hybridMultilevel"/>
    <w:tmpl w:val="AE3E03DE"/>
    <w:lvl w:ilvl="0" w:tplc="22EE49C0">
      <w:start w:val="1"/>
      <w:numFmt w:val="taiwaneseCountingThousand"/>
      <w:suff w:val="nothing"/>
      <w:lvlText w:val="%1、"/>
      <w:lvlJc w:val="left"/>
      <w:pPr>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F53954"/>
    <w:multiLevelType w:val="hybridMultilevel"/>
    <w:tmpl w:val="A5925F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3D07FE6"/>
    <w:multiLevelType w:val="hybridMultilevel"/>
    <w:tmpl w:val="CDFA7E66"/>
    <w:lvl w:ilvl="0" w:tplc="7C0699F0">
      <w:start w:val="1"/>
      <w:numFmt w:val="taiwaneseCountingThousand"/>
      <w:lvlText w:val="%1、"/>
      <w:lvlJc w:val="left"/>
      <w:pPr>
        <w:ind w:left="1048" w:hanging="480"/>
      </w:pPr>
      <w:rPr>
        <w:rFonts w:ascii="標楷體" w:eastAsia="標楷體" w:hAnsi="標楷體" w:cs="Times New Roman"/>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206C87"/>
    <w:multiLevelType w:val="hybridMultilevel"/>
    <w:tmpl w:val="A5925F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F20186"/>
    <w:multiLevelType w:val="hybridMultilevel"/>
    <w:tmpl w:val="B8C00EAE"/>
    <w:lvl w:ilvl="0" w:tplc="8098C91C">
      <w:start w:val="1"/>
      <w:numFmt w:val="taiwaneseCountingThousand"/>
      <w:lvlText w:val="%1、"/>
      <w:lvlJc w:val="left"/>
      <w:pPr>
        <w:ind w:left="862" w:hanging="408"/>
      </w:pPr>
      <w:rPr>
        <w:rFonts w:hint="default"/>
        <w:color w:val="auto"/>
        <w:u w:val="single"/>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20" w15:restartNumberingAfterBreak="0">
    <w:nsid w:val="3CF075BD"/>
    <w:multiLevelType w:val="hybridMultilevel"/>
    <w:tmpl w:val="3E9C3DCC"/>
    <w:lvl w:ilvl="0" w:tplc="03C286DC">
      <w:start w:val="1"/>
      <w:numFmt w:val="taiwaneseCountingThousand"/>
      <w:lvlText w:val="%1、"/>
      <w:lvlJc w:val="left"/>
      <w:pPr>
        <w:ind w:left="1030" w:hanging="504"/>
      </w:pPr>
      <w:rPr>
        <w:rFonts w:hint="default"/>
      </w:rPr>
    </w:lvl>
    <w:lvl w:ilvl="1" w:tplc="04090019" w:tentative="1">
      <w:start w:val="1"/>
      <w:numFmt w:val="ideographTraditional"/>
      <w:lvlText w:val="%2、"/>
      <w:lvlJc w:val="left"/>
      <w:pPr>
        <w:ind w:left="1486" w:hanging="480"/>
      </w:pPr>
    </w:lvl>
    <w:lvl w:ilvl="2" w:tplc="0409001B" w:tentative="1">
      <w:start w:val="1"/>
      <w:numFmt w:val="lowerRoman"/>
      <w:lvlText w:val="%3."/>
      <w:lvlJc w:val="right"/>
      <w:pPr>
        <w:ind w:left="1966" w:hanging="480"/>
      </w:pPr>
    </w:lvl>
    <w:lvl w:ilvl="3" w:tplc="0409000F" w:tentative="1">
      <w:start w:val="1"/>
      <w:numFmt w:val="decimal"/>
      <w:lvlText w:val="%4."/>
      <w:lvlJc w:val="left"/>
      <w:pPr>
        <w:ind w:left="2446" w:hanging="480"/>
      </w:pPr>
    </w:lvl>
    <w:lvl w:ilvl="4" w:tplc="04090019" w:tentative="1">
      <w:start w:val="1"/>
      <w:numFmt w:val="ideographTraditional"/>
      <w:lvlText w:val="%5、"/>
      <w:lvlJc w:val="left"/>
      <w:pPr>
        <w:ind w:left="2926" w:hanging="480"/>
      </w:pPr>
    </w:lvl>
    <w:lvl w:ilvl="5" w:tplc="0409001B" w:tentative="1">
      <w:start w:val="1"/>
      <w:numFmt w:val="lowerRoman"/>
      <w:lvlText w:val="%6."/>
      <w:lvlJc w:val="right"/>
      <w:pPr>
        <w:ind w:left="3406" w:hanging="480"/>
      </w:pPr>
    </w:lvl>
    <w:lvl w:ilvl="6" w:tplc="0409000F" w:tentative="1">
      <w:start w:val="1"/>
      <w:numFmt w:val="decimal"/>
      <w:lvlText w:val="%7."/>
      <w:lvlJc w:val="left"/>
      <w:pPr>
        <w:ind w:left="3886" w:hanging="480"/>
      </w:pPr>
    </w:lvl>
    <w:lvl w:ilvl="7" w:tplc="04090019" w:tentative="1">
      <w:start w:val="1"/>
      <w:numFmt w:val="ideographTraditional"/>
      <w:lvlText w:val="%8、"/>
      <w:lvlJc w:val="left"/>
      <w:pPr>
        <w:ind w:left="4366" w:hanging="480"/>
      </w:pPr>
    </w:lvl>
    <w:lvl w:ilvl="8" w:tplc="0409001B" w:tentative="1">
      <w:start w:val="1"/>
      <w:numFmt w:val="lowerRoman"/>
      <w:lvlText w:val="%9."/>
      <w:lvlJc w:val="right"/>
      <w:pPr>
        <w:ind w:left="4846" w:hanging="480"/>
      </w:pPr>
    </w:lvl>
  </w:abstractNum>
  <w:abstractNum w:abstractNumId="21" w15:restartNumberingAfterBreak="0">
    <w:nsid w:val="454351D4"/>
    <w:multiLevelType w:val="hybridMultilevel"/>
    <w:tmpl w:val="F12CBC74"/>
    <w:lvl w:ilvl="0" w:tplc="B9E87E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8A77B0A"/>
    <w:multiLevelType w:val="hybridMultilevel"/>
    <w:tmpl w:val="CA34A8F4"/>
    <w:lvl w:ilvl="0" w:tplc="B5E6C234">
      <w:start w:val="1"/>
      <w:numFmt w:val="taiwaneseCountingThousand"/>
      <w:lvlText w:val="%1、"/>
      <w:lvlJc w:val="left"/>
      <w:pPr>
        <w:ind w:left="408" w:hanging="408"/>
      </w:pPr>
      <w:rPr>
        <w:rFonts w:cs="細明體" w:hint="default"/>
        <w:color w:val="33333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176622"/>
    <w:multiLevelType w:val="hybridMultilevel"/>
    <w:tmpl w:val="D9AC581C"/>
    <w:lvl w:ilvl="0" w:tplc="FCD8ACCA">
      <w:start w:val="1"/>
      <w:numFmt w:val="taiwaneseCountingThousand"/>
      <w:lvlText w:val="%1、"/>
      <w:lvlJc w:val="left"/>
      <w:pPr>
        <w:ind w:left="480" w:hanging="480"/>
      </w:pPr>
      <w:rPr>
        <w:rFonts w:ascii="標楷體" w:eastAsia="標楷體" w:hAnsi="標楷體" w:cstheme="minorBidi"/>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CEC3799"/>
    <w:multiLevelType w:val="hybridMultilevel"/>
    <w:tmpl w:val="6BBA2D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0941524"/>
    <w:multiLevelType w:val="hybridMultilevel"/>
    <w:tmpl w:val="F4C6D024"/>
    <w:lvl w:ilvl="0" w:tplc="73C0F7B4">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0F168BD"/>
    <w:multiLevelType w:val="hybridMultilevel"/>
    <w:tmpl w:val="96A0E496"/>
    <w:lvl w:ilvl="0" w:tplc="319A2862">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166CB7"/>
    <w:multiLevelType w:val="hybridMultilevel"/>
    <w:tmpl w:val="A5925F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6996183"/>
    <w:multiLevelType w:val="hybridMultilevel"/>
    <w:tmpl w:val="758AB0B4"/>
    <w:lvl w:ilvl="0" w:tplc="FCD8ACCA">
      <w:start w:val="1"/>
      <w:numFmt w:val="taiwaneseCountingThousand"/>
      <w:lvlText w:val="%1、"/>
      <w:lvlJc w:val="left"/>
      <w:pPr>
        <w:ind w:left="480" w:hanging="480"/>
      </w:pPr>
      <w:rPr>
        <w:rFonts w:ascii="標楷體" w:eastAsia="標楷體" w:hAnsi="標楷體" w:cstheme="minorBidi"/>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87838C2"/>
    <w:multiLevelType w:val="hybridMultilevel"/>
    <w:tmpl w:val="75ACCB8A"/>
    <w:lvl w:ilvl="0" w:tplc="86C25954">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DE08CE"/>
    <w:multiLevelType w:val="hybridMultilevel"/>
    <w:tmpl w:val="EF648678"/>
    <w:lvl w:ilvl="0" w:tplc="A3F0C08A">
      <w:start w:val="1"/>
      <w:numFmt w:val="taiwaneseCountingThousand"/>
      <w:lvlText w:val="%1、"/>
      <w:lvlJc w:val="left"/>
      <w:pPr>
        <w:ind w:left="396" w:hanging="396"/>
      </w:pPr>
      <w:rPr>
        <w:rFonts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9A72A06"/>
    <w:multiLevelType w:val="hybridMultilevel"/>
    <w:tmpl w:val="BACA6FEC"/>
    <w:lvl w:ilvl="0" w:tplc="442CDD3A">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C1E465E"/>
    <w:multiLevelType w:val="hybridMultilevel"/>
    <w:tmpl w:val="74B010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3283779"/>
    <w:multiLevelType w:val="hybridMultilevel"/>
    <w:tmpl w:val="74B010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412429B"/>
    <w:multiLevelType w:val="hybridMultilevel"/>
    <w:tmpl w:val="FC1EB5F0"/>
    <w:lvl w:ilvl="0" w:tplc="11FE9E4E">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7E05264"/>
    <w:multiLevelType w:val="hybridMultilevel"/>
    <w:tmpl w:val="059804CA"/>
    <w:lvl w:ilvl="0" w:tplc="FCD8ACCA">
      <w:start w:val="1"/>
      <w:numFmt w:val="taiwaneseCountingThousand"/>
      <w:lvlText w:val="%1、"/>
      <w:lvlJc w:val="left"/>
      <w:pPr>
        <w:ind w:left="480" w:hanging="480"/>
      </w:pPr>
      <w:rPr>
        <w:rFonts w:ascii="標楷體" w:eastAsia="標楷體" w:hAnsi="標楷體" w:cstheme="minorBidi"/>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066395B"/>
    <w:multiLevelType w:val="hybridMultilevel"/>
    <w:tmpl w:val="390CF7F4"/>
    <w:lvl w:ilvl="0" w:tplc="289EAC22">
      <w:start w:val="1"/>
      <w:numFmt w:val="taiwaneseCountingThousand"/>
      <w:lvlText w:val="%1、"/>
      <w:lvlJc w:val="left"/>
      <w:pPr>
        <w:ind w:left="1027" w:hanging="504"/>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37" w15:restartNumberingAfterBreak="0">
    <w:nsid w:val="7328239E"/>
    <w:multiLevelType w:val="hybridMultilevel"/>
    <w:tmpl w:val="74B010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47C1C56"/>
    <w:multiLevelType w:val="hybridMultilevel"/>
    <w:tmpl w:val="6DA237B8"/>
    <w:lvl w:ilvl="0" w:tplc="343EBD66">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7821B3E"/>
    <w:multiLevelType w:val="hybridMultilevel"/>
    <w:tmpl w:val="6DA237B8"/>
    <w:lvl w:ilvl="0" w:tplc="343EBD66">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A9A35D3"/>
    <w:multiLevelType w:val="hybridMultilevel"/>
    <w:tmpl w:val="97588BC2"/>
    <w:lvl w:ilvl="0" w:tplc="FEAA4912">
      <w:start w:val="1"/>
      <w:numFmt w:val="taiwaneseCountingThousand"/>
      <w:lvlText w:val="%1、"/>
      <w:lvlJc w:val="left"/>
      <w:pPr>
        <w:ind w:left="408" w:hanging="408"/>
      </w:pPr>
      <w:rPr>
        <w:rFonts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E1E1F87"/>
    <w:multiLevelType w:val="hybridMultilevel"/>
    <w:tmpl w:val="943097E0"/>
    <w:lvl w:ilvl="0" w:tplc="FCD8ACCA">
      <w:start w:val="1"/>
      <w:numFmt w:val="taiwaneseCountingThousand"/>
      <w:lvlText w:val="%1、"/>
      <w:lvlJc w:val="left"/>
      <w:pPr>
        <w:ind w:left="396" w:hanging="396"/>
      </w:pPr>
      <w:rPr>
        <w:rFonts w:ascii="標楷體" w:eastAsia="標楷體" w:hAnsi="標楷體" w:cstheme="minorBidi"/>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6"/>
  </w:num>
  <w:num w:numId="2">
    <w:abstractNumId w:val="1"/>
  </w:num>
  <w:num w:numId="3">
    <w:abstractNumId w:val="20"/>
  </w:num>
  <w:num w:numId="4">
    <w:abstractNumId w:val="19"/>
  </w:num>
  <w:num w:numId="5">
    <w:abstractNumId w:val="41"/>
  </w:num>
  <w:num w:numId="6">
    <w:abstractNumId w:val="30"/>
  </w:num>
  <w:num w:numId="7">
    <w:abstractNumId w:val="9"/>
  </w:num>
  <w:num w:numId="8">
    <w:abstractNumId w:val="28"/>
  </w:num>
  <w:num w:numId="9">
    <w:abstractNumId w:val="21"/>
  </w:num>
  <w:num w:numId="10">
    <w:abstractNumId w:val="23"/>
  </w:num>
  <w:num w:numId="11">
    <w:abstractNumId w:val="35"/>
  </w:num>
  <w:num w:numId="12">
    <w:abstractNumId w:val="5"/>
  </w:num>
  <w:num w:numId="13">
    <w:abstractNumId w:val="4"/>
  </w:num>
  <w:num w:numId="14">
    <w:abstractNumId w:val="26"/>
  </w:num>
  <w:num w:numId="15">
    <w:abstractNumId w:val="38"/>
  </w:num>
  <w:num w:numId="16">
    <w:abstractNumId w:val="2"/>
  </w:num>
  <w:num w:numId="17">
    <w:abstractNumId w:val="39"/>
  </w:num>
  <w:num w:numId="18">
    <w:abstractNumId w:val="31"/>
  </w:num>
  <w:num w:numId="19">
    <w:abstractNumId w:val="13"/>
  </w:num>
  <w:num w:numId="20">
    <w:abstractNumId w:val="10"/>
  </w:num>
  <w:num w:numId="21">
    <w:abstractNumId w:val="17"/>
  </w:num>
  <w:num w:numId="22">
    <w:abstractNumId w:val="3"/>
  </w:num>
  <w:num w:numId="23">
    <w:abstractNumId w:val="34"/>
  </w:num>
  <w:num w:numId="24">
    <w:abstractNumId w:val="12"/>
  </w:num>
  <w:num w:numId="25">
    <w:abstractNumId w:val="14"/>
  </w:num>
  <w:num w:numId="26">
    <w:abstractNumId w:val="8"/>
  </w:num>
  <w:num w:numId="27">
    <w:abstractNumId w:val="25"/>
  </w:num>
  <w:num w:numId="28">
    <w:abstractNumId w:val="7"/>
  </w:num>
  <w:num w:numId="29">
    <w:abstractNumId w:val="37"/>
  </w:num>
  <w:num w:numId="30">
    <w:abstractNumId w:val="16"/>
  </w:num>
  <w:num w:numId="31">
    <w:abstractNumId w:val="6"/>
  </w:num>
  <w:num w:numId="32">
    <w:abstractNumId w:val="27"/>
  </w:num>
  <w:num w:numId="33">
    <w:abstractNumId w:val="18"/>
  </w:num>
  <w:num w:numId="34">
    <w:abstractNumId w:val="33"/>
  </w:num>
  <w:num w:numId="35">
    <w:abstractNumId w:val="32"/>
  </w:num>
  <w:num w:numId="36">
    <w:abstractNumId w:val="22"/>
  </w:num>
  <w:num w:numId="37">
    <w:abstractNumId w:val="24"/>
  </w:num>
  <w:num w:numId="38">
    <w:abstractNumId w:val="11"/>
  </w:num>
  <w:num w:numId="39">
    <w:abstractNumId w:val="0"/>
  </w:num>
  <w:num w:numId="40">
    <w:abstractNumId w:val="15"/>
  </w:num>
  <w:num w:numId="41">
    <w:abstractNumId w:val="40"/>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4F4"/>
    <w:rsid w:val="0000539D"/>
    <w:rsid w:val="00014FDD"/>
    <w:rsid w:val="00023685"/>
    <w:rsid w:val="00023C34"/>
    <w:rsid w:val="0002412C"/>
    <w:rsid w:val="00026949"/>
    <w:rsid w:val="000317B4"/>
    <w:rsid w:val="00034846"/>
    <w:rsid w:val="00041238"/>
    <w:rsid w:val="00047E3D"/>
    <w:rsid w:val="00055701"/>
    <w:rsid w:val="000715B7"/>
    <w:rsid w:val="00084C01"/>
    <w:rsid w:val="00087422"/>
    <w:rsid w:val="00087E4D"/>
    <w:rsid w:val="00090E92"/>
    <w:rsid w:val="000913F6"/>
    <w:rsid w:val="00092C45"/>
    <w:rsid w:val="000A1D9B"/>
    <w:rsid w:val="000A3214"/>
    <w:rsid w:val="000A63B2"/>
    <w:rsid w:val="000B3124"/>
    <w:rsid w:val="000B6DE2"/>
    <w:rsid w:val="000C28DF"/>
    <w:rsid w:val="000C3801"/>
    <w:rsid w:val="000C3936"/>
    <w:rsid w:val="000C3BBA"/>
    <w:rsid w:val="000D2589"/>
    <w:rsid w:val="000D401E"/>
    <w:rsid w:val="000E55E3"/>
    <w:rsid w:val="000E5F16"/>
    <w:rsid w:val="000F0D91"/>
    <w:rsid w:val="000F2F6C"/>
    <w:rsid w:val="000F3449"/>
    <w:rsid w:val="000F76FF"/>
    <w:rsid w:val="00110022"/>
    <w:rsid w:val="00110050"/>
    <w:rsid w:val="001109F2"/>
    <w:rsid w:val="00112526"/>
    <w:rsid w:val="00120C58"/>
    <w:rsid w:val="00125FEA"/>
    <w:rsid w:val="001321FC"/>
    <w:rsid w:val="0013732D"/>
    <w:rsid w:val="0014119B"/>
    <w:rsid w:val="001557EF"/>
    <w:rsid w:val="001560DF"/>
    <w:rsid w:val="00156178"/>
    <w:rsid w:val="00157F7B"/>
    <w:rsid w:val="0016227E"/>
    <w:rsid w:val="0016229E"/>
    <w:rsid w:val="0016705B"/>
    <w:rsid w:val="00170774"/>
    <w:rsid w:val="001707BE"/>
    <w:rsid w:val="001716C2"/>
    <w:rsid w:val="001738EA"/>
    <w:rsid w:val="00176B58"/>
    <w:rsid w:val="00177BD9"/>
    <w:rsid w:val="00177E43"/>
    <w:rsid w:val="00183ED3"/>
    <w:rsid w:val="001A126B"/>
    <w:rsid w:val="001A2CFD"/>
    <w:rsid w:val="001B3702"/>
    <w:rsid w:val="001C4B8D"/>
    <w:rsid w:val="001D05DB"/>
    <w:rsid w:val="001D351B"/>
    <w:rsid w:val="001E348D"/>
    <w:rsid w:val="00201FEB"/>
    <w:rsid w:val="00213DB2"/>
    <w:rsid w:val="002148D8"/>
    <w:rsid w:val="00217B83"/>
    <w:rsid w:val="002230B3"/>
    <w:rsid w:val="00225EEF"/>
    <w:rsid w:val="002269E4"/>
    <w:rsid w:val="00235585"/>
    <w:rsid w:val="0024446D"/>
    <w:rsid w:val="00265241"/>
    <w:rsid w:val="002655D6"/>
    <w:rsid w:val="00275053"/>
    <w:rsid w:val="00280444"/>
    <w:rsid w:val="0028099B"/>
    <w:rsid w:val="00282BDF"/>
    <w:rsid w:val="00284B26"/>
    <w:rsid w:val="00286F6E"/>
    <w:rsid w:val="0029468B"/>
    <w:rsid w:val="002A1E34"/>
    <w:rsid w:val="002A433B"/>
    <w:rsid w:val="002B1421"/>
    <w:rsid w:val="002B2CDD"/>
    <w:rsid w:val="002B62CF"/>
    <w:rsid w:val="002C3546"/>
    <w:rsid w:val="002C43AB"/>
    <w:rsid w:val="002C4BF1"/>
    <w:rsid w:val="002C727D"/>
    <w:rsid w:val="002D5E07"/>
    <w:rsid w:val="002E65EF"/>
    <w:rsid w:val="002F6097"/>
    <w:rsid w:val="003014F4"/>
    <w:rsid w:val="003017B5"/>
    <w:rsid w:val="003054B3"/>
    <w:rsid w:val="00313918"/>
    <w:rsid w:val="00344B4C"/>
    <w:rsid w:val="0035045A"/>
    <w:rsid w:val="003555BB"/>
    <w:rsid w:val="00360C45"/>
    <w:rsid w:val="00360EDC"/>
    <w:rsid w:val="0036371F"/>
    <w:rsid w:val="00373235"/>
    <w:rsid w:val="0038080D"/>
    <w:rsid w:val="00381CEA"/>
    <w:rsid w:val="00383168"/>
    <w:rsid w:val="00385015"/>
    <w:rsid w:val="003859D7"/>
    <w:rsid w:val="00390C79"/>
    <w:rsid w:val="00391690"/>
    <w:rsid w:val="00396E5D"/>
    <w:rsid w:val="003A29CB"/>
    <w:rsid w:val="003A2D84"/>
    <w:rsid w:val="003A6AB8"/>
    <w:rsid w:val="003A79B3"/>
    <w:rsid w:val="003A7AEB"/>
    <w:rsid w:val="003C7D43"/>
    <w:rsid w:val="003E10F3"/>
    <w:rsid w:val="003E625B"/>
    <w:rsid w:val="003E79EC"/>
    <w:rsid w:val="003F53DB"/>
    <w:rsid w:val="003F5F0F"/>
    <w:rsid w:val="0040251F"/>
    <w:rsid w:val="00405E2E"/>
    <w:rsid w:val="00415467"/>
    <w:rsid w:val="00420D26"/>
    <w:rsid w:val="00423977"/>
    <w:rsid w:val="00423F07"/>
    <w:rsid w:val="004477DA"/>
    <w:rsid w:val="00453BC6"/>
    <w:rsid w:val="0045410E"/>
    <w:rsid w:val="00462594"/>
    <w:rsid w:val="004658C6"/>
    <w:rsid w:val="004666D3"/>
    <w:rsid w:val="0046765C"/>
    <w:rsid w:val="00470102"/>
    <w:rsid w:val="0048178F"/>
    <w:rsid w:val="00485F8B"/>
    <w:rsid w:val="00492C4B"/>
    <w:rsid w:val="004A2A33"/>
    <w:rsid w:val="004B3A9C"/>
    <w:rsid w:val="004B47C8"/>
    <w:rsid w:val="004B7991"/>
    <w:rsid w:val="004C5D3E"/>
    <w:rsid w:val="004C6151"/>
    <w:rsid w:val="004E2C0B"/>
    <w:rsid w:val="004E59C8"/>
    <w:rsid w:val="004F3652"/>
    <w:rsid w:val="004F43CA"/>
    <w:rsid w:val="00506894"/>
    <w:rsid w:val="00507B19"/>
    <w:rsid w:val="00507DB3"/>
    <w:rsid w:val="00514E8A"/>
    <w:rsid w:val="00522360"/>
    <w:rsid w:val="00524FB4"/>
    <w:rsid w:val="0052557B"/>
    <w:rsid w:val="005258D5"/>
    <w:rsid w:val="00540121"/>
    <w:rsid w:val="00540E1D"/>
    <w:rsid w:val="00547B01"/>
    <w:rsid w:val="00556DB7"/>
    <w:rsid w:val="005711FA"/>
    <w:rsid w:val="00573C19"/>
    <w:rsid w:val="005760F7"/>
    <w:rsid w:val="0058264A"/>
    <w:rsid w:val="005859F0"/>
    <w:rsid w:val="0059026B"/>
    <w:rsid w:val="00592B2E"/>
    <w:rsid w:val="005A4694"/>
    <w:rsid w:val="005A681F"/>
    <w:rsid w:val="005B1ACF"/>
    <w:rsid w:val="005B60BB"/>
    <w:rsid w:val="005B7704"/>
    <w:rsid w:val="005C5B8C"/>
    <w:rsid w:val="005D1679"/>
    <w:rsid w:val="005D1915"/>
    <w:rsid w:val="005D2FA5"/>
    <w:rsid w:val="005E50A7"/>
    <w:rsid w:val="005E590F"/>
    <w:rsid w:val="005E686E"/>
    <w:rsid w:val="005E6D32"/>
    <w:rsid w:val="005F175D"/>
    <w:rsid w:val="006008BD"/>
    <w:rsid w:val="00617F33"/>
    <w:rsid w:val="00635202"/>
    <w:rsid w:val="00646579"/>
    <w:rsid w:val="00656B4D"/>
    <w:rsid w:val="00665DB3"/>
    <w:rsid w:val="00665E51"/>
    <w:rsid w:val="00666524"/>
    <w:rsid w:val="0067307F"/>
    <w:rsid w:val="00673606"/>
    <w:rsid w:val="0067539F"/>
    <w:rsid w:val="0068261E"/>
    <w:rsid w:val="00682E5B"/>
    <w:rsid w:val="00692B5F"/>
    <w:rsid w:val="006A523E"/>
    <w:rsid w:val="006A7616"/>
    <w:rsid w:val="006D53D0"/>
    <w:rsid w:val="006E1F54"/>
    <w:rsid w:val="006F4E77"/>
    <w:rsid w:val="006F6806"/>
    <w:rsid w:val="00700923"/>
    <w:rsid w:val="007073C8"/>
    <w:rsid w:val="00711DAF"/>
    <w:rsid w:val="00713069"/>
    <w:rsid w:val="00724469"/>
    <w:rsid w:val="00726C48"/>
    <w:rsid w:val="00741BFE"/>
    <w:rsid w:val="00743215"/>
    <w:rsid w:val="007436B3"/>
    <w:rsid w:val="007469C0"/>
    <w:rsid w:val="00746D5D"/>
    <w:rsid w:val="007506AC"/>
    <w:rsid w:val="0075210B"/>
    <w:rsid w:val="007532D0"/>
    <w:rsid w:val="00754043"/>
    <w:rsid w:val="00776D85"/>
    <w:rsid w:val="0079318B"/>
    <w:rsid w:val="00793834"/>
    <w:rsid w:val="00794587"/>
    <w:rsid w:val="007A10D1"/>
    <w:rsid w:val="007A1E0C"/>
    <w:rsid w:val="007B4ED3"/>
    <w:rsid w:val="007B631D"/>
    <w:rsid w:val="007B6856"/>
    <w:rsid w:val="007B7350"/>
    <w:rsid w:val="007C5574"/>
    <w:rsid w:val="007C5B79"/>
    <w:rsid w:val="007D0089"/>
    <w:rsid w:val="007D08B2"/>
    <w:rsid w:val="007D1FCD"/>
    <w:rsid w:val="007D296C"/>
    <w:rsid w:val="007D6B73"/>
    <w:rsid w:val="007E5364"/>
    <w:rsid w:val="007F1D60"/>
    <w:rsid w:val="00820185"/>
    <w:rsid w:val="00846127"/>
    <w:rsid w:val="00846A29"/>
    <w:rsid w:val="008476C0"/>
    <w:rsid w:val="00857264"/>
    <w:rsid w:val="00862CBC"/>
    <w:rsid w:val="00865703"/>
    <w:rsid w:val="008667BE"/>
    <w:rsid w:val="00866DFA"/>
    <w:rsid w:val="0086796F"/>
    <w:rsid w:val="00872287"/>
    <w:rsid w:val="00874723"/>
    <w:rsid w:val="0088172B"/>
    <w:rsid w:val="00883A5C"/>
    <w:rsid w:val="00886546"/>
    <w:rsid w:val="00894DA3"/>
    <w:rsid w:val="008951A3"/>
    <w:rsid w:val="008965D5"/>
    <w:rsid w:val="008A02CC"/>
    <w:rsid w:val="008A09AB"/>
    <w:rsid w:val="008A0FD4"/>
    <w:rsid w:val="008A7431"/>
    <w:rsid w:val="008C1D46"/>
    <w:rsid w:val="008C2F92"/>
    <w:rsid w:val="008C4A56"/>
    <w:rsid w:val="008C5A07"/>
    <w:rsid w:val="008C6B50"/>
    <w:rsid w:val="008C6EF0"/>
    <w:rsid w:val="008D2A15"/>
    <w:rsid w:val="008D3E3F"/>
    <w:rsid w:val="008E071E"/>
    <w:rsid w:val="008E6BBA"/>
    <w:rsid w:val="008F40D9"/>
    <w:rsid w:val="009008CD"/>
    <w:rsid w:val="009123D3"/>
    <w:rsid w:val="00913F88"/>
    <w:rsid w:val="00926DA0"/>
    <w:rsid w:val="00940E55"/>
    <w:rsid w:val="00942ADC"/>
    <w:rsid w:val="009456AD"/>
    <w:rsid w:val="009509DC"/>
    <w:rsid w:val="00955E36"/>
    <w:rsid w:val="0096471B"/>
    <w:rsid w:val="0098182A"/>
    <w:rsid w:val="00981F13"/>
    <w:rsid w:val="009934E3"/>
    <w:rsid w:val="009936E7"/>
    <w:rsid w:val="00995F59"/>
    <w:rsid w:val="0099689E"/>
    <w:rsid w:val="009A068B"/>
    <w:rsid w:val="009C7280"/>
    <w:rsid w:val="009D1EF4"/>
    <w:rsid w:val="009E2F71"/>
    <w:rsid w:val="009F6E71"/>
    <w:rsid w:val="009F7D03"/>
    <w:rsid w:val="00A01D7D"/>
    <w:rsid w:val="00A03989"/>
    <w:rsid w:val="00A0768E"/>
    <w:rsid w:val="00A07F7C"/>
    <w:rsid w:val="00A15DE4"/>
    <w:rsid w:val="00A161E3"/>
    <w:rsid w:val="00A1734D"/>
    <w:rsid w:val="00A25A5F"/>
    <w:rsid w:val="00A273C7"/>
    <w:rsid w:val="00A275B6"/>
    <w:rsid w:val="00A31077"/>
    <w:rsid w:val="00A3120B"/>
    <w:rsid w:val="00A35633"/>
    <w:rsid w:val="00A3645A"/>
    <w:rsid w:val="00A37BB2"/>
    <w:rsid w:val="00A467B0"/>
    <w:rsid w:val="00A471AC"/>
    <w:rsid w:val="00A47B01"/>
    <w:rsid w:val="00A54F7A"/>
    <w:rsid w:val="00A63B21"/>
    <w:rsid w:val="00A6442B"/>
    <w:rsid w:val="00A74E05"/>
    <w:rsid w:val="00A84229"/>
    <w:rsid w:val="00A900DD"/>
    <w:rsid w:val="00A90CEB"/>
    <w:rsid w:val="00A92D8A"/>
    <w:rsid w:val="00AA6729"/>
    <w:rsid w:val="00AB12CC"/>
    <w:rsid w:val="00AB21F3"/>
    <w:rsid w:val="00AB23A8"/>
    <w:rsid w:val="00AC4417"/>
    <w:rsid w:val="00AC5914"/>
    <w:rsid w:val="00AD4910"/>
    <w:rsid w:val="00AD4F4A"/>
    <w:rsid w:val="00AD737E"/>
    <w:rsid w:val="00AE09A2"/>
    <w:rsid w:val="00AE4501"/>
    <w:rsid w:val="00AE480B"/>
    <w:rsid w:val="00AE69D6"/>
    <w:rsid w:val="00AF74B5"/>
    <w:rsid w:val="00B00C62"/>
    <w:rsid w:val="00B1021F"/>
    <w:rsid w:val="00B1091F"/>
    <w:rsid w:val="00B133A0"/>
    <w:rsid w:val="00B205E5"/>
    <w:rsid w:val="00B23004"/>
    <w:rsid w:val="00B32408"/>
    <w:rsid w:val="00B348B3"/>
    <w:rsid w:val="00B34CB8"/>
    <w:rsid w:val="00B3525A"/>
    <w:rsid w:val="00B369FE"/>
    <w:rsid w:val="00B43686"/>
    <w:rsid w:val="00B80564"/>
    <w:rsid w:val="00B87CD5"/>
    <w:rsid w:val="00B906FB"/>
    <w:rsid w:val="00B9103C"/>
    <w:rsid w:val="00BA2DCA"/>
    <w:rsid w:val="00BA7ABD"/>
    <w:rsid w:val="00BB61FE"/>
    <w:rsid w:val="00BC1D49"/>
    <w:rsid w:val="00BC5CF0"/>
    <w:rsid w:val="00BD022E"/>
    <w:rsid w:val="00BD3B98"/>
    <w:rsid w:val="00BE3034"/>
    <w:rsid w:val="00BF1914"/>
    <w:rsid w:val="00BF5FA2"/>
    <w:rsid w:val="00C01F9D"/>
    <w:rsid w:val="00C10278"/>
    <w:rsid w:val="00C120EE"/>
    <w:rsid w:val="00C139F3"/>
    <w:rsid w:val="00C20706"/>
    <w:rsid w:val="00C20AA5"/>
    <w:rsid w:val="00C21C05"/>
    <w:rsid w:val="00C23916"/>
    <w:rsid w:val="00C3067B"/>
    <w:rsid w:val="00C379F2"/>
    <w:rsid w:val="00C40D2C"/>
    <w:rsid w:val="00C440B9"/>
    <w:rsid w:val="00C6118D"/>
    <w:rsid w:val="00C62D54"/>
    <w:rsid w:val="00C670C0"/>
    <w:rsid w:val="00C7131A"/>
    <w:rsid w:val="00C713E3"/>
    <w:rsid w:val="00C77D1C"/>
    <w:rsid w:val="00C80045"/>
    <w:rsid w:val="00C82AE6"/>
    <w:rsid w:val="00C868C5"/>
    <w:rsid w:val="00C86FF1"/>
    <w:rsid w:val="00C923C5"/>
    <w:rsid w:val="00C9365A"/>
    <w:rsid w:val="00CA02CF"/>
    <w:rsid w:val="00CB6CFB"/>
    <w:rsid w:val="00CB6F59"/>
    <w:rsid w:val="00CB75A4"/>
    <w:rsid w:val="00CB7ADE"/>
    <w:rsid w:val="00CC1B59"/>
    <w:rsid w:val="00CC4E69"/>
    <w:rsid w:val="00CD01ED"/>
    <w:rsid w:val="00CD14D4"/>
    <w:rsid w:val="00CD5174"/>
    <w:rsid w:val="00CD69D5"/>
    <w:rsid w:val="00CD7681"/>
    <w:rsid w:val="00CE3CEC"/>
    <w:rsid w:val="00CE7C57"/>
    <w:rsid w:val="00CF0F6E"/>
    <w:rsid w:val="00D03B7C"/>
    <w:rsid w:val="00D04BAC"/>
    <w:rsid w:val="00D1035B"/>
    <w:rsid w:val="00D10DFA"/>
    <w:rsid w:val="00D16468"/>
    <w:rsid w:val="00D17220"/>
    <w:rsid w:val="00D17CCB"/>
    <w:rsid w:val="00D24C93"/>
    <w:rsid w:val="00D27236"/>
    <w:rsid w:val="00D31634"/>
    <w:rsid w:val="00D3250D"/>
    <w:rsid w:val="00D42B92"/>
    <w:rsid w:val="00D55757"/>
    <w:rsid w:val="00D571FC"/>
    <w:rsid w:val="00D64714"/>
    <w:rsid w:val="00D65F42"/>
    <w:rsid w:val="00D66468"/>
    <w:rsid w:val="00D67924"/>
    <w:rsid w:val="00D718FC"/>
    <w:rsid w:val="00D73589"/>
    <w:rsid w:val="00D7383F"/>
    <w:rsid w:val="00D757B8"/>
    <w:rsid w:val="00DA2F71"/>
    <w:rsid w:val="00DB5285"/>
    <w:rsid w:val="00DC2B33"/>
    <w:rsid w:val="00DC4A90"/>
    <w:rsid w:val="00DD487F"/>
    <w:rsid w:val="00DD57BD"/>
    <w:rsid w:val="00DE2A84"/>
    <w:rsid w:val="00DE3C6B"/>
    <w:rsid w:val="00DE4685"/>
    <w:rsid w:val="00DE6A45"/>
    <w:rsid w:val="00DE7698"/>
    <w:rsid w:val="00DF3924"/>
    <w:rsid w:val="00DF4E9B"/>
    <w:rsid w:val="00E028FD"/>
    <w:rsid w:val="00E03F8D"/>
    <w:rsid w:val="00E07D7B"/>
    <w:rsid w:val="00E10925"/>
    <w:rsid w:val="00E17ABF"/>
    <w:rsid w:val="00E228A4"/>
    <w:rsid w:val="00E27732"/>
    <w:rsid w:val="00E329C2"/>
    <w:rsid w:val="00E453D5"/>
    <w:rsid w:val="00E54E60"/>
    <w:rsid w:val="00E55A7B"/>
    <w:rsid w:val="00E60515"/>
    <w:rsid w:val="00E610E9"/>
    <w:rsid w:val="00E6231E"/>
    <w:rsid w:val="00E67C15"/>
    <w:rsid w:val="00E71D36"/>
    <w:rsid w:val="00E75C84"/>
    <w:rsid w:val="00E81068"/>
    <w:rsid w:val="00E81DFF"/>
    <w:rsid w:val="00E82BF7"/>
    <w:rsid w:val="00E87168"/>
    <w:rsid w:val="00E9261C"/>
    <w:rsid w:val="00E9780D"/>
    <w:rsid w:val="00EA09CA"/>
    <w:rsid w:val="00EA0F7A"/>
    <w:rsid w:val="00EA556F"/>
    <w:rsid w:val="00EA72CA"/>
    <w:rsid w:val="00EB49AB"/>
    <w:rsid w:val="00EB73EB"/>
    <w:rsid w:val="00EC7F35"/>
    <w:rsid w:val="00ED03B0"/>
    <w:rsid w:val="00ED2605"/>
    <w:rsid w:val="00ED3836"/>
    <w:rsid w:val="00EE18BF"/>
    <w:rsid w:val="00EE696D"/>
    <w:rsid w:val="00F00891"/>
    <w:rsid w:val="00F00C77"/>
    <w:rsid w:val="00F067B7"/>
    <w:rsid w:val="00F1067B"/>
    <w:rsid w:val="00F12D56"/>
    <w:rsid w:val="00F16C93"/>
    <w:rsid w:val="00F16F4C"/>
    <w:rsid w:val="00F23B27"/>
    <w:rsid w:val="00F25FC1"/>
    <w:rsid w:val="00F30948"/>
    <w:rsid w:val="00F419E7"/>
    <w:rsid w:val="00F517FE"/>
    <w:rsid w:val="00F52955"/>
    <w:rsid w:val="00F559B6"/>
    <w:rsid w:val="00F60969"/>
    <w:rsid w:val="00F61001"/>
    <w:rsid w:val="00F77041"/>
    <w:rsid w:val="00F80470"/>
    <w:rsid w:val="00F87197"/>
    <w:rsid w:val="00F87464"/>
    <w:rsid w:val="00F960B8"/>
    <w:rsid w:val="00F965ED"/>
    <w:rsid w:val="00FA5590"/>
    <w:rsid w:val="00FA69EA"/>
    <w:rsid w:val="00FA7B65"/>
    <w:rsid w:val="00FB0358"/>
    <w:rsid w:val="00FB3951"/>
    <w:rsid w:val="00FB5760"/>
    <w:rsid w:val="00FB6349"/>
    <w:rsid w:val="00FB7283"/>
    <w:rsid w:val="00FD0A3F"/>
    <w:rsid w:val="00FD3385"/>
    <w:rsid w:val="00FD3C9D"/>
    <w:rsid w:val="00FD7762"/>
    <w:rsid w:val="00FE2683"/>
    <w:rsid w:val="00FF15D9"/>
    <w:rsid w:val="00FF5104"/>
    <w:rsid w:val="00FF5266"/>
    <w:rsid w:val="00FF55FF"/>
    <w:rsid w:val="00FF59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5B81D7-62F5-4480-A6D8-D53CBF0B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1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14F4"/>
    <w:pPr>
      <w:tabs>
        <w:tab w:val="center" w:pos="4153"/>
        <w:tab w:val="right" w:pos="8306"/>
      </w:tabs>
      <w:snapToGrid w:val="0"/>
    </w:pPr>
    <w:rPr>
      <w:sz w:val="20"/>
      <w:szCs w:val="20"/>
    </w:rPr>
  </w:style>
  <w:style w:type="character" w:customStyle="1" w:styleId="a5">
    <w:name w:val="頁首 字元"/>
    <w:basedOn w:val="a0"/>
    <w:link w:val="a4"/>
    <w:uiPriority w:val="99"/>
    <w:rsid w:val="003014F4"/>
    <w:rPr>
      <w:sz w:val="20"/>
      <w:szCs w:val="20"/>
    </w:rPr>
  </w:style>
  <w:style w:type="paragraph" w:styleId="a6">
    <w:name w:val="footer"/>
    <w:basedOn w:val="a"/>
    <w:link w:val="a7"/>
    <w:uiPriority w:val="99"/>
    <w:unhideWhenUsed/>
    <w:rsid w:val="003014F4"/>
    <w:pPr>
      <w:tabs>
        <w:tab w:val="center" w:pos="4153"/>
        <w:tab w:val="right" w:pos="8306"/>
      </w:tabs>
      <w:snapToGrid w:val="0"/>
    </w:pPr>
    <w:rPr>
      <w:sz w:val="20"/>
      <w:szCs w:val="20"/>
    </w:rPr>
  </w:style>
  <w:style w:type="character" w:customStyle="1" w:styleId="a7">
    <w:name w:val="頁尾 字元"/>
    <w:basedOn w:val="a0"/>
    <w:link w:val="a6"/>
    <w:uiPriority w:val="99"/>
    <w:rsid w:val="003014F4"/>
    <w:rPr>
      <w:sz w:val="20"/>
      <w:szCs w:val="20"/>
    </w:rPr>
  </w:style>
  <w:style w:type="paragraph" w:styleId="HTML">
    <w:name w:val="HTML Preformatted"/>
    <w:basedOn w:val="a"/>
    <w:link w:val="HTML0"/>
    <w:uiPriority w:val="99"/>
    <w:unhideWhenUsed/>
    <w:rsid w:val="001B3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szCs w:val="24"/>
    </w:rPr>
  </w:style>
  <w:style w:type="character" w:customStyle="1" w:styleId="HTML0">
    <w:name w:val="HTML 預設格式 字元"/>
    <w:basedOn w:val="a0"/>
    <w:link w:val="HTML"/>
    <w:uiPriority w:val="99"/>
    <w:rsid w:val="001B3702"/>
    <w:rPr>
      <w:rFonts w:ascii="細明體" w:eastAsia="細明體" w:hAnsi="細明體" w:cs="細明體"/>
      <w:color w:val="333333"/>
      <w:kern w:val="0"/>
      <w:szCs w:val="24"/>
    </w:rPr>
  </w:style>
  <w:style w:type="paragraph" w:styleId="a8">
    <w:name w:val="Balloon Text"/>
    <w:basedOn w:val="a"/>
    <w:link w:val="a9"/>
    <w:uiPriority w:val="99"/>
    <w:semiHidden/>
    <w:unhideWhenUsed/>
    <w:rsid w:val="00AB12C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B12CC"/>
    <w:rPr>
      <w:rFonts w:asciiTheme="majorHAnsi" w:eastAsiaTheme="majorEastAsia" w:hAnsiTheme="majorHAnsi" w:cstheme="majorBidi"/>
      <w:sz w:val="18"/>
      <w:szCs w:val="18"/>
    </w:rPr>
  </w:style>
  <w:style w:type="paragraph" w:styleId="aa">
    <w:name w:val="List Paragraph"/>
    <w:basedOn w:val="a"/>
    <w:uiPriority w:val="34"/>
    <w:qFormat/>
    <w:rsid w:val="00125FEA"/>
    <w:pPr>
      <w:ind w:leftChars="200" w:left="480"/>
    </w:pPr>
  </w:style>
  <w:style w:type="character" w:styleId="ab">
    <w:name w:val="Placeholder Text"/>
    <w:basedOn w:val="a0"/>
    <w:uiPriority w:val="99"/>
    <w:semiHidden/>
    <w:rsid w:val="004E59C8"/>
    <w:rPr>
      <w:color w:val="808080"/>
    </w:rPr>
  </w:style>
  <w:style w:type="paragraph" w:styleId="Web">
    <w:name w:val="Normal (Web)"/>
    <w:basedOn w:val="a"/>
    <w:uiPriority w:val="99"/>
    <w:semiHidden/>
    <w:unhideWhenUsed/>
    <w:rsid w:val="00942ADC"/>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483">
      <w:bodyDiv w:val="1"/>
      <w:marLeft w:val="0"/>
      <w:marRight w:val="0"/>
      <w:marTop w:val="0"/>
      <w:marBottom w:val="0"/>
      <w:divBdr>
        <w:top w:val="none" w:sz="0" w:space="0" w:color="auto"/>
        <w:left w:val="none" w:sz="0" w:space="0" w:color="auto"/>
        <w:bottom w:val="none" w:sz="0" w:space="0" w:color="auto"/>
        <w:right w:val="none" w:sz="0" w:space="0" w:color="auto"/>
      </w:divBdr>
    </w:div>
    <w:div w:id="23287191">
      <w:bodyDiv w:val="1"/>
      <w:marLeft w:val="0"/>
      <w:marRight w:val="0"/>
      <w:marTop w:val="0"/>
      <w:marBottom w:val="0"/>
      <w:divBdr>
        <w:top w:val="none" w:sz="0" w:space="0" w:color="auto"/>
        <w:left w:val="none" w:sz="0" w:space="0" w:color="auto"/>
        <w:bottom w:val="none" w:sz="0" w:space="0" w:color="auto"/>
        <w:right w:val="none" w:sz="0" w:space="0" w:color="auto"/>
      </w:divBdr>
    </w:div>
    <w:div w:id="101918228">
      <w:bodyDiv w:val="1"/>
      <w:marLeft w:val="0"/>
      <w:marRight w:val="0"/>
      <w:marTop w:val="0"/>
      <w:marBottom w:val="0"/>
      <w:divBdr>
        <w:top w:val="none" w:sz="0" w:space="0" w:color="auto"/>
        <w:left w:val="none" w:sz="0" w:space="0" w:color="auto"/>
        <w:bottom w:val="none" w:sz="0" w:space="0" w:color="auto"/>
        <w:right w:val="none" w:sz="0" w:space="0" w:color="auto"/>
      </w:divBdr>
    </w:div>
    <w:div w:id="133908892">
      <w:bodyDiv w:val="1"/>
      <w:marLeft w:val="0"/>
      <w:marRight w:val="0"/>
      <w:marTop w:val="0"/>
      <w:marBottom w:val="0"/>
      <w:divBdr>
        <w:top w:val="none" w:sz="0" w:space="0" w:color="auto"/>
        <w:left w:val="none" w:sz="0" w:space="0" w:color="auto"/>
        <w:bottom w:val="none" w:sz="0" w:space="0" w:color="auto"/>
        <w:right w:val="none" w:sz="0" w:space="0" w:color="auto"/>
      </w:divBdr>
    </w:div>
    <w:div w:id="191771917">
      <w:bodyDiv w:val="1"/>
      <w:marLeft w:val="0"/>
      <w:marRight w:val="0"/>
      <w:marTop w:val="0"/>
      <w:marBottom w:val="0"/>
      <w:divBdr>
        <w:top w:val="none" w:sz="0" w:space="0" w:color="auto"/>
        <w:left w:val="none" w:sz="0" w:space="0" w:color="auto"/>
        <w:bottom w:val="none" w:sz="0" w:space="0" w:color="auto"/>
        <w:right w:val="none" w:sz="0" w:space="0" w:color="auto"/>
      </w:divBdr>
    </w:div>
    <w:div w:id="343021228">
      <w:bodyDiv w:val="1"/>
      <w:marLeft w:val="0"/>
      <w:marRight w:val="0"/>
      <w:marTop w:val="0"/>
      <w:marBottom w:val="0"/>
      <w:divBdr>
        <w:top w:val="none" w:sz="0" w:space="0" w:color="auto"/>
        <w:left w:val="none" w:sz="0" w:space="0" w:color="auto"/>
        <w:bottom w:val="none" w:sz="0" w:space="0" w:color="auto"/>
        <w:right w:val="none" w:sz="0" w:space="0" w:color="auto"/>
      </w:divBdr>
    </w:div>
    <w:div w:id="350380365">
      <w:bodyDiv w:val="1"/>
      <w:marLeft w:val="0"/>
      <w:marRight w:val="0"/>
      <w:marTop w:val="0"/>
      <w:marBottom w:val="0"/>
      <w:divBdr>
        <w:top w:val="none" w:sz="0" w:space="0" w:color="auto"/>
        <w:left w:val="none" w:sz="0" w:space="0" w:color="auto"/>
        <w:bottom w:val="none" w:sz="0" w:space="0" w:color="auto"/>
        <w:right w:val="none" w:sz="0" w:space="0" w:color="auto"/>
      </w:divBdr>
    </w:div>
    <w:div w:id="365448931">
      <w:bodyDiv w:val="1"/>
      <w:marLeft w:val="0"/>
      <w:marRight w:val="0"/>
      <w:marTop w:val="0"/>
      <w:marBottom w:val="0"/>
      <w:divBdr>
        <w:top w:val="none" w:sz="0" w:space="0" w:color="auto"/>
        <w:left w:val="none" w:sz="0" w:space="0" w:color="auto"/>
        <w:bottom w:val="none" w:sz="0" w:space="0" w:color="auto"/>
        <w:right w:val="none" w:sz="0" w:space="0" w:color="auto"/>
      </w:divBdr>
    </w:div>
    <w:div w:id="471676405">
      <w:bodyDiv w:val="1"/>
      <w:marLeft w:val="0"/>
      <w:marRight w:val="0"/>
      <w:marTop w:val="0"/>
      <w:marBottom w:val="0"/>
      <w:divBdr>
        <w:top w:val="none" w:sz="0" w:space="0" w:color="auto"/>
        <w:left w:val="none" w:sz="0" w:space="0" w:color="auto"/>
        <w:bottom w:val="none" w:sz="0" w:space="0" w:color="auto"/>
        <w:right w:val="none" w:sz="0" w:space="0" w:color="auto"/>
      </w:divBdr>
    </w:div>
    <w:div w:id="561018313">
      <w:bodyDiv w:val="1"/>
      <w:marLeft w:val="0"/>
      <w:marRight w:val="0"/>
      <w:marTop w:val="0"/>
      <w:marBottom w:val="0"/>
      <w:divBdr>
        <w:top w:val="none" w:sz="0" w:space="0" w:color="auto"/>
        <w:left w:val="none" w:sz="0" w:space="0" w:color="auto"/>
        <w:bottom w:val="none" w:sz="0" w:space="0" w:color="auto"/>
        <w:right w:val="none" w:sz="0" w:space="0" w:color="auto"/>
      </w:divBdr>
    </w:div>
    <w:div w:id="653488725">
      <w:bodyDiv w:val="1"/>
      <w:marLeft w:val="0"/>
      <w:marRight w:val="0"/>
      <w:marTop w:val="0"/>
      <w:marBottom w:val="0"/>
      <w:divBdr>
        <w:top w:val="none" w:sz="0" w:space="0" w:color="auto"/>
        <w:left w:val="none" w:sz="0" w:space="0" w:color="auto"/>
        <w:bottom w:val="none" w:sz="0" w:space="0" w:color="auto"/>
        <w:right w:val="none" w:sz="0" w:space="0" w:color="auto"/>
      </w:divBdr>
    </w:div>
    <w:div w:id="901328327">
      <w:bodyDiv w:val="1"/>
      <w:marLeft w:val="0"/>
      <w:marRight w:val="0"/>
      <w:marTop w:val="0"/>
      <w:marBottom w:val="0"/>
      <w:divBdr>
        <w:top w:val="none" w:sz="0" w:space="0" w:color="auto"/>
        <w:left w:val="none" w:sz="0" w:space="0" w:color="auto"/>
        <w:bottom w:val="none" w:sz="0" w:space="0" w:color="auto"/>
        <w:right w:val="none" w:sz="0" w:space="0" w:color="auto"/>
      </w:divBdr>
    </w:div>
    <w:div w:id="1042248356">
      <w:bodyDiv w:val="1"/>
      <w:marLeft w:val="0"/>
      <w:marRight w:val="0"/>
      <w:marTop w:val="0"/>
      <w:marBottom w:val="0"/>
      <w:divBdr>
        <w:top w:val="none" w:sz="0" w:space="0" w:color="auto"/>
        <w:left w:val="none" w:sz="0" w:space="0" w:color="auto"/>
        <w:bottom w:val="none" w:sz="0" w:space="0" w:color="auto"/>
        <w:right w:val="none" w:sz="0" w:space="0" w:color="auto"/>
      </w:divBdr>
    </w:div>
    <w:div w:id="1070349091">
      <w:bodyDiv w:val="1"/>
      <w:marLeft w:val="0"/>
      <w:marRight w:val="0"/>
      <w:marTop w:val="0"/>
      <w:marBottom w:val="0"/>
      <w:divBdr>
        <w:top w:val="none" w:sz="0" w:space="0" w:color="auto"/>
        <w:left w:val="none" w:sz="0" w:space="0" w:color="auto"/>
        <w:bottom w:val="none" w:sz="0" w:space="0" w:color="auto"/>
        <w:right w:val="none" w:sz="0" w:space="0" w:color="auto"/>
      </w:divBdr>
    </w:div>
    <w:div w:id="1073240322">
      <w:bodyDiv w:val="1"/>
      <w:marLeft w:val="0"/>
      <w:marRight w:val="0"/>
      <w:marTop w:val="0"/>
      <w:marBottom w:val="0"/>
      <w:divBdr>
        <w:top w:val="none" w:sz="0" w:space="0" w:color="auto"/>
        <w:left w:val="none" w:sz="0" w:space="0" w:color="auto"/>
        <w:bottom w:val="none" w:sz="0" w:space="0" w:color="auto"/>
        <w:right w:val="none" w:sz="0" w:space="0" w:color="auto"/>
      </w:divBdr>
    </w:div>
    <w:div w:id="1075936063">
      <w:bodyDiv w:val="1"/>
      <w:marLeft w:val="0"/>
      <w:marRight w:val="0"/>
      <w:marTop w:val="0"/>
      <w:marBottom w:val="0"/>
      <w:divBdr>
        <w:top w:val="none" w:sz="0" w:space="0" w:color="auto"/>
        <w:left w:val="none" w:sz="0" w:space="0" w:color="auto"/>
        <w:bottom w:val="none" w:sz="0" w:space="0" w:color="auto"/>
        <w:right w:val="none" w:sz="0" w:space="0" w:color="auto"/>
      </w:divBdr>
    </w:div>
    <w:div w:id="1088308064">
      <w:bodyDiv w:val="1"/>
      <w:marLeft w:val="0"/>
      <w:marRight w:val="0"/>
      <w:marTop w:val="0"/>
      <w:marBottom w:val="0"/>
      <w:divBdr>
        <w:top w:val="none" w:sz="0" w:space="0" w:color="auto"/>
        <w:left w:val="none" w:sz="0" w:space="0" w:color="auto"/>
        <w:bottom w:val="none" w:sz="0" w:space="0" w:color="auto"/>
        <w:right w:val="none" w:sz="0" w:space="0" w:color="auto"/>
      </w:divBdr>
    </w:div>
    <w:div w:id="1103720820">
      <w:bodyDiv w:val="1"/>
      <w:marLeft w:val="0"/>
      <w:marRight w:val="0"/>
      <w:marTop w:val="0"/>
      <w:marBottom w:val="0"/>
      <w:divBdr>
        <w:top w:val="none" w:sz="0" w:space="0" w:color="auto"/>
        <w:left w:val="none" w:sz="0" w:space="0" w:color="auto"/>
        <w:bottom w:val="none" w:sz="0" w:space="0" w:color="auto"/>
        <w:right w:val="none" w:sz="0" w:space="0" w:color="auto"/>
      </w:divBdr>
    </w:div>
    <w:div w:id="1108428709">
      <w:bodyDiv w:val="1"/>
      <w:marLeft w:val="0"/>
      <w:marRight w:val="0"/>
      <w:marTop w:val="0"/>
      <w:marBottom w:val="0"/>
      <w:divBdr>
        <w:top w:val="none" w:sz="0" w:space="0" w:color="auto"/>
        <w:left w:val="none" w:sz="0" w:space="0" w:color="auto"/>
        <w:bottom w:val="none" w:sz="0" w:space="0" w:color="auto"/>
        <w:right w:val="none" w:sz="0" w:space="0" w:color="auto"/>
      </w:divBdr>
    </w:div>
    <w:div w:id="1180005790">
      <w:bodyDiv w:val="1"/>
      <w:marLeft w:val="0"/>
      <w:marRight w:val="0"/>
      <w:marTop w:val="0"/>
      <w:marBottom w:val="0"/>
      <w:divBdr>
        <w:top w:val="none" w:sz="0" w:space="0" w:color="auto"/>
        <w:left w:val="none" w:sz="0" w:space="0" w:color="auto"/>
        <w:bottom w:val="none" w:sz="0" w:space="0" w:color="auto"/>
        <w:right w:val="none" w:sz="0" w:space="0" w:color="auto"/>
      </w:divBdr>
    </w:div>
    <w:div w:id="1181550847">
      <w:bodyDiv w:val="1"/>
      <w:marLeft w:val="0"/>
      <w:marRight w:val="0"/>
      <w:marTop w:val="0"/>
      <w:marBottom w:val="0"/>
      <w:divBdr>
        <w:top w:val="none" w:sz="0" w:space="0" w:color="auto"/>
        <w:left w:val="none" w:sz="0" w:space="0" w:color="auto"/>
        <w:bottom w:val="none" w:sz="0" w:space="0" w:color="auto"/>
        <w:right w:val="none" w:sz="0" w:space="0" w:color="auto"/>
      </w:divBdr>
    </w:div>
    <w:div w:id="1198737335">
      <w:bodyDiv w:val="1"/>
      <w:marLeft w:val="0"/>
      <w:marRight w:val="0"/>
      <w:marTop w:val="0"/>
      <w:marBottom w:val="0"/>
      <w:divBdr>
        <w:top w:val="none" w:sz="0" w:space="0" w:color="auto"/>
        <w:left w:val="none" w:sz="0" w:space="0" w:color="auto"/>
        <w:bottom w:val="none" w:sz="0" w:space="0" w:color="auto"/>
        <w:right w:val="none" w:sz="0" w:space="0" w:color="auto"/>
      </w:divBdr>
    </w:div>
    <w:div w:id="1266422912">
      <w:bodyDiv w:val="1"/>
      <w:marLeft w:val="0"/>
      <w:marRight w:val="0"/>
      <w:marTop w:val="0"/>
      <w:marBottom w:val="0"/>
      <w:divBdr>
        <w:top w:val="none" w:sz="0" w:space="0" w:color="auto"/>
        <w:left w:val="none" w:sz="0" w:space="0" w:color="auto"/>
        <w:bottom w:val="none" w:sz="0" w:space="0" w:color="auto"/>
        <w:right w:val="none" w:sz="0" w:space="0" w:color="auto"/>
      </w:divBdr>
    </w:div>
    <w:div w:id="1363168730">
      <w:bodyDiv w:val="1"/>
      <w:marLeft w:val="0"/>
      <w:marRight w:val="0"/>
      <w:marTop w:val="0"/>
      <w:marBottom w:val="0"/>
      <w:divBdr>
        <w:top w:val="none" w:sz="0" w:space="0" w:color="auto"/>
        <w:left w:val="none" w:sz="0" w:space="0" w:color="auto"/>
        <w:bottom w:val="none" w:sz="0" w:space="0" w:color="auto"/>
        <w:right w:val="none" w:sz="0" w:space="0" w:color="auto"/>
      </w:divBdr>
    </w:div>
    <w:div w:id="1390156206">
      <w:bodyDiv w:val="1"/>
      <w:marLeft w:val="0"/>
      <w:marRight w:val="0"/>
      <w:marTop w:val="0"/>
      <w:marBottom w:val="0"/>
      <w:divBdr>
        <w:top w:val="none" w:sz="0" w:space="0" w:color="auto"/>
        <w:left w:val="none" w:sz="0" w:space="0" w:color="auto"/>
        <w:bottom w:val="none" w:sz="0" w:space="0" w:color="auto"/>
        <w:right w:val="none" w:sz="0" w:space="0" w:color="auto"/>
      </w:divBdr>
    </w:div>
    <w:div w:id="1430082434">
      <w:bodyDiv w:val="1"/>
      <w:marLeft w:val="0"/>
      <w:marRight w:val="0"/>
      <w:marTop w:val="0"/>
      <w:marBottom w:val="0"/>
      <w:divBdr>
        <w:top w:val="none" w:sz="0" w:space="0" w:color="auto"/>
        <w:left w:val="none" w:sz="0" w:space="0" w:color="auto"/>
        <w:bottom w:val="none" w:sz="0" w:space="0" w:color="auto"/>
        <w:right w:val="none" w:sz="0" w:space="0" w:color="auto"/>
      </w:divBdr>
    </w:div>
    <w:div w:id="1524436034">
      <w:bodyDiv w:val="1"/>
      <w:marLeft w:val="0"/>
      <w:marRight w:val="0"/>
      <w:marTop w:val="0"/>
      <w:marBottom w:val="0"/>
      <w:divBdr>
        <w:top w:val="none" w:sz="0" w:space="0" w:color="auto"/>
        <w:left w:val="none" w:sz="0" w:space="0" w:color="auto"/>
        <w:bottom w:val="none" w:sz="0" w:space="0" w:color="auto"/>
        <w:right w:val="none" w:sz="0" w:space="0" w:color="auto"/>
      </w:divBdr>
    </w:div>
    <w:div w:id="1530604064">
      <w:bodyDiv w:val="1"/>
      <w:marLeft w:val="0"/>
      <w:marRight w:val="0"/>
      <w:marTop w:val="0"/>
      <w:marBottom w:val="0"/>
      <w:divBdr>
        <w:top w:val="none" w:sz="0" w:space="0" w:color="auto"/>
        <w:left w:val="none" w:sz="0" w:space="0" w:color="auto"/>
        <w:bottom w:val="none" w:sz="0" w:space="0" w:color="auto"/>
        <w:right w:val="none" w:sz="0" w:space="0" w:color="auto"/>
      </w:divBdr>
    </w:div>
    <w:div w:id="1538395373">
      <w:bodyDiv w:val="1"/>
      <w:marLeft w:val="0"/>
      <w:marRight w:val="0"/>
      <w:marTop w:val="0"/>
      <w:marBottom w:val="0"/>
      <w:divBdr>
        <w:top w:val="none" w:sz="0" w:space="0" w:color="auto"/>
        <w:left w:val="none" w:sz="0" w:space="0" w:color="auto"/>
        <w:bottom w:val="none" w:sz="0" w:space="0" w:color="auto"/>
        <w:right w:val="none" w:sz="0" w:space="0" w:color="auto"/>
      </w:divBdr>
    </w:div>
    <w:div w:id="1568370904">
      <w:bodyDiv w:val="1"/>
      <w:marLeft w:val="0"/>
      <w:marRight w:val="0"/>
      <w:marTop w:val="0"/>
      <w:marBottom w:val="0"/>
      <w:divBdr>
        <w:top w:val="none" w:sz="0" w:space="0" w:color="auto"/>
        <w:left w:val="none" w:sz="0" w:space="0" w:color="auto"/>
        <w:bottom w:val="none" w:sz="0" w:space="0" w:color="auto"/>
        <w:right w:val="none" w:sz="0" w:space="0" w:color="auto"/>
      </w:divBdr>
    </w:div>
    <w:div w:id="1704477567">
      <w:bodyDiv w:val="1"/>
      <w:marLeft w:val="0"/>
      <w:marRight w:val="0"/>
      <w:marTop w:val="0"/>
      <w:marBottom w:val="0"/>
      <w:divBdr>
        <w:top w:val="none" w:sz="0" w:space="0" w:color="auto"/>
        <w:left w:val="none" w:sz="0" w:space="0" w:color="auto"/>
        <w:bottom w:val="none" w:sz="0" w:space="0" w:color="auto"/>
        <w:right w:val="none" w:sz="0" w:space="0" w:color="auto"/>
      </w:divBdr>
    </w:div>
    <w:div w:id="1805156064">
      <w:bodyDiv w:val="1"/>
      <w:marLeft w:val="0"/>
      <w:marRight w:val="0"/>
      <w:marTop w:val="0"/>
      <w:marBottom w:val="0"/>
      <w:divBdr>
        <w:top w:val="none" w:sz="0" w:space="0" w:color="auto"/>
        <w:left w:val="none" w:sz="0" w:space="0" w:color="auto"/>
        <w:bottom w:val="none" w:sz="0" w:space="0" w:color="auto"/>
        <w:right w:val="none" w:sz="0" w:space="0" w:color="auto"/>
      </w:divBdr>
    </w:div>
    <w:div w:id="1850369396">
      <w:bodyDiv w:val="1"/>
      <w:marLeft w:val="0"/>
      <w:marRight w:val="0"/>
      <w:marTop w:val="0"/>
      <w:marBottom w:val="0"/>
      <w:divBdr>
        <w:top w:val="none" w:sz="0" w:space="0" w:color="auto"/>
        <w:left w:val="none" w:sz="0" w:space="0" w:color="auto"/>
        <w:bottom w:val="none" w:sz="0" w:space="0" w:color="auto"/>
        <w:right w:val="none" w:sz="0" w:space="0" w:color="auto"/>
      </w:divBdr>
    </w:div>
    <w:div w:id="1891527436">
      <w:bodyDiv w:val="1"/>
      <w:marLeft w:val="0"/>
      <w:marRight w:val="0"/>
      <w:marTop w:val="0"/>
      <w:marBottom w:val="0"/>
      <w:divBdr>
        <w:top w:val="none" w:sz="0" w:space="0" w:color="auto"/>
        <w:left w:val="none" w:sz="0" w:space="0" w:color="auto"/>
        <w:bottom w:val="none" w:sz="0" w:space="0" w:color="auto"/>
        <w:right w:val="none" w:sz="0" w:space="0" w:color="auto"/>
      </w:divBdr>
    </w:div>
    <w:div w:id="1919440953">
      <w:bodyDiv w:val="1"/>
      <w:marLeft w:val="0"/>
      <w:marRight w:val="0"/>
      <w:marTop w:val="0"/>
      <w:marBottom w:val="0"/>
      <w:divBdr>
        <w:top w:val="none" w:sz="0" w:space="0" w:color="auto"/>
        <w:left w:val="none" w:sz="0" w:space="0" w:color="auto"/>
        <w:bottom w:val="none" w:sz="0" w:space="0" w:color="auto"/>
        <w:right w:val="none" w:sz="0" w:space="0" w:color="auto"/>
      </w:divBdr>
    </w:div>
    <w:div w:id="1948081768">
      <w:bodyDiv w:val="1"/>
      <w:marLeft w:val="0"/>
      <w:marRight w:val="0"/>
      <w:marTop w:val="0"/>
      <w:marBottom w:val="0"/>
      <w:divBdr>
        <w:top w:val="none" w:sz="0" w:space="0" w:color="auto"/>
        <w:left w:val="none" w:sz="0" w:space="0" w:color="auto"/>
        <w:bottom w:val="none" w:sz="0" w:space="0" w:color="auto"/>
        <w:right w:val="none" w:sz="0" w:space="0" w:color="auto"/>
      </w:divBdr>
    </w:div>
    <w:div w:id="205280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D0842-00F0-46D2-93C3-9A7F61F6E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519</Words>
  <Characters>2959</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林雅雯</dc:creator>
  <cp:lastModifiedBy>曾婉禎</cp:lastModifiedBy>
  <cp:revision>7</cp:revision>
  <cp:lastPrinted>2019-01-16T02:09:00Z</cp:lastPrinted>
  <dcterms:created xsi:type="dcterms:W3CDTF">2019-01-15T08:17:00Z</dcterms:created>
  <dcterms:modified xsi:type="dcterms:W3CDTF">2019-01-18T03:15:00Z</dcterms:modified>
</cp:coreProperties>
</file>