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B0" w:rsidRPr="004C1ACD" w:rsidRDefault="00F87266" w:rsidP="00F87266">
      <w:pPr>
        <w:snapToGrid w:val="0"/>
        <w:spacing w:line="440" w:lineRule="exact"/>
        <w:jc w:val="center"/>
        <w:rPr>
          <w:rFonts w:ascii="Times New Roman" w:eastAsia="標楷體" w:hAnsi="Times New Roman" w:cstheme="majorBidi"/>
          <w:b/>
          <w:bCs/>
          <w:color w:val="000000" w:themeColor="text1"/>
          <w:kern w:val="52"/>
          <w:sz w:val="28"/>
          <w:szCs w:val="52"/>
        </w:rPr>
      </w:pPr>
      <w:r w:rsidRPr="004C1ACD">
        <w:rPr>
          <w:rFonts w:ascii="Times New Roman" w:eastAsia="標楷體" w:hAnsi="Times New Roman" w:cstheme="majorBidi" w:hint="eastAsia"/>
          <w:b/>
          <w:bCs/>
          <w:color w:val="000000" w:themeColor="text1"/>
          <w:kern w:val="52"/>
          <w:sz w:val="28"/>
          <w:szCs w:val="52"/>
        </w:rPr>
        <w:t>財團法人中華民國證券櫃檯買賣中心</w:t>
      </w:r>
    </w:p>
    <w:p w:rsidR="004F70B0" w:rsidRPr="004C1ACD" w:rsidRDefault="00F87266" w:rsidP="00F87266">
      <w:pPr>
        <w:snapToGrid w:val="0"/>
        <w:spacing w:line="440" w:lineRule="exact"/>
        <w:jc w:val="center"/>
        <w:rPr>
          <w:rFonts w:ascii="Times New Roman" w:eastAsia="標楷體" w:hAnsi="Times New Roman" w:cstheme="majorBidi"/>
          <w:b/>
          <w:bCs/>
          <w:color w:val="000000" w:themeColor="text1"/>
          <w:kern w:val="52"/>
          <w:sz w:val="28"/>
          <w:szCs w:val="52"/>
        </w:rPr>
      </w:pPr>
      <w:r w:rsidRPr="004C1ACD">
        <w:rPr>
          <w:rFonts w:ascii="Times New Roman" w:eastAsia="標楷體" w:hAnsi="Times New Roman" w:cstheme="majorBidi" w:hint="eastAsia"/>
          <w:b/>
          <w:bCs/>
          <w:color w:val="000000" w:themeColor="text1"/>
          <w:kern w:val="52"/>
          <w:sz w:val="28"/>
          <w:szCs w:val="52"/>
        </w:rPr>
        <w:t>櫃檯買賣公布或通知注意交易資訊暨處置作業要點</w:t>
      </w:r>
    </w:p>
    <w:p w:rsidR="00F87266" w:rsidRPr="004C1ACD" w:rsidRDefault="00F87266" w:rsidP="00F87266">
      <w:pPr>
        <w:snapToGrid w:val="0"/>
        <w:spacing w:line="440" w:lineRule="exact"/>
        <w:jc w:val="center"/>
        <w:rPr>
          <w:rFonts w:ascii="Times New Roman" w:eastAsia="標楷體" w:hAnsi="Times New Roman" w:cstheme="majorBidi"/>
          <w:b/>
          <w:bCs/>
          <w:color w:val="000000" w:themeColor="text1"/>
          <w:kern w:val="52"/>
          <w:sz w:val="28"/>
          <w:szCs w:val="52"/>
        </w:rPr>
      </w:pPr>
      <w:r w:rsidRPr="004C1ACD">
        <w:rPr>
          <w:rFonts w:ascii="Times New Roman" w:eastAsia="標楷體" w:hAnsi="Times New Roman" w:cstheme="majorBidi" w:hint="eastAsia"/>
          <w:b/>
          <w:bCs/>
          <w:color w:val="000000" w:themeColor="text1"/>
          <w:kern w:val="52"/>
          <w:sz w:val="28"/>
          <w:szCs w:val="52"/>
        </w:rPr>
        <w:t>部分條文修正對照表</w:t>
      </w:r>
    </w:p>
    <w:p w:rsidR="00DF146E" w:rsidRPr="004C1ACD" w:rsidRDefault="00DF146E" w:rsidP="00F87266">
      <w:pPr>
        <w:jc w:val="right"/>
        <w:rPr>
          <w:rFonts w:ascii="標楷體" w:eastAsia="標楷體" w:hAnsi="標楷體"/>
          <w:color w:val="000000" w:themeColor="text1"/>
        </w:rPr>
      </w:pPr>
    </w:p>
    <w:tbl>
      <w:tblPr>
        <w:tblStyle w:val="a3"/>
        <w:tblW w:w="9356" w:type="dxa"/>
        <w:tblInd w:w="57" w:type="dxa"/>
        <w:tblCellMar>
          <w:top w:w="11" w:type="dxa"/>
          <w:left w:w="57" w:type="dxa"/>
          <w:bottom w:w="11" w:type="dxa"/>
          <w:right w:w="57" w:type="dxa"/>
        </w:tblCellMar>
        <w:tblLook w:val="04A0" w:firstRow="1" w:lastRow="0" w:firstColumn="1" w:lastColumn="0" w:noHBand="0" w:noVBand="1"/>
      </w:tblPr>
      <w:tblGrid>
        <w:gridCol w:w="3147"/>
        <w:gridCol w:w="3148"/>
        <w:gridCol w:w="3061"/>
      </w:tblGrid>
      <w:tr w:rsidR="004C1ACD" w:rsidRPr="004C1ACD" w:rsidTr="00ED4182">
        <w:trPr>
          <w:tblHeader/>
        </w:trPr>
        <w:tc>
          <w:tcPr>
            <w:tcW w:w="3147" w:type="dxa"/>
          </w:tcPr>
          <w:p w:rsidR="0052513F" w:rsidRPr="004C1ACD" w:rsidRDefault="005B19DB" w:rsidP="00F200A4">
            <w:pPr>
              <w:snapToGrid w:val="0"/>
              <w:jc w:val="center"/>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修正</w:t>
            </w:r>
            <w:r w:rsidR="0052513F" w:rsidRPr="004C1ACD">
              <w:rPr>
                <w:rFonts w:ascii="Times New Roman" w:eastAsia="標楷體" w:hAnsi="Times New Roman" w:cs="Times New Roman" w:hint="eastAsia"/>
                <w:bCs/>
                <w:color w:val="000000" w:themeColor="text1"/>
                <w:szCs w:val="24"/>
              </w:rPr>
              <w:t>條文</w:t>
            </w:r>
          </w:p>
        </w:tc>
        <w:tc>
          <w:tcPr>
            <w:tcW w:w="3148" w:type="dxa"/>
          </w:tcPr>
          <w:p w:rsidR="0052513F" w:rsidRPr="004C1ACD" w:rsidRDefault="0052513F" w:rsidP="00F200A4">
            <w:pPr>
              <w:snapToGrid w:val="0"/>
              <w:jc w:val="center"/>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現行條文</w:t>
            </w:r>
          </w:p>
        </w:tc>
        <w:tc>
          <w:tcPr>
            <w:tcW w:w="3061" w:type="dxa"/>
          </w:tcPr>
          <w:p w:rsidR="0052513F" w:rsidRPr="004C1ACD" w:rsidRDefault="00650B65" w:rsidP="00AC34EE">
            <w:pPr>
              <w:jc w:val="center"/>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說明</w:t>
            </w:r>
          </w:p>
        </w:tc>
      </w:tr>
      <w:tr w:rsidR="004C1ACD" w:rsidRPr="004C1ACD" w:rsidTr="001D228D">
        <w:tc>
          <w:tcPr>
            <w:tcW w:w="3147" w:type="dxa"/>
            <w:tcBorders>
              <w:bottom w:val="single" w:sz="4" w:space="0" w:color="auto"/>
            </w:tcBorders>
          </w:tcPr>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第二條</w:t>
            </w: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本中心每日於交易時間內分析等價、等</w:t>
            </w:r>
            <w:proofErr w:type="gramStart"/>
            <w:r w:rsidRPr="004C1ACD">
              <w:rPr>
                <w:rFonts w:ascii="Times New Roman" w:eastAsia="標楷體" w:hAnsi="Times New Roman" w:cs="Times New Roman" w:hint="eastAsia"/>
                <w:bCs/>
                <w:color w:val="000000" w:themeColor="text1"/>
                <w:szCs w:val="24"/>
              </w:rPr>
              <w:t>殖</w:t>
            </w:r>
            <w:proofErr w:type="gramEnd"/>
            <w:r w:rsidRPr="004C1ACD">
              <w:rPr>
                <w:rFonts w:ascii="Times New Roman" w:eastAsia="標楷體" w:hAnsi="Times New Roman" w:cs="Times New Roman" w:hint="eastAsia"/>
                <w:bCs/>
                <w:color w:val="000000" w:themeColor="text1"/>
                <w:szCs w:val="24"/>
              </w:rPr>
              <w:t>自動成交系統有價證券之交易，發現其有下列情形之一時，即依第三條規定辦理。</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一、當日交易時間內成交價振幅超過百分之九且與本中心發行量加權股價指數振幅之差幅在百分之五以上，且其成交量達二千交易單位以上者。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二、當日交易時間內成交價漲跌百分比超過百分之六且與本中心發行量加權股價指數漲跌百分比之差在百分之四以上，且其成交量達二千交易單位以上者。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三、當日交易時間內週轉率超過百分之十且其成交量達二千交易單位以上者，但轉換公司債、交換公司債、非分離型附認股權公司債、非分離型附認股權特別股、債券換股權利證書、股款繳納憑證、認購（售）權證</w:t>
            </w:r>
            <w:r w:rsidR="00516294" w:rsidRPr="004C1ACD">
              <w:rPr>
                <w:rFonts w:ascii="Times New Roman" w:eastAsia="標楷體" w:hAnsi="Times New Roman" w:cs="Times New Roman" w:hint="eastAsia"/>
                <w:bCs/>
                <w:color w:val="000000" w:themeColor="text1"/>
                <w:szCs w:val="24"/>
              </w:rPr>
              <w:t>、</w:t>
            </w:r>
            <w:r w:rsidRPr="004C1ACD">
              <w:rPr>
                <w:rFonts w:ascii="Times New Roman" w:eastAsia="標楷體" w:hAnsi="Times New Roman" w:cs="Times New Roman" w:hint="eastAsia"/>
                <w:bCs/>
                <w:color w:val="000000" w:themeColor="text1"/>
                <w:szCs w:val="24"/>
              </w:rPr>
              <w:t>認股權憑證</w:t>
            </w:r>
            <w:r w:rsidRPr="004C1ACD">
              <w:rPr>
                <w:rFonts w:ascii="Times New Roman" w:eastAsia="標楷體" w:hAnsi="Times New Roman" w:cs="Times New Roman" w:hint="eastAsia"/>
                <w:b/>
                <w:bCs/>
                <w:color w:val="000000" w:themeColor="text1"/>
                <w:szCs w:val="24"/>
                <w:u w:val="single"/>
              </w:rPr>
              <w:t>、指數股票型基金受益憑證</w:t>
            </w:r>
            <w:r w:rsidR="009614A2" w:rsidRPr="004C1ACD">
              <w:rPr>
                <w:rFonts w:ascii="Times New Roman" w:eastAsia="標楷體" w:hAnsi="Times New Roman" w:cs="Times New Roman" w:hint="eastAsia"/>
                <w:b/>
                <w:bCs/>
                <w:color w:val="000000" w:themeColor="text1"/>
                <w:szCs w:val="24"/>
                <w:u w:val="single"/>
              </w:rPr>
              <w:t>及</w:t>
            </w:r>
            <w:r w:rsidRPr="004C1ACD">
              <w:rPr>
                <w:rFonts w:ascii="Times New Roman" w:eastAsia="標楷體" w:hAnsi="Times New Roman" w:cs="Times New Roman" w:hint="eastAsia"/>
                <w:b/>
                <w:bCs/>
                <w:color w:val="000000" w:themeColor="text1"/>
                <w:szCs w:val="24"/>
                <w:u w:val="single"/>
              </w:rPr>
              <w:t>指數投資證券</w:t>
            </w:r>
            <w:r w:rsidR="009614A2" w:rsidRPr="004C1ACD">
              <w:rPr>
                <w:rFonts w:ascii="Times New Roman" w:eastAsia="標楷體" w:hAnsi="Times New Roman" w:cs="Times New Roman" w:hint="eastAsia"/>
                <w:bCs/>
                <w:color w:val="000000" w:themeColor="text1"/>
                <w:szCs w:val="24"/>
              </w:rPr>
              <w:t>不適用之</w:t>
            </w:r>
            <w:r w:rsidRPr="004C1ACD">
              <w:rPr>
                <w:rFonts w:ascii="Times New Roman" w:eastAsia="標楷體" w:hAnsi="Times New Roman" w:cs="Times New Roman" w:hint="eastAsia"/>
                <w:bCs/>
                <w:color w:val="000000" w:themeColor="text1"/>
                <w:szCs w:val="24"/>
              </w:rPr>
              <w:t>。</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四、依本要點規定發布交易資訊或採取處置措施者。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五、經證券市場傳聞或媒體報導或經本中心電腦系統分析有異常情事，並</w:t>
            </w:r>
            <w:r w:rsidRPr="004C1ACD">
              <w:rPr>
                <w:rFonts w:ascii="Times New Roman" w:eastAsia="標楷體" w:hAnsi="Times New Roman" w:cs="Times New Roman" w:hint="eastAsia"/>
                <w:bCs/>
                <w:color w:val="000000" w:themeColor="text1"/>
                <w:szCs w:val="24"/>
              </w:rPr>
              <w:lastRenderedPageBreak/>
              <w:t>經簽報核准者。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六、其他經主管機關指定者。</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實收資本額未達新臺幣八千萬元之發行公司股票不適用前項第一、二、三款之發行量加權股價指數及成交量之規定，週轉率標準減至二分之一。</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政府公債、一般公司債與外國普通公司債不適用第一項各款標準。</w:t>
            </w: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有價證券升降幅度計算公式含有以標的證券或標的指數等計算因素者，以其當日盤中振幅、漲跌百分比與標的證券或標的指數之振幅、漲跌百分比（投資組合者，取其組合標的證券或標的指數振幅、漲跌百分比之平均值）計算差幅。但其標的證券為上市證券者，得不比較差幅。</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第一項第一款、第二款、第三款關於「且其成交量達二千交易單位以上者」之規定，於股票初次上櫃者，除管理股票外，自其櫃檯買賣開始日起連續五個營業日之交易不適用之。</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有價證券交易單位低於一千單位（股、受益權單位、存託憑證單位等）者，其成交（委託）量交易單位數據標準依下列公式調整：</w:t>
            </w: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調整後成交（委託）量交易單位數據標準＝調整前成交（委託）量交易單位數據標準</w:t>
            </w:r>
            <w:proofErr w:type="gramStart"/>
            <w:r w:rsidRPr="004C1ACD">
              <w:rPr>
                <w:rFonts w:ascii="Times New Roman" w:eastAsia="標楷體" w:hAnsi="Times New Roman" w:cs="Times New Roman" w:hint="eastAsia"/>
                <w:bCs/>
                <w:color w:val="000000" w:themeColor="text1"/>
                <w:szCs w:val="24"/>
              </w:rPr>
              <w:t>ｘ</w:t>
            </w:r>
            <w:proofErr w:type="gramEnd"/>
            <w:r w:rsidRPr="004C1ACD">
              <w:rPr>
                <w:rFonts w:ascii="Times New Roman" w:eastAsia="標楷體" w:hAnsi="Times New Roman" w:cs="Times New Roman" w:hint="eastAsia"/>
                <w:bCs/>
                <w:color w:val="000000" w:themeColor="text1"/>
                <w:szCs w:val="24"/>
              </w:rPr>
              <w:t>（</w:t>
            </w:r>
            <w:r w:rsidRPr="004C1ACD">
              <w:rPr>
                <w:rFonts w:ascii="Times New Roman" w:eastAsia="標楷體" w:hAnsi="Times New Roman" w:cs="Times New Roman" w:hint="eastAsia"/>
                <w:bCs/>
                <w:color w:val="000000" w:themeColor="text1"/>
                <w:szCs w:val="24"/>
              </w:rPr>
              <w:t>1000</w:t>
            </w:r>
            <w:r w:rsidRPr="004C1ACD">
              <w:rPr>
                <w:rFonts w:ascii="Times New Roman" w:eastAsia="標楷體" w:hAnsi="Times New Roman" w:cs="Times New Roman" w:hint="eastAsia"/>
                <w:bCs/>
                <w:color w:val="000000" w:themeColor="text1"/>
                <w:szCs w:val="24"/>
              </w:rPr>
              <w:t>÷該有價證券交易單位）。</w:t>
            </w:r>
          </w:p>
        </w:tc>
        <w:tc>
          <w:tcPr>
            <w:tcW w:w="3148" w:type="dxa"/>
            <w:tcBorders>
              <w:bottom w:val="single" w:sz="4" w:space="0" w:color="auto"/>
            </w:tcBorders>
          </w:tcPr>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lastRenderedPageBreak/>
              <w:t>第二條</w:t>
            </w: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本中心每日於交易時間內分析等價、等</w:t>
            </w:r>
            <w:proofErr w:type="gramStart"/>
            <w:r w:rsidRPr="004C1ACD">
              <w:rPr>
                <w:rFonts w:ascii="Times New Roman" w:eastAsia="標楷體" w:hAnsi="Times New Roman" w:cs="Times New Roman" w:hint="eastAsia"/>
                <w:bCs/>
                <w:color w:val="000000" w:themeColor="text1"/>
                <w:szCs w:val="24"/>
              </w:rPr>
              <w:t>殖</w:t>
            </w:r>
            <w:proofErr w:type="gramEnd"/>
            <w:r w:rsidRPr="004C1ACD">
              <w:rPr>
                <w:rFonts w:ascii="Times New Roman" w:eastAsia="標楷體" w:hAnsi="Times New Roman" w:cs="Times New Roman" w:hint="eastAsia"/>
                <w:bCs/>
                <w:color w:val="000000" w:themeColor="text1"/>
                <w:szCs w:val="24"/>
              </w:rPr>
              <w:t>自動成交系統有價證券之交易，發現其有下列情形之一時，即依第三條規定辦理。</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一、當日交易時間內成交價振幅超過百分之九且與本中心發行量加權股價指數振幅之差幅在百分之五以上，且其成交量達二千交易單位以上者。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二、當日交易時間內成交價漲跌百分比超過百分之六且與本中心發行量加權股價指數漲跌百分比之差在百分之四以上，且其成交量達二千交易單位以上者。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三、當日交易時間內週轉率超過百分之十且其成交量達二千交易單位以上者，但轉換公司債、交換公司債、非分離型附認股權公司債、非分離型附認股權特別股、債券換股權利證書、股款繳納憑證、認購（售）權證及認股權憑證不適用之。</w:t>
            </w:r>
          </w:p>
          <w:p w:rsidR="00CC4D3D" w:rsidRPr="004C1ACD" w:rsidRDefault="00CC4D3D" w:rsidP="00A15C5B">
            <w:pPr>
              <w:snapToGrid w:val="0"/>
              <w:spacing w:line="280" w:lineRule="atLeast"/>
              <w:ind w:leftChars="10" w:left="163" w:hangingChars="58" w:hanging="139"/>
              <w:rPr>
                <w:rFonts w:ascii="Times New Roman" w:eastAsia="標楷體" w:hAnsi="Times New Roman" w:cs="Times New Roman"/>
                <w:bCs/>
                <w:color w:val="000000" w:themeColor="text1"/>
                <w:szCs w:val="24"/>
              </w:rPr>
            </w:pPr>
          </w:p>
          <w:p w:rsidR="006C1A2A" w:rsidRDefault="006C1A2A" w:rsidP="00A15C5B">
            <w:pPr>
              <w:snapToGrid w:val="0"/>
              <w:spacing w:line="280" w:lineRule="atLeast"/>
              <w:ind w:leftChars="10" w:left="163" w:hangingChars="58" w:hanging="139"/>
              <w:rPr>
                <w:rFonts w:ascii="Times New Roman" w:eastAsia="標楷體" w:hAnsi="Times New Roman" w:cs="Times New Roman"/>
                <w:bCs/>
                <w:color w:val="000000" w:themeColor="text1"/>
                <w:szCs w:val="24"/>
              </w:rPr>
            </w:pPr>
          </w:p>
          <w:p w:rsidR="005E5569" w:rsidRPr="00BB065A" w:rsidRDefault="005E5569" w:rsidP="00A15C5B">
            <w:pPr>
              <w:snapToGrid w:val="0"/>
              <w:spacing w:line="280" w:lineRule="atLeast"/>
              <w:ind w:leftChars="10" w:left="163" w:hangingChars="58" w:hanging="139"/>
              <w:rPr>
                <w:rFonts w:ascii="Times New Roman" w:eastAsia="標楷體" w:hAnsi="Times New Roman" w:cs="Times New Roman"/>
                <w:bCs/>
                <w:color w:val="000000" w:themeColor="text1"/>
                <w:szCs w:val="24"/>
              </w:rPr>
            </w:pP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四、依本要點規定發布交易資訊或採取處置措施者。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五、經證券市場傳聞或媒體報導或經本中心電腦系統分析有異常情事，並</w:t>
            </w:r>
            <w:r w:rsidRPr="004C1ACD">
              <w:rPr>
                <w:rFonts w:ascii="Times New Roman" w:eastAsia="標楷體" w:hAnsi="Times New Roman" w:cs="Times New Roman" w:hint="eastAsia"/>
                <w:bCs/>
                <w:color w:val="000000" w:themeColor="text1"/>
                <w:szCs w:val="24"/>
              </w:rPr>
              <w:lastRenderedPageBreak/>
              <w:t>經簽報核准者。</w:t>
            </w:r>
          </w:p>
          <w:p w:rsidR="00CC4D3D" w:rsidRPr="004C1ACD" w:rsidRDefault="00CC4D3D" w:rsidP="00BB065A">
            <w:pPr>
              <w:snapToGrid w:val="0"/>
              <w:spacing w:line="280" w:lineRule="atLeast"/>
              <w:ind w:leftChars="10" w:left="504" w:hangingChars="200" w:hanging="48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六、其他經主管機關指定者。</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實收資本額未達新臺幣八千萬元之發行公司股票不適用前項第一、二、三款之發行量加權股價指數及成交量之規定，週轉率標準減至二分之一。</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u w:val="single"/>
              </w:rPr>
              <w:t>指數股票型基金受益憑證及以其為標的之有價證券、</w:t>
            </w:r>
            <w:r w:rsidRPr="004C1ACD">
              <w:rPr>
                <w:rFonts w:ascii="Times New Roman" w:eastAsia="標楷體" w:hAnsi="Times New Roman" w:cs="Times New Roman" w:hint="eastAsia"/>
                <w:bCs/>
                <w:color w:val="000000" w:themeColor="text1"/>
                <w:szCs w:val="24"/>
              </w:rPr>
              <w:t>政府公債、一般公司債與外國普通公司債不適用第一項各款標準。</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有價證券升降幅度計算公式含有以標的證券或標的指數等計算因素者，以其當日盤中振幅、漲跌百分比與標的證券或標的指數之振幅、漲跌百分比（投資組合者，取其組合標的證券或標的指數振幅、漲跌百分比之平均值）計算差幅。但其標的證券為上市證券者，得不比較差幅。</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第一項第一款、第二款、第三款關於「且其成交量達二千交易單位以上者」之規定，於股票初次上櫃者，除管理股票外，自其櫃檯買賣開始日起連續五個營業日之交易不適用之。</w:t>
            </w:r>
          </w:p>
          <w:p w:rsidR="00CC4D3D" w:rsidRPr="004C1ACD" w:rsidRDefault="00CC4D3D" w:rsidP="00CC4D3D">
            <w:pPr>
              <w:snapToGrid w:val="0"/>
              <w:spacing w:beforeLines="50" w:before="180"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有價證券交易單位低於一千單位（股、受益權單位、存託憑證單位等）者，其成交（委託）量交易單位數據標準依下列公式調整：</w:t>
            </w:r>
          </w:p>
          <w:p w:rsidR="00CC4D3D" w:rsidRPr="004C1ACD" w:rsidRDefault="00CC4D3D" w:rsidP="00CC4D3D">
            <w:pPr>
              <w:snapToGrid w:val="0"/>
              <w:spacing w:line="280" w:lineRule="atLeast"/>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調整後成交（委託）量交易單位數據標準＝調整前成交（委託）量交易單位數據標準</w:t>
            </w:r>
            <w:proofErr w:type="gramStart"/>
            <w:r w:rsidRPr="004C1ACD">
              <w:rPr>
                <w:rFonts w:ascii="Times New Roman" w:eastAsia="標楷體" w:hAnsi="Times New Roman" w:cs="Times New Roman" w:hint="eastAsia"/>
                <w:bCs/>
                <w:color w:val="000000" w:themeColor="text1"/>
                <w:szCs w:val="24"/>
              </w:rPr>
              <w:t>ｘ</w:t>
            </w:r>
            <w:proofErr w:type="gramEnd"/>
            <w:r w:rsidRPr="004C1ACD">
              <w:rPr>
                <w:rFonts w:ascii="Times New Roman" w:eastAsia="標楷體" w:hAnsi="Times New Roman" w:cs="Times New Roman" w:hint="eastAsia"/>
                <w:bCs/>
                <w:color w:val="000000" w:themeColor="text1"/>
                <w:szCs w:val="24"/>
              </w:rPr>
              <w:t>（</w:t>
            </w:r>
            <w:r w:rsidRPr="004C1ACD">
              <w:rPr>
                <w:rFonts w:ascii="Times New Roman" w:eastAsia="標楷體" w:hAnsi="Times New Roman" w:cs="Times New Roman" w:hint="eastAsia"/>
                <w:bCs/>
                <w:color w:val="000000" w:themeColor="text1"/>
                <w:szCs w:val="24"/>
              </w:rPr>
              <w:t>1000</w:t>
            </w:r>
            <w:r w:rsidRPr="004C1ACD">
              <w:rPr>
                <w:rFonts w:ascii="Times New Roman" w:eastAsia="標楷體" w:hAnsi="Times New Roman" w:cs="Times New Roman" w:hint="eastAsia"/>
                <w:bCs/>
                <w:color w:val="000000" w:themeColor="text1"/>
                <w:szCs w:val="24"/>
              </w:rPr>
              <w:t>÷該有價證券交易單位）。</w:t>
            </w:r>
          </w:p>
        </w:tc>
        <w:tc>
          <w:tcPr>
            <w:tcW w:w="3061" w:type="dxa"/>
            <w:tcBorders>
              <w:bottom w:val="single" w:sz="4" w:space="0" w:color="auto"/>
            </w:tcBorders>
          </w:tcPr>
          <w:p w:rsidR="00A15C5B" w:rsidRPr="004C1ACD" w:rsidRDefault="00F87266" w:rsidP="00DF45FF">
            <w:pPr>
              <w:pStyle w:val="aa"/>
              <w:widowControl/>
              <w:numPr>
                <w:ilvl w:val="0"/>
                <w:numId w:val="45"/>
              </w:numPr>
              <w:ind w:leftChars="0"/>
              <w:jc w:val="both"/>
              <w:rPr>
                <w:rFonts w:ascii="Times New Roman" w:eastAsia="標楷體" w:hAnsi="Times New Roman" w:cs="Times New Roman"/>
                <w:color w:val="000000" w:themeColor="text1"/>
                <w:szCs w:val="24"/>
              </w:rPr>
            </w:pPr>
            <w:r w:rsidRPr="004C1ACD">
              <w:rPr>
                <w:rFonts w:ascii="Times New Roman" w:eastAsia="標楷體" w:hAnsi="Times New Roman" w:cs="Times New Roman" w:hint="eastAsia"/>
                <w:bCs/>
                <w:color w:val="000000" w:themeColor="text1"/>
                <w:szCs w:val="24"/>
              </w:rPr>
              <w:lastRenderedPageBreak/>
              <w:t>為強化監視作業，將</w:t>
            </w:r>
            <w:r w:rsidR="00AC4640" w:rsidRPr="004C1ACD">
              <w:rPr>
                <w:rFonts w:ascii="Times New Roman" w:eastAsia="標楷體" w:hAnsi="Times New Roman" w:cs="Times New Roman" w:hint="eastAsia"/>
                <w:bCs/>
                <w:color w:val="000000" w:themeColor="text1"/>
                <w:szCs w:val="24"/>
              </w:rPr>
              <w:t>指數股票型</w:t>
            </w:r>
            <w:r w:rsidR="006617A5" w:rsidRPr="004C1ACD">
              <w:rPr>
                <w:rFonts w:ascii="Times New Roman" w:eastAsia="標楷體" w:hAnsi="Times New Roman" w:cs="Times New Roman" w:hint="eastAsia"/>
                <w:bCs/>
                <w:color w:val="000000" w:themeColor="text1"/>
                <w:szCs w:val="24"/>
              </w:rPr>
              <w:t>基金</w:t>
            </w:r>
            <w:r w:rsidR="00DF45FF" w:rsidRPr="004C1ACD">
              <w:rPr>
                <w:rFonts w:ascii="Times New Roman" w:eastAsia="標楷體" w:hAnsi="Times New Roman" w:cs="Times New Roman" w:hint="eastAsia"/>
                <w:bCs/>
                <w:color w:val="000000" w:themeColor="text1"/>
                <w:szCs w:val="24"/>
              </w:rPr>
              <w:t>受益憑證</w:t>
            </w:r>
            <w:r w:rsidR="00AC4640" w:rsidRPr="004C1ACD">
              <w:rPr>
                <w:rFonts w:ascii="Times New Roman" w:eastAsia="標楷體" w:hAnsi="Times New Roman" w:cs="Times New Roman"/>
                <w:bCs/>
                <w:color w:val="000000" w:themeColor="text1"/>
                <w:szCs w:val="24"/>
              </w:rPr>
              <w:t>(ETF)</w:t>
            </w:r>
            <w:r w:rsidR="00AC4640" w:rsidRPr="004C1ACD">
              <w:rPr>
                <w:rFonts w:ascii="Times New Roman" w:eastAsia="標楷體" w:hAnsi="Times New Roman" w:cs="Times New Roman" w:hint="eastAsia"/>
                <w:bCs/>
                <w:color w:val="000000" w:themeColor="text1"/>
                <w:szCs w:val="24"/>
              </w:rPr>
              <w:t>及指數投資證券</w:t>
            </w:r>
            <w:r w:rsidR="00AC4640" w:rsidRPr="004C1ACD">
              <w:rPr>
                <w:rFonts w:ascii="Times New Roman" w:eastAsia="標楷體" w:hAnsi="Times New Roman" w:cs="Times New Roman"/>
                <w:bCs/>
                <w:color w:val="000000" w:themeColor="text1"/>
                <w:szCs w:val="24"/>
              </w:rPr>
              <w:t>(ETN)</w:t>
            </w:r>
            <w:r w:rsidRPr="004C1ACD">
              <w:rPr>
                <w:rFonts w:ascii="Times New Roman" w:eastAsia="標楷體" w:hAnsi="Times New Roman" w:cs="Times New Roman" w:hint="eastAsia"/>
                <w:bCs/>
                <w:color w:val="000000" w:themeColor="text1"/>
                <w:szCs w:val="24"/>
              </w:rPr>
              <w:t>納入盤中監視作業</w:t>
            </w:r>
            <w:r w:rsidR="00A15C5B" w:rsidRPr="004C1ACD">
              <w:rPr>
                <w:rFonts w:ascii="Times New Roman" w:eastAsia="標楷體" w:hAnsi="Times New Roman" w:cs="Times New Roman" w:hint="eastAsia"/>
                <w:bCs/>
                <w:color w:val="000000" w:themeColor="text1"/>
                <w:szCs w:val="24"/>
              </w:rPr>
              <w:t>，</w:t>
            </w:r>
            <w:r w:rsidRPr="004C1ACD">
              <w:rPr>
                <w:rFonts w:ascii="Times New Roman" w:eastAsia="標楷體" w:hAnsi="Times New Roman" w:cs="Times New Roman" w:hint="eastAsia"/>
                <w:bCs/>
                <w:color w:val="000000" w:themeColor="text1"/>
                <w:szCs w:val="24"/>
              </w:rPr>
              <w:t>及時針對交易情形異常者，通知證券商注意並採取相關措施</w:t>
            </w:r>
            <w:r w:rsidR="00A15C5B" w:rsidRPr="004C1ACD">
              <w:rPr>
                <w:rFonts w:ascii="Times New Roman" w:eastAsia="標楷體" w:hAnsi="Times New Roman" w:cs="Times New Roman" w:hint="eastAsia"/>
                <w:bCs/>
                <w:color w:val="000000" w:themeColor="text1"/>
                <w:szCs w:val="24"/>
              </w:rPr>
              <w:t>，</w:t>
            </w:r>
            <w:proofErr w:type="gramStart"/>
            <w:r w:rsidR="00A15C5B" w:rsidRPr="004C1ACD">
              <w:rPr>
                <w:rFonts w:ascii="Times New Roman" w:eastAsia="標楷體" w:hAnsi="Times New Roman" w:cs="Times New Roman" w:hint="eastAsia"/>
                <w:bCs/>
                <w:color w:val="000000" w:themeColor="text1"/>
                <w:szCs w:val="24"/>
              </w:rPr>
              <w:t>爰</w:t>
            </w:r>
            <w:proofErr w:type="gramEnd"/>
            <w:r w:rsidR="00A15C5B" w:rsidRPr="004C1ACD">
              <w:rPr>
                <w:rFonts w:ascii="Times New Roman" w:eastAsia="標楷體" w:hAnsi="Times New Roman" w:cs="Times New Roman" w:hint="eastAsia"/>
                <w:bCs/>
                <w:color w:val="000000" w:themeColor="text1"/>
                <w:szCs w:val="24"/>
              </w:rPr>
              <w:t>修</w:t>
            </w:r>
            <w:r w:rsidR="004F70B0" w:rsidRPr="004C1ACD">
              <w:rPr>
                <w:rFonts w:ascii="Times New Roman" w:eastAsia="標楷體" w:hAnsi="Times New Roman" w:cs="Times New Roman" w:hint="eastAsia"/>
                <w:bCs/>
                <w:color w:val="000000" w:themeColor="text1"/>
                <w:szCs w:val="24"/>
              </w:rPr>
              <w:t>正</w:t>
            </w:r>
            <w:r w:rsidR="00A15C5B" w:rsidRPr="004C1ACD">
              <w:rPr>
                <w:rFonts w:ascii="Times New Roman" w:eastAsia="標楷體" w:hAnsi="Times New Roman" w:cs="Times New Roman" w:hint="eastAsia"/>
                <w:bCs/>
                <w:color w:val="000000" w:themeColor="text1"/>
                <w:szCs w:val="24"/>
              </w:rPr>
              <w:t>第</w:t>
            </w:r>
            <w:r w:rsidR="00A15C5B" w:rsidRPr="004C1ACD">
              <w:rPr>
                <w:rFonts w:ascii="Times New Roman" w:eastAsia="標楷體" w:hAnsi="Times New Roman" w:cs="Times New Roman" w:hint="eastAsia"/>
                <w:bCs/>
                <w:color w:val="000000" w:themeColor="text1"/>
                <w:szCs w:val="24"/>
              </w:rPr>
              <w:t>3</w:t>
            </w:r>
            <w:r w:rsidR="00A15C5B" w:rsidRPr="004C1ACD">
              <w:rPr>
                <w:rFonts w:ascii="Times New Roman" w:eastAsia="標楷體" w:hAnsi="Times New Roman" w:cs="Times New Roman" w:hint="eastAsia"/>
                <w:bCs/>
                <w:color w:val="000000" w:themeColor="text1"/>
                <w:szCs w:val="24"/>
              </w:rPr>
              <w:t>項</w:t>
            </w:r>
            <w:r w:rsidRPr="004C1ACD">
              <w:rPr>
                <w:rFonts w:ascii="Times New Roman" w:eastAsia="標楷體" w:hAnsi="Times New Roman" w:cs="Times New Roman" w:hint="eastAsia"/>
                <w:bCs/>
                <w:color w:val="000000" w:themeColor="text1"/>
                <w:szCs w:val="24"/>
              </w:rPr>
              <w:t>。</w:t>
            </w:r>
            <w:r w:rsidR="009614A2" w:rsidRPr="004C1ACD">
              <w:rPr>
                <w:rFonts w:ascii="Times New Roman" w:eastAsia="標楷體" w:hAnsi="Times New Roman" w:cs="Times New Roman" w:hint="eastAsia"/>
                <w:bCs/>
                <w:color w:val="000000" w:themeColor="text1"/>
                <w:szCs w:val="24"/>
              </w:rPr>
              <w:t>惟</w:t>
            </w:r>
            <w:r w:rsidR="009614A2" w:rsidRPr="004C1ACD">
              <w:rPr>
                <w:rFonts w:ascii="Times New Roman" w:eastAsia="標楷體" w:hAnsi="Times New Roman" w:cs="Times New Roman" w:hint="eastAsia"/>
                <w:bCs/>
                <w:color w:val="000000" w:themeColor="text1"/>
                <w:szCs w:val="24"/>
              </w:rPr>
              <w:t>ETF</w:t>
            </w:r>
            <w:r w:rsidR="009614A2" w:rsidRPr="004C1ACD">
              <w:rPr>
                <w:rFonts w:ascii="Times New Roman" w:eastAsia="標楷體" w:hAnsi="Times New Roman" w:cs="Times New Roman" w:hint="eastAsia"/>
                <w:bCs/>
                <w:color w:val="000000" w:themeColor="text1"/>
                <w:szCs w:val="24"/>
              </w:rPr>
              <w:t>及</w:t>
            </w:r>
            <w:r w:rsidR="009614A2" w:rsidRPr="004C1ACD">
              <w:rPr>
                <w:rFonts w:ascii="Times New Roman" w:eastAsia="標楷體" w:hAnsi="Times New Roman" w:cs="Times New Roman" w:hint="eastAsia"/>
                <w:bCs/>
                <w:color w:val="000000" w:themeColor="text1"/>
                <w:szCs w:val="24"/>
              </w:rPr>
              <w:t>ETN</w:t>
            </w:r>
            <w:r w:rsidR="009614A2" w:rsidRPr="004C1ACD">
              <w:rPr>
                <w:rFonts w:ascii="Times New Roman" w:eastAsia="標楷體" w:hAnsi="Times New Roman" w:cs="Times New Roman" w:hint="eastAsia"/>
                <w:bCs/>
                <w:color w:val="000000" w:themeColor="text1"/>
                <w:szCs w:val="24"/>
              </w:rPr>
              <w:t>因可申購贖回，</w:t>
            </w:r>
            <w:r w:rsidR="00AC4640" w:rsidRPr="004C1ACD">
              <w:rPr>
                <w:rFonts w:ascii="Times New Roman" w:eastAsia="標楷體" w:hAnsi="Times New Roman" w:cs="Times New Roman" w:hint="eastAsia"/>
                <w:bCs/>
                <w:color w:val="000000" w:themeColor="text1"/>
                <w:szCs w:val="24"/>
              </w:rPr>
              <w:t>影響流通在外數量，致</w:t>
            </w:r>
            <w:r w:rsidR="009614A2" w:rsidRPr="004C1ACD">
              <w:rPr>
                <w:rFonts w:ascii="Times New Roman" w:eastAsia="標楷體" w:hAnsi="Times New Roman" w:cs="Times New Roman" w:hint="eastAsia"/>
                <w:bCs/>
                <w:color w:val="000000" w:themeColor="text1"/>
                <w:szCs w:val="24"/>
              </w:rPr>
              <w:t>其成交量及週轉率比較基數尚難認定，</w:t>
            </w:r>
            <w:proofErr w:type="gramStart"/>
            <w:r w:rsidR="009614A2" w:rsidRPr="004C1ACD">
              <w:rPr>
                <w:rFonts w:ascii="Times New Roman" w:eastAsia="標楷體" w:hAnsi="Times New Roman" w:cs="Times New Roman" w:hint="eastAsia"/>
                <w:bCs/>
                <w:color w:val="000000" w:themeColor="text1"/>
                <w:szCs w:val="24"/>
              </w:rPr>
              <w:t>爰</w:t>
            </w:r>
            <w:proofErr w:type="gramEnd"/>
            <w:r w:rsidR="009614A2" w:rsidRPr="004C1ACD">
              <w:rPr>
                <w:rFonts w:ascii="Times New Roman" w:eastAsia="標楷體" w:hAnsi="Times New Roman" w:cs="Times New Roman" w:hint="eastAsia"/>
                <w:bCs/>
                <w:color w:val="000000" w:themeColor="text1"/>
                <w:szCs w:val="24"/>
              </w:rPr>
              <w:t>修正第</w:t>
            </w:r>
            <w:r w:rsidR="009614A2" w:rsidRPr="004C1ACD">
              <w:rPr>
                <w:rFonts w:ascii="Times New Roman" w:eastAsia="標楷體" w:hAnsi="Times New Roman" w:cs="Times New Roman" w:hint="eastAsia"/>
                <w:bCs/>
                <w:color w:val="000000" w:themeColor="text1"/>
                <w:szCs w:val="24"/>
              </w:rPr>
              <w:t>1</w:t>
            </w:r>
            <w:r w:rsidR="009614A2" w:rsidRPr="004C1ACD">
              <w:rPr>
                <w:rFonts w:ascii="Times New Roman" w:eastAsia="標楷體" w:hAnsi="Times New Roman" w:cs="Times New Roman" w:hint="eastAsia"/>
                <w:bCs/>
                <w:color w:val="000000" w:themeColor="text1"/>
                <w:szCs w:val="24"/>
              </w:rPr>
              <w:t>項第</w:t>
            </w:r>
            <w:r w:rsidR="009614A2" w:rsidRPr="004C1ACD">
              <w:rPr>
                <w:rFonts w:ascii="Times New Roman" w:eastAsia="標楷體" w:hAnsi="Times New Roman" w:cs="Times New Roman" w:hint="eastAsia"/>
                <w:bCs/>
                <w:color w:val="000000" w:themeColor="text1"/>
                <w:szCs w:val="24"/>
              </w:rPr>
              <w:t>3</w:t>
            </w:r>
            <w:r w:rsidR="009614A2" w:rsidRPr="004C1ACD">
              <w:rPr>
                <w:rFonts w:ascii="Times New Roman" w:eastAsia="標楷體" w:hAnsi="Times New Roman" w:cs="Times New Roman" w:hint="eastAsia"/>
                <w:bCs/>
                <w:color w:val="000000" w:themeColor="text1"/>
                <w:szCs w:val="24"/>
              </w:rPr>
              <w:t>款。</w:t>
            </w:r>
          </w:p>
          <w:p w:rsidR="00A15C5B" w:rsidRPr="004C1ACD" w:rsidRDefault="00A15C5B" w:rsidP="00EB3214">
            <w:pPr>
              <w:pStyle w:val="aa"/>
              <w:widowControl/>
              <w:numPr>
                <w:ilvl w:val="0"/>
                <w:numId w:val="45"/>
              </w:numPr>
              <w:ind w:leftChars="0"/>
              <w:jc w:val="both"/>
              <w:rPr>
                <w:rFonts w:ascii="Times New Roman" w:eastAsia="標楷體" w:hAnsi="Times New Roman" w:cs="Times New Roman"/>
                <w:color w:val="000000" w:themeColor="text1"/>
                <w:szCs w:val="24"/>
              </w:rPr>
            </w:pPr>
            <w:r w:rsidRPr="004C1ACD">
              <w:rPr>
                <w:rFonts w:ascii="Times New Roman" w:eastAsia="標楷體" w:hAnsi="Times New Roman" w:cs="Times New Roman" w:hint="eastAsia"/>
                <w:color w:val="000000" w:themeColor="text1"/>
                <w:szCs w:val="24"/>
              </w:rPr>
              <w:t>第</w:t>
            </w:r>
            <w:r w:rsidRPr="004C1ACD">
              <w:rPr>
                <w:rFonts w:ascii="Times New Roman" w:eastAsia="標楷體" w:hAnsi="Times New Roman" w:cs="Times New Roman" w:hint="eastAsia"/>
                <w:color w:val="000000" w:themeColor="text1"/>
                <w:szCs w:val="24"/>
              </w:rPr>
              <w:t>2</w:t>
            </w:r>
            <w:r w:rsidRPr="004C1ACD">
              <w:rPr>
                <w:rFonts w:ascii="Times New Roman" w:eastAsia="標楷體" w:hAnsi="Times New Roman" w:cs="Times New Roman" w:hint="eastAsia"/>
                <w:color w:val="000000" w:themeColor="text1"/>
                <w:szCs w:val="24"/>
              </w:rPr>
              <w:t>項及第</w:t>
            </w:r>
            <w:r w:rsidRPr="004C1ACD">
              <w:rPr>
                <w:rFonts w:ascii="Times New Roman" w:eastAsia="標楷體" w:hAnsi="Times New Roman" w:cs="Times New Roman" w:hint="eastAsia"/>
                <w:color w:val="000000" w:themeColor="text1"/>
                <w:szCs w:val="24"/>
              </w:rPr>
              <w:t>4</w:t>
            </w:r>
            <w:r w:rsidRPr="004C1ACD">
              <w:rPr>
                <w:rFonts w:ascii="Times New Roman" w:eastAsia="標楷體" w:hAnsi="Times New Roman" w:cs="Times New Roman" w:hint="eastAsia"/>
                <w:color w:val="000000" w:themeColor="text1"/>
                <w:szCs w:val="24"/>
              </w:rPr>
              <w:t>項至第</w:t>
            </w:r>
            <w:r w:rsidRPr="004C1ACD">
              <w:rPr>
                <w:rFonts w:ascii="Times New Roman" w:eastAsia="標楷體" w:hAnsi="Times New Roman" w:cs="Times New Roman" w:hint="eastAsia"/>
                <w:color w:val="000000" w:themeColor="text1"/>
                <w:szCs w:val="24"/>
              </w:rPr>
              <w:t>6</w:t>
            </w:r>
            <w:r w:rsidRPr="004C1ACD">
              <w:rPr>
                <w:rFonts w:ascii="Times New Roman" w:eastAsia="標楷體" w:hAnsi="Times New Roman" w:cs="Times New Roman" w:hint="eastAsia"/>
                <w:color w:val="000000" w:themeColor="text1"/>
                <w:szCs w:val="24"/>
              </w:rPr>
              <w:t>項未修正。</w:t>
            </w:r>
          </w:p>
        </w:tc>
      </w:tr>
      <w:tr w:rsidR="00105AAF" w:rsidRPr="004C1ACD" w:rsidTr="00105AAF">
        <w:tc>
          <w:tcPr>
            <w:tcW w:w="3147" w:type="dxa"/>
            <w:tcBorders>
              <w:bottom w:val="single" w:sz="4" w:space="0" w:color="auto"/>
            </w:tcBorders>
            <w:shd w:val="clear" w:color="auto" w:fill="auto"/>
          </w:tcPr>
          <w:p w:rsidR="00105AAF" w:rsidRDefault="00105AAF" w:rsidP="00105AAF">
            <w:pPr>
              <w:pStyle w:val="HTML"/>
              <w:spacing w:line="360" w:lineRule="exact"/>
              <w:ind w:left="240" w:hanging="240"/>
              <w:jc w:val="both"/>
              <w:rPr>
                <w:rFonts w:ascii="標楷體" w:eastAsia="標楷體" w:hAnsi="標楷體"/>
                <w:sz w:val="24"/>
                <w:szCs w:val="24"/>
              </w:rPr>
            </w:pPr>
            <w:r>
              <w:rPr>
                <w:rFonts w:ascii="標楷體" w:eastAsia="標楷體" w:hAnsi="標楷體"/>
                <w:sz w:val="24"/>
                <w:szCs w:val="24"/>
              </w:rPr>
              <w:lastRenderedPageBreak/>
              <w:t>第三條</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本中心分析發現證券商當日受託買賣前</w:t>
            </w:r>
            <w:r w:rsidR="00767666" w:rsidRPr="00C346C5">
              <w:rPr>
                <w:rFonts w:ascii="標楷體" w:eastAsia="標楷體" w:hAnsi="標楷體"/>
                <w:b/>
                <w:color w:val="000000" w:themeColor="text1"/>
                <w:u w:val="single"/>
              </w:rPr>
              <w:t>條</w:t>
            </w:r>
            <w:r>
              <w:rPr>
                <w:rFonts w:ascii="標楷體" w:eastAsia="標楷體" w:hAnsi="標楷體"/>
                <w:szCs w:val="24"/>
              </w:rPr>
              <w:t>所列之有價</w:t>
            </w:r>
            <w:bookmarkStart w:id="0" w:name="_GoBack"/>
            <w:bookmarkEnd w:id="0"/>
            <w:r>
              <w:rPr>
                <w:rFonts w:ascii="標楷體" w:eastAsia="標楷體" w:hAnsi="標楷體"/>
                <w:szCs w:val="24"/>
              </w:rPr>
              <w:t>證券有下列情形之一時，即於收盤後以書面通知該證券商內部稽核主管或營業部門主管，並副知該證券商總公司總經理，外國證券商在台設立分支機構者，通知其分公司經理人注意，以確保證券交割安全。</w:t>
            </w:r>
          </w:p>
          <w:p w:rsidR="00105AAF" w:rsidRDefault="00105AAF" w:rsidP="00BB065A">
            <w:pPr>
              <w:snapToGrid w:val="0"/>
              <w:spacing w:line="280" w:lineRule="atLeast"/>
              <w:ind w:leftChars="10" w:left="504" w:hangingChars="200" w:hanging="480"/>
            </w:pPr>
            <w:r>
              <w:rPr>
                <w:rFonts w:ascii="標楷體" w:eastAsia="標楷體" w:hAnsi="標楷體"/>
                <w:szCs w:val="24"/>
              </w:rPr>
              <w:t>一、投資人於該證券商委託買賣該</w:t>
            </w:r>
            <w:r w:rsidRPr="00BB065A">
              <w:rPr>
                <w:rFonts w:ascii="Times New Roman" w:eastAsia="標楷體" w:hAnsi="Times New Roman" w:cs="Times New Roman"/>
                <w:bCs/>
                <w:color w:val="000000" w:themeColor="text1"/>
                <w:szCs w:val="24"/>
              </w:rPr>
              <w:t>有價證券</w:t>
            </w:r>
            <w:r>
              <w:rPr>
                <w:rFonts w:ascii="標楷體" w:eastAsia="標楷體" w:hAnsi="標楷體"/>
                <w:szCs w:val="24"/>
              </w:rPr>
              <w:t>之差額超過新臺幣二億元並超過該證券商淨值０．一二五</w:t>
            </w:r>
            <w:proofErr w:type="gramStart"/>
            <w:r>
              <w:rPr>
                <w:rFonts w:ascii="標楷體" w:eastAsia="標楷體" w:hAnsi="標楷體"/>
                <w:szCs w:val="24"/>
              </w:rPr>
              <w:t>倍</w:t>
            </w:r>
            <w:proofErr w:type="gramEnd"/>
            <w:r>
              <w:rPr>
                <w:rFonts w:ascii="標楷體" w:eastAsia="標楷體" w:hAnsi="標楷體"/>
                <w:szCs w:val="24"/>
              </w:rPr>
              <w:t>，且其委託買進（賣出）金額占該有價證券總委託買進（賣出）金額百分之二十以上。</w:t>
            </w:r>
          </w:p>
          <w:p w:rsidR="00105AAF" w:rsidRDefault="00105AAF" w:rsidP="00BB065A">
            <w:pPr>
              <w:snapToGrid w:val="0"/>
              <w:spacing w:line="280" w:lineRule="atLeast"/>
              <w:ind w:leftChars="10" w:left="504" w:hangingChars="200" w:hanging="480"/>
            </w:pPr>
            <w:r>
              <w:rPr>
                <w:rFonts w:ascii="標楷體" w:eastAsia="標楷體" w:hAnsi="標楷體"/>
                <w:szCs w:val="24"/>
              </w:rPr>
              <w:t>二、證券商受託買賣該有價證券之</w:t>
            </w:r>
            <w:r w:rsidRPr="00BB065A">
              <w:rPr>
                <w:rFonts w:ascii="Times New Roman" w:eastAsia="標楷體" w:hAnsi="Times New Roman" w:cs="Times New Roman"/>
                <w:bCs/>
                <w:color w:val="000000" w:themeColor="text1"/>
                <w:szCs w:val="24"/>
              </w:rPr>
              <w:t>差額</w:t>
            </w:r>
            <w:r>
              <w:rPr>
                <w:rFonts w:ascii="標楷體" w:eastAsia="標楷體" w:hAnsi="標楷體"/>
                <w:szCs w:val="24"/>
              </w:rPr>
              <w:t>超過新臺幣三億元並超過該證券商淨值０．二五</w:t>
            </w:r>
            <w:proofErr w:type="gramStart"/>
            <w:r>
              <w:rPr>
                <w:rFonts w:ascii="標楷體" w:eastAsia="標楷體" w:hAnsi="標楷體"/>
                <w:szCs w:val="24"/>
              </w:rPr>
              <w:t>倍</w:t>
            </w:r>
            <w:proofErr w:type="gramEnd"/>
            <w:r>
              <w:rPr>
                <w:rFonts w:ascii="標楷體" w:eastAsia="標楷體" w:hAnsi="標楷體"/>
                <w:szCs w:val="24"/>
              </w:rPr>
              <w:t>，且其受託買進（賣出）金額占該有價證券總委託買進（賣出）金額百分之四十以上。</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三、投資人於該證券商成交買賣該有價證券之差額超過新臺幣五</w:t>
            </w:r>
            <w:r w:rsidRPr="00BB065A">
              <w:rPr>
                <w:rFonts w:ascii="Times New Roman" w:eastAsia="標楷體" w:hAnsi="Times New Roman" w:cs="Times New Roman"/>
                <w:bCs/>
                <w:color w:val="000000" w:themeColor="text1"/>
                <w:szCs w:val="24"/>
              </w:rPr>
              <w:t>仟萬</w:t>
            </w:r>
            <w:r>
              <w:rPr>
                <w:rFonts w:ascii="標楷體" w:eastAsia="標楷體" w:hAnsi="標楷體"/>
                <w:szCs w:val="24"/>
              </w:rPr>
              <w:t>元並超過該證券商淨值之０．０五倍，且其成交買進或賣出金額占該有價證券總成交金額之百分之十以上。</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四、證券商成交買賣該有價證券之差額超過新臺幣一億元並超過該證券商淨值０．一二五</w:t>
            </w:r>
            <w:proofErr w:type="gramStart"/>
            <w:r>
              <w:rPr>
                <w:rFonts w:ascii="標楷體" w:eastAsia="標楷體" w:hAnsi="標楷體"/>
                <w:szCs w:val="24"/>
              </w:rPr>
              <w:t>倍</w:t>
            </w:r>
            <w:proofErr w:type="gramEnd"/>
            <w:r>
              <w:rPr>
                <w:rFonts w:ascii="標楷體" w:eastAsia="標楷體" w:hAnsi="標楷體"/>
                <w:szCs w:val="24"/>
              </w:rPr>
              <w:t>，且其成交買進或賣出金額占該有價證券總成交金額之百分之二十以上。</w:t>
            </w:r>
          </w:p>
          <w:p w:rsidR="00105AAF" w:rsidRDefault="00105AAF" w:rsidP="00BB065A">
            <w:pPr>
              <w:snapToGrid w:val="0"/>
              <w:spacing w:line="280" w:lineRule="atLeast"/>
              <w:ind w:leftChars="10" w:left="504" w:hangingChars="200" w:hanging="480"/>
            </w:pPr>
            <w:r>
              <w:rPr>
                <w:rFonts w:ascii="標楷體" w:eastAsia="標楷體" w:hAnsi="標楷體"/>
                <w:szCs w:val="24"/>
              </w:rPr>
              <w:t>五、證券商受託買賣該有價證券之合計金額</w:t>
            </w:r>
            <w:r w:rsidRPr="00BB065A">
              <w:rPr>
                <w:rFonts w:ascii="Times New Roman" w:eastAsia="標楷體" w:hAnsi="Times New Roman" w:cs="Times New Roman"/>
                <w:bCs/>
                <w:color w:val="000000" w:themeColor="text1"/>
                <w:szCs w:val="24"/>
              </w:rPr>
              <w:t>超過</w:t>
            </w:r>
            <w:r>
              <w:rPr>
                <w:rFonts w:ascii="標楷體" w:eastAsia="標楷體" w:hAnsi="標楷體"/>
                <w:szCs w:val="24"/>
              </w:rPr>
              <w:t>新</w:t>
            </w:r>
            <w:r>
              <w:rPr>
                <w:rFonts w:ascii="標楷體" w:eastAsia="標楷體" w:hAnsi="標楷體"/>
                <w:szCs w:val="24"/>
              </w:rPr>
              <w:lastRenderedPageBreak/>
              <w:t>臺幣四億元並超過該證券商淨值０．一倍，且其受託買賣合計金額占該有價證券總委託買賣金額逾百分之四十。</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六、證券商成交買賣該有價證券之合計金額超過新臺幣一億五千萬元並超過該證券商淨值０．一倍，且其成交買賣合計金額占該有價證券總成交金額之百分之二十以上。</w:t>
            </w:r>
          </w:p>
          <w:p w:rsidR="00105AAF" w:rsidRDefault="00105AAF" w:rsidP="00BB065A">
            <w:pPr>
              <w:snapToGrid w:val="0"/>
              <w:spacing w:line="280" w:lineRule="atLeast"/>
              <w:rPr>
                <w:rFonts w:ascii="標楷體" w:eastAsia="標楷體" w:hAnsi="標楷體"/>
                <w:szCs w:val="24"/>
              </w:rPr>
            </w:pPr>
            <w:r w:rsidRPr="00BB065A">
              <w:rPr>
                <w:rFonts w:ascii="Times New Roman" w:eastAsia="標楷體" w:hAnsi="Times New Roman" w:cs="Times New Roman"/>
                <w:bCs/>
                <w:color w:val="000000" w:themeColor="text1"/>
                <w:szCs w:val="24"/>
              </w:rPr>
              <w:t>實收資本額未達新臺幣八千萬元之</w:t>
            </w:r>
            <w:r>
              <w:rPr>
                <w:rFonts w:ascii="標楷體" w:eastAsia="標楷體" w:hAnsi="標楷體"/>
                <w:szCs w:val="24"/>
              </w:rPr>
              <w:t>發行公司股票於前項有關買賣金額標準減至二分之一。</w:t>
            </w:r>
          </w:p>
          <w:p w:rsidR="00105AAF" w:rsidRDefault="00105AAF" w:rsidP="00BB065A">
            <w:pPr>
              <w:snapToGrid w:val="0"/>
              <w:spacing w:line="280" w:lineRule="atLeast"/>
            </w:pPr>
            <w:r>
              <w:rPr>
                <w:rFonts w:ascii="標楷體" w:eastAsia="標楷體" w:hAnsi="標楷體"/>
                <w:szCs w:val="24"/>
              </w:rPr>
              <w:t>本中心對於達第一項第一款、第二款或</w:t>
            </w:r>
            <w:r w:rsidRPr="00BB065A">
              <w:rPr>
                <w:rFonts w:ascii="Times New Roman" w:eastAsia="標楷體" w:hAnsi="Times New Roman" w:cs="Times New Roman"/>
                <w:bCs/>
                <w:color w:val="000000" w:themeColor="text1"/>
                <w:szCs w:val="24"/>
              </w:rPr>
              <w:t>第五</w:t>
            </w:r>
            <w:r>
              <w:rPr>
                <w:rFonts w:ascii="標楷體" w:eastAsia="標楷體" w:hAnsi="標楷體"/>
                <w:szCs w:val="24"/>
              </w:rPr>
              <w:t>款規定之證券商，</w:t>
            </w:r>
            <w:r w:rsidRPr="00422451">
              <w:rPr>
                <w:rFonts w:ascii="標楷體" w:eastAsia="標楷體" w:hAnsi="標楷體"/>
                <w:b/>
                <w:color w:val="000000" w:themeColor="text1"/>
                <w:u w:val="single"/>
              </w:rPr>
              <w:t>得</w:t>
            </w:r>
            <w:r>
              <w:rPr>
                <w:rFonts w:ascii="標楷體" w:eastAsia="標楷體" w:hAnsi="標楷體"/>
                <w:szCs w:val="24"/>
              </w:rPr>
              <w:t>於買賣申報之委託或交易時間內先以電話通知第一項人員。</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股票初次上櫃者，除管理股票外，自其櫃檯買賣開始日起連續五個營業日之交易，有下列情形之一時，</w:t>
            </w:r>
            <w:proofErr w:type="gramStart"/>
            <w:r>
              <w:rPr>
                <w:rFonts w:ascii="標楷體" w:eastAsia="標楷體" w:hAnsi="標楷體"/>
                <w:szCs w:val="24"/>
              </w:rPr>
              <w:t>準</w:t>
            </w:r>
            <w:proofErr w:type="gramEnd"/>
            <w:r>
              <w:rPr>
                <w:rFonts w:ascii="標楷體" w:eastAsia="標楷體" w:hAnsi="標楷體"/>
                <w:szCs w:val="24"/>
              </w:rPr>
              <w:t>用第一項及第三項關於通知證券商之規定：</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一、投資人於該證券商委託買賣該有價證券，其委託價格有下情形之一，且其委託數量累計達六百交易單位（或委託金額累計達新臺幣三千萬元）以上者：</w:t>
            </w:r>
          </w:p>
          <w:p w:rsidR="00105AAF" w:rsidRDefault="00105AAF" w:rsidP="000E49E8">
            <w:pPr>
              <w:snapToGrid w:val="0"/>
              <w:spacing w:line="280" w:lineRule="atLeast"/>
              <w:ind w:leftChars="10" w:left="264" w:hangingChars="100" w:hanging="240"/>
              <w:rPr>
                <w:rFonts w:ascii="標楷體" w:eastAsia="標楷體" w:hAnsi="標楷體"/>
                <w:szCs w:val="24"/>
              </w:rPr>
            </w:pPr>
            <w:r>
              <w:rPr>
                <w:rFonts w:ascii="標楷體" w:eastAsia="標楷體" w:hAnsi="標楷體"/>
                <w:szCs w:val="24"/>
              </w:rPr>
              <w:t>1.開盤前以高於當日開盤參考價百分之二十七以上之價格委託買進者；或以低於當日開盤參考價百分之二十七以上之價格委託賣出者。</w:t>
            </w:r>
          </w:p>
          <w:p w:rsidR="00105AAF" w:rsidRDefault="00105AAF" w:rsidP="000E49E8">
            <w:pPr>
              <w:snapToGrid w:val="0"/>
              <w:spacing w:line="280" w:lineRule="atLeast"/>
              <w:ind w:leftChars="10" w:left="264" w:hangingChars="100" w:hanging="240"/>
            </w:pPr>
            <w:r>
              <w:rPr>
                <w:rFonts w:ascii="標楷體" w:eastAsia="標楷體" w:hAnsi="標楷體"/>
                <w:szCs w:val="24"/>
              </w:rPr>
              <w:t>2.開盤後以高於委託當時成交揭示價百分之二十七以上之價格委託買進者；或以低於委託當時成交揭示</w:t>
            </w:r>
            <w:r>
              <w:rPr>
                <w:rFonts w:ascii="標楷體" w:eastAsia="標楷體" w:hAnsi="標楷體"/>
                <w:szCs w:val="24"/>
              </w:rPr>
              <w:lastRenderedPageBreak/>
              <w:t>價百分之二十七以上之價格委託賣出者。</w:t>
            </w:r>
          </w:p>
          <w:p w:rsidR="00105AAF" w:rsidRDefault="00105AAF" w:rsidP="00EB3214">
            <w:pPr>
              <w:snapToGrid w:val="0"/>
              <w:spacing w:line="280" w:lineRule="atLeast"/>
              <w:ind w:leftChars="10" w:left="504" w:hangingChars="200" w:hanging="480"/>
            </w:pPr>
            <w:r>
              <w:rPr>
                <w:rFonts w:ascii="標楷體" w:eastAsia="標楷體" w:hAnsi="標楷體"/>
                <w:szCs w:val="24"/>
              </w:rPr>
              <w:t>二、證券商受託買賣該有價證券，其委託價格有下情形之一，且其委託數量累計達三千交易單位或委託金額累計達新臺幣一億元或達該證券商淨值０．二五</w:t>
            </w:r>
            <w:proofErr w:type="gramStart"/>
            <w:r>
              <w:rPr>
                <w:rFonts w:ascii="標楷體" w:eastAsia="標楷體" w:hAnsi="標楷體"/>
                <w:szCs w:val="24"/>
              </w:rPr>
              <w:t>倍</w:t>
            </w:r>
            <w:proofErr w:type="gramEnd"/>
            <w:r>
              <w:rPr>
                <w:rFonts w:ascii="標楷體" w:eastAsia="標楷體" w:hAnsi="標楷體"/>
                <w:szCs w:val="24"/>
              </w:rPr>
              <w:t>以上者：</w:t>
            </w:r>
          </w:p>
          <w:p w:rsidR="00105AAF" w:rsidRDefault="00105AAF" w:rsidP="000E49E8">
            <w:pPr>
              <w:snapToGrid w:val="0"/>
              <w:spacing w:line="280" w:lineRule="atLeast"/>
              <w:ind w:leftChars="10" w:left="264" w:hangingChars="100" w:hanging="240"/>
            </w:pPr>
            <w:r>
              <w:rPr>
                <w:rFonts w:ascii="標楷體" w:eastAsia="標楷體" w:hAnsi="標楷體"/>
                <w:szCs w:val="24"/>
              </w:rPr>
              <w:t>1.開盤前以高於當日開盤參考價百分之二十七以上之價格委託買進者；或以低於當日開盤參考價百分之二十七以上之價格委託賣出者。</w:t>
            </w:r>
          </w:p>
          <w:p w:rsidR="00105AAF" w:rsidRDefault="00105AAF" w:rsidP="000E49E8">
            <w:pPr>
              <w:snapToGrid w:val="0"/>
              <w:spacing w:line="280" w:lineRule="atLeast"/>
              <w:ind w:leftChars="10" w:left="264" w:hangingChars="100" w:hanging="240"/>
            </w:pPr>
            <w:r>
              <w:rPr>
                <w:rFonts w:ascii="標楷體" w:eastAsia="標楷體" w:hAnsi="標楷體"/>
                <w:szCs w:val="24"/>
              </w:rPr>
              <w:t>2.開盤後以高於委託當時成交揭示價百分之二十七以上之價格委託買進者；或以低於委託當時成交揭示價百分之二十七以上之價格委託賣出者。</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證券商之綜合交易帳戶買賣前條所列之有價證券如達第一、三項標準時，本中心得通知證券商經理人注意，以確保證券交割安全。</w:t>
            </w:r>
          </w:p>
          <w:p w:rsidR="00105AAF" w:rsidRPr="004C1ACD" w:rsidRDefault="00105AAF" w:rsidP="00BB065A">
            <w:pPr>
              <w:snapToGrid w:val="0"/>
              <w:spacing w:line="280" w:lineRule="atLeast"/>
              <w:rPr>
                <w:rFonts w:ascii="Times New Roman" w:eastAsia="標楷體" w:hAnsi="Times New Roman" w:cs="Times New Roman"/>
                <w:bCs/>
                <w:color w:val="000000" w:themeColor="text1"/>
                <w:szCs w:val="24"/>
              </w:rPr>
            </w:pPr>
            <w:r>
              <w:rPr>
                <w:rFonts w:ascii="標楷體" w:eastAsia="標楷體" w:hAnsi="標楷體"/>
                <w:szCs w:val="24"/>
              </w:rPr>
              <w:t>有價證券交易單位低於一千單位（股、受益權單位、存託憑證單位等）者，其成交（委託）量交易單位數據標準，</w:t>
            </w:r>
            <w:proofErr w:type="gramStart"/>
            <w:r>
              <w:rPr>
                <w:rFonts w:ascii="標楷體" w:eastAsia="標楷體" w:hAnsi="標楷體"/>
                <w:szCs w:val="24"/>
              </w:rPr>
              <w:t>準</w:t>
            </w:r>
            <w:proofErr w:type="gramEnd"/>
            <w:r>
              <w:rPr>
                <w:rFonts w:ascii="標楷體" w:eastAsia="標楷體" w:hAnsi="標楷體"/>
                <w:szCs w:val="24"/>
              </w:rPr>
              <w:t>用第二條第六項之規定。</w:t>
            </w:r>
          </w:p>
        </w:tc>
        <w:tc>
          <w:tcPr>
            <w:tcW w:w="3148" w:type="dxa"/>
            <w:tcBorders>
              <w:bottom w:val="single" w:sz="4" w:space="0" w:color="auto"/>
            </w:tcBorders>
            <w:shd w:val="clear" w:color="auto" w:fill="auto"/>
          </w:tcPr>
          <w:p w:rsidR="00105AAF" w:rsidRDefault="00105AAF" w:rsidP="00105AAF">
            <w:pPr>
              <w:pStyle w:val="HTML"/>
              <w:spacing w:line="360" w:lineRule="exact"/>
              <w:ind w:left="240" w:hanging="240"/>
              <w:jc w:val="both"/>
              <w:rPr>
                <w:rFonts w:ascii="標楷體" w:eastAsia="標楷體" w:hAnsi="標楷體"/>
                <w:sz w:val="24"/>
                <w:szCs w:val="24"/>
              </w:rPr>
            </w:pPr>
            <w:r>
              <w:rPr>
                <w:rFonts w:ascii="標楷體" w:eastAsia="標楷體" w:hAnsi="標楷體"/>
                <w:sz w:val="24"/>
                <w:szCs w:val="24"/>
              </w:rPr>
              <w:lastRenderedPageBreak/>
              <w:t>第三條</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本中心分析發現證券商當日受託買賣前</w:t>
            </w:r>
            <w:r w:rsidRPr="00767666">
              <w:rPr>
                <w:rFonts w:ascii="標楷體" w:eastAsia="標楷體" w:hAnsi="標楷體"/>
                <w:szCs w:val="24"/>
                <w:u w:val="single"/>
              </w:rPr>
              <w:t>點</w:t>
            </w:r>
            <w:r>
              <w:rPr>
                <w:rFonts w:ascii="標楷體" w:eastAsia="標楷體" w:hAnsi="標楷體"/>
                <w:szCs w:val="24"/>
              </w:rPr>
              <w:t>所列之有價證券有下列情形之一時，即於收盤後以書面通知該證券商內部稽核主管或營業部門主管，並副知該證券商總公司總經理，外國證券商在台設立分支機構者，通知其分公司經理人注意，以確保證券交割安全。</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一、投資人於該證券商委託買賣該</w:t>
            </w:r>
            <w:r w:rsidRPr="00BB065A">
              <w:rPr>
                <w:rFonts w:ascii="Times New Roman" w:eastAsia="標楷體" w:hAnsi="Times New Roman" w:cs="Times New Roman"/>
                <w:bCs/>
                <w:color w:val="000000" w:themeColor="text1"/>
                <w:szCs w:val="24"/>
              </w:rPr>
              <w:t>有價證券</w:t>
            </w:r>
            <w:r>
              <w:rPr>
                <w:rFonts w:ascii="標楷體" w:eastAsia="標楷體" w:hAnsi="標楷體"/>
                <w:szCs w:val="24"/>
              </w:rPr>
              <w:t>之差額超過新臺幣二億元並超過該證券商淨值０．一二五</w:t>
            </w:r>
            <w:proofErr w:type="gramStart"/>
            <w:r>
              <w:rPr>
                <w:rFonts w:ascii="標楷體" w:eastAsia="標楷體" w:hAnsi="標楷體"/>
                <w:szCs w:val="24"/>
              </w:rPr>
              <w:t>倍</w:t>
            </w:r>
            <w:proofErr w:type="gramEnd"/>
            <w:r>
              <w:rPr>
                <w:rFonts w:ascii="標楷體" w:eastAsia="標楷體" w:hAnsi="標楷體"/>
                <w:szCs w:val="24"/>
              </w:rPr>
              <w:t>，且其委託買進（賣出）金額占該有價證券總委託買進（賣出）金額百分之二十以上。</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二、證券商受託買賣該有價證券之差額</w:t>
            </w:r>
            <w:r w:rsidRPr="00BB065A">
              <w:rPr>
                <w:rFonts w:ascii="Times New Roman" w:eastAsia="標楷體" w:hAnsi="Times New Roman" w:cs="Times New Roman"/>
                <w:bCs/>
                <w:color w:val="000000" w:themeColor="text1"/>
                <w:szCs w:val="24"/>
              </w:rPr>
              <w:t>超過</w:t>
            </w:r>
            <w:r>
              <w:rPr>
                <w:rFonts w:ascii="標楷體" w:eastAsia="標楷體" w:hAnsi="標楷體"/>
                <w:szCs w:val="24"/>
              </w:rPr>
              <w:t>新臺幣三億元並超過該證券商淨值０．二五</w:t>
            </w:r>
            <w:proofErr w:type="gramStart"/>
            <w:r>
              <w:rPr>
                <w:rFonts w:ascii="標楷體" w:eastAsia="標楷體" w:hAnsi="標楷體"/>
                <w:szCs w:val="24"/>
              </w:rPr>
              <w:t>倍</w:t>
            </w:r>
            <w:proofErr w:type="gramEnd"/>
            <w:r>
              <w:rPr>
                <w:rFonts w:ascii="標楷體" w:eastAsia="標楷體" w:hAnsi="標楷體"/>
                <w:szCs w:val="24"/>
              </w:rPr>
              <w:t>，且其受託買進（賣出）金額占該有價證券總委託買進（賣出）金額百分之四十以上。</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三、投資人於該證券商成交買賣該有價證券之差額超過新臺幣五</w:t>
            </w:r>
            <w:r w:rsidRPr="00BB065A">
              <w:rPr>
                <w:rFonts w:ascii="Times New Roman" w:eastAsia="標楷體" w:hAnsi="Times New Roman" w:cs="Times New Roman"/>
                <w:bCs/>
                <w:color w:val="000000" w:themeColor="text1"/>
                <w:szCs w:val="24"/>
              </w:rPr>
              <w:t>仟萬</w:t>
            </w:r>
            <w:r>
              <w:rPr>
                <w:rFonts w:ascii="標楷體" w:eastAsia="標楷體" w:hAnsi="標楷體"/>
                <w:szCs w:val="24"/>
              </w:rPr>
              <w:t>元並超過該證券商淨值之０．０五倍，且其成交買進或賣出金額占該有價證券總成交金額之百分之十以上。</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四、證券商成交買賣該有價證券之差額超過新臺幣</w:t>
            </w:r>
            <w:r w:rsidRPr="00BB065A">
              <w:rPr>
                <w:rFonts w:ascii="Times New Roman" w:eastAsia="標楷體" w:hAnsi="Times New Roman" w:cs="Times New Roman"/>
                <w:bCs/>
                <w:color w:val="000000" w:themeColor="text1"/>
                <w:szCs w:val="24"/>
              </w:rPr>
              <w:t>一億</w:t>
            </w:r>
            <w:r>
              <w:rPr>
                <w:rFonts w:ascii="標楷體" w:eastAsia="標楷體" w:hAnsi="標楷體"/>
                <w:szCs w:val="24"/>
              </w:rPr>
              <w:t>元並超過該證券商淨值０．一二五</w:t>
            </w:r>
            <w:proofErr w:type="gramStart"/>
            <w:r>
              <w:rPr>
                <w:rFonts w:ascii="標楷體" w:eastAsia="標楷體" w:hAnsi="標楷體"/>
                <w:szCs w:val="24"/>
              </w:rPr>
              <w:t>倍</w:t>
            </w:r>
            <w:proofErr w:type="gramEnd"/>
            <w:r>
              <w:rPr>
                <w:rFonts w:ascii="標楷體" w:eastAsia="標楷體" w:hAnsi="標楷體"/>
                <w:szCs w:val="24"/>
              </w:rPr>
              <w:t>，且其成交買進或賣出金額占該有價證券總成交金額之百分之二十以上。</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五、證券商受託買賣該有價證券之合計</w:t>
            </w:r>
            <w:r w:rsidRPr="00BB065A">
              <w:rPr>
                <w:rFonts w:ascii="Times New Roman" w:eastAsia="標楷體" w:hAnsi="Times New Roman" w:cs="Times New Roman"/>
                <w:bCs/>
                <w:color w:val="000000" w:themeColor="text1"/>
                <w:szCs w:val="24"/>
              </w:rPr>
              <w:t>金額</w:t>
            </w:r>
            <w:r>
              <w:rPr>
                <w:rFonts w:ascii="標楷體" w:eastAsia="標楷體" w:hAnsi="標楷體"/>
                <w:szCs w:val="24"/>
              </w:rPr>
              <w:t>超過新</w:t>
            </w:r>
            <w:r>
              <w:rPr>
                <w:rFonts w:ascii="標楷體" w:eastAsia="標楷體" w:hAnsi="標楷體"/>
                <w:szCs w:val="24"/>
              </w:rPr>
              <w:lastRenderedPageBreak/>
              <w:t>臺幣四億元並超過該證券商淨值０．一倍，且其受託買賣合計金額占該有價證券總委託買賣金額逾百分之四十。</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六、</w:t>
            </w:r>
            <w:r w:rsidRPr="00BB065A">
              <w:rPr>
                <w:rFonts w:ascii="Times New Roman" w:eastAsia="標楷體" w:hAnsi="Times New Roman" w:cs="Times New Roman"/>
                <w:bCs/>
                <w:color w:val="000000" w:themeColor="text1"/>
                <w:szCs w:val="24"/>
              </w:rPr>
              <w:t>證券商成交買賣該有價證券之合計金額</w:t>
            </w:r>
            <w:r>
              <w:rPr>
                <w:rFonts w:ascii="標楷體" w:eastAsia="標楷體" w:hAnsi="標楷體"/>
                <w:szCs w:val="24"/>
              </w:rPr>
              <w:t>超過新臺幣一億五千萬元並超過該證券商淨值０．一倍，且其成交買賣合計金額占該有價證券總成交金額之百分之二十以上。</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實收資本額未達新臺幣八千萬元之</w:t>
            </w:r>
            <w:r w:rsidRPr="00BB065A">
              <w:rPr>
                <w:rFonts w:ascii="Times New Roman" w:eastAsia="標楷體" w:hAnsi="Times New Roman" w:cs="Times New Roman"/>
                <w:bCs/>
                <w:color w:val="000000" w:themeColor="text1"/>
                <w:szCs w:val="24"/>
              </w:rPr>
              <w:t>發行公司</w:t>
            </w:r>
            <w:r>
              <w:rPr>
                <w:rFonts w:ascii="標楷體" w:eastAsia="標楷體" w:hAnsi="標楷體"/>
                <w:szCs w:val="24"/>
              </w:rPr>
              <w:t>股票於前項有關買賣金額標準減至二分之一。</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本中心對於達第一項第一款、</w:t>
            </w:r>
            <w:r w:rsidRPr="00BB065A">
              <w:rPr>
                <w:rFonts w:ascii="Times New Roman" w:eastAsia="標楷體" w:hAnsi="Times New Roman" w:cs="Times New Roman"/>
                <w:bCs/>
                <w:color w:val="000000" w:themeColor="text1"/>
                <w:szCs w:val="24"/>
              </w:rPr>
              <w:t>第二</w:t>
            </w:r>
            <w:r>
              <w:rPr>
                <w:rFonts w:ascii="標楷體" w:eastAsia="標楷體" w:hAnsi="標楷體"/>
                <w:szCs w:val="24"/>
              </w:rPr>
              <w:t>款或第五款規定之證券商，應於買賣申報之委託或交易時間內先以電話通知第一項人員。</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股票初次上櫃者，除管理股票外，自其櫃檯買賣開始日起連續五個營業日之交易，有下列情形之一時，</w:t>
            </w:r>
            <w:proofErr w:type="gramStart"/>
            <w:r>
              <w:rPr>
                <w:rFonts w:ascii="標楷體" w:eastAsia="標楷體" w:hAnsi="標楷體"/>
                <w:szCs w:val="24"/>
              </w:rPr>
              <w:t>準</w:t>
            </w:r>
            <w:proofErr w:type="gramEnd"/>
            <w:r>
              <w:rPr>
                <w:rFonts w:ascii="標楷體" w:eastAsia="標楷體" w:hAnsi="標楷體"/>
                <w:szCs w:val="24"/>
              </w:rPr>
              <w:t>用第一項及第三項關於通知證券商之規定：</w:t>
            </w:r>
          </w:p>
          <w:p w:rsidR="00105AAF" w:rsidRDefault="00105AAF" w:rsidP="00BB065A">
            <w:pPr>
              <w:snapToGrid w:val="0"/>
              <w:spacing w:line="280" w:lineRule="atLeast"/>
              <w:ind w:leftChars="10" w:left="504" w:hangingChars="200" w:hanging="480"/>
              <w:rPr>
                <w:rFonts w:ascii="標楷體" w:eastAsia="標楷體" w:hAnsi="標楷體"/>
                <w:szCs w:val="24"/>
              </w:rPr>
            </w:pPr>
            <w:r>
              <w:rPr>
                <w:rFonts w:ascii="標楷體" w:eastAsia="標楷體" w:hAnsi="標楷體"/>
                <w:szCs w:val="24"/>
              </w:rPr>
              <w:t>一、投資人於該證券商委託買賣該</w:t>
            </w:r>
            <w:r w:rsidRPr="00BB065A">
              <w:rPr>
                <w:rFonts w:ascii="Times New Roman" w:eastAsia="標楷體" w:hAnsi="Times New Roman" w:cs="Times New Roman"/>
                <w:bCs/>
                <w:color w:val="000000" w:themeColor="text1"/>
                <w:szCs w:val="24"/>
              </w:rPr>
              <w:t>有價證券</w:t>
            </w:r>
            <w:r>
              <w:rPr>
                <w:rFonts w:ascii="標楷體" w:eastAsia="標楷體" w:hAnsi="標楷體"/>
                <w:szCs w:val="24"/>
              </w:rPr>
              <w:t>，其委託價格有下</w:t>
            </w:r>
            <w:r w:rsidRPr="00BB065A">
              <w:rPr>
                <w:rFonts w:ascii="Times New Roman" w:eastAsia="標楷體" w:hAnsi="Times New Roman" w:cs="Times New Roman"/>
                <w:bCs/>
                <w:color w:val="000000" w:themeColor="text1"/>
                <w:szCs w:val="24"/>
              </w:rPr>
              <w:t>情形</w:t>
            </w:r>
            <w:r>
              <w:rPr>
                <w:rFonts w:ascii="標楷體" w:eastAsia="標楷體" w:hAnsi="標楷體"/>
                <w:szCs w:val="24"/>
              </w:rPr>
              <w:t>之一，且其委託數量累計達六百交易單位（或委託金額累計達新臺幣三千萬元）以上者：</w:t>
            </w:r>
          </w:p>
          <w:p w:rsidR="00105AAF" w:rsidRDefault="00105AAF" w:rsidP="000E49E8">
            <w:pPr>
              <w:snapToGrid w:val="0"/>
              <w:spacing w:line="280" w:lineRule="atLeast"/>
              <w:ind w:leftChars="10" w:left="264" w:hangingChars="100" w:hanging="240"/>
              <w:rPr>
                <w:rFonts w:ascii="標楷體" w:eastAsia="標楷體" w:hAnsi="標楷體"/>
                <w:szCs w:val="24"/>
              </w:rPr>
            </w:pPr>
            <w:r>
              <w:rPr>
                <w:rFonts w:ascii="標楷體" w:eastAsia="標楷體" w:hAnsi="標楷體"/>
                <w:szCs w:val="24"/>
              </w:rPr>
              <w:t>1.開盤前以高於當日開盤參考價百分之二十七以上之價格委託買進者；或以低於當日開盤參考價百分之二十七以上之價格委託賣出者。</w:t>
            </w:r>
          </w:p>
          <w:p w:rsidR="00105AAF" w:rsidRDefault="00105AAF" w:rsidP="000E49E8">
            <w:pPr>
              <w:snapToGrid w:val="0"/>
              <w:spacing w:line="280" w:lineRule="atLeast"/>
              <w:ind w:leftChars="10" w:left="264" w:hangingChars="100" w:hanging="240"/>
            </w:pPr>
            <w:r>
              <w:rPr>
                <w:rFonts w:ascii="標楷體" w:eastAsia="標楷體" w:hAnsi="標楷體"/>
                <w:szCs w:val="24"/>
              </w:rPr>
              <w:t>2.開盤後以高於委託當時成交揭示價百分之二十七以上之價格委託買進者；或以低於委託當時成交揭示</w:t>
            </w:r>
            <w:r>
              <w:rPr>
                <w:rFonts w:ascii="標楷體" w:eastAsia="標楷體" w:hAnsi="標楷體"/>
                <w:szCs w:val="24"/>
              </w:rPr>
              <w:lastRenderedPageBreak/>
              <w:t>價百分之二十七以上之價格委託賣出者。</w:t>
            </w:r>
          </w:p>
          <w:p w:rsidR="00105AAF" w:rsidRDefault="00105AAF" w:rsidP="00EB3214">
            <w:pPr>
              <w:snapToGrid w:val="0"/>
              <w:spacing w:line="280" w:lineRule="atLeast"/>
              <w:ind w:leftChars="10" w:left="504" w:hangingChars="200" w:hanging="480"/>
            </w:pPr>
            <w:r>
              <w:rPr>
                <w:rFonts w:ascii="標楷體" w:eastAsia="標楷體" w:hAnsi="標楷體"/>
                <w:szCs w:val="24"/>
              </w:rPr>
              <w:t>二、證券商受託買賣該有價證券，其委託價格有下情形之一，且其委託數量累計達</w:t>
            </w:r>
            <w:r w:rsidRPr="00BB065A">
              <w:rPr>
                <w:rFonts w:ascii="Times New Roman" w:eastAsia="標楷體" w:hAnsi="Times New Roman" w:cs="Times New Roman"/>
                <w:bCs/>
                <w:color w:val="000000" w:themeColor="text1"/>
                <w:szCs w:val="24"/>
              </w:rPr>
              <w:t>三千</w:t>
            </w:r>
            <w:r>
              <w:rPr>
                <w:rFonts w:ascii="標楷體" w:eastAsia="標楷體" w:hAnsi="標楷體"/>
                <w:szCs w:val="24"/>
              </w:rPr>
              <w:t>交易單位或委託金額累計達新臺幣一億元或達該證券商淨值０．二五</w:t>
            </w:r>
            <w:proofErr w:type="gramStart"/>
            <w:r>
              <w:rPr>
                <w:rFonts w:ascii="標楷體" w:eastAsia="標楷體" w:hAnsi="標楷體"/>
                <w:szCs w:val="24"/>
              </w:rPr>
              <w:t>倍</w:t>
            </w:r>
            <w:proofErr w:type="gramEnd"/>
            <w:r>
              <w:rPr>
                <w:rFonts w:ascii="標楷體" w:eastAsia="標楷體" w:hAnsi="標楷體"/>
                <w:szCs w:val="24"/>
              </w:rPr>
              <w:t>以上者：</w:t>
            </w:r>
          </w:p>
          <w:p w:rsidR="00105AAF" w:rsidRDefault="00105AAF" w:rsidP="000E49E8">
            <w:pPr>
              <w:snapToGrid w:val="0"/>
              <w:spacing w:line="280" w:lineRule="atLeast"/>
              <w:ind w:leftChars="10" w:left="264" w:hangingChars="100" w:hanging="240"/>
            </w:pPr>
            <w:r>
              <w:rPr>
                <w:rFonts w:ascii="標楷體" w:eastAsia="標楷體" w:hAnsi="標楷體"/>
                <w:szCs w:val="24"/>
              </w:rPr>
              <w:t>1.開盤前以高於當日開盤參考價百分之二十七以上之價格委託買進者；或以低於當日開盤參考價百分之二十七以上之價格委託賣出者。</w:t>
            </w:r>
          </w:p>
          <w:p w:rsidR="00105AAF" w:rsidRDefault="00105AAF" w:rsidP="000E49E8">
            <w:pPr>
              <w:snapToGrid w:val="0"/>
              <w:spacing w:line="280" w:lineRule="atLeast"/>
              <w:ind w:leftChars="10" w:left="264" w:hangingChars="100" w:hanging="240"/>
            </w:pPr>
            <w:r>
              <w:rPr>
                <w:rFonts w:ascii="標楷體" w:eastAsia="標楷體" w:hAnsi="標楷體"/>
                <w:szCs w:val="24"/>
              </w:rPr>
              <w:t>2.開盤後以高於委託當時成交揭示價百分之二十七以上之價格委託買進者；或以低於委託當時成交揭示價百分之二十七以上之價格委託賣出者。</w:t>
            </w:r>
          </w:p>
          <w:p w:rsidR="00105AAF" w:rsidRDefault="00105AAF" w:rsidP="00BB065A">
            <w:pPr>
              <w:snapToGrid w:val="0"/>
              <w:spacing w:line="280" w:lineRule="atLeast"/>
              <w:rPr>
                <w:rFonts w:ascii="標楷體" w:eastAsia="標楷體" w:hAnsi="標楷體"/>
                <w:szCs w:val="24"/>
              </w:rPr>
            </w:pPr>
            <w:r>
              <w:rPr>
                <w:rFonts w:ascii="標楷體" w:eastAsia="標楷體" w:hAnsi="標楷體"/>
                <w:szCs w:val="24"/>
              </w:rPr>
              <w:t>證券商之綜合交易帳戶買賣前條所列之有價證券如達第一、三項標準時，本中心得通知證券商經理人注意，以確保證券交割安全。</w:t>
            </w:r>
          </w:p>
          <w:p w:rsidR="00105AAF" w:rsidRPr="004C1ACD" w:rsidRDefault="00105AAF" w:rsidP="00BB065A">
            <w:pPr>
              <w:snapToGrid w:val="0"/>
              <w:spacing w:line="280" w:lineRule="atLeast"/>
              <w:rPr>
                <w:rFonts w:ascii="Times New Roman" w:eastAsia="標楷體" w:hAnsi="Times New Roman" w:cs="Times New Roman"/>
                <w:bCs/>
                <w:color w:val="000000" w:themeColor="text1"/>
                <w:szCs w:val="24"/>
              </w:rPr>
            </w:pPr>
            <w:r>
              <w:rPr>
                <w:rFonts w:ascii="標楷體" w:eastAsia="標楷體" w:hAnsi="標楷體"/>
                <w:szCs w:val="24"/>
              </w:rPr>
              <w:t>有價證券交易單位低於一千單位（股、受益權單位、存託憑證單位等）者，其成交（委託）量交易單位數據標準，</w:t>
            </w:r>
            <w:proofErr w:type="gramStart"/>
            <w:r>
              <w:rPr>
                <w:rFonts w:ascii="標楷體" w:eastAsia="標楷體" w:hAnsi="標楷體"/>
                <w:szCs w:val="24"/>
              </w:rPr>
              <w:t>準</w:t>
            </w:r>
            <w:proofErr w:type="gramEnd"/>
            <w:r>
              <w:rPr>
                <w:rFonts w:ascii="標楷體" w:eastAsia="標楷體" w:hAnsi="標楷體"/>
                <w:szCs w:val="24"/>
              </w:rPr>
              <w:t>用第二條第六項之規定。</w:t>
            </w:r>
          </w:p>
        </w:tc>
        <w:tc>
          <w:tcPr>
            <w:tcW w:w="3061" w:type="dxa"/>
            <w:tcBorders>
              <w:bottom w:val="single" w:sz="4" w:space="0" w:color="auto"/>
            </w:tcBorders>
            <w:shd w:val="clear" w:color="auto" w:fill="auto"/>
          </w:tcPr>
          <w:p w:rsidR="00105AAF" w:rsidRPr="00105AAF" w:rsidRDefault="00767666" w:rsidP="00695C98">
            <w:pPr>
              <w:widowControl/>
              <w:jc w:val="both"/>
              <w:rPr>
                <w:rFonts w:ascii="Times New Roman" w:eastAsia="標楷體" w:hAnsi="Times New Roman" w:cs="Times New Roman"/>
                <w:bCs/>
                <w:color w:val="000000" w:themeColor="text1"/>
                <w:szCs w:val="24"/>
              </w:rPr>
            </w:pPr>
            <w:r>
              <w:rPr>
                <w:rFonts w:ascii="標楷體" w:eastAsia="標楷體" w:hAnsi="標楷體"/>
                <w:szCs w:val="24"/>
              </w:rPr>
              <w:lastRenderedPageBreak/>
              <w:t>考量個股交易情形及該公司財務業務狀況，並視投資人交割風險，於買賣申報之委託或交易時間內，對於達本條第1項第1款、第2款或第5款者，彈性通知該證券商注意證券交割安全。</w:t>
            </w:r>
          </w:p>
        </w:tc>
      </w:tr>
      <w:tr w:rsidR="004C1ACD" w:rsidRPr="004C1ACD" w:rsidTr="001D228D">
        <w:tc>
          <w:tcPr>
            <w:tcW w:w="3147" w:type="dxa"/>
            <w:tcBorders>
              <w:bottom w:val="single" w:sz="4" w:space="0" w:color="auto"/>
            </w:tcBorders>
          </w:tcPr>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lastRenderedPageBreak/>
              <w:t>第四條</w:t>
            </w:r>
          </w:p>
          <w:p w:rsidR="00CC4D3D" w:rsidRPr="004C1ACD" w:rsidRDefault="00CC4D3D" w:rsidP="00CC4D3D">
            <w:pPr>
              <w:snapToGrid w:val="0"/>
              <w:rPr>
                <w:rFonts w:ascii="標楷體" w:eastAsia="標楷體" w:hAnsi="標楷體"/>
                <w:color w:val="000000" w:themeColor="text1"/>
              </w:rPr>
            </w:pPr>
            <w:r w:rsidRPr="004C1ACD">
              <w:rPr>
                <w:rFonts w:ascii="標楷體" w:eastAsia="標楷體" w:hAnsi="標楷體" w:hint="eastAsia"/>
                <w:color w:val="000000" w:themeColor="text1"/>
              </w:rPr>
              <w:t>本中心每日於交易時間結束後，即分析等價、等</w:t>
            </w:r>
            <w:proofErr w:type="gramStart"/>
            <w:r w:rsidRPr="004C1ACD">
              <w:rPr>
                <w:rFonts w:ascii="標楷體" w:eastAsia="標楷體" w:hAnsi="標楷體" w:hint="eastAsia"/>
                <w:color w:val="000000" w:themeColor="text1"/>
              </w:rPr>
              <w:t>殖</w:t>
            </w:r>
            <w:proofErr w:type="gramEnd"/>
            <w:r w:rsidRPr="004C1ACD">
              <w:rPr>
                <w:rFonts w:ascii="標楷體" w:eastAsia="標楷體" w:hAnsi="標楷體" w:hint="eastAsia"/>
                <w:color w:val="000000" w:themeColor="text1"/>
              </w:rPr>
              <w:t>成交系統有價證券之交易，發現有下列情形之一時，公告其交易資訊（漲跌幅度、成交量、週轉率、集中度、本益比、股價淨值比、</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資比、溢折價百分比、借</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賣出等）：</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一、最近一段期間累積之最後成交價漲跌百分比異</w:t>
            </w:r>
            <w:r w:rsidRPr="004C1ACD">
              <w:rPr>
                <w:rFonts w:ascii="標楷體" w:eastAsia="標楷體" w:hAnsi="標楷體" w:hint="eastAsia"/>
                <w:color w:val="000000" w:themeColor="text1"/>
              </w:rPr>
              <w:lastRenderedPageBreak/>
              <w:t>常者。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二、最近一段期間起、迄兩個營業日之最後成交價漲跌百分比異常者。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三、最近一段期間累積之最後成交價漲跌百分比異常，且其當日之成交量</w:t>
            </w:r>
            <w:r w:rsidR="004C1ACD">
              <w:rPr>
                <w:rFonts w:ascii="標楷體" w:eastAsia="標楷體" w:hAnsi="標楷體" w:hint="eastAsia"/>
                <w:color w:val="000000" w:themeColor="text1"/>
              </w:rPr>
              <w:t>較</w:t>
            </w:r>
            <w:r w:rsidRPr="004C1ACD">
              <w:rPr>
                <w:rFonts w:ascii="標楷體" w:eastAsia="標楷體" w:hAnsi="標楷體" w:hint="eastAsia"/>
                <w:color w:val="000000" w:themeColor="text1"/>
              </w:rPr>
              <w:t>最近一段期間之日平均成交量異常放大者。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四、最近一段期間累積之最後成交價漲跌百分比異常，且其當日之週轉率</w:t>
            </w:r>
            <w:r w:rsidR="004C1ACD">
              <w:rPr>
                <w:rFonts w:ascii="標楷體" w:eastAsia="標楷體" w:hAnsi="標楷體" w:hint="eastAsia"/>
                <w:color w:val="000000" w:themeColor="text1"/>
              </w:rPr>
              <w:t>過</w:t>
            </w:r>
            <w:r w:rsidRPr="004C1ACD">
              <w:rPr>
                <w:rFonts w:ascii="標楷體" w:eastAsia="標楷體" w:hAnsi="標楷體" w:hint="eastAsia"/>
                <w:color w:val="000000" w:themeColor="text1"/>
              </w:rPr>
              <w:t>高者。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五、最近一段期間累積之最後成交價漲跌百分比異常，且證券商當日受託買賣該有價證券之成交買進或賣出數量，占當日該有價證券總成交量比率過高者。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b/>
                <w:color w:val="000000" w:themeColor="text1"/>
                <w:u w:val="single"/>
              </w:rPr>
              <w:t>六</w:t>
            </w:r>
            <w:r w:rsidRPr="004C1ACD">
              <w:rPr>
                <w:rFonts w:ascii="標楷體" w:eastAsia="標楷體" w:hAnsi="標楷體" w:hint="eastAsia"/>
                <w:color w:val="000000" w:themeColor="text1"/>
              </w:rPr>
              <w:t>、本益比、股價淨值比及當日週轉率</w:t>
            </w:r>
            <w:r w:rsidRPr="00EB3214">
              <w:rPr>
                <w:rFonts w:ascii="Times New Roman" w:eastAsia="標楷體" w:hAnsi="Times New Roman" w:cs="Times New Roman" w:hint="eastAsia"/>
                <w:bCs/>
                <w:color w:val="000000" w:themeColor="text1"/>
                <w:szCs w:val="24"/>
              </w:rPr>
              <w:t>過高</w:t>
            </w:r>
            <w:r w:rsidRPr="004C1ACD">
              <w:rPr>
                <w:rFonts w:ascii="標楷體" w:eastAsia="標楷體" w:hAnsi="標楷體" w:hint="eastAsia"/>
                <w:color w:val="000000" w:themeColor="text1"/>
              </w:rPr>
              <w:t>，且符合其所屬產業類別股價淨值比偏高、任</w:t>
            </w:r>
            <w:proofErr w:type="gramStart"/>
            <w:r w:rsidRPr="004C1ACD">
              <w:rPr>
                <w:rFonts w:ascii="標楷體" w:eastAsia="標楷體" w:hAnsi="標楷體" w:hint="eastAsia"/>
                <w:color w:val="000000" w:themeColor="text1"/>
              </w:rPr>
              <w:t>一</w:t>
            </w:r>
            <w:proofErr w:type="gramEnd"/>
            <w:r w:rsidRPr="004C1ACD">
              <w:rPr>
                <w:rFonts w:ascii="標楷體" w:eastAsia="標楷體" w:hAnsi="標楷體" w:hint="eastAsia"/>
                <w:color w:val="000000" w:themeColor="text1"/>
              </w:rPr>
              <w:t>證券商當日成交買進或賣出金額占當日該有價證券總成交金額比率過高或任</w:t>
            </w:r>
            <w:proofErr w:type="gramStart"/>
            <w:r w:rsidRPr="004C1ACD">
              <w:rPr>
                <w:rFonts w:ascii="標楷體" w:eastAsia="標楷體" w:hAnsi="標楷體" w:hint="eastAsia"/>
                <w:color w:val="000000" w:themeColor="text1"/>
              </w:rPr>
              <w:t>一</w:t>
            </w:r>
            <w:proofErr w:type="gramEnd"/>
            <w:r w:rsidRPr="004C1ACD">
              <w:rPr>
                <w:rFonts w:ascii="標楷體" w:eastAsia="標楷體" w:hAnsi="標楷體" w:hint="eastAsia"/>
                <w:color w:val="000000" w:themeColor="text1"/>
              </w:rPr>
              <w:t>投資人當日成交買進或賣出金額占當日該有價證券總成交金額比率過高等三種情形之</w:t>
            </w:r>
            <w:proofErr w:type="gramStart"/>
            <w:r w:rsidRPr="004C1ACD">
              <w:rPr>
                <w:rFonts w:ascii="標楷體" w:eastAsia="標楷體" w:hAnsi="標楷體" w:hint="eastAsia"/>
                <w:color w:val="000000" w:themeColor="text1"/>
              </w:rPr>
              <w:t>一</w:t>
            </w:r>
            <w:proofErr w:type="gramEnd"/>
            <w:r w:rsidRPr="004C1ACD">
              <w:rPr>
                <w:rFonts w:ascii="標楷體" w:eastAsia="標楷體" w:hAnsi="標楷體" w:hint="eastAsia"/>
                <w:color w:val="000000" w:themeColor="text1"/>
              </w:rPr>
              <w:t>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b/>
                <w:color w:val="000000" w:themeColor="text1"/>
                <w:u w:val="single"/>
              </w:rPr>
              <w:t>七</w:t>
            </w:r>
            <w:r w:rsidRPr="004C1ACD">
              <w:rPr>
                <w:rFonts w:ascii="標楷體" w:eastAsia="標楷體" w:hAnsi="標楷體" w:hint="eastAsia"/>
                <w:color w:val="000000" w:themeColor="text1"/>
              </w:rPr>
              <w:t>、最近一段</w:t>
            </w:r>
            <w:r w:rsidRPr="00EB3214">
              <w:rPr>
                <w:rFonts w:ascii="Times New Roman" w:eastAsia="標楷體" w:hAnsi="Times New Roman" w:cs="Times New Roman" w:hint="eastAsia"/>
                <w:bCs/>
                <w:color w:val="000000" w:themeColor="text1"/>
                <w:szCs w:val="24"/>
              </w:rPr>
              <w:t>期間</w:t>
            </w:r>
            <w:r w:rsidRPr="004C1ACD">
              <w:rPr>
                <w:rFonts w:ascii="標楷體" w:eastAsia="標楷體" w:hAnsi="標楷體" w:hint="eastAsia"/>
                <w:color w:val="000000" w:themeColor="text1"/>
              </w:rPr>
              <w:t>累積之最後成交價漲跌百分比異常，且</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資比明顯放大者。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b/>
                <w:color w:val="000000" w:themeColor="text1"/>
                <w:u w:val="single"/>
              </w:rPr>
              <w:t>八</w:t>
            </w:r>
            <w:r w:rsidRPr="004C1ACD">
              <w:rPr>
                <w:rFonts w:ascii="標楷體" w:eastAsia="標楷體" w:hAnsi="標楷體" w:hint="eastAsia"/>
                <w:color w:val="000000" w:themeColor="text1"/>
              </w:rPr>
              <w:t>、臺灣存託憑證最後成交價與其表彰</w:t>
            </w:r>
            <w:r w:rsidRPr="00EB3214">
              <w:rPr>
                <w:rFonts w:ascii="Times New Roman" w:eastAsia="標楷體" w:hAnsi="Times New Roman" w:cs="Times New Roman" w:hint="eastAsia"/>
                <w:bCs/>
                <w:color w:val="000000" w:themeColor="text1"/>
                <w:szCs w:val="24"/>
              </w:rPr>
              <w:t>股票</w:t>
            </w:r>
            <w:r w:rsidRPr="004C1ACD">
              <w:rPr>
                <w:rFonts w:ascii="標楷體" w:eastAsia="標楷體" w:hAnsi="標楷體" w:hint="eastAsia"/>
                <w:color w:val="000000" w:themeColor="text1"/>
              </w:rPr>
              <w:t>所屬國交易市場最後成交價計算</w:t>
            </w:r>
            <w:proofErr w:type="gramStart"/>
            <w:r w:rsidRPr="004C1ACD">
              <w:rPr>
                <w:rFonts w:ascii="標楷體" w:eastAsia="標楷體" w:hAnsi="標楷體" w:hint="eastAsia"/>
                <w:color w:val="000000" w:themeColor="text1"/>
              </w:rPr>
              <w:t>之溢折價</w:t>
            </w:r>
            <w:proofErr w:type="gramEnd"/>
            <w:r w:rsidRPr="004C1ACD">
              <w:rPr>
                <w:rFonts w:ascii="標楷體" w:eastAsia="標楷體" w:hAnsi="標楷體" w:hint="eastAsia"/>
                <w:color w:val="000000" w:themeColor="text1"/>
              </w:rPr>
              <w:t>百分比異常者。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b/>
                <w:color w:val="000000" w:themeColor="text1"/>
                <w:u w:val="single"/>
              </w:rPr>
              <w:t>九</w:t>
            </w:r>
            <w:r w:rsidRPr="004C1ACD">
              <w:rPr>
                <w:rFonts w:ascii="標楷體" w:eastAsia="標楷體" w:hAnsi="標楷體" w:hint="eastAsia"/>
                <w:color w:val="000000" w:themeColor="text1"/>
              </w:rPr>
              <w:t>、當日及最近數日之日平均成交量較</w:t>
            </w:r>
            <w:r w:rsidRPr="00EB3214">
              <w:rPr>
                <w:rFonts w:ascii="Times New Roman" w:eastAsia="標楷體" w:hAnsi="Times New Roman" w:cs="Times New Roman" w:hint="eastAsia"/>
                <w:bCs/>
                <w:color w:val="000000" w:themeColor="text1"/>
                <w:szCs w:val="24"/>
              </w:rPr>
              <w:t>最近</w:t>
            </w:r>
            <w:r w:rsidRPr="004C1ACD">
              <w:rPr>
                <w:rFonts w:ascii="標楷體" w:eastAsia="標楷體" w:hAnsi="標楷體" w:hint="eastAsia"/>
                <w:color w:val="000000" w:themeColor="text1"/>
              </w:rPr>
              <w:t>一段期間之日平均成交量明顯放大者。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b/>
                <w:color w:val="000000" w:themeColor="text1"/>
                <w:u w:val="single"/>
              </w:rPr>
              <w:lastRenderedPageBreak/>
              <w:t>十</w:t>
            </w:r>
            <w:r w:rsidRPr="004C1ACD">
              <w:rPr>
                <w:rFonts w:ascii="標楷體" w:eastAsia="標楷體" w:hAnsi="標楷體" w:hint="eastAsia"/>
                <w:color w:val="000000" w:themeColor="text1"/>
              </w:rPr>
              <w:t>、最近一段期間之累積週轉率明顯過高者。</w:t>
            </w:r>
          </w:p>
          <w:p w:rsidR="00CC4D3D" w:rsidRPr="004C1ACD" w:rsidRDefault="00CC4D3D" w:rsidP="00EB3214">
            <w:pPr>
              <w:snapToGrid w:val="0"/>
              <w:spacing w:line="280" w:lineRule="atLeast"/>
              <w:ind w:leftChars="10" w:left="744" w:hangingChars="300" w:hanging="720"/>
              <w:rPr>
                <w:rFonts w:ascii="標楷體" w:eastAsia="標楷體" w:hAnsi="標楷體"/>
                <w:color w:val="000000" w:themeColor="text1"/>
              </w:rPr>
            </w:pPr>
            <w:r w:rsidRPr="004C1ACD">
              <w:rPr>
                <w:rFonts w:ascii="標楷體" w:eastAsia="標楷體" w:hAnsi="標楷體" w:hint="eastAsia"/>
                <w:color w:val="000000" w:themeColor="text1"/>
              </w:rPr>
              <w:t>十一、最近</w:t>
            </w:r>
            <w:r w:rsidRPr="00EB3214">
              <w:rPr>
                <w:rFonts w:ascii="Times New Roman" w:eastAsia="標楷體" w:hAnsi="Times New Roman" w:cs="Times New Roman" w:hint="eastAsia"/>
                <w:bCs/>
                <w:color w:val="000000" w:themeColor="text1"/>
                <w:szCs w:val="24"/>
              </w:rPr>
              <w:t>一段</w:t>
            </w:r>
            <w:r w:rsidRPr="004C1ACD">
              <w:rPr>
                <w:rFonts w:ascii="標楷體" w:eastAsia="標楷體" w:hAnsi="標楷體" w:hint="eastAsia"/>
                <w:color w:val="000000" w:themeColor="text1"/>
              </w:rPr>
              <w:t>期間起、迄兩個營業日之最後成交價</w:t>
            </w:r>
            <w:proofErr w:type="gramStart"/>
            <w:r w:rsidRPr="004C1ACD">
              <w:rPr>
                <w:rFonts w:ascii="標楷體" w:eastAsia="標楷體" w:hAnsi="標楷體" w:hint="eastAsia"/>
                <w:color w:val="000000" w:themeColor="text1"/>
              </w:rPr>
              <w:t>價差異常者</w:t>
            </w:r>
            <w:proofErr w:type="gramEnd"/>
            <w:r w:rsidRPr="004C1ACD">
              <w:rPr>
                <w:rFonts w:ascii="標楷體" w:eastAsia="標楷體" w:hAnsi="標楷體" w:hint="eastAsia"/>
                <w:color w:val="000000" w:themeColor="text1"/>
              </w:rPr>
              <w:t>。</w:t>
            </w:r>
          </w:p>
          <w:p w:rsidR="00CC4D3D" w:rsidRPr="004C1ACD" w:rsidRDefault="00CC4D3D" w:rsidP="00EB3214">
            <w:pPr>
              <w:snapToGrid w:val="0"/>
              <w:spacing w:line="280" w:lineRule="atLeast"/>
              <w:ind w:leftChars="10" w:left="744" w:hangingChars="300" w:hanging="720"/>
              <w:rPr>
                <w:rFonts w:ascii="標楷體" w:eastAsia="標楷體" w:hAnsi="標楷體"/>
                <w:color w:val="000000" w:themeColor="text1"/>
              </w:rPr>
            </w:pPr>
            <w:r w:rsidRPr="004C1ACD">
              <w:rPr>
                <w:rFonts w:ascii="標楷體" w:eastAsia="標楷體" w:hAnsi="標楷體" w:hint="eastAsia"/>
                <w:color w:val="000000" w:themeColor="text1"/>
              </w:rPr>
              <w:t>十二、最近</w:t>
            </w:r>
            <w:r w:rsidRPr="00EB3214">
              <w:rPr>
                <w:rFonts w:ascii="Times New Roman" w:eastAsia="標楷體" w:hAnsi="Times New Roman" w:cs="Times New Roman" w:hint="eastAsia"/>
                <w:bCs/>
                <w:color w:val="000000" w:themeColor="text1"/>
                <w:szCs w:val="24"/>
              </w:rPr>
              <w:t>一段</w:t>
            </w:r>
            <w:r w:rsidRPr="004C1ACD">
              <w:rPr>
                <w:rFonts w:ascii="標楷體" w:eastAsia="標楷體" w:hAnsi="標楷體" w:hint="eastAsia"/>
                <w:color w:val="000000" w:themeColor="text1"/>
              </w:rPr>
              <w:t>期間之借</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賣出成交量占總成交量比率明顯過高者。</w:t>
            </w:r>
          </w:p>
          <w:p w:rsidR="00CC4D3D" w:rsidRPr="004C1ACD" w:rsidRDefault="00CC4D3D" w:rsidP="00EB3214">
            <w:pPr>
              <w:snapToGrid w:val="0"/>
              <w:spacing w:line="280" w:lineRule="atLeast"/>
              <w:ind w:leftChars="10" w:left="744" w:hangingChars="300" w:hanging="720"/>
              <w:rPr>
                <w:rFonts w:ascii="標楷體" w:eastAsia="標楷體" w:hAnsi="標楷體"/>
                <w:color w:val="000000" w:themeColor="text1"/>
              </w:rPr>
            </w:pPr>
            <w:r w:rsidRPr="004C1ACD">
              <w:rPr>
                <w:rFonts w:ascii="標楷體" w:eastAsia="標楷體" w:hAnsi="標楷體" w:hint="eastAsia"/>
                <w:color w:val="000000" w:themeColor="text1"/>
              </w:rPr>
              <w:t>十三、</w:t>
            </w:r>
            <w:r w:rsidRPr="00EB3214">
              <w:rPr>
                <w:rFonts w:ascii="Times New Roman" w:eastAsia="標楷體" w:hAnsi="Times New Roman" w:cs="Times New Roman" w:hint="eastAsia"/>
                <w:bCs/>
                <w:color w:val="000000" w:themeColor="text1"/>
                <w:szCs w:val="24"/>
              </w:rPr>
              <w:t>其他交易</w:t>
            </w:r>
            <w:r w:rsidRPr="004C1ACD">
              <w:rPr>
                <w:rFonts w:ascii="標楷體" w:eastAsia="標楷體" w:hAnsi="標楷體" w:hint="eastAsia"/>
                <w:color w:val="000000" w:themeColor="text1"/>
              </w:rPr>
              <w:t>情形異常經監視業務督導會報決議者。</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有價證券當日無前項計算異常標準所使用之最後成交價者，依本中心證券商營業處所買賣有價證券業務規則第五十七條所決定之參考價格替代。</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實收資本額未達新臺幣八千萬元之發行公司股票不適用第一項有關全體、同類股有價證券及成交量之規定。</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政府公債、一般公司債與外國普通公司債不適用第一項各款標準。</w:t>
            </w:r>
          </w:p>
          <w:p w:rsidR="00CC4D3D" w:rsidRPr="004C1ACD" w:rsidRDefault="00CC4D3D" w:rsidP="00CC4D3D">
            <w:pPr>
              <w:snapToGrid w:val="0"/>
              <w:rPr>
                <w:rFonts w:ascii="標楷體" w:eastAsia="標楷體" w:hAnsi="標楷體"/>
                <w:color w:val="000000" w:themeColor="text1"/>
              </w:rPr>
            </w:pPr>
          </w:p>
          <w:p w:rsidR="00CC4D3D" w:rsidRPr="004C1ACD" w:rsidRDefault="00CC4D3D" w:rsidP="00CC4D3D">
            <w:pPr>
              <w:snapToGrid w:val="0"/>
              <w:rPr>
                <w:rFonts w:ascii="標楷體" w:eastAsia="標楷體" w:hAnsi="標楷體"/>
                <w:color w:val="000000" w:themeColor="text1"/>
              </w:rPr>
            </w:pPr>
          </w:p>
          <w:p w:rsidR="00CC4D3D" w:rsidRPr="004C1ACD" w:rsidRDefault="00CC4D3D" w:rsidP="00CC4D3D">
            <w:pPr>
              <w:snapToGrid w:val="0"/>
              <w:rPr>
                <w:rFonts w:ascii="標楷體" w:eastAsia="標楷體" w:hAnsi="標楷體"/>
                <w:color w:val="000000" w:themeColor="text1"/>
              </w:rPr>
            </w:pPr>
          </w:p>
          <w:p w:rsidR="00CC4D3D" w:rsidRPr="004C1ACD" w:rsidRDefault="00CC4D3D" w:rsidP="00CC4D3D">
            <w:pPr>
              <w:snapToGrid w:val="0"/>
              <w:rPr>
                <w:rFonts w:ascii="標楷體" w:eastAsia="標楷體" w:hAnsi="標楷體"/>
                <w:color w:val="000000" w:themeColor="text1"/>
              </w:rPr>
            </w:pPr>
            <w:r w:rsidRPr="004C1ACD">
              <w:rPr>
                <w:rFonts w:ascii="標楷體" w:eastAsia="標楷體" w:hAnsi="標楷體" w:hint="eastAsia"/>
                <w:color w:val="000000" w:themeColor="text1"/>
              </w:rPr>
              <w:t>有價證券升降幅度計算公式含有以標的證券或標的指數等計算因素者，期間累計漲跌百分比差幅之計算，</w:t>
            </w:r>
            <w:proofErr w:type="gramStart"/>
            <w:r w:rsidRPr="004C1ACD">
              <w:rPr>
                <w:rFonts w:ascii="標楷體" w:eastAsia="標楷體" w:hAnsi="標楷體" w:hint="eastAsia"/>
                <w:color w:val="000000" w:themeColor="text1"/>
              </w:rPr>
              <w:t>準</w:t>
            </w:r>
            <w:proofErr w:type="gramEnd"/>
            <w:r w:rsidRPr="004C1ACD">
              <w:rPr>
                <w:rFonts w:ascii="標楷體" w:eastAsia="標楷體" w:hAnsi="標楷體" w:hint="eastAsia"/>
                <w:color w:val="000000" w:themeColor="text1"/>
              </w:rPr>
              <w:t>用第二條第四項之規定。</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有價證券交易單位低於一千單位（股、受益權單位、存託憑證單位等）者，其成交（委託）量交易單位數據標準，</w:t>
            </w:r>
            <w:proofErr w:type="gramStart"/>
            <w:r w:rsidRPr="004C1ACD">
              <w:rPr>
                <w:rFonts w:ascii="標楷體" w:eastAsia="標楷體" w:hAnsi="標楷體" w:hint="eastAsia"/>
                <w:color w:val="000000" w:themeColor="text1"/>
              </w:rPr>
              <w:t>準</w:t>
            </w:r>
            <w:proofErr w:type="gramEnd"/>
            <w:r w:rsidRPr="004C1ACD">
              <w:rPr>
                <w:rFonts w:ascii="標楷體" w:eastAsia="標楷體" w:hAnsi="標楷體" w:hint="eastAsia"/>
                <w:color w:val="000000" w:themeColor="text1"/>
              </w:rPr>
              <w:t>用第二條第六項之規定。</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第一項各款異常標準之詳細數據及其除外情形，本中心另訂之。</w:t>
            </w:r>
          </w:p>
        </w:tc>
        <w:tc>
          <w:tcPr>
            <w:tcW w:w="3148" w:type="dxa"/>
            <w:tcBorders>
              <w:bottom w:val="single" w:sz="4" w:space="0" w:color="auto"/>
            </w:tcBorders>
          </w:tcPr>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lastRenderedPageBreak/>
              <w:t>第四條</w:t>
            </w:r>
          </w:p>
          <w:p w:rsidR="00CC4D3D" w:rsidRPr="004C1ACD" w:rsidRDefault="00CC4D3D" w:rsidP="00CC4D3D">
            <w:pPr>
              <w:snapToGrid w:val="0"/>
              <w:rPr>
                <w:rFonts w:ascii="標楷體" w:eastAsia="標楷體" w:hAnsi="標楷體"/>
                <w:color w:val="000000" w:themeColor="text1"/>
              </w:rPr>
            </w:pPr>
            <w:r w:rsidRPr="004C1ACD">
              <w:rPr>
                <w:rFonts w:ascii="標楷體" w:eastAsia="標楷體" w:hAnsi="標楷體" w:hint="eastAsia"/>
                <w:color w:val="000000" w:themeColor="text1"/>
              </w:rPr>
              <w:t>本中心每日於交易時間結束後，即分析等價、等</w:t>
            </w:r>
            <w:proofErr w:type="gramStart"/>
            <w:r w:rsidRPr="004C1ACD">
              <w:rPr>
                <w:rFonts w:ascii="標楷體" w:eastAsia="標楷體" w:hAnsi="標楷體" w:hint="eastAsia"/>
                <w:color w:val="000000" w:themeColor="text1"/>
              </w:rPr>
              <w:t>殖</w:t>
            </w:r>
            <w:proofErr w:type="gramEnd"/>
            <w:r w:rsidRPr="004C1ACD">
              <w:rPr>
                <w:rFonts w:ascii="標楷體" w:eastAsia="標楷體" w:hAnsi="標楷體" w:hint="eastAsia"/>
                <w:color w:val="000000" w:themeColor="text1"/>
              </w:rPr>
              <w:t>成交系統有價證券之交易，發現有下列情形之一時，公告其交易資訊（漲跌幅度、成交量、週轉率、集中度、本益比、股價淨值比、</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資比、溢折價百分比、借</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賣出等）：</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一、最近一段期間累積之最後成交價漲跌百分比異</w:t>
            </w:r>
            <w:r w:rsidRPr="004C1ACD">
              <w:rPr>
                <w:rFonts w:ascii="標楷體" w:eastAsia="標楷體" w:hAnsi="標楷體" w:hint="eastAsia"/>
                <w:color w:val="000000" w:themeColor="text1"/>
              </w:rPr>
              <w:lastRenderedPageBreak/>
              <w:t>常者。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二、最近一段期間起、迄兩個營業日之最後成交價漲跌百分比異常者。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三、最近一段期間累積之最後成交價漲跌百分比異常，且其當日之成交量</w:t>
            </w:r>
            <w:r w:rsidR="004C1ACD">
              <w:rPr>
                <w:rFonts w:ascii="標楷體" w:eastAsia="標楷體" w:hAnsi="標楷體" w:hint="eastAsia"/>
                <w:color w:val="000000" w:themeColor="text1"/>
              </w:rPr>
              <w:t>較</w:t>
            </w:r>
            <w:r w:rsidRPr="004C1ACD">
              <w:rPr>
                <w:rFonts w:ascii="標楷體" w:eastAsia="標楷體" w:hAnsi="標楷體" w:hint="eastAsia"/>
                <w:color w:val="000000" w:themeColor="text1"/>
              </w:rPr>
              <w:t>最近一段期間之日平均成交量異常放大者。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四、最近一段期間累積之最後成交價漲跌百分比異常，且其當日之週轉率</w:t>
            </w:r>
            <w:r w:rsidR="004C1ACD">
              <w:rPr>
                <w:rFonts w:ascii="標楷體" w:eastAsia="標楷體" w:hAnsi="標楷體" w:hint="eastAsia"/>
                <w:color w:val="000000" w:themeColor="text1"/>
              </w:rPr>
              <w:t>過</w:t>
            </w:r>
            <w:r w:rsidRPr="004C1ACD">
              <w:rPr>
                <w:rFonts w:ascii="標楷體" w:eastAsia="標楷體" w:hAnsi="標楷體" w:hint="eastAsia"/>
                <w:color w:val="000000" w:themeColor="text1"/>
              </w:rPr>
              <w:t>高者。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rPr>
              <w:t>五、最近一段期間累積之最後成交價漲跌百分比異常，且證券商當日受託買賣該有價證券之成交買進或賣出數量，占當日該有價證券總成交量比率過高者。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u w:val="single"/>
              </w:rPr>
              <w:t>六</w:t>
            </w:r>
            <w:r w:rsidRPr="004C1ACD">
              <w:rPr>
                <w:rFonts w:ascii="標楷體" w:eastAsia="標楷體" w:hAnsi="標楷體" w:hint="eastAsia"/>
                <w:color w:val="000000" w:themeColor="text1"/>
              </w:rPr>
              <w:t>、當日及最近數日之日平均成交量較最近一段期間之日平均成交量明顯放大者。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u w:val="single"/>
              </w:rPr>
              <w:t>七</w:t>
            </w:r>
            <w:r w:rsidRPr="004C1ACD">
              <w:rPr>
                <w:rFonts w:ascii="標楷體" w:eastAsia="標楷體" w:hAnsi="標楷體" w:hint="eastAsia"/>
                <w:color w:val="000000" w:themeColor="text1"/>
              </w:rPr>
              <w:t>、最近</w:t>
            </w:r>
            <w:r w:rsidRPr="00EB3214">
              <w:rPr>
                <w:rFonts w:ascii="Times New Roman" w:eastAsia="標楷體" w:hAnsi="Times New Roman" w:cs="Times New Roman" w:hint="eastAsia"/>
                <w:bCs/>
                <w:color w:val="000000" w:themeColor="text1"/>
                <w:szCs w:val="24"/>
              </w:rPr>
              <w:t>一段</w:t>
            </w:r>
            <w:r w:rsidRPr="004C1ACD">
              <w:rPr>
                <w:rFonts w:ascii="標楷體" w:eastAsia="標楷體" w:hAnsi="標楷體" w:hint="eastAsia"/>
                <w:color w:val="000000" w:themeColor="text1"/>
              </w:rPr>
              <w:t>期間之累積週轉率明顯過高者。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u w:val="single"/>
              </w:rPr>
              <w:t>八</w:t>
            </w:r>
            <w:r w:rsidRPr="004C1ACD">
              <w:rPr>
                <w:rFonts w:ascii="標楷體" w:eastAsia="標楷體" w:hAnsi="標楷體" w:hint="eastAsia"/>
                <w:color w:val="000000" w:themeColor="text1"/>
              </w:rPr>
              <w:t>、本益比、股價淨值比及當日週轉率過高，且符合其所屬產業類別股價淨值比偏高、任</w:t>
            </w:r>
            <w:proofErr w:type="gramStart"/>
            <w:r w:rsidRPr="004C1ACD">
              <w:rPr>
                <w:rFonts w:ascii="標楷體" w:eastAsia="標楷體" w:hAnsi="標楷體" w:hint="eastAsia"/>
                <w:color w:val="000000" w:themeColor="text1"/>
              </w:rPr>
              <w:t>一</w:t>
            </w:r>
            <w:proofErr w:type="gramEnd"/>
            <w:r w:rsidRPr="004C1ACD">
              <w:rPr>
                <w:rFonts w:ascii="標楷體" w:eastAsia="標楷體" w:hAnsi="標楷體" w:hint="eastAsia"/>
                <w:color w:val="000000" w:themeColor="text1"/>
              </w:rPr>
              <w:t>證券商當日成交買進或賣出金額占當日該有價證券總成交金額比率過高或任</w:t>
            </w:r>
            <w:proofErr w:type="gramStart"/>
            <w:r w:rsidRPr="004C1ACD">
              <w:rPr>
                <w:rFonts w:ascii="標楷體" w:eastAsia="標楷體" w:hAnsi="標楷體" w:hint="eastAsia"/>
                <w:color w:val="000000" w:themeColor="text1"/>
              </w:rPr>
              <w:t>一</w:t>
            </w:r>
            <w:proofErr w:type="gramEnd"/>
            <w:r w:rsidRPr="004C1ACD">
              <w:rPr>
                <w:rFonts w:ascii="標楷體" w:eastAsia="標楷體" w:hAnsi="標楷體" w:hint="eastAsia"/>
                <w:color w:val="000000" w:themeColor="text1"/>
              </w:rPr>
              <w:t>投資人當日成交買進或賣出金額占當日該有價證券總成交金額比率過高等三種情形之</w:t>
            </w:r>
            <w:proofErr w:type="gramStart"/>
            <w:r w:rsidRPr="004C1ACD">
              <w:rPr>
                <w:rFonts w:ascii="標楷體" w:eastAsia="標楷體" w:hAnsi="標楷體" w:hint="eastAsia"/>
                <w:color w:val="000000" w:themeColor="text1"/>
              </w:rPr>
              <w:t>一</w:t>
            </w:r>
            <w:proofErr w:type="gramEnd"/>
            <w:r w:rsidRPr="004C1ACD">
              <w:rPr>
                <w:rFonts w:ascii="標楷體" w:eastAsia="標楷體" w:hAnsi="標楷體" w:hint="eastAsia"/>
                <w:color w:val="000000" w:themeColor="text1"/>
              </w:rPr>
              <w:t>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u w:val="single"/>
              </w:rPr>
              <w:t>九</w:t>
            </w:r>
            <w:r w:rsidRPr="004C1ACD">
              <w:rPr>
                <w:rFonts w:ascii="標楷體" w:eastAsia="標楷體" w:hAnsi="標楷體" w:hint="eastAsia"/>
                <w:color w:val="000000" w:themeColor="text1"/>
              </w:rPr>
              <w:t>、最近一段期間累積之最後成交價漲跌百分比異常，且</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資比明顯放大者。</w:t>
            </w:r>
          </w:p>
          <w:p w:rsidR="00CC4D3D" w:rsidRPr="004C1ACD" w:rsidRDefault="00CC4D3D" w:rsidP="00EB3214">
            <w:pPr>
              <w:snapToGrid w:val="0"/>
              <w:spacing w:line="280" w:lineRule="atLeast"/>
              <w:ind w:leftChars="10" w:left="504" w:hangingChars="200" w:hanging="480"/>
              <w:rPr>
                <w:rFonts w:ascii="標楷體" w:eastAsia="標楷體" w:hAnsi="標楷體"/>
                <w:color w:val="000000" w:themeColor="text1"/>
              </w:rPr>
            </w:pPr>
            <w:r w:rsidRPr="004C1ACD">
              <w:rPr>
                <w:rFonts w:ascii="標楷體" w:eastAsia="標楷體" w:hAnsi="標楷體" w:hint="eastAsia"/>
                <w:color w:val="000000" w:themeColor="text1"/>
                <w:u w:val="single"/>
              </w:rPr>
              <w:t>十</w:t>
            </w:r>
            <w:r w:rsidRPr="004C1ACD">
              <w:rPr>
                <w:rFonts w:ascii="標楷體" w:eastAsia="標楷體" w:hAnsi="標楷體" w:hint="eastAsia"/>
                <w:color w:val="000000" w:themeColor="text1"/>
              </w:rPr>
              <w:t>、臺灣</w:t>
            </w:r>
            <w:r w:rsidRPr="00EB3214">
              <w:rPr>
                <w:rFonts w:ascii="Times New Roman" w:eastAsia="標楷體" w:hAnsi="Times New Roman" w:cs="Times New Roman" w:hint="eastAsia"/>
                <w:bCs/>
                <w:color w:val="000000" w:themeColor="text1"/>
                <w:szCs w:val="24"/>
              </w:rPr>
              <w:t>存託</w:t>
            </w:r>
            <w:r w:rsidRPr="004C1ACD">
              <w:rPr>
                <w:rFonts w:ascii="標楷體" w:eastAsia="標楷體" w:hAnsi="標楷體" w:hint="eastAsia"/>
                <w:color w:val="000000" w:themeColor="text1"/>
              </w:rPr>
              <w:t>憑證最後成交價與其表彰股票所屬國交易市場最後成交價計</w:t>
            </w:r>
            <w:r w:rsidRPr="004C1ACD">
              <w:rPr>
                <w:rFonts w:ascii="標楷體" w:eastAsia="標楷體" w:hAnsi="標楷體" w:hint="eastAsia"/>
                <w:color w:val="000000" w:themeColor="text1"/>
              </w:rPr>
              <w:lastRenderedPageBreak/>
              <w:t>算</w:t>
            </w:r>
            <w:proofErr w:type="gramStart"/>
            <w:r w:rsidRPr="004C1ACD">
              <w:rPr>
                <w:rFonts w:ascii="標楷體" w:eastAsia="標楷體" w:hAnsi="標楷體" w:hint="eastAsia"/>
                <w:color w:val="000000" w:themeColor="text1"/>
              </w:rPr>
              <w:t>之溢</w:t>
            </w:r>
            <w:r w:rsidRPr="00EB3214">
              <w:rPr>
                <w:rFonts w:ascii="Times New Roman" w:eastAsia="標楷體" w:hAnsi="Times New Roman" w:cs="Times New Roman" w:hint="eastAsia"/>
                <w:bCs/>
                <w:color w:val="000000" w:themeColor="text1"/>
                <w:szCs w:val="24"/>
              </w:rPr>
              <w:t>折價</w:t>
            </w:r>
            <w:proofErr w:type="gramEnd"/>
            <w:r w:rsidRPr="004C1ACD">
              <w:rPr>
                <w:rFonts w:ascii="標楷體" w:eastAsia="標楷體" w:hAnsi="標楷體" w:hint="eastAsia"/>
                <w:color w:val="000000" w:themeColor="text1"/>
              </w:rPr>
              <w:t>百分比異常者。</w:t>
            </w:r>
          </w:p>
          <w:p w:rsidR="00CC4D3D" w:rsidRPr="004C1ACD" w:rsidRDefault="00CC4D3D" w:rsidP="00EB3214">
            <w:pPr>
              <w:snapToGrid w:val="0"/>
              <w:spacing w:line="280" w:lineRule="atLeast"/>
              <w:ind w:leftChars="10" w:left="744" w:hangingChars="300" w:hanging="720"/>
              <w:rPr>
                <w:rFonts w:ascii="標楷體" w:eastAsia="標楷體" w:hAnsi="標楷體"/>
                <w:color w:val="000000" w:themeColor="text1"/>
              </w:rPr>
            </w:pPr>
            <w:r w:rsidRPr="004C1ACD">
              <w:rPr>
                <w:rFonts w:ascii="標楷體" w:eastAsia="標楷體" w:hAnsi="標楷體" w:hint="eastAsia"/>
                <w:color w:val="000000" w:themeColor="text1"/>
              </w:rPr>
              <w:t>十一、最近一段期間起、迄兩個</w:t>
            </w:r>
            <w:r w:rsidRPr="00EB3214">
              <w:rPr>
                <w:rFonts w:ascii="Times New Roman" w:eastAsia="標楷體" w:hAnsi="Times New Roman" w:cs="Times New Roman" w:hint="eastAsia"/>
                <w:bCs/>
                <w:color w:val="000000" w:themeColor="text1"/>
                <w:szCs w:val="24"/>
              </w:rPr>
              <w:t>營業</w:t>
            </w:r>
            <w:r w:rsidRPr="004C1ACD">
              <w:rPr>
                <w:rFonts w:ascii="標楷體" w:eastAsia="標楷體" w:hAnsi="標楷體" w:hint="eastAsia"/>
                <w:color w:val="000000" w:themeColor="text1"/>
              </w:rPr>
              <w:t>日之最後成交價</w:t>
            </w:r>
            <w:proofErr w:type="gramStart"/>
            <w:r w:rsidRPr="004C1ACD">
              <w:rPr>
                <w:rFonts w:ascii="標楷體" w:eastAsia="標楷體" w:hAnsi="標楷體" w:hint="eastAsia"/>
                <w:color w:val="000000" w:themeColor="text1"/>
              </w:rPr>
              <w:t>價差異常者</w:t>
            </w:r>
            <w:proofErr w:type="gramEnd"/>
            <w:r w:rsidRPr="004C1ACD">
              <w:rPr>
                <w:rFonts w:ascii="標楷體" w:eastAsia="標楷體" w:hAnsi="標楷體" w:hint="eastAsia"/>
                <w:color w:val="000000" w:themeColor="text1"/>
              </w:rPr>
              <w:t>。</w:t>
            </w:r>
          </w:p>
          <w:p w:rsidR="00CC4D3D" w:rsidRPr="004C1ACD" w:rsidRDefault="00CC4D3D" w:rsidP="00EB3214">
            <w:pPr>
              <w:snapToGrid w:val="0"/>
              <w:spacing w:line="280" w:lineRule="atLeast"/>
              <w:ind w:leftChars="10" w:left="744" w:hangingChars="300" w:hanging="720"/>
              <w:rPr>
                <w:rFonts w:ascii="標楷體" w:eastAsia="標楷體" w:hAnsi="標楷體"/>
                <w:color w:val="000000" w:themeColor="text1"/>
              </w:rPr>
            </w:pPr>
            <w:r w:rsidRPr="004C1ACD">
              <w:rPr>
                <w:rFonts w:ascii="標楷體" w:eastAsia="標楷體" w:hAnsi="標楷體" w:hint="eastAsia"/>
                <w:color w:val="000000" w:themeColor="text1"/>
              </w:rPr>
              <w:t>十二、最近一段期間之借</w:t>
            </w:r>
            <w:proofErr w:type="gramStart"/>
            <w:r w:rsidRPr="004C1ACD">
              <w:rPr>
                <w:rFonts w:ascii="標楷體" w:eastAsia="標楷體" w:hAnsi="標楷體" w:hint="eastAsia"/>
                <w:color w:val="000000" w:themeColor="text1"/>
              </w:rPr>
              <w:t>券</w:t>
            </w:r>
            <w:proofErr w:type="gramEnd"/>
            <w:r w:rsidRPr="004C1ACD">
              <w:rPr>
                <w:rFonts w:ascii="標楷體" w:eastAsia="標楷體" w:hAnsi="標楷體" w:hint="eastAsia"/>
                <w:color w:val="000000" w:themeColor="text1"/>
              </w:rPr>
              <w:t>賣出</w:t>
            </w:r>
            <w:r w:rsidRPr="00EB3214">
              <w:rPr>
                <w:rFonts w:ascii="Times New Roman" w:eastAsia="標楷體" w:hAnsi="Times New Roman" w:cs="Times New Roman" w:hint="eastAsia"/>
                <w:bCs/>
                <w:color w:val="000000" w:themeColor="text1"/>
                <w:szCs w:val="24"/>
              </w:rPr>
              <w:t>成交量</w:t>
            </w:r>
            <w:r w:rsidRPr="004C1ACD">
              <w:rPr>
                <w:rFonts w:ascii="標楷體" w:eastAsia="標楷體" w:hAnsi="標楷體" w:hint="eastAsia"/>
                <w:color w:val="000000" w:themeColor="text1"/>
              </w:rPr>
              <w:t>占總成交量比率明顯過高者。</w:t>
            </w:r>
          </w:p>
          <w:p w:rsidR="00CC4D3D" w:rsidRPr="004C1ACD" w:rsidRDefault="00CC4D3D" w:rsidP="00EB3214">
            <w:pPr>
              <w:snapToGrid w:val="0"/>
              <w:spacing w:line="280" w:lineRule="atLeast"/>
              <w:ind w:leftChars="10" w:left="744" w:hangingChars="300" w:hanging="720"/>
              <w:rPr>
                <w:rFonts w:ascii="標楷體" w:eastAsia="標楷體" w:hAnsi="標楷體"/>
                <w:color w:val="000000" w:themeColor="text1"/>
              </w:rPr>
            </w:pPr>
            <w:r w:rsidRPr="004C1ACD">
              <w:rPr>
                <w:rFonts w:ascii="標楷體" w:eastAsia="標楷體" w:hAnsi="標楷體" w:hint="eastAsia"/>
                <w:color w:val="000000" w:themeColor="text1"/>
              </w:rPr>
              <w:t>十三、其他交易情形異常經</w:t>
            </w:r>
            <w:r w:rsidRPr="00EB3214">
              <w:rPr>
                <w:rFonts w:ascii="Times New Roman" w:eastAsia="標楷體" w:hAnsi="Times New Roman" w:cs="Times New Roman" w:hint="eastAsia"/>
                <w:bCs/>
                <w:color w:val="000000" w:themeColor="text1"/>
                <w:szCs w:val="24"/>
              </w:rPr>
              <w:t>監視業務</w:t>
            </w:r>
            <w:r w:rsidRPr="004C1ACD">
              <w:rPr>
                <w:rFonts w:ascii="標楷體" w:eastAsia="標楷體" w:hAnsi="標楷體" w:hint="eastAsia"/>
                <w:color w:val="000000" w:themeColor="text1"/>
              </w:rPr>
              <w:t>督導會報決議者。</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有價證券當日無前項計算異常標準所使用之最後成交價者，依本中心證券商營業處所買賣有價證券業務規則第五十七條所決定之參考價格替代。</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實收資本額未達新臺幣八千萬元之發行公司股票不適用第一項有關全體、同類股有價證券及成交量之規定。</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u w:val="single"/>
              </w:rPr>
              <w:t>指數股票型基金受益憑證及以其為標的之有價證券、</w:t>
            </w:r>
            <w:r w:rsidRPr="004C1ACD">
              <w:rPr>
                <w:rFonts w:ascii="標楷體" w:eastAsia="標楷體" w:hAnsi="標楷體" w:hint="eastAsia"/>
                <w:color w:val="000000" w:themeColor="text1"/>
              </w:rPr>
              <w:t>政府公債、一般公司債與外國普通公司債不適用第一項各款標準。</w:t>
            </w:r>
          </w:p>
          <w:p w:rsidR="00CC4D3D" w:rsidRPr="004C1ACD" w:rsidRDefault="00CC4D3D" w:rsidP="00A15C5B">
            <w:pPr>
              <w:snapToGrid w:val="0"/>
              <w:spacing w:beforeLines="100" w:before="360"/>
              <w:rPr>
                <w:rFonts w:ascii="標楷體" w:eastAsia="標楷體" w:hAnsi="標楷體"/>
                <w:color w:val="000000" w:themeColor="text1"/>
              </w:rPr>
            </w:pPr>
            <w:r w:rsidRPr="004C1ACD">
              <w:rPr>
                <w:rFonts w:ascii="標楷體" w:eastAsia="標楷體" w:hAnsi="標楷體" w:hint="eastAsia"/>
                <w:color w:val="000000" w:themeColor="text1"/>
              </w:rPr>
              <w:t>有價證券升降幅度計算公式含有以標的證券或標的指數等計算因素者，期間累計漲跌百分比差幅之計算，</w:t>
            </w:r>
            <w:proofErr w:type="gramStart"/>
            <w:r w:rsidRPr="004C1ACD">
              <w:rPr>
                <w:rFonts w:ascii="標楷體" w:eastAsia="標楷體" w:hAnsi="標楷體" w:hint="eastAsia"/>
                <w:color w:val="000000" w:themeColor="text1"/>
              </w:rPr>
              <w:t>準</w:t>
            </w:r>
            <w:proofErr w:type="gramEnd"/>
            <w:r w:rsidRPr="004C1ACD">
              <w:rPr>
                <w:rFonts w:ascii="標楷體" w:eastAsia="標楷體" w:hAnsi="標楷體" w:hint="eastAsia"/>
                <w:color w:val="000000" w:themeColor="text1"/>
              </w:rPr>
              <w:t>用第二條第四項之規定。</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有價證券交易單位低於一千單位（股、受益權單位、存託憑證單位等）者，其成交（委託）量交易單位數據標準，</w:t>
            </w:r>
            <w:proofErr w:type="gramStart"/>
            <w:r w:rsidRPr="004C1ACD">
              <w:rPr>
                <w:rFonts w:ascii="標楷體" w:eastAsia="標楷體" w:hAnsi="標楷體" w:hint="eastAsia"/>
                <w:color w:val="000000" w:themeColor="text1"/>
              </w:rPr>
              <w:t>準</w:t>
            </w:r>
            <w:proofErr w:type="gramEnd"/>
            <w:r w:rsidRPr="004C1ACD">
              <w:rPr>
                <w:rFonts w:ascii="標楷體" w:eastAsia="標楷體" w:hAnsi="標楷體" w:hint="eastAsia"/>
                <w:color w:val="000000" w:themeColor="text1"/>
              </w:rPr>
              <w:t>用第二條第六項之規定。</w:t>
            </w:r>
          </w:p>
          <w:p w:rsidR="00CC4D3D" w:rsidRPr="004C1ACD" w:rsidRDefault="00CC4D3D" w:rsidP="00CC4D3D">
            <w:pPr>
              <w:snapToGrid w:val="0"/>
              <w:spacing w:beforeLines="50" w:before="180"/>
              <w:rPr>
                <w:rFonts w:ascii="標楷體" w:eastAsia="標楷體" w:hAnsi="標楷體"/>
                <w:color w:val="000000" w:themeColor="text1"/>
              </w:rPr>
            </w:pPr>
            <w:r w:rsidRPr="004C1ACD">
              <w:rPr>
                <w:rFonts w:ascii="標楷體" w:eastAsia="標楷體" w:hAnsi="標楷體" w:hint="eastAsia"/>
                <w:color w:val="000000" w:themeColor="text1"/>
              </w:rPr>
              <w:t>第一項各款異常標準之詳細數據及其除外情形，本中心另訂之。</w:t>
            </w:r>
          </w:p>
        </w:tc>
        <w:tc>
          <w:tcPr>
            <w:tcW w:w="3061" w:type="dxa"/>
            <w:tcBorders>
              <w:bottom w:val="single" w:sz="4" w:space="0" w:color="auto"/>
            </w:tcBorders>
          </w:tcPr>
          <w:p w:rsidR="00F87266" w:rsidRPr="004C1ACD" w:rsidRDefault="00F87266" w:rsidP="00EB3214">
            <w:pPr>
              <w:pStyle w:val="aa"/>
              <w:widowControl/>
              <w:numPr>
                <w:ilvl w:val="0"/>
                <w:numId w:val="47"/>
              </w:numPr>
              <w:ind w:leftChars="0"/>
              <w:jc w:val="both"/>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lastRenderedPageBreak/>
              <w:t>為強化監視作業、提升證券市場資訊透明，將</w:t>
            </w:r>
            <w:r w:rsidRPr="004C1ACD">
              <w:rPr>
                <w:rFonts w:ascii="Times New Roman" w:eastAsia="標楷體" w:hAnsi="Times New Roman" w:cs="Times New Roman" w:hint="eastAsia"/>
                <w:bCs/>
                <w:color w:val="000000" w:themeColor="text1"/>
                <w:szCs w:val="24"/>
              </w:rPr>
              <w:t>ETF</w:t>
            </w:r>
            <w:r w:rsidRPr="004C1ACD">
              <w:rPr>
                <w:rFonts w:ascii="Times New Roman" w:eastAsia="標楷體" w:hAnsi="Times New Roman" w:cs="Times New Roman" w:hint="eastAsia"/>
                <w:bCs/>
                <w:color w:val="000000" w:themeColor="text1"/>
                <w:szCs w:val="24"/>
              </w:rPr>
              <w:t>及</w:t>
            </w:r>
            <w:r w:rsidRPr="004C1ACD">
              <w:rPr>
                <w:rFonts w:ascii="Times New Roman" w:eastAsia="標楷體" w:hAnsi="Times New Roman" w:cs="Times New Roman" w:hint="eastAsia"/>
                <w:bCs/>
                <w:color w:val="000000" w:themeColor="text1"/>
                <w:szCs w:val="24"/>
              </w:rPr>
              <w:t>ETN</w:t>
            </w:r>
            <w:r w:rsidRPr="004C1ACD">
              <w:rPr>
                <w:rFonts w:ascii="Times New Roman" w:eastAsia="標楷體" w:hAnsi="Times New Roman" w:cs="Times New Roman" w:hint="eastAsia"/>
                <w:bCs/>
                <w:color w:val="000000" w:themeColor="text1"/>
                <w:szCs w:val="24"/>
              </w:rPr>
              <w:t>價格變動異常情形納入公布注意交易資訊相關規範，以提醒</w:t>
            </w:r>
            <w:r w:rsidRPr="004C1ACD">
              <w:rPr>
                <w:rFonts w:ascii="Times New Roman" w:eastAsia="標楷體" w:hAnsi="Times New Roman" w:cs="Times New Roman" w:hint="eastAsia"/>
                <w:color w:val="000000" w:themeColor="text1"/>
                <w:szCs w:val="24"/>
              </w:rPr>
              <w:t>投資人</w:t>
            </w:r>
            <w:r w:rsidRPr="004C1ACD">
              <w:rPr>
                <w:rFonts w:ascii="Times New Roman" w:eastAsia="標楷體" w:hAnsi="Times New Roman" w:cs="Times New Roman" w:hint="eastAsia"/>
                <w:bCs/>
                <w:color w:val="000000" w:themeColor="text1"/>
                <w:szCs w:val="24"/>
              </w:rPr>
              <w:t>注意交易安全</w:t>
            </w:r>
            <w:r w:rsidR="00A15C5B" w:rsidRPr="004C1ACD">
              <w:rPr>
                <w:rFonts w:ascii="Times New Roman" w:eastAsia="標楷體" w:hAnsi="Times New Roman" w:cs="Times New Roman" w:hint="eastAsia"/>
                <w:bCs/>
                <w:color w:val="000000" w:themeColor="text1"/>
                <w:szCs w:val="24"/>
              </w:rPr>
              <w:t>，</w:t>
            </w:r>
            <w:proofErr w:type="gramStart"/>
            <w:r w:rsidR="00A15C5B" w:rsidRPr="004C1ACD">
              <w:rPr>
                <w:rFonts w:ascii="Times New Roman" w:eastAsia="標楷體" w:hAnsi="Times New Roman" w:cs="Times New Roman" w:hint="eastAsia"/>
                <w:bCs/>
                <w:color w:val="000000" w:themeColor="text1"/>
                <w:szCs w:val="24"/>
              </w:rPr>
              <w:t>爰</w:t>
            </w:r>
            <w:proofErr w:type="gramEnd"/>
            <w:r w:rsidR="00A15C5B" w:rsidRPr="004C1ACD">
              <w:rPr>
                <w:rFonts w:ascii="Times New Roman" w:eastAsia="標楷體" w:hAnsi="Times New Roman" w:cs="Times New Roman" w:hint="eastAsia"/>
                <w:bCs/>
                <w:color w:val="000000" w:themeColor="text1"/>
                <w:szCs w:val="24"/>
              </w:rPr>
              <w:t>修</w:t>
            </w:r>
            <w:r w:rsidR="004F70B0" w:rsidRPr="004C1ACD">
              <w:rPr>
                <w:rFonts w:ascii="Times New Roman" w:eastAsia="標楷體" w:hAnsi="Times New Roman" w:cs="Times New Roman" w:hint="eastAsia"/>
                <w:bCs/>
                <w:color w:val="000000" w:themeColor="text1"/>
                <w:szCs w:val="24"/>
              </w:rPr>
              <w:t>正</w:t>
            </w:r>
            <w:r w:rsidR="00A15C5B" w:rsidRPr="004C1ACD">
              <w:rPr>
                <w:rFonts w:ascii="Times New Roman" w:eastAsia="標楷體" w:hAnsi="Times New Roman" w:cs="Times New Roman" w:hint="eastAsia"/>
                <w:bCs/>
                <w:color w:val="000000" w:themeColor="text1"/>
                <w:szCs w:val="24"/>
              </w:rPr>
              <w:t>第</w:t>
            </w:r>
            <w:r w:rsidR="00A15C5B" w:rsidRPr="004C1ACD">
              <w:rPr>
                <w:rFonts w:ascii="Times New Roman" w:eastAsia="標楷體" w:hAnsi="Times New Roman" w:cs="Times New Roman" w:hint="eastAsia"/>
                <w:bCs/>
                <w:color w:val="000000" w:themeColor="text1"/>
                <w:szCs w:val="24"/>
              </w:rPr>
              <w:t>4</w:t>
            </w:r>
            <w:r w:rsidR="00A15C5B" w:rsidRPr="004C1ACD">
              <w:rPr>
                <w:rFonts w:ascii="Times New Roman" w:eastAsia="標楷體" w:hAnsi="Times New Roman" w:cs="Times New Roman" w:hint="eastAsia"/>
                <w:bCs/>
                <w:color w:val="000000" w:themeColor="text1"/>
                <w:szCs w:val="24"/>
              </w:rPr>
              <w:t>項</w:t>
            </w:r>
            <w:r w:rsidRPr="004C1ACD">
              <w:rPr>
                <w:rFonts w:ascii="Times New Roman" w:eastAsia="標楷體" w:hAnsi="Times New Roman" w:cs="Times New Roman" w:hint="eastAsia"/>
                <w:bCs/>
                <w:color w:val="000000" w:themeColor="text1"/>
                <w:szCs w:val="24"/>
              </w:rPr>
              <w:t>。</w:t>
            </w:r>
          </w:p>
          <w:p w:rsidR="00F87266" w:rsidRPr="004C1ACD" w:rsidRDefault="00F87266" w:rsidP="00EB3214">
            <w:pPr>
              <w:pStyle w:val="aa"/>
              <w:widowControl/>
              <w:numPr>
                <w:ilvl w:val="0"/>
                <w:numId w:val="47"/>
              </w:numPr>
              <w:ind w:leftChars="0"/>
              <w:jc w:val="both"/>
              <w:rPr>
                <w:rFonts w:ascii="Times New Roman" w:eastAsia="標楷體" w:hAnsi="Times New Roman" w:cs="Times New Roman"/>
                <w:color w:val="000000" w:themeColor="text1"/>
                <w:szCs w:val="24"/>
              </w:rPr>
            </w:pPr>
            <w:r w:rsidRPr="004C1ACD">
              <w:rPr>
                <w:rFonts w:ascii="標楷體" w:eastAsia="標楷體" w:hAnsi="標楷體" w:cs="細明體" w:hint="eastAsia"/>
                <w:color w:val="000000" w:themeColor="text1"/>
                <w:szCs w:val="24"/>
              </w:rPr>
              <w:t>調整現</w:t>
            </w:r>
            <w:r w:rsidRPr="004C1ACD">
              <w:rPr>
                <w:rFonts w:ascii="Times New Roman" w:eastAsia="標楷體" w:hAnsi="Times New Roman" w:cs="Times New Roman"/>
                <w:color w:val="000000" w:themeColor="text1"/>
                <w:szCs w:val="24"/>
              </w:rPr>
              <w:t>行</w:t>
            </w:r>
            <w:r w:rsidR="004F70B0" w:rsidRPr="004C1ACD">
              <w:rPr>
                <w:rFonts w:ascii="Times New Roman" w:eastAsia="標楷體" w:hAnsi="Times New Roman" w:cs="Times New Roman" w:hint="eastAsia"/>
                <w:color w:val="000000" w:themeColor="text1"/>
                <w:szCs w:val="24"/>
              </w:rPr>
              <w:t>第</w:t>
            </w:r>
            <w:r w:rsidR="004F70B0" w:rsidRPr="004C1ACD">
              <w:rPr>
                <w:rFonts w:ascii="Times New Roman" w:eastAsia="標楷體" w:hAnsi="Times New Roman" w:cs="Times New Roman" w:hint="eastAsia"/>
                <w:color w:val="000000" w:themeColor="text1"/>
                <w:szCs w:val="24"/>
              </w:rPr>
              <w:t>1</w:t>
            </w:r>
            <w:r w:rsidR="004F70B0" w:rsidRPr="004C1ACD">
              <w:rPr>
                <w:rFonts w:ascii="Times New Roman" w:eastAsia="標楷體" w:hAnsi="Times New Roman" w:cs="Times New Roman" w:hint="eastAsia"/>
                <w:color w:val="000000" w:themeColor="text1"/>
                <w:szCs w:val="24"/>
              </w:rPr>
              <w:t>項</w:t>
            </w:r>
            <w:r w:rsidRPr="004C1ACD">
              <w:rPr>
                <w:rFonts w:ascii="Times New Roman" w:eastAsia="標楷體" w:hAnsi="Times New Roman" w:cs="Times New Roman"/>
                <w:color w:val="000000" w:themeColor="text1"/>
                <w:szCs w:val="24"/>
              </w:rPr>
              <w:t>第</w:t>
            </w:r>
            <w:r w:rsidRPr="004C1ACD">
              <w:rPr>
                <w:rFonts w:ascii="Times New Roman" w:eastAsia="標楷體" w:hAnsi="Times New Roman" w:cs="Times New Roman"/>
                <w:color w:val="000000" w:themeColor="text1"/>
                <w:szCs w:val="24"/>
              </w:rPr>
              <w:t>6</w:t>
            </w:r>
            <w:r w:rsidRPr="004C1ACD">
              <w:rPr>
                <w:rFonts w:ascii="Times New Roman" w:eastAsia="標楷體" w:hAnsi="Times New Roman" w:cs="Times New Roman"/>
                <w:color w:val="000000" w:themeColor="text1"/>
                <w:szCs w:val="24"/>
              </w:rPr>
              <w:t>款</w:t>
            </w:r>
            <w:r w:rsidR="00DF45FF" w:rsidRPr="004C1ACD">
              <w:rPr>
                <w:rFonts w:ascii="Times New Roman" w:eastAsia="標楷體" w:hAnsi="Times New Roman" w:cs="Times New Roman" w:hint="eastAsia"/>
                <w:color w:val="000000" w:themeColor="text1"/>
                <w:szCs w:val="24"/>
              </w:rPr>
              <w:t>有關</w:t>
            </w:r>
            <w:r w:rsidRPr="00EB3214">
              <w:rPr>
                <w:rFonts w:ascii="Times New Roman" w:eastAsia="標楷體" w:hAnsi="Times New Roman" w:cs="Times New Roman"/>
                <w:bCs/>
                <w:color w:val="000000" w:themeColor="text1"/>
                <w:szCs w:val="24"/>
              </w:rPr>
              <w:t>成交量</w:t>
            </w:r>
            <w:r w:rsidRPr="004C1ACD">
              <w:rPr>
                <w:rFonts w:ascii="Times New Roman" w:eastAsia="標楷體" w:hAnsi="Times New Roman" w:cs="Times New Roman"/>
                <w:color w:val="000000" w:themeColor="text1"/>
                <w:szCs w:val="24"/>
              </w:rPr>
              <w:t>放大與第</w:t>
            </w:r>
            <w:r w:rsidRPr="004C1ACD">
              <w:rPr>
                <w:rFonts w:ascii="Times New Roman" w:eastAsia="標楷體" w:hAnsi="Times New Roman" w:cs="Times New Roman"/>
                <w:color w:val="000000" w:themeColor="text1"/>
                <w:szCs w:val="24"/>
              </w:rPr>
              <w:t>7</w:t>
            </w:r>
            <w:r w:rsidRPr="004C1ACD">
              <w:rPr>
                <w:rFonts w:ascii="Times New Roman" w:eastAsia="標楷體" w:hAnsi="Times New Roman" w:cs="Times New Roman"/>
                <w:color w:val="000000" w:themeColor="text1"/>
                <w:szCs w:val="24"/>
              </w:rPr>
              <w:t>款</w:t>
            </w:r>
            <w:r w:rsidR="00DF45FF" w:rsidRPr="004C1ACD">
              <w:rPr>
                <w:rFonts w:ascii="Times New Roman" w:eastAsia="標楷體" w:hAnsi="Times New Roman" w:cs="Times New Roman" w:hint="eastAsia"/>
                <w:color w:val="000000" w:themeColor="text1"/>
                <w:szCs w:val="24"/>
              </w:rPr>
              <w:t>有關</w:t>
            </w:r>
            <w:r w:rsidRPr="004C1ACD">
              <w:rPr>
                <w:rFonts w:ascii="Times New Roman" w:eastAsia="標楷體" w:hAnsi="Times New Roman" w:cs="Times New Roman"/>
                <w:color w:val="000000" w:themeColor="text1"/>
                <w:szCs w:val="24"/>
              </w:rPr>
              <w:t>週轉率之</w:t>
            </w:r>
            <w:r w:rsidRPr="004C1ACD">
              <w:rPr>
                <w:rFonts w:ascii="Times New Roman" w:eastAsia="標楷體" w:hAnsi="Times New Roman" w:cs="Times New Roman"/>
                <w:bCs/>
                <w:color w:val="000000" w:themeColor="text1"/>
                <w:szCs w:val="24"/>
              </w:rPr>
              <w:t>監視</w:t>
            </w:r>
            <w:r w:rsidRPr="004C1ACD">
              <w:rPr>
                <w:rFonts w:ascii="Times New Roman" w:eastAsia="標楷體" w:hAnsi="Times New Roman" w:cs="Times New Roman"/>
                <w:color w:val="000000" w:themeColor="text1"/>
                <w:szCs w:val="24"/>
              </w:rPr>
              <w:t>異</w:t>
            </w:r>
            <w:r w:rsidRPr="004C1ACD">
              <w:rPr>
                <w:rFonts w:ascii="Times New Roman" w:eastAsia="標楷體" w:hAnsi="Times New Roman" w:cs="Times New Roman"/>
                <w:color w:val="000000" w:themeColor="text1"/>
                <w:szCs w:val="24"/>
              </w:rPr>
              <w:lastRenderedPageBreak/>
              <w:t>常標準為第</w:t>
            </w:r>
            <w:r w:rsidRPr="004C1ACD">
              <w:rPr>
                <w:rFonts w:ascii="Times New Roman" w:eastAsia="標楷體" w:hAnsi="Times New Roman" w:cs="Times New Roman"/>
                <w:color w:val="000000" w:themeColor="text1"/>
                <w:szCs w:val="24"/>
              </w:rPr>
              <w:t>9</w:t>
            </w:r>
            <w:r w:rsidRPr="004C1ACD">
              <w:rPr>
                <w:rFonts w:ascii="Times New Roman" w:eastAsia="標楷體" w:hAnsi="Times New Roman" w:cs="Times New Roman"/>
                <w:color w:val="000000" w:themeColor="text1"/>
                <w:szCs w:val="24"/>
              </w:rPr>
              <w:t>款與第</w:t>
            </w:r>
            <w:r w:rsidRPr="004C1ACD">
              <w:rPr>
                <w:rFonts w:ascii="Times New Roman" w:eastAsia="標楷體" w:hAnsi="Times New Roman" w:cs="Times New Roman"/>
                <w:color w:val="000000" w:themeColor="text1"/>
                <w:szCs w:val="24"/>
              </w:rPr>
              <w:t>10</w:t>
            </w:r>
            <w:r w:rsidRPr="004C1ACD">
              <w:rPr>
                <w:rFonts w:ascii="Times New Roman" w:eastAsia="標楷體" w:hAnsi="Times New Roman" w:cs="Times New Roman"/>
                <w:color w:val="000000" w:themeColor="text1"/>
                <w:szCs w:val="24"/>
              </w:rPr>
              <w:t>款，</w:t>
            </w:r>
            <w:proofErr w:type="gramStart"/>
            <w:r w:rsidRPr="004C1ACD">
              <w:rPr>
                <w:rFonts w:ascii="Times New Roman" w:eastAsia="標楷體" w:hAnsi="Times New Roman" w:cs="Times New Roman"/>
                <w:color w:val="000000" w:themeColor="text1"/>
                <w:szCs w:val="24"/>
              </w:rPr>
              <w:t>原款次</w:t>
            </w:r>
            <w:proofErr w:type="gramEnd"/>
            <w:r w:rsidRPr="004C1ACD">
              <w:rPr>
                <w:rFonts w:ascii="Times New Roman" w:eastAsia="標楷體" w:hAnsi="Times New Roman" w:cs="Times New Roman"/>
                <w:color w:val="000000" w:themeColor="text1"/>
                <w:szCs w:val="24"/>
              </w:rPr>
              <w:t>由後續條文依次遞補調整，</w:t>
            </w:r>
            <w:proofErr w:type="gramStart"/>
            <w:r w:rsidRPr="004C1ACD">
              <w:rPr>
                <w:rFonts w:ascii="Times New Roman" w:eastAsia="標楷體" w:hAnsi="Times New Roman" w:cs="Times New Roman"/>
                <w:color w:val="000000" w:themeColor="text1"/>
                <w:szCs w:val="24"/>
              </w:rPr>
              <w:t>爰</w:t>
            </w:r>
            <w:proofErr w:type="gramEnd"/>
            <w:r w:rsidRPr="004C1ACD">
              <w:rPr>
                <w:rFonts w:ascii="Times New Roman" w:eastAsia="標楷體" w:hAnsi="Times New Roman" w:cs="Times New Roman"/>
                <w:color w:val="000000" w:themeColor="text1"/>
                <w:szCs w:val="24"/>
              </w:rPr>
              <w:t>修</w:t>
            </w:r>
            <w:r w:rsidRPr="004C1ACD">
              <w:rPr>
                <w:rFonts w:ascii="Times New Roman" w:eastAsia="標楷體" w:hAnsi="Times New Roman" w:cs="Times New Roman"/>
                <w:color w:val="000000" w:themeColor="text1"/>
                <w:kern w:val="0"/>
                <w:szCs w:val="24"/>
              </w:rPr>
              <w:t>正本條</w:t>
            </w:r>
            <w:proofErr w:type="gramStart"/>
            <w:r w:rsidRPr="004C1ACD">
              <w:rPr>
                <w:rFonts w:ascii="Times New Roman" w:eastAsia="標楷體" w:hAnsi="Times New Roman" w:cs="Times New Roman"/>
                <w:color w:val="000000" w:themeColor="text1"/>
                <w:kern w:val="0"/>
                <w:szCs w:val="24"/>
              </w:rPr>
              <w:t>第</w:t>
            </w:r>
            <w:r w:rsidRPr="004C1ACD">
              <w:rPr>
                <w:rFonts w:ascii="Times New Roman" w:eastAsia="標楷體" w:hAnsi="Times New Roman" w:cs="Times New Roman"/>
                <w:color w:val="000000" w:themeColor="text1"/>
                <w:kern w:val="0"/>
                <w:szCs w:val="24"/>
              </w:rPr>
              <w:t>1</w:t>
            </w:r>
            <w:r w:rsidRPr="004C1ACD">
              <w:rPr>
                <w:rFonts w:ascii="Times New Roman" w:eastAsia="標楷體" w:hAnsi="Times New Roman" w:cs="Times New Roman"/>
                <w:color w:val="000000" w:themeColor="text1"/>
                <w:kern w:val="0"/>
                <w:szCs w:val="24"/>
              </w:rPr>
              <w:t>項款</w:t>
            </w:r>
            <w:proofErr w:type="gramEnd"/>
            <w:r w:rsidRPr="004C1ACD">
              <w:rPr>
                <w:rFonts w:ascii="Times New Roman" w:eastAsia="標楷體" w:hAnsi="Times New Roman" w:cs="Times New Roman"/>
                <w:color w:val="000000" w:themeColor="text1"/>
                <w:kern w:val="0"/>
                <w:szCs w:val="24"/>
              </w:rPr>
              <w:t>次相關規定</w:t>
            </w:r>
            <w:r w:rsidRPr="004C1ACD">
              <w:rPr>
                <w:rFonts w:ascii="Times New Roman" w:eastAsia="標楷體" w:hAnsi="Times New Roman" w:cs="Times New Roman"/>
                <w:color w:val="000000" w:themeColor="text1"/>
                <w:szCs w:val="24"/>
              </w:rPr>
              <w:t>。</w:t>
            </w:r>
          </w:p>
          <w:p w:rsidR="00A15C5B" w:rsidRPr="004C1ACD" w:rsidRDefault="00A15C5B" w:rsidP="00EB3214">
            <w:pPr>
              <w:pStyle w:val="aa"/>
              <w:widowControl/>
              <w:numPr>
                <w:ilvl w:val="0"/>
                <w:numId w:val="47"/>
              </w:numPr>
              <w:ind w:leftChars="0"/>
              <w:jc w:val="both"/>
              <w:rPr>
                <w:rFonts w:ascii="標楷體" w:eastAsia="標楷體" w:hAnsi="標楷體"/>
                <w:bCs/>
                <w:color w:val="000000" w:themeColor="text1"/>
                <w:szCs w:val="24"/>
              </w:rPr>
            </w:pPr>
            <w:r w:rsidRPr="004C1ACD">
              <w:rPr>
                <w:rFonts w:ascii="Times New Roman" w:eastAsia="標楷體" w:hAnsi="Times New Roman" w:cs="Times New Roman"/>
                <w:color w:val="000000" w:themeColor="text1"/>
                <w:szCs w:val="24"/>
              </w:rPr>
              <w:t>第</w:t>
            </w:r>
            <w:r w:rsidRPr="004C1ACD">
              <w:rPr>
                <w:rFonts w:ascii="Times New Roman" w:eastAsia="標楷體" w:hAnsi="Times New Roman" w:cs="Times New Roman"/>
                <w:color w:val="000000" w:themeColor="text1"/>
                <w:szCs w:val="24"/>
              </w:rPr>
              <w:t>2</w:t>
            </w:r>
            <w:r w:rsidRPr="004C1ACD">
              <w:rPr>
                <w:rFonts w:ascii="Times New Roman" w:eastAsia="標楷體" w:hAnsi="Times New Roman" w:cs="Times New Roman"/>
                <w:color w:val="000000" w:themeColor="text1"/>
                <w:szCs w:val="24"/>
              </w:rPr>
              <w:t>項、第</w:t>
            </w:r>
            <w:r w:rsidRPr="004C1ACD">
              <w:rPr>
                <w:rFonts w:ascii="Times New Roman" w:eastAsia="標楷體" w:hAnsi="Times New Roman" w:cs="Times New Roman"/>
                <w:color w:val="000000" w:themeColor="text1"/>
                <w:szCs w:val="24"/>
              </w:rPr>
              <w:t>3</w:t>
            </w:r>
            <w:r w:rsidRPr="004C1ACD">
              <w:rPr>
                <w:rFonts w:ascii="Times New Roman" w:eastAsia="標楷體" w:hAnsi="Times New Roman" w:cs="Times New Roman"/>
                <w:color w:val="000000" w:themeColor="text1"/>
                <w:szCs w:val="24"/>
              </w:rPr>
              <w:t>項及第</w:t>
            </w:r>
            <w:r w:rsidRPr="004C1ACD">
              <w:rPr>
                <w:rFonts w:ascii="Times New Roman" w:eastAsia="標楷體" w:hAnsi="Times New Roman" w:cs="Times New Roman"/>
                <w:color w:val="000000" w:themeColor="text1"/>
                <w:szCs w:val="24"/>
              </w:rPr>
              <w:t>5</w:t>
            </w:r>
            <w:r w:rsidRPr="004C1ACD">
              <w:rPr>
                <w:rFonts w:ascii="Times New Roman" w:eastAsia="標楷體" w:hAnsi="Times New Roman" w:cs="Times New Roman"/>
                <w:color w:val="000000" w:themeColor="text1"/>
                <w:szCs w:val="24"/>
              </w:rPr>
              <w:t>項至第</w:t>
            </w:r>
            <w:r w:rsidRPr="004C1ACD">
              <w:rPr>
                <w:rFonts w:ascii="Times New Roman" w:eastAsia="標楷體" w:hAnsi="Times New Roman" w:cs="Times New Roman"/>
                <w:color w:val="000000" w:themeColor="text1"/>
                <w:szCs w:val="24"/>
              </w:rPr>
              <w:t>7</w:t>
            </w:r>
            <w:r w:rsidRPr="004C1ACD">
              <w:rPr>
                <w:rFonts w:ascii="Times New Roman" w:eastAsia="標楷體" w:hAnsi="Times New Roman" w:cs="Times New Roman"/>
                <w:color w:val="000000" w:themeColor="text1"/>
                <w:szCs w:val="24"/>
              </w:rPr>
              <w:t>項未修正。</w:t>
            </w:r>
          </w:p>
          <w:p w:rsidR="00CC4D3D" w:rsidRPr="004C1ACD" w:rsidRDefault="00CC4D3D" w:rsidP="00F87266">
            <w:pPr>
              <w:widowControl/>
              <w:tabs>
                <w:tab w:val="left" w:pos="0"/>
                <w:tab w:val="left" w:pos="1587"/>
              </w:tabs>
              <w:ind w:leftChars="-171" w:hangingChars="171" w:hanging="410"/>
              <w:jc w:val="both"/>
              <w:rPr>
                <w:rFonts w:ascii="Times New Roman" w:eastAsia="標楷體" w:hAnsi="Times New Roman" w:cs="Times New Roman"/>
                <w:color w:val="000000" w:themeColor="text1"/>
                <w:szCs w:val="24"/>
              </w:rPr>
            </w:pPr>
          </w:p>
        </w:tc>
      </w:tr>
      <w:tr w:rsidR="00105AAF" w:rsidRPr="004C1ACD" w:rsidTr="001D228D">
        <w:tc>
          <w:tcPr>
            <w:tcW w:w="3147" w:type="dxa"/>
            <w:tcBorders>
              <w:bottom w:val="single" w:sz="4" w:space="0" w:color="auto"/>
            </w:tcBorders>
          </w:tcPr>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lastRenderedPageBreak/>
              <w:t>第六條</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lastRenderedPageBreak/>
              <w:t>有價證券之交易有下列情形之一時，本中心即發布為處置之有價證券：</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一、連續三個營業日經本中心依第四條第一項第一款發布交易資訊者。</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二、連續五個營業日或最近十個營業日內有六個營業日或最近三十</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營業日內有十二</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營業日經本中心依第四條第一項第一款至</w:t>
            </w:r>
            <w:r w:rsidRPr="004C1ACD">
              <w:rPr>
                <w:rFonts w:ascii="標楷體" w:eastAsia="標楷體" w:hAnsi="標楷體" w:cs="Times New Roman" w:hint="eastAsia"/>
                <w:b/>
                <w:bCs/>
                <w:color w:val="000000" w:themeColor="text1"/>
                <w:szCs w:val="24"/>
                <w:u w:val="single"/>
              </w:rPr>
              <w:t>第八款</w:t>
            </w:r>
            <w:r w:rsidRPr="004C1ACD">
              <w:rPr>
                <w:rFonts w:ascii="標楷體" w:eastAsia="標楷體" w:hAnsi="標楷體" w:cs="Times New Roman" w:hint="eastAsia"/>
                <w:bCs/>
                <w:color w:val="000000" w:themeColor="text1"/>
                <w:szCs w:val="24"/>
              </w:rPr>
              <w:t>發布交易資訊者。</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有價證券最近三十</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營業日內，第一次依前項標準發布處置者，本中心於次一營業日起十個營業日內，同時</w:t>
            </w:r>
            <w:proofErr w:type="gramStart"/>
            <w:r w:rsidRPr="004C1ACD">
              <w:rPr>
                <w:rFonts w:ascii="標楷體" w:eastAsia="標楷體" w:hAnsi="標楷體" w:cs="Times New Roman" w:hint="eastAsia"/>
                <w:bCs/>
                <w:color w:val="000000" w:themeColor="text1"/>
                <w:szCs w:val="24"/>
              </w:rPr>
              <w:t>採</w:t>
            </w:r>
            <w:proofErr w:type="gramEnd"/>
            <w:r w:rsidRPr="004C1ACD">
              <w:rPr>
                <w:rFonts w:ascii="標楷體" w:eastAsia="標楷體" w:hAnsi="標楷體" w:cs="Times New Roman" w:hint="eastAsia"/>
                <w:bCs/>
                <w:color w:val="000000" w:themeColor="text1"/>
                <w:szCs w:val="24"/>
              </w:rPr>
              <w:t>行下列之措施：</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對該有價證券以人工管制之撮合終端機執行撮合作業（約每五分鐘撮合一次，但變更交易方法有價證券約每十分鐘撮合一次、分盤方式交易有價證券約每四十五分鐘撮合一次、管理股票約每六十分鐘撮合一次）。</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二、通知各證券經紀商於前開期間對於投資人每日委託買賣該</w:t>
            </w:r>
            <w:r w:rsidRPr="00EB3214">
              <w:rPr>
                <w:rFonts w:ascii="標楷體" w:eastAsia="標楷體" w:hAnsi="標楷體" w:hint="eastAsia"/>
                <w:color w:val="000000" w:themeColor="text1"/>
              </w:rPr>
              <w:t>有價證券</w:t>
            </w:r>
            <w:r w:rsidRPr="004C1ACD">
              <w:rPr>
                <w:rFonts w:ascii="標楷體" w:eastAsia="標楷體" w:hAnsi="標楷體" w:cs="Times New Roman" w:hint="eastAsia"/>
                <w:bCs/>
                <w:color w:val="000000" w:themeColor="text1"/>
                <w:szCs w:val="24"/>
              </w:rPr>
              <w:t>數量</w:t>
            </w:r>
            <w:proofErr w:type="gramStart"/>
            <w:r w:rsidRPr="004C1ACD">
              <w:rPr>
                <w:rFonts w:ascii="標楷體" w:eastAsia="標楷體" w:hAnsi="標楷體" w:cs="Times New Roman" w:hint="eastAsia"/>
                <w:bCs/>
                <w:color w:val="000000" w:themeColor="text1"/>
                <w:szCs w:val="24"/>
              </w:rPr>
              <w:t>單筆達</w:t>
            </w:r>
            <w:proofErr w:type="gramEnd"/>
            <w:r w:rsidRPr="004C1ACD">
              <w:rPr>
                <w:rFonts w:ascii="標楷體" w:eastAsia="標楷體" w:hAnsi="標楷體" w:cs="Times New Roman" w:hint="eastAsia"/>
                <w:bCs/>
                <w:color w:val="000000" w:themeColor="text1"/>
                <w:szCs w:val="24"/>
              </w:rPr>
              <w:t>十交易單位或多筆累積達三十交易單位以上時，應就其當日已委託之買賣，向該投資人收取全部之買進價金或賣出證券，信用交易部分，則收足融資自備款或融券保證金；至於當日達上開數量後之委託亦應於委辦時向其收取全部之買進價金或賣出證券，信用交易部</w:t>
            </w:r>
            <w:r w:rsidRPr="004C1ACD">
              <w:rPr>
                <w:rFonts w:ascii="標楷體" w:eastAsia="標楷體" w:hAnsi="標楷體" w:cs="Times New Roman" w:hint="eastAsia"/>
                <w:bCs/>
                <w:color w:val="000000" w:themeColor="text1"/>
                <w:szCs w:val="24"/>
              </w:rPr>
              <w:lastRenderedPageBreak/>
              <w:t>分，則收足融資自備款或融券保證金。但信用交易了結或違約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有價證券最近三十</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營業日內，曾依第一項規定發布處置者，其當日再次依第一項標準發布處置，本中心於次一營業日起十個營業日內，同時</w:t>
            </w:r>
            <w:proofErr w:type="gramStart"/>
            <w:r w:rsidRPr="004C1ACD">
              <w:rPr>
                <w:rFonts w:ascii="標楷體" w:eastAsia="標楷體" w:hAnsi="標楷體" w:cs="Times New Roman" w:hint="eastAsia"/>
                <w:bCs/>
                <w:color w:val="000000" w:themeColor="text1"/>
                <w:szCs w:val="24"/>
              </w:rPr>
              <w:t>採</w:t>
            </w:r>
            <w:proofErr w:type="gramEnd"/>
            <w:r w:rsidRPr="004C1ACD">
              <w:rPr>
                <w:rFonts w:ascii="標楷體" w:eastAsia="標楷體" w:hAnsi="標楷體" w:cs="Times New Roman" w:hint="eastAsia"/>
                <w:bCs/>
                <w:color w:val="000000" w:themeColor="text1"/>
                <w:szCs w:val="24"/>
              </w:rPr>
              <w:t>行下列之措施：</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對該有價證券以人工管制之撮合終端機執行撮合作業（約每二十分鐘撮合一次，但變更交易方法有價證券約每二十五分鐘撮合一次、分盤方式交易有價證券約每六十分鐘撮合一次、管理股票約每九十分鐘撮合一次）。</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二、通知各證券經紀商於前開期間對於所有投資人每日委託買賣該有價證券，應就其當日已委託之買賣，向該投資人收取全部之買進價金或賣出證券，信用交易部分，則收足融資自備款或融券保證金。但信用</w:t>
            </w:r>
            <w:r w:rsidRPr="004C1ACD">
              <w:rPr>
                <w:rFonts w:ascii="標楷體" w:eastAsia="標楷體" w:hAnsi="標楷體" w:cs="Times New Roman" w:hint="eastAsia"/>
                <w:bCs/>
                <w:color w:val="000000" w:themeColor="text1"/>
                <w:szCs w:val="24"/>
              </w:rPr>
              <w:lastRenderedPageBreak/>
              <w:t>交易了結或違約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有價證券經依本條第二項或第三項規定發布處置，而其處置原因含有第四條第一項</w:t>
            </w:r>
            <w:r w:rsidRPr="004C1ACD">
              <w:rPr>
                <w:rFonts w:ascii="標楷體" w:eastAsia="標楷體" w:hAnsi="標楷體" w:cs="Times New Roman" w:hint="eastAsia"/>
                <w:b/>
                <w:bCs/>
                <w:color w:val="000000" w:themeColor="text1"/>
                <w:szCs w:val="24"/>
                <w:u w:val="single"/>
              </w:rPr>
              <w:t>第六款</w:t>
            </w:r>
            <w:r w:rsidRPr="004C1ACD">
              <w:rPr>
                <w:rFonts w:ascii="標楷體" w:eastAsia="標楷體" w:hAnsi="標楷體" w:cs="Times New Roman" w:hint="eastAsia"/>
                <w:bCs/>
                <w:color w:val="000000" w:themeColor="text1"/>
                <w:szCs w:val="24"/>
              </w:rPr>
              <w:t>情事，或於處置期間再經本中心依上開</w:t>
            </w:r>
            <w:r w:rsidRPr="004C1ACD">
              <w:rPr>
                <w:rFonts w:ascii="標楷體" w:eastAsia="標楷體" w:hAnsi="標楷體" w:cs="Times New Roman" w:hint="eastAsia"/>
                <w:b/>
                <w:bCs/>
                <w:color w:val="000000" w:themeColor="text1"/>
                <w:szCs w:val="24"/>
                <w:u w:val="single"/>
              </w:rPr>
              <w:t>第六款</w:t>
            </w:r>
            <w:r w:rsidRPr="004C1ACD">
              <w:rPr>
                <w:rFonts w:ascii="標楷體" w:eastAsia="標楷體" w:hAnsi="標楷體" w:cs="Times New Roman" w:hint="eastAsia"/>
                <w:bCs/>
                <w:color w:val="000000" w:themeColor="text1"/>
                <w:szCs w:val="24"/>
              </w:rPr>
              <w:t>發布交易資訊者，或經依第四條第一項</w:t>
            </w:r>
            <w:r w:rsidRPr="004C1ACD">
              <w:rPr>
                <w:rFonts w:ascii="標楷體" w:eastAsia="標楷體" w:hAnsi="標楷體" w:cs="Times New Roman" w:hint="eastAsia"/>
                <w:b/>
                <w:bCs/>
                <w:color w:val="000000" w:themeColor="text1"/>
                <w:szCs w:val="24"/>
                <w:u w:val="single"/>
              </w:rPr>
              <w:t>第九款、第十款</w:t>
            </w:r>
            <w:r w:rsidRPr="004C1ACD">
              <w:rPr>
                <w:rFonts w:ascii="標楷體" w:eastAsia="標楷體" w:hAnsi="標楷體" w:cs="Times New Roman" w:hint="eastAsia"/>
                <w:bCs/>
                <w:color w:val="000000" w:themeColor="text1"/>
                <w:szCs w:val="24"/>
              </w:rPr>
              <w:t>、第十一款、第十二款公布注意交易資訊，並分析有異常情事者，或本中心認為有價證券之交易異常並嚴重影響市場給付結算安全之虞時，或其他認有必要時，經提報監視業務督導會報討論決議後，得採取下列處置措施並議定處置期間：</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一、本條第二項或第三項規定之處置</w:t>
            </w:r>
            <w:r w:rsidRPr="00EB3214">
              <w:rPr>
                <w:rFonts w:ascii="標楷體" w:eastAsia="標楷體" w:hAnsi="標楷體" w:hint="eastAsia"/>
                <w:color w:val="000000" w:themeColor="text1"/>
              </w:rPr>
              <w:t>措施</w:t>
            </w:r>
            <w:r w:rsidRPr="004C1ACD">
              <w:rPr>
                <w:rFonts w:ascii="標楷體" w:eastAsia="標楷體" w:hAnsi="標楷體" w:cs="Times New Roman" w:hint="eastAsia"/>
                <w:bCs/>
                <w:color w:val="000000" w:themeColor="text1"/>
                <w:szCs w:val="24"/>
              </w:rPr>
              <w:t>，必要時得依下列項目彈性調整：</w:t>
            </w:r>
          </w:p>
          <w:p w:rsidR="00CC4D3D" w:rsidRPr="004C1ACD" w:rsidRDefault="00CC4D3D" w:rsidP="00EB3214">
            <w:pPr>
              <w:snapToGrid w:val="0"/>
              <w:spacing w:line="280" w:lineRule="atLeast"/>
              <w:ind w:leftChars="-109" w:left="698" w:hangingChars="400" w:hanging="96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 xml:space="preserve">  （一）有價證券以人工管制撮合終端機執行撮合作業時間。</w:t>
            </w:r>
          </w:p>
          <w:p w:rsidR="00CC4D3D" w:rsidRPr="004C1ACD" w:rsidRDefault="00CC4D3D" w:rsidP="00EB3214">
            <w:pPr>
              <w:snapToGrid w:val="0"/>
              <w:spacing w:line="280" w:lineRule="atLeast"/>
              <w:ind w:leftChars="-109" w:left="698" w:hangingChars="400" w:hanging="96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 xml:space="preserve">  （二）投資人委託買賣該異常有價證券時預收一定比例或全部買進價金或賣出證券或融資</w:t>
            </w:r>
            <w:r w:rsidRPr="004C1ACD">
              <w:rPr>
                <w:rFonts w:ascii="標楷體" w:eastAsia="標楷體" w:hAnsi="標楷體" w:cs="Times New Roman" w:hint="eastAsia"/>
                <w:bCs/>
                <w:color w:val="000000" w:themeColor="text1"/>
                <w:szCs w:val="24"/>
              </w:rPr>
              <w:lastRenderedPageBreak/>
              <w:t>自備款或融券保證金。</w:t>
            </w:r>
          </w:p>
          <w:p w:rsidR="00CC4D3D" w:rsidRPr="004C1ACD" w:rsidRDefault="00CC4D3D" w:rsidP="00EB3214">
            <w:pPr>
              <w:snapToGrid w:val="0"/>
              <w:spacing w:line="280" w:lineRule="atLeast"/>
              <w:ind w:leftChars="-109" w:left="698" w:hangingChars="400" w:hanging="96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 xml:space="preserve">  （三）處置期間。</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各證券商每日買進或賣出該有價證券之申報金額，總公司不得超過新臺幣四千萬元，每一分支機構不得超過新臺幣一千萬元。但信用交易了結或違約專戶、認購（售）權證流動量提供者專戶或認購（售）權證避險專戶（不含帳號編碼前三碼為「九二九」帳戶）委託買賣該有價證券者，不在此限；實收資本額未達新臺幣八千萬元之發行公司股票於前述之買進或賣出申報金額減至二分之一，必要時得視該有價證券交易狀況、市值或發行公司資本額調整各證券商總分公司每日買進或賣出該有價證券之申報金額。</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三、通知各證券商於買賣交易異常之有價證券時，增繳給付結算基金。</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四、暫停該有價證券融資融券交易。但信用交易了結，不在此限。</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五、報經主管機關核准後停止該有價證券一定期間之買賣。</w:t>
            </w:r>
          </w:p>
          <w:p w:rsidR="00CC4D3D" w:rsidRPr="004C1ACD" w:rsidRDefault="00CC4D3D" w:rsidP="00A15C5B">
            <w:pPr>
              <w:snapToGrid w:val="0"/>
              <w:spacing w:line="280" w:lineRule="atLeast"/>
              <w:ind w:leftChars="10" w:left="305" w:hangingChars="117" w:hanging="281"/>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六、其他之處置。</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682CDC">
            <w:pPr>
              <w:snapToGrid w:val="0"/>
              <w:spacing w:line="280" w:lineRule="atLeast"/>
              <w:jc w:val="center"/>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(第五項至</w:t>
            </w:r>
            <w:proofErr w:type="gramStart"/>
            <w:r w:rsidRPr="004C1ACD">
              <w:rPr>
                <w:rFonts w:ascii="標楷體" w:eastAsia="標楷體" w:hAnsi="標楷體" w:cs="Times New Roman" w:hint="eastAsia"/>
                <w:bCs/>
                <w:color w:val="000000" w:themeColor="text1"/>
                <w:szCs w:val="24"/>
              </w:rPr>
              <w:t>第十項略</w:t>
            </w:r>
            <w:proofErr w:type="gramEnd"/>
            <w:r w:rsidRPr="004C1ACD">
              <w:rPr>
                <w:rFonts w:ascii="標楷體" w:eastAsia="標楷體" w:hAnsi="標楷體" w:cs="Times New Roman" w:hint="eastAsia"/>
                <w:bCs/>
                <w:color w:val="000000" w:themeColor="text1"/>
                <w:szCs w:val="24"/>
              </w:rPr>
              <w:t>)</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tc>
        <w:tc>
          <w:tcPr>
            <w:tcW w:w="3148" w:type="dxa"/>
            <w:tcBorders>
              <w:bottom w:val="single" w:sz="4" w:space="0" w:color="auto"/>
            </w:tcBorders>
          </w:tcPr>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lastRenderedPageBreak/>
              <w:t>第六條</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lastRenderedPageBreak/>
              <w:t>有價證券之交易有下列情形之一時，本中心即發布為處置之有價證券：</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一、連續三個營業日經本中心依第四條</w:t>
            </w:r>
            <w:r w:rsidRPr="00EB3214">
              <w:rPr>
                <w:rFonts w:ascii="標楷體" w:eastAsia="標楷體" w:hAnsi="標楷體" w:hint="eastAsia"/>
                <w:color w:val="000000" w:themeColor="text1"/>
              </w:rPr>
              <w:t>第一</w:t>
            </w:r>
            <w:r w:rsidRPr="004C1ACD">
              <w:rPr>
                <w:rFonts w:ascii="標楷體" w:eastAsia="標楷體" w:hAnsi="標楷體" w:cs="Times New Roman" w:hint="eastAsia"/>
                <w:bCs/>
                <w:color w:val="000000" w:themeColor="text1"/>
                <w:szCs w:val="24"/>
              </w:rPr>
              <w:t>項第一款發布交易資訊者。</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二、連續五個營業日或最近十個營業日內有六個營業日或最近</w:t>
            </w:r>
            <w:r w:rsidRPr="00EB3214">
              <w:rPr>
                <w:rFonts w:ascii="標楷體" w:eastAsia="標楷體" w:hAnsi="標楷體" w:hint="eastAsia"/>
                <w:color w:val="000000" w:themeColor="text1"/>
              </w:rPr>
              <w:t>三十</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營業日內有十二</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營業日經本中心依第四條第一項第一款</w:t>
            </w:r>
            <w:r w:rsidRPr="004C1ACD">
              <w:rPr>
                <w:rFonts w:ascii="標楷體" w:eastAsia="標楷體" w:hAnsi="標楷體" w:cs="Times New Roman" w:hint="eastAsia"/>
                <w:bCs/>
                <w:color w:val="000000" w:themeColor="text1"/>
                <w:szCs w:val="24"/>
                <w:u w:val="single"/>
              </w:rPr>
              <w:t>至第五款及第八款至第十款發</w:t>
            </w:r>
            <w:r w:rsidRPr="004C1ACD">
              <w:rPr>
                <w:rFonts w:ascii="標楷體" w:eastAsia="標楷體" w:hAnsi="標楷體" w:cs="Times New Roman" w:hint="eastAsia"/>
                <w:bCs/>
                <w:color w:val="000000" w:themeColor="text1"/>
                <w:szCs w:val="24"/>
              </w:rPr>
              <w:t>布交易資訊者。</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有價證券最近三十</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營業日內，第一次依前項標準發布處置者，本中心於次一營業日起十個營業日內，同時</w:t>
            </w:r>
            <w:proofErr w:type="gramStart"/>
            <w:r w:rsidRPr="004C1ACD">
              <w:rPr>
                <w:rFonts w:ascii="標楷體" w:eastAsia="標楷體" w:hAnsi="標楷體" w:cs="Times New Roman" w:hint="eastAsia"/>
                <w:bCs/>
                <w:color w:val="000000" w:themeColor="text1"/>
                <w:szCs w:val="24"/>
              </w:rPr>
              <w:t>採</w:t>
            </w:r>
            <w:proofErr w:type="gramEnd"/>
            <w:r w:rsidRPr="004C1ACD">
              <w:rPr>
                <w:rFonts w:ascii="標楷體" w:eastAsia="標楷體" w:hAnsi="標楷體" w:cs="Times New Roman" w:hint="eastAsia"/>
                <w:bCs/>
                <w:color w:val="000000" w:themeColor="text1"/>
                <w:szCs w:val="24"/>
              </w:rPr>
              <w:t>行下列之措施：</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一、對該有價證券以人工管制之撮合終端機執行撮合作業（約</w:t>
            </w:r>
            <w:r w:rsidRPr="00EB3214">
              <w:rPr>
                <w:rFonts w:ascii="標楷體" w:eastAsia="標楷體" w:hAnsi="標楷體" w:hint="eastAsia"/>
                <w:color w:val="000000" w:themeColor="text1"/>
              </w:rPr>
              <w:t>每五</w:t>
            </w:r>
            <w:r w:rsidRPr="004C1ACD">
              <w:rPr>
                <w:rFonts w:ascii="標楷體" w:eastAsia="標楷體" w:hAnsi="標楷體" w:cs="Times New Roman" w:hint="eastAsia"/>
                <w:bCs/>
                <w:color w:val="000000" w:themeColor="text1"/>
                <w:szCs w:val="24"/>
              </w:rPr>
              <w:t>分鐘撮合一次，但變更交易方法有價證券約每十分鐘撮合一次、分盤方式交易有價證券約每四十五分鐘撮合一次、管理股票約每六十分鐘撮合一次）。</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二、通知各證券經紀商於前開期間對於投資人每日委託買賣該有價證券數量</w:t>
            </w:r>
            <w:proofErr w:type="gramStart"/>
            <w:r w:rsidRPr="004C1ACD">
              <w:rPr>
                <w:rFonts w:ascii="標楷體" w:eastAsia="標楷體" w:hAnsi="標楷體" w:cs="Times New Roman" w:hint="eastAsia"/>
                <w:bCs/>
                <w:color w:val="000000" w:themeColor="text1"/>
                <w:szCs w:val="24"/>
              </w:rPr>
              <w:t>單筆達</w:t>
            </w:r>
            <w:proofErr w:type="gramEnd"/>
            <w:r w:rsidRPr="004C1ACD">
              <w:rPr>
                <w:rFonts w:ascii="標楷體" w:eastAsia="標楷體" w:hAnsi="標楷體" w:cs="Times New Roman" w:hint="eastAsia"/>
                <w:bCs/>
                <w:color w:val="000000" w:themeColor="text1"/>
                <w:szCs w:val="24"/>
              </w:rPr>
              <w:t>十交易單位或多筆累積達三十交易單位以上時，應就其當日已委託之買賣，向該投資人收取全部之買進價金或賣出證券，信用交易部分，則收足融資自備款或融券保證金；至於當日達上開數量後之委託亦應於委辦時向其收取全部之買進價金或賣出證券，信用交易部</w:t>
            </w:r>
            <w:r w:rsidRPr="004C1ACD">
              <w:rPr>
                <w:rFonts w:ascii="標楷體" w:eastAsia="標楷體" w:hAnsi="標楷體" w:cs="Times New Roman" w:hint="eastAsia"/>
                <w:bCs/>
                <w:color w:val="000000" w:themeColor="text1"/>
                <w:szCs w:val="24"/>
              </w:rPr>
              <w:lastRenderedPageBreak/>
              <w:t>分，則收足融資自備款或融券保證金。但信用交易了結或違約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有價證券最近三十</w:t>
            </w:r>
            <w:proofErr w:type="gramStart"/>
            <w:r w:rsidRPr="004C1ACD">
              <w:rPr>
                <w:rFonts w:ascii="標楷體" w:eastAsia="標楷體" w:hAnsi="標楷體" w:cs="Times New Roman" w:hint="eastAsia"/>
                <w:bCs/>
                <w:color w:val="000000" w:themeColor="text1"/>
                <w:szCs w:val="24"/>
              </w:rPr>
              <w:t>個</w:t>
            </w:r>
            <w:proofErr w:type="gramEnd"/>
            <w:r w:rsidRPr="004C1ACD">
              <w:rPr>
                <w:rFonts w:ascii="標楷體" w:eastAsia="標楷體" w:hAnsi="標楷體" w:cs="Times New Roman" w:hint="eastAsia"/>
                <w:bCs/>
                <w:color w:val="000000" w:themeColor="text1"/>
                <w:szCs w:val="24"/>
              </w:rPr>
              <w:t>營業日內，曾依第一項規定發布處置者，其當日再次依第一項標準發布處置，本中心於次一營業日起十個營業日內，同時</w:t>
            </w:r>
            <w:proofErr w:type="gramStart"/>
            <w:r w:rsidRPr="004C1ACD">
              <w:rPr>
                <w:rFonts w:ascii="標楷體" w:eastAsia="標楷體" w:hAnsi="標楷體" w:cs="Times New Roman" w:hint="eastAsia"/>
                <w:bCs/>
                <w:color w:val="000000" w:themeColor="text1"/>
                <w:szCs w:val="24"/>
              </w:rPr>
              <w:t>採</w:t>
            </w:r>
            <w:proofErr w:type="gramEnd"/>
            <w:r w:rsidRPr="004C1ACD">
              <w:rPr>
                <w:rFonts w:ascii="標楷體" w:eastAsia="標楷體" w:hAnsi="標楷體" w:cs="Times New Roman" w:hint="eastAsia"/>
                <w:bCs/>
                <w:color w:val="000000" w:themeColor="text1"/>
                <w:szCs w:val="24"/>
              </w:rPr>
              <w:t>行下列之措施：</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一、對該有價證券以人工管制之撮合終端機執行撮合作業（約</w:t>
            </w:r>
            <w:r w:rsidRPr="00EB3214">
              <w:rPr>
                <w:rFonts w:ascii="標楷體" w:eastAsia="標楷體" w:hAnsi="標楷體" w:hint="eastAsia"/>
                <w:color w:val="000000" w:themeColor="text1"/>
              </w:rPr>
              <w:t>每二十</w:t>
            </w:r>
            <w:r w:rsidRPr="004C1ACD">
              <w:rPr>
                <w:rFonts w:ascii="標楷體" w:eastAsia="標楷體" w:hAnsi="標楷體" w:cs="Times New Roman" w:hint="eastAsia"/>
                <w:bCs/>
                <w:color w:val="000000" w:themeColor="text1"/>
                <w:szCs w:val="24"/>
              </w:rPr>
              <w:t>分鐘撮合一次，但變更交易方法有價證券約每二十五分鐘撮合一次、分盤方式交易有價證券約每六十分鐘撮合一次、管理股票約每九十分鐘撮合一次）。</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二、通知各證券經紀商於前開期間對於所有投資人每日委託買賣該有價證券，應就其當日已委託之買賣，向該投資人收取全部之買進價金或賣出證券，信用交易部分，則收足融資自備款或融券保證金。但信用</w:t>
            </w:r>
            <w:r w:rsidRPr="004C1ACD">
              <w:rPr>
                <w:rFonts w:ascii="標楷體" w:eastAsia="標楷體" w:hAnsi="標楷體" w:cs="Times New Roman" w:hint="eastAsia"/>
                <w:bCs/>
                <w:color w:val="000000" w:themeColor="text1"/>
                <w:szCs w:val="24"/>
              </w:rPr>
              <w:lastRenderedPageBreak/>
              <w:t>交易了結或違約專戶、認購（售）權證流動量提供者專戶或認購（售）權證避險專戶（不含帳號編碼前三碼為「九二九」帳戶）委託買賣該有價證券者，不在此限。實收資本額未達新臺幣八千萬元之發行公司股票部分，則通知各證券經紀商於前開期間對於每日委託買賣該有價證券之投資人，應就其當日已委託之買賣，向該投資人收取全部買進價金或賣出證券。</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有價證券經依本條第二項或第三項規定發布處置，而其處置原因含有第四條第一項</w:t>
            </w:r>
            <w:r w:rsidRPr="004C1ACD">
              <w:rPr>
                <w:rFonts w:ascii="標楷體" w:eastAsia="標楷體" w:hAnsi="標楷體" w:cs="Times New Roman" w:hint="eastAsia"/>
                <w:bCs/>
                <w:color w:val="000000" w:themeColor="text1"/>
                <w:szCs w:val="24"/>
                <w:u w:val="single"/>
              </w:rPr>
              <w:t>第八款</w:t>
            </w:r>
            <w:r w:rsidRPr="004C1ACD">
              <w:rPr>
                <w:rFonts w:ascii="標楷體" w:eastAsia="標楷體" w:hAnsi="標楷體" w:cs="Times New Roman" w:hint="eastAsia"/>
                <w:bCs/>
                <w:color w:val="000000" w:themeColor="text1"/>
                <w:szCs w:val="24"/>
              </w:rPr>
              <w:t>情事，或於處置期間再經本中心依上開</w:t>
            </w:r>
            <w:r w:rsidRPr="004C1ACD">
              <w:rPr>
                <w:rFonts w:ascii="標楷體" w:eastAsia="標楷體" w:hAnsi="標楷體" w:cs="Times New Roman" w:hint="eastAsia"/>
                <w:bCs/>
                <w:color w:val="000000" w:themeColor="text1"/>
                <w:szCs w:val="24"/>
                <w:u w:val="single"/>
              </w:rPr>
              <w:t>第八款</w:t>
            </w:r>
            <w:r w:rsidRPr="004C1ACD">
              <w:rPr>
                <w:rFonts w:ascii="標楷體" w:eastAsia="標楷體" w:hAnsi="標楷體" w:cs="Times New Roman" w:hint="eastAsia"/>
                <w:bCs/>
                <w:color w:val="000000" w:themeColor="text1"/>
                <w:szCs w:val="24"/>
              </w:rPr>
              <w:t>發布交易資訊者，或經依第四條第一項</w:t>
            </w:r>
            <w:r w:rsidRPr="004C1ACD">
              <w:rPr>
                <w:rFonts w:ascii="標楷體" w:eastAsia="標楷體" w:hAnsi="標楷體" w:cs="Times New Roman" w:hint="eastAsia"/>
                <w:bCs/>
                <w:color w:val="000000" w:themeColor="text1"/>
                <w:szCs w:val="24"/>
                <w:u w:val="single"/>
              </w:rPr>
              <w:t>第六款、第七款</w:t>
            </w:r>
            <w:r w:rsidRPr="004C1ACD">
              <w:rPr>
                <w:rFonts w:ascii="標楷體" w:eastAsia="標楷體" w:hAnsi="標楷體" w:cs="Times New Roman" w:hint="eastAsia"/>
                <w:bCs/>
                <w:color w:val="000000" w:themeColor="text1"/>
                <w:szCs w:val="24"/>
              </w:rPr>
              <w:t>、第十一款、第十二款公布注意交易資訊，並分析有異常情事者，或本中心認為有價證券之交易異常並嚴重影響市場給付結算安全之虞時，或其他認有必要時，經提報監視業務督導會報討論決議後，得採取下列處置措施並議定處置期間：</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一、本條第二項或第三項規定之</w:t>
            </w:r>
            <w:r w:rsidRPr="00EB3214">
              <w:rPr>
                <w:rFonts w:ascii="標楷體" w:eastAsia="標楷體" w:hAnsi="標楷體" w:hint="eastAsia"/>
                <w:color w:val="000000" w:themeColor="text1"/>
              </w:rPr>
              <w:t>處置</w:t>
            </w:r>
            <w:r w:rsidRPr="004C1ACD">
              <w:rPr>
                <w:rFonts w:ascii="標楷體" w:eastAsia="標楷體" w:hAnsi="標楷體" w:cs="Times New Roman" w:hint="eastAsia"/>
                <w:bCs/>
                <w:color w:val="000000" w:themeColor="text1"/>
                <w:szCs w:val="24"/>
              </w:rPr>
              <w:t>措施，必要時得依下列項目彈性調整：</w:t>
            </w:r>
          </w:p>
          <w:p w:rsidR="00CC4D3D" w:rsidRPr="004C1ACD" w:rsidRDefault="00CC4D3D" w:rsidP="00EB3214">
            <w:pPr>
              <w:snapToGrid w:val="0"/>
              <w:spacing w:line="280" w:lineRule="atLeast"/>
              <w:ind w:leftChars="-109" w:left="698" w:hangingChars="400" w:hanging="96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 xml:space="preserve">  （一）有價證券以人工管制撮合終端機執行撮合作業時間。</w:t>
            </w:r>
          </w:p>
          <w:p w:rsidR="00CC4D3D" w:rsidRPr="004C1ACD" w:rsidRDefault="00CC4D3D" w:rsidP="00EB3214">
            <w:pPr>
              <w:snapToGrid w:val="0"/>
              <w:spacing w:line="280" w:lineRule="atLeast"/>
              <w:ind w:leftChars="-109" w:left="698" w:hangingChars="400" w:hanging="96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 xml:space="preserve">  （二）投資人委託買賣該異常有價證券時預收一定比例或全部買進價金或賣出證券或融資</w:t>
            </w:r>
            <w:r w:rsidRPr="004C1ACD">
              <w:rPr>
                <w:rFonts w:ascii="標楷體" w:eastAsia="標楷體" w:hAnsi="標楷體" w:cs="Times New Roman" w:hint="eastAsia"/>
                <w:bCs/>
                <w:color w:val="000000" w:themeColor="text1"/>
                <w:szCs w:val="24"/>
              </w:rPr>
              <w:lastRenderedPageBreak/>
              <w:t>自備款或融券保證金。</w:t>
            </w:r>
          </w:p>
          <w:p w:rsidR="00CC4D3D" w:rsidRPr="004C1ACD" w:rsidRDefault="00CC4D3D" w:rsidP="00EB3214">
            <w:pPr>
              <w:snapToGrid w:val="0"/>
              <w:spacing w:line="280" w:lineRule="atLeast"/>
              <w:ind w:leftChars="-109" w:left="698" w:hangingChars="400" w:hanging="96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 xml:space="preserve">  （三）處置期間。</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二、各證券商每日買進或賣出該有價證券之申報金額，總公司不得超過新臺幣四千萬元，每一分支機構不得超過新臺幣一千萬元。但信用交易了結或違約專戶、認購（售）權證流動量提供者專戶或認購（售）權證避險專戶（不含帳號編碼前三碼為「九二九」帳戶）委託買賣該有價證券者，不在此限；實收資本額未達新臺幣八千萬元之發行公司股票於前述之買進或賣出申報金額減至二分之一，必要時得視該有價證券交易狀況、市值或發行公司資本額調整各證券商總分公司每日買進或賣出該有價證券之申報金額。</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三、通知各證券商於買賣交易異常之有價證券時，增繳給付結算基金。</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四、暫停該有價證券融資融券交易。但信用交易了結，不在此限。</w:t>
            </w:r>
          </w:p>
          <w:p w:rsidR="00CC4D3D" w:rsidRPr="004C1ACD" w:rsidRDefault="00CC4D3D" w:rsidP="00EB3214">
            <w:pPr>
              <w:snapToGrid w:val="0"/>
              <w:spacing w:line="280" w:lineRule="atLeast"/>
              <w:ind w:leftChars="10" w:left="504" w:hangingChars="200" w:hanging="480"/>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五、報經主管機關核准後停止該有價證券一定期間之買賣。</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六、其他之處置。</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p w:rsidR="00CC4D3D" w:rsidRPr="004C1ACD" w:rsidRDefault="00CC4D3D" w:rsidP="00682CDC">
            <w:pPr>
              <w:snapToGrid w:val="0"/>
              <w:spacing w:line="280" w:lineRule="atLeast"/>
              <w:jc w:val="center"/>
              <w:rPr>
                <w:rFonts w:ascii="標楷體" w:eastAsia="標楷體" w:hAnsi="標楷體" w:cs="Times New Roman"/>
                <w:bCs/>
                <w:color w:val="000000" w:themeColor="text1"/>
                <w:szCs w:val="24"/>
              </w:rPr>
            </w:pPr>
            <w:r w:rsidRPr="004C1ACD">
              <w:rPr>
                <w:rFonts w:ascii="標楷體" w:eastAsia="標楷體" w:hAnsi="標楷體" w:cs="Times New Roman" w:hint="eastAsia"/>
                <w:bCs/>
                <w:color w:val="000000" w:themeColor="text1"/>
                <w:szCs w:val="24"/>
              </w:rPr>
              <w:t>(第五項至</w:t>
            </w:r>
            <w:proofErr w:type="gramStart"/>
            <w:r w:rsidRPr="004C1ACD">
              <w:rPr>
                <w:rFonts w:ascii="標楷體" w:eastAsia="標楷體" w:hAnsi="標楷體" w:cs="Times New Roman" w:hint="eastAsia"/>
                <w:bCs/>
                <w:color w:val="000000" w:themeColor="text1"/>
                <w:szCs w:val="24"/>
              </w:rPr>
              <w:t>第十項略</w:t>
            </w:r>
            <w:proofErr w:type="gramEnd"/>
            <w:r w:rsidRPr="004C1ACD">
              <w:rPr>
                <w:rFonts w:ascii="標楷體" w:eastAsia="標楷體" w:hAnsi="標楷體" w:cs="Times New Roman" w:hint="eastAsia"/>
                <w:bCs/>
                <w:color w:val="000000" w:themeColor="text1"/>
                <w:szCs w:val="24"/>
              </w:rPr>
              <w:t>)</w:t>
            </w:r>
          </w:p>
          <w:p w:rsidR="00CC4D3D" w:rsidRPr="004C1ACD" w:rsidRDefault="00CC4D3D" w:rsidP="00CC4D3D">
            <w:pPr>
              <w:snapToGrid w:val="0"/>
              <w:spacing w:line="280" w:lineRule="atLeast"/>
              <w:rPr>
                <w:rFonts w:ascii="標楷體" w:eastAsia="標楷體" w:hAnsi="標楷體" w:cs="Times New Roman"/>
                <w:bCs/>
                <w:color w:val="000000" w:themeColor="text1"/>
                <w:szCs w:val="24"/>
              </w:rPr>
            </w:pPr>
          </w:p>
        </w:tc>
        <w:tc>
          <w:tcPr>
            <w:tcW w:w="3061" w:type="dxa"/>
            <w:tcBorders>
              <w:bottom w:val="single" w:sz="4" w:space="0" w:color="auto"/>
            </w:tcBorders>
          </w:tcPr>
          <w:p w:rsidR="00F87266" w:rsidRPr="004C1ACD" w:rsidRDefault="00F87266" w:rsidP="00A15C5B">
            <w:pPr>
              <w:pStyle w:val="aa"/>
              <w:numPr>
                <w:ilvl w:val="0"/>
                <w:numId w:val="46"/>
              </w:numPr>
              <w:snapToGrid w:val="0"/>
              <w:ind w:leftChars="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lastRenderedPageBreak/>
              <w:t>配合本要點第</w:t>
            </w:r>
            <w:r w:rsidRPr="004C1ACD">
              <w:rPr>
                <w:rFonts w:ascii="Times New Roman" w:eastAsia="標楷體" w:hAnsi="Times New Roman" w:cs="Times New Roman" w:hint="eastAsia"/>
                <w:bCs/>
                <w:color w:val="000000" w:themeColor="text1"/>
                <w:szCs w:val="24"/>
              </w:rPr>
              <w:t>4</w:t>
            </w:r>
            <w:r w:rsidRPr="004C1ACD">
              <w:rPr>
                <w:rFonts w:ascii="Times New Roman" w:eastAsia="標楷體" w:hAnsi="Times New Roman" w:cs="Times New Roman" w:hint="eastAsia"/>
                <w:bCs/>
                <w:color w:val="000000" w:themeColor="text1"/>
                <w:szCs w:val="24"/>
              </w:rPr>
              <w:t>條第</w:t>
            </w:r>
            <w:r w:rsidRPr="004C1ACD">
              <w:rPr>
                <w:rFonts w:ascii="Times New Roman" w:eastAsia="標楷體" w:hAnsi="Times New Roman" w:cs="Times New Roman" w:hint="eastAsia"/>
                <w:bCs/>
                <w:color w:val="000000" w:themeColor="text1"/>
                <w:szCs w:val="24"/>
              </w:rPr>
              <w:t>1</w:t>
            </w:r>
            <w:r w:rsidRPr="004C1ACD">
              <w:rPr>
                <w:rFonts w:ascii="Times New Roman" w:eastAsia="標楷體" w:hAnsi="Times New Roman" w:cs="Times New Roman" w:hint="eastAsia"/>
                <w:bCs/>
                <w:color w:val="000000" w:themeColor="text1"/>
                <w:szCs w:val="24"/>
              </w:rPr>
              <w:lastRenderedPageBreak/>
              <w:t>項相關款次變更，調整公布次數納入處置標準計算基數之適用</w:t>
            </w:r>
            <w:proofErr w:type="gramStart"/>
            <w:r w:rsidRPr="004C1ACD">
              <w:rPr>
                <w:rFonts w:ascii="Times New Roman" w:eastAsia="標楷體" w:hAnsi="Times New Roman" w:cs="Times New Roman" w:hint="eastAsia"/>
                <w:bCs/>
                <w:color w:val="000000" w:themeColor="text1"/>
                <w:szCs w:val="24"/>
              </w:rPr>
              <w:t>款號，爰</w:t>
            </w:r>
            <w:proofErr w:type="gramEnd"/>
            <w:r w:rsidRPr="004C1ACD">
              <w:rPr>
                <w:rFonts w:ascii="Times New Roman" w:eastAsia="標楷體" w:hAnsi="Times New Roman" w:cs="Times New Roman" w:hint="eastAsia"/>
                <w:bCs/>
                <w:color w:val="000000" w:themeColor="text1"/>
                <w:szCs w:val="24"/>
              </w:rPr>
              <w:t>修</w:t>
            </w:r>
            <w:r w:rsidR="0002227F" w:rsidRPr="004C1ACD">
              <w:rPr>
                <w:rFonts w:ascii="Times New Roman" w:eastAsia="標楷體" w:hAnsi="Times New Roman" w:cs="Times New Roman" w:hint="eastAsia"/>
                <w:bCs/>
                <w:color w:val="000000" w:themeColor="text1"/>
                <w:szCs w:val="24"/>
              </w:rPr>
              <w:t>正</w:t>
            </w:r>
            <w:r w:rsidRPr="004C1ACD">
              <w:rPr>
                <w:rFonts w:ascii="Times New Roman" w:eastAsia="標楷體" w:hAnsi="Times New Roman" w:cs="Times New Roman" w:hint="eastAsia"/>
                <w:bCs/>
                <w:color w:val="000000" w:themeColor="text1"/>
                <w:szCs w:val="24"/>
              </w:rPr>
              <w:t>第</w:t>
            </w:r>
            <w:r w:rsidRPr="004C1ACD">
              <w:rPr>
                <w:rFonts w:ascii="Times New Roman" w:eastAsia="標楷體" w:hAnsi="Times New Roman" w:cs="Times New Roman" w:hint="eastAsia"/>
                <w:bCs/>
                <w:color w:val="000000" w:themeColor="text1"/>
                <w:szCs w:val="24"/>
              </w:rPr>
              <w:t>1</w:t>
            </w:r>
            <w:r w:rsidRPr="004C1ACD">
              <w:rPr>
                <w:rFonts w:ascii="Times New Roman" w:eastAsia="標楷體" w:hAnsi="Times New Roman" w:cs="Times New Roman" w:hint="eastAsia"/>
                <w:bCs/>
                <w:color w:val="000000" w:themeColor="text1"/>
                <w:szCs w:val="24"/>
              </w:rPr>
              <w:t>項第</w:t>
            </w:r>
            <w:r w:rsidRPr="004C1ACD">
              <w:rPr>
                <w:rFonts w:ascii="Times New Roman" w:eastAsia="標楷體" w:hAnsi="Times New Roman" w:cs="Times New Roman" w:hint="eastAsia"/>
                <w:bCs/>
                <w:color w:val="000000" w:themeColor="text1"/>
                <w:szCs w:val="24"/>
              </w:rPr>
              <w:t>2</w:t>
            </w:r>
            <w:r w:rsidRPr="004C1ACD">
              <w:rPr>
                <w:rFonts w:ascii="Times New Roman" w:eastAsia="標楷體" w:hAnsi="Times New Roman" w:cs="Times New Roman" w:hint="eastAsia"/>
                <w:bCs/>
                <w:color w:val="000000" w:themeColor="text1"/>
                <w:szCs w:val="24"/>
              </w:rPr>
              <w:t>款及第</w:t>
            </w:r>
            <w:r w:rsidRPr="004C1ACD">
              <w:rPr>
                <w:rFonts w:ascii="Times New Roman" w:eastAsia="標楷體" w:hAnsi="Times New Roman" w:cs="Times New Roman" w:hint="eastAsia"/>
                <w:bCs/>
                <w:color w:val="000000" w:themeColor="text1"/>
                <w:szCs w:val="24"/>
              </w:rPr>
              <w:t>4</w:t>
            </w:r>
            <w:r w:rsidRPr="004C1ACD">
              <w:rPr>
                <w:rFonts w:ascii="Times New Roman" w:eastAsia="標楷體" w:hAnsi="Times New Roman" w:cs="Times New Roman" w:hint="eastAsia"/>
                <w:bCs/>
                <w:color w:val="000000" w:themeColor="text1"/>
                <w:szCs w:val="24"/>
              </w:rPr>
              <w:t>項相關文字。</w:t>
            </w:r>
          </w:p>
          <w:p w:rsidR="00A15C5B" w:rsidRPr="004C1ACD" w:rsidRDefault="00A15C5B" w:rsidP="00A15C5B">
            <w:pPr>
              <w:pStyle w:val="aa"/>
              <w:numPr>
                <w:ilvl w:val="0"/>
                <w:numId w:val="46"/>
              </w:numPr>
              <w:snapToGrid w:val="0"/>
              <w:ind w:leftChars="0"/>
              <w:rPr>
                <w:rFonts w:ascii="Times New Roman" w:eastAsia="標楷體" w:hAnsi="Times New Roman" w:cs="Times New Roman"/>
                <w:bCs/>
                <w:color w:val="000000" w:themeColor="text1"/>
                <w:szCs w:val="24"/>
              </w:rPr>
            </w:pPr>
            <w:r w:rsidRPr="004C1ACD">
              <w:rPr>
                <w:rFonts w:ascii="Times New Roman" w:eastAsia="標楷體" w:hAnsi="Times New Roman" w:cs="Times New Roman" w:hint="eastAsia"/>
                <w:bCs/>
                <w:color w:val="000000" w:themeColor="text1"/>
                <w:szCs w:val="24"/>
              </w:rPr>
              <w:t>第</w:t>
            </w:r>
            <w:r w:rsidRPr="004C1ACD">
              <w:rPr>
                <w:rFonts w:ascii="Times New Roman" w:eastAsia="標楷體" w:hAnsi="Times New Roman" w:cs="Times New Roman" w:hint="eastAsia"/>
                <w:bCs/>
                <w:color w:val="000000" w:themeColor="text1"/>
                <w:szCs w:val="24"/>
              </w:rPr>
              <w:t>2</w:t>
            </w:r>
            <w:r w:rsidRPr="004C1ACD">
              <w:rPr>
                <w:rFonts w:ascii="Times New Roman" w:eastAsia="標楷體" w:hAnsi="Times New Roman" w:cs="Times New Roman" w:hint="eastAsia"/>
                <w:bCs/>
                <w:color w:val="000000" w:themeColor="text1"/>
                <w:szCs w:val="24"/>
              </w:rPr>
              <w:t>項、第</w:t>
            </w:r>
            <w:r w:rsidRPr="004C1ACD">
              <w:rPr>
                <w:rFonts w:ascii="Times New Roman" w:eastAsia="標楷體" w:hAnsi="Times New Roman" w:cs="Times New Roman" w:hint="eastAsia"/>
                <w:bCs/>
                <w:color w:val="000000" w:themeColor="text1"/>
                <w:szCs w:val="24"/>
              </w:rPr>
              <w:t>3</w:t>
            </w:r>
            <w:r w:rsidRPr="004C1ACD">
              <w:rPr>
                <w:rFonts w:ascii="Times New Roman" w:eastAsia="標楷體" w:hAnsi="Times New Roman" w:cs="Times New Roman" w:hint="eastAsia"/>
                <w:bCs/>
                <w:color w:val="000000" w:themeColor="text1"/>
                <w:szCs w:val="24"/>
              </w:rPr>
              <w:t>項及第</w:t>
            </w:r>
            <w:r w:rsidRPr="004C1ACD">
              <w:rPr>
                <w:rFonts w:ascii="Times New Roman" w:eastAsia="標楷體" w:hAnsi="Times New Roman" w:cs="Times New Roman" w:hint="eastAsia"/>
                <w:bCs/>
                <w:color w:val="000000" w:themeColor="text1"/>
                <w:szCs w:val="24"/>
              </w:rPr>
              <w:t>5</w:t>
            </w:r>
            <w:r w:rsidRPr="004C1ACD">
              <w:rPr>
                <w:rFonts w:ascii="Times New Roman" w:eastAsia="標楷體" w:hAnsi="Times New Roman" w:cs="Times New Roman" w:hint="eastAsia"/>
                <w:bCs/>
                <w:color w:val="000000" w:themeColor="text1"/>
                <w:szCs w:val="24"/>
              </w:rPr>
              <w:t>項至第</w:t>
            </w:r>
            <w:r w:rsidRPr="004C1ACD">
              <w:rPr>
                <w:rFonts w:ascii="Times New Roman" w:eastAsia="標楷體" w:hAnsi="Times New Roman" w:cs="Times New Roman" w:hint="eastAsia"/>
                <w:bCs/>
                <w:color w:val="000000" w:themeColor="text1"/>
                <w:szCs w:val="24"/>
              </w:rPr>
              <w:t>10</w:t>
            </w:r>
            <w:r w:rsidRPr="004C1ACD">
              <w:rPr>
                <w:rFonts w:ascii="Times New Roman" w:eastAsia="標楷體" w:hAnsi="Times New Roman" w:cs="Times New Roman" w:hint="eastAsia"/>
                <w:bCs/>
                <w:color w:val="000000" w:themeColor="text1"/>
                <w:szCs w:val="24"/>
              </w:rPr>
              <w:t>項未修正。</w:t>
            </w:r>
          </w:p>
          <w:p w:rsidR="00CC4D3D" w:rsidRPr="004C1ACD" w:rsidRDefault="00CC4D3D" w:rsidP="00CC4D3D">
            <w:pPr>
              <w:jc w:val="both"/>
              <w:rPr>
                <w:rFonts w:ascii="Times New Roman" w:eastAsia="標楷體" w:hAnsi="Times New Roman" w:cs="Times New Roman"/>
                <w:color w:val="000000" w:themeColor="text1"/>
                <w:szCs w:val="24"/>
              </w:rPr>
            </w:pPr>
          </w:p>
        </w:tc>
      </w:tr>
    </w:tbl>
    <w:p w:rsidR="00040E25" w:rsidRPr="004C1ACD" w:rsidRDefault="00040E25" w:rsidP="00CE3E67">
      <w:pPr>
        <w:widowControl/>
        <w:rPr>
          <w:rFonts w:ascii="Times New Roman" w:eastAsia="標楷體" w:hAnsi="Times New Roman"/>
          <w:color w:val="000000" w:themeColor="text1"/>
          <w:szCs w:val="24"/>
        </w:rPr>
      </w:pPr>
    </w:p>
    <w:sectPr w:rsidR="00040E25" w:rsidRPr="004C1ACD" w:rsidSect="00EC14BF">
      <w:footerReference w:type="default" r:id="rId8"/>
      <w:pgSz w:w="11906" w:h="16838" w:code="9"/>
      <w:pgMar w:top="1134" w:right="1276" w:bottom="1134" w:left="1276"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1D" w:rsidRDefault="009D2B1D" w:rsidP="00A83BFE">
      <w:r>
        <w:separator/>
      </w:r>
    </w:p>
  </w:endnote>
  <w:endnote w:type="continuationSeparator" w:id="0">
    <w:p w:rsidR="009D2B1D" w:rsidRDefault="009D2B1D"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337145"/>
      <w:docPartObj>
        <w:docPartGallery w:val="Page Numbers (Bottom of Page)"/>
        <w:docPartUnique/>
      </w:docPartObj>
    </w:sdtPr>
    <w:sdtEndPr>
      <w:rPr>
        <w:rFonts w:ascii="Times New Roman" w:hAnsi="Times New Roman" w:cs="Times New Roman"/>
      </w:rPr>
    </w:sdtEndPr>
    <w:sdtContent>
      <w:p w:rsidR="00D86243" w:rsidRPr="00A83BFE" w:rsidRDefault="00D86243">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00C346C5" w:rsidRPr="00C346C5">
          <w:rPr>
            <w:rFonts w:ascii="Times New Roman" w:hAnsi="Times New Roman" w:cs="Times New Roman"/>
            <w:noProof/>
            <w:lang w:val="zh-TW"/>
          </w:rPr>
          <w:t>11</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1D" w:rsidRDefault="009D2B1D" w:rsidP="00A83BFE">
      <w:r>
        <w:separator/>
      </w:r>
    </w:p>
  </w:footnote>
  <w:footnote w:type="continuationSeparator" w:id="0">
    <w:p w:rsidR="009D2B1D" w:rsidRDefault="009D2B1D" w:rsidP="00A8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433"/>
    <w:multiLevelType w:val="hybridMultilevel"/>
    <w:tmpl w:val="A3AA3964"/>
    <w:lvl w:ilvl="0" w:tplc="04090015">
      <w:start w:val="1"/>
      <w:numFmt w:val="taiwaneseCountingThousand"/>
      <w:lvlText w:val="%1、"/>
      <w:lvlJc w:val="left"/>
      <w:pPr>
        <w:ind w:left="1047" w:hanging="480"/>
      </w:pPr>
      <w:rPr>
        <w:rFonts w:hint="eastAsia"/>
        <w:sz w:val="24"/>
      </w:rPr>
    </w:lvl>
    <w:lvl w:ilvl="1" w:tplc="04090015">
      <w:start w:val="1"/>
      <w:numFmt w:val="taiwaneseCountingThousand"/>
      <w:lvlText w:val="%2、"/>
      <w:lvlJc w:val="left"/>
      <w:pPr>
        <w:ind w:left="1244" w:hanging="480"/>
      </w:pPr>
      <w:rPr>
        <w:rFonts w:hint="eastAsia"/>
        <w:sz w:val="24"/>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DF22AE2"/>
    <w:multiLevelType w:val="hybridMultilevel"/>
    <w:tmpl w:val="D9D8BDCC"/>
    <w:lvl w:ilvl="0" w:tplc="CAFE034A">
      <w:start w:val="1"/>
      <w:numFmt w:val="taiwaneseCountingThousand"/>
      <w:lvlText w:val="%1、"/>
      <w:lvlJc w:val="left"/>
      <w:pPr>
        <w:ind w:left="480" w:hanging="480"/>
      </w:pPr>
      <w:rPr>
        <w:rFonts w:ascii="標楷體" w:hAnsi="標楷體" w:hint="eastAsia"/>
      </w:rPr>
    </w:lvl>
    <w:lvl w:ilvl="1" w:tplc="F86CE9EA">
      <w:start w:val="1"/>
      <w:numFmt w:val="taiwaneseCountingThousand"/>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1239F"/>
    <w:multiLevelType w:val="hybridMultilevel"/>
    <w:tmpl w:val="79AC2BA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7E152A9"/>
    <w:multiLevelType w:val="hybridMultilevel"/>
    <w:tmpl w:val="2CD8B738"/>
    <w:lvl w:ilvl="0" w:tplc="3610807A">
      <w:start w:val="1"/>
      <w:numFmt w:val="taiwaneseCountingThousand"/>
      <w:lvlText w:val="%1、"/>
      <w:lvlJc w:val="left"/>
      <w:pPr>
        <w:ind w:left="1416"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7F30851"/>
    <w:multiLevelType w:val="multilevel"/>
    <w:tmpl w:val="7F3464B0"/>
    <w:lvl w:ilvl="0">
      <w:start w:val="1"/>
      <w:numFmt w:val="taiwaneseCountingThousand"/>
      <w:lvlText w:val="%1、"/>
      <w:lvlJc w:val="left"/>
      <w:pPr>
        <w:ind w:left="1020" w:hanging="48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5" w15:restartNumberingAfterBreak="0">
    <w:nsid w:val="1AB84B97"/>
    <w:multiLevelType w:val="hybridMultilevel"/>
    <w:tmpl w:val="726E4978"/>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1B134D43"/>
    <w:multiLevelType w:val="multilevel"/>
    <w:tmpl w:val="8380383A"/>
    <w:lvl w:ilvl="0">
      <w:start w:val="2"/>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5964FA"/>
    <w:multiLevelType w:val="hybridMultilevel"/>
    <w:tmpl w:val="DF729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033559"/>
    <w:multiLevelType w:val="hybridMultilevel"/>
    <w:tmpl w:val="5C5240BC"/>
    <w:lvl w:ilvl="0" w:tplc="04090015">
      <w:start w:val="1"/>
      <w:numFmt w:val="taiwaneseCountingThousand"/>
      <w:lvlText w:val="%1、"/>
      <w:lvlJc w:val="left"/>
      <w:pPr>
        <w:ind w:left="480" w:hanging="480"/>
      </w:pPr>
      <w:rPr>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38012A5"/>
    <w:multiLevelType w:val="multilevel"/>
    <w:tmpl w:val="F87EB3DE"/>
    <w:lvl w:ilvl="0">
      <w:start w:val="1"/>
      <w:numFmt w:val="taiwaneseCountingThousand"/>
      <w:lvlText w:val="%1、"/>
      <w:lvlJc w:val="left"/>
      <w:pPr>
        <w:ind w:left="1287" w:hanging="720"/>
      </w:pPr>
      <w:rPr>
        <w:rFonts w:ascii="標楷體" w:hAnsi="標楷體"/>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24075466"/>
    <w:multiLevelType w:val="hybridMultilevel"/>
    <w:tmpl w:val="AEFC8DFE"/>
    <w:lvl w:ilvl="0" w:tplc="F008E29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051AE8"/>
    <w:multiLevelType w:val="hybridMultilevel"/>
    <w:tmpl w:val="BA4EE18C"/>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EED6BD7"/>
    <w:multiLevelType w:val="hybridMultilevel"/>
    <w:tmpl w:val="D0B64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853A33"/>
    <w:multiLevelType w:val="multilevel"/>
    <w:tmpl w:val="8D2653B4"/>
    <w:lvl w:ilvl="0">
      <w:start w:val="1"/>
      <w:numFmt w:val="taiwaneseCountingThousand"/>
      <w:lvlText w:val="%1、"/>
      <w:lvlJc w:val="left"/>
      <w:pPr>
        <w:ind w:left="1287" w:hanging="720"/>
      </w:pPr>
      <w:rPr>
        <w:rFonts w:ascii="Times New Roman" w:eastAsia="標楷體" w:hAnsi="Times New Roman" w:hint="eastAsia"/>
        <w:b w:val="0"/>
        <w:i w:val="0"/>
        <w:sz w:val="24"/>
        <w:lang w:val="en-US"/>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4" w15:restartNumberingAfterBreak="0">
    <w:nsid w:val="2F923737"/>
    <w:multiLevelType w:val="multilevel"/>
    <w:tmpl w:val="E1F28E3A"/>
    <w:lvl w:ilvl="0">
      <w:start w:val="1"/>
      <w:numFmt w:val="taiwaneseCountingThousand"/>
      <w:lvlText w:val="%1、"/>
      <w:lvlJc w:val="left"/>
      <w:pPr>
        <w:ind w:left="1020" w:hanging="48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5" w15:restartNumberingAfterBreak="0">
    <w:nsid w:val="32E359BA"/>
    <w:multiLevelType w:val="hybridMultilevel"/>
    <w:tmpl w:val="2116C6EC"/>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16" w15:restartNumberingAfterBreak="0">
    <w:nsid w:val="35CA51DA"/>
    <w:multiLevelType w:val="hybridMultilevel"/>
    <w:tmpl w:val="2CD8B738"/>
    <w:lvl w:ilvl="0" w:tplc="3610807A">
      <w:start w:val="1"/>
      <w:numFmt w:val="taiwaneseCountingThousand"/>
      <w:lvlText w:val="%1、"/>
      <w:lvlJc w:val="left"/>
      <w:pPr>
        <w:ind w:left="1645" w:hanging="93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97F0658"/>
    <w:multiLevelType w:val="hybridMultilevel"/>
    <w:tmpl w:val="42E6F6E4"/>
    <w:lvl w:ilvl="0" w:tplc="33689206">
      <w:start w:val="1"/>
      <w:numFmt w:val="taiwaneseCountingThousand"/>
      <w:lvlText w:val="(%1)"/>
      <w:lvlJc w:val="left"/>
      <w:pPr>
        <w:ind w:left="622" w:hanging="480"/>
      </w:pPr>
      <w:rPr>
        <w:rFonts w:eastAsia="標楷體" w:hint="eastAsia"/>
        <w:b w:val="0"/>
        <w:i w:val="0"/>
        <w:sz w:val="24"/>
        <w:szCs w:val="24"/>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3D0C36F8"/>
    <w:multiLevelType w:val="hybridMultilevel"/>
    <w:tmpl w:val="080297AE"/>
    <w:lvl w:ilvl="0" w:tplc="A2D8DA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761741"/>
    <w:multiLevelType w:val="hybridMultilevel"/>
    <w:tmpl w:val="7A1AA5B4"/>
    <w:lvl w:ilvl="0" w:tplc="52E484E4">
      <w:start w:val="1"/>
      <w:numFmt w:val="taiwaneseCountingThousand"/>
      <w:lvlText w:val="%1、"/>
      <w:lvlJc w:val="left"/>
      <w:pPr>
        <w:ind w:left="905" w:hanging="480"/>
      </w:pPr>
      <w:rPr>
        <w:rFonts w:ascii="Times New Roman" w:eastAsia="標楷體" w:hAnsi="Times New Roman" w:hint="eastAsia"/>
        <w:b w:val="0"/>
        <w:i w:val="0"/>
        <w:sz w:val="24"/>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0" w15:restartNumberingAfterBreak="0">
    <w:nsid w:val="40292E0F"/>
    <w:multiLevelType w:val="multilevel"/>
    <w:tmpl w:val="2EE8CBA2"/>
    <w:lvl w:ilvl="0">
      <w:start w:val="1"/>
      <w:numFmt w:val="taiwaneseCountingThousand"/>
      <w:lvlText w:val="%1、"/>
      <w:lvlJc w:val="left"/>
      <w:pPr>
        <w:ind w:left="906" w:hanging="480"/>
      </w:pPr>
      <w:rPr>
        <w:rFonts w:ascii="標楷體" w:hAnsi="標楷體"/>
        <w:b w:val="0"/>
        <w:i w:val="0"/>
        <w:sz w:val="24"/>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1" w15:restartNumberingAfterBreak="0">
    <w:nsid w:val="43281531"/>
    <w:multiLevelType w:val="hybridMultilevel"/>
    <w:tmpl w:val="61CC4A7A"/>
    <w:lvl w:ilvl="0" w:tplc="2C565A5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0637E9"/>
    <w:multiLevelType w:val="multilevel"/>
    <w:tmpl w:val="452C3FEA"/>
    <w:lvl w:ilvl="0">
      <w:start w:val="1"/>
      <w:numFmt w:val="taiwaneseCountingThousand"/>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81763B3"/>
    <w:multiLevelType w:val="hybridMultilevel"/>
    <w:tmpl w:val="48AC5DD6"/>
    <w:lvl w:ilvl="0" w:tplc="CAFE034A">
      <w:start w:val="1"/>
      <w:numFmt w:val="taiwaneseCountingThousand"/>
      <w:lvlText w:val="%1、"/>
      <w:lvlJc w:val="left"/>
      <w:pPr>
        <w:ind w:left="1048" w:hanging="480"/>
      </w:pPr>
      <w:rPr>
        <w:rFonts w:ascii="標楷體" w:hAnsi="標楷體"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15:restartNumberingAfterBreak="0">
    <w:nsid w:val="4D4878E1"/>
    <w:multiLevelType w:val="hybridMultilevel"/>
    <w:tmpl w:val="21AAF968"/>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29CE124A">
      <w:start w:val="1"/>
      <w:numFmt w:val="taiwaneseCountingThousand"/>
      <w:lvlText w:val="(%2)"/>
      <w:lvlJc w:val="left"/>
      <w:pPr>
        <w:ind w:left="960" w:hanging="480"/>
      </w:pPr>
      <w:rPr>
        <w:rFonts w:ascii="Times New Roman" w:eastAsia="標楷體" w:hAnsi="Times New Roman" w:hint="eastAsia"/>
        <w:b w:val="0"/>
        <w:i w:val="0"/>
        <w:sz w:val="24"/>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E2C34FD"/>
    <w:multiLevelType w:val="hybridMultilevel"/>
    <w:tmpl w:val="F0C43D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4E915763"/>
    <w:multiLevelType w:val="hybridMultilevel"/>
    <w:tmpl w:val="5E42713C"/>
    <w:lvl w:ilvl="0" w:tplc="0409000F">
      <w:start w:val="1"/>
      <w:numFmt w:val="decimal"/>
      <w:lvlText w:val="%1."/>
      <w:lvlJc w:val="left"/>
      <w:pPr>
        <w:ind w:left="480" w:hanging="480"/>
      </w:pPr>
    </w:lvl>
    <w:lvl w:ilvl="1" w:tplc="AF3653CC">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F1F1447"/>
    <w:multiLevelType w:val="hybridMultilevel"/>
    <w:tmpl w:val="786651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245705"/>
    <w:multiLevelType w:val="hybridMultilevel"/>
    <w:tmpl w:val="F2AA0668"/>
    <w:lvl w:ilvl="0" w:tplc="29CE124A">
      <w:start w:val="1"/>
      <w:numFmt w:val="taiwaneseCountingThousand"/>
      <w:lvlText w:val="(%1)"/>
      <w:lvlJc w:val="left"/>
      <w:pPr>
        <w:ind w:left="480" w:hanging="480"/>
      </w:pPr>
      <w:rPr>
        <w:rFonts w:ascii="Times New Roman" w:eastAsia="標楷體" w:hAnsi="Times New Roman" w:hint="eastAsia"/>
        <w:b w:val="0"/>
        <w:i w:val="0"/>
        <w:sz w:val="24"/>
      </w:rPr>
    </w:lvl>
    <w:lvl w:ilvl="1" w:tplc="AF3653CC">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558B023B"/>
    <w:multiLevelType w:val="hybridMultilevel"/>
    <w:tmpl w:val="0C741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8B60C60"/>
    <w:multiLevelType w:val="hybridMultilevel"/>
    <w:tmpl w:val="F1C0E0E6"/>
    <w:lvl w:ilvl="0" w:tplc="BAD87F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A0116F7"/>
    <w:multiLevelType w:val="multilevel"/>
    <w:tmpl w:val="4B8A7D60"/>
    <w:lvl w:ilvl="0">
      <w:start w:val="2"/>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5B173BA6"/>
    <w:multiLevelType w:val="hybridMultilevel"/>
    <w:tmpl w:val="1A208A08"/>
    <w:lvl w:ilvl="0" w:tplc="9A2E464E">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3246B5"/>
    <w:multiLevelType w:val="hybridMultilevel"/>
    <w:tmpl w:val="ABDCB060"/>
    <w:lvl w:ilvl="0" w:tplc="AD2CF686">
      <w:start w:val="1"/>
      <w:numFmt w:val="taiwaneseCountingThousand"/>
      <w:lvlText w:val="(%1)"/>
      <w:lvlJc w:val="left"/>
      <w:pPr>
        <w:ind w:left="1189" w:hanging="480"/>
      </w:pPr>
      <w:rPr>
        <w:rFonts w:eastAsia="標楷體"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7F3B27"/>
    <w:multiLevelType w:val="hybridMultilevel"/>
    <w:tmpl w:val="D7F6A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9906B1"/>
    <w:multiLevelType w:val="hybridMultilevel"/>
    <w:tmpl w:val="C3A4EA84"/>
    <w:lvl w:ilvl="0" w:tplc="E3E46270">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FA877FA"/>
    <w:multiLevelType w:val="hybridMultilevel"/>
    <w:tmpl w:val="3D30C84A"/>
    <w:lvl w:ilvl="0" w:tplc="F710D2FA">
      <w:start w:val="1"/>
      <w:numFmt w:val="taiwaneseCountingThousand"/>
      <w:lvlText w:val="%1、"/>
      <w:lvlJc w:val="left"/>
      <w:pPr>
        <w:ind w:left="480" w:hanging="48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4623DE4"/>
    <w:multiLevelType w:val="hybridMultilevel"/>
    <w:tmpl w:val="3BFA35E6"/>
    <w:lvl w:ilvl="0" w:tplc="29CE124A">
      <w:start w:val="1"/>
      <w:numFmt w:val="taiwaneseCountingThousand"/>
      <w:lvlText w:val="(%1)"/>
      <w:lvlJc w:val="left"/>
      <w:pPr>
        <w:ind w:left="1473" w:hanging="480"/>
      </w:pPr>
      <w:rPr>
        <w:rFonts w:ascii="Times New Roman" w:eastAsia="標楷體" w:hAnsi="Times New Roman" w:hint="eastAsia"/>
        <w:b w:val="0"/>
        <w:i w:val="0"/>
        <w:sz w:val="24"/>
      </w:rPr>
    </w:lvl>
    <w:lvl w:ilvl="1" w:tplc="34BA3B0A">
      <w:start w:val="1"/>
      <w:numFmt w:val="taiwaneseCountingThousand"/>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start w:val="1"/>
      <w:numFmt w:val="lowerRoman"/>
      <w:lvlText w:val="%6."/>
      <w:lvlJc w:val="right"/>
      <w:pPr>
        <w:ind w:left="3873" w:hanging="480"/>
      </w:pPr>
    </w:lvl>
    <w:lvl w:ilvl="6" w:tplc="0409000F">
      <w:start w:val="1"/>
      <w:numFmt w:val="decimal"/>
      <w:lvlText w:val="%7."/>
      <w:lvlJc w:val="left"/>
      <w:pPr>
        <w:ind w:left="4353" w:hanging="480"/>
      </w:pPr>
    </w:lvl>
    <w:lvl w:ilvl="7" w:tplc="04090019">
      <w:start w:val="1"/>
      <w:numFmt w:val="ideographTraditional"/>
      <w:lvlText w:val="%8、"/>
      <w:lvlJc w:val="left"/>
      <w:pPr>
        <w:ind w:left="4833" w:hanging="480"/>
      </w:pPr>
    </w:lvl>
    <w:lvl w:ilvl="8" w:tplc="0409001B">
      <w:start w:val="1"/>
      <w:numFmt w:val="lowerRoman"/>
      <w:lvlText w:val="%9."/>
      <w:lvlJc w:val="right"/>
      <w:pPr>
        <w:ind w:left="5313" w:hanging="480"/>
      </w:pPr>
    </w:lvl>
  </w:abstractNum>
  <w:abstractNum w:abstractNumId="38" w15:restartNumberingAfterBreak="0">
    <w:nsid w:val="6507124D"/>
    <w:multiLevelType w:val="hybridMultilevel"/>
    <w:tmpl w:val="C540AD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290418"/>
    <w:multiLevelType w:val="hybridMultilevel"/>
    <w:tmpl w:val="7C0099D0"/>
    <w:lvl w:ilvl="0" w:tplc="CAFE034A">
      <w:start w:val="1"/>
      <w:numFmt w:val="taiwaneseCountingThousand"/>
      <w:lvlText w:val="%1、"/>
      <w:lvlJc w:val="left"/>
      <w:pPr>
        <w:ind w:left="1048" w:hanging="480"/>
      </w:pPr>
      <w:rPr>
        <w:rFonts w:ascii="標楷體" w:hAnsi="標楷體" w:hint="eastAsia"/>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0" w15:restartNumberingAfterBreak="0">
    <w:nsid w:val="6E7B2756"/>
    <w:multiLevelType w:val="hybridMultilevel"/>
    <w:tmpl w:val="3F1EE388"/>
    <w:lvl w:ilvl="0" w:tplc="CAFE034A">
      <w:start w:val="1"/>
      <w:numFmt w:val="taiwaneseCountingThousand"/>
      <w:lvlText w:val="%1、"/>
      <w:lvlJc w:val="left"/>
      <w:pPr>
        <w:ind w:left="720" w:hanging="480"/>
      </w:pPr>
      <w:rPr>
        <w:rFonts w:ascii="標楷體" w:hAnsi="標楷體" w:hint="eastAsia"/>
      </w:rPr>
    </w:lvl>
    <w:lvl w:ilvl="1" w:tplc="CAFE034A">
      <w:start w:val="1"/>
      <w:numFmt w:val="taiwaneseCountingThousand"/>
      <w:lvlText w:val="%2、"/>
      <w:lvlJc w:val="left"/>
      <w:pPr>
        <w:ind w:left="1047" w:hanging="480"/>
      </w:pPr>
      <w:rPr>
        <w:rFonts w:ascii="標楷體" w:hAnsi="標楷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62A03BD"/>
    <w:multiLevelType w:val="hybridMultilevel"/>
    <w:tmpl w:val="A710A96E"/>
    <w:lvl w:ilvl="0" w:tplc="AD2CF686">
      <w:start w:val="1"/>
      <w:numFmt w:val="taiwaneseCountingThousand"/>
      <w:lvlText w:val="(%1)"/>
      <w:lvlJc w:val="left"/>
      <w:pPr>
        <w:ind w:left="1047" w:hanging="480"/>
      </w:pPr>
      <w:rPr>
        <w:rFonts w:eastAsia="標楷體" w:hint="eastAsia"/>
        <w:b w:val="0"/>
        <w:i w:val="0"/>
        <w:sz w:val="24"/>
        <w:szCs w:val="24"/>
      </w:rPr>
    </w:lvl>
    <w:lvl w:ilvl="1" w:tplc="5A92F2D0">
      <w:start w:val="1"/>
      <w:numFmt w:val="taiwaneseCountingThousand"/>
      <w:lvlText w:val="%2、"/>
      <w:lvlJc w:val="left"/>
      <w:pPr>
        <w:ind w:left="1527" w:hanging="48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793371A6"/>
    <w:multiLevelType w:val="hybridMultilevel"/>
    <w:tmpl w:val="F342D4FE"/>
    <w:lvl w:ilvl="0" w:tplc="29CE124A">
      <w:start w:val="1"/>
      <w:numFmt w:val="taiwaneseCountingThousand"/>
      <w:lvlText w:val="(%1)"/>
      <w:lvlJc w:val="left"/>
      <w:pPr>
        <w:ind w:left="600" w:hanging="480"/>
      </w:pPr>
      <w:rPr>
        <w:rFonts w:ascii="Times New Roman" w:eastAsia="標楷體" w:hAnsi="Times New Roman" w:hint="eastAsia"/>
        <w:b w:val="0"/>
        <w:i w:val="0"/>
        <w:sz w:val="24"/>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43" w15:restartNumberingAfterBreak="0">
    <w:nsid w:val="796857F6"/>
    <w:multiLevelType w:val="hybridMultilevel"/>
    <w:tmpl w:val="82440FD4"/>
    <w:lvl w:ilvl="0" w:tplc="04090015">
      <w:start w:val="1"/>
      <w:numFmt w:val="taiwaneseCountingThousand"/>
      <w:lvlText w:val="%1、"/>
      <w:lvlJc w:val="left"/>
      <w:pPr>
        <w:ind w:left="1048" w:hanging="480"/>
      </w:pPr>
    </w:lvl>
    <w:lvl w:ilvl="1" w:tplc="9B24223A">
      <w:start w:val="1"/>
      <w:numFmt w:val="taiwaneseCountingThousand"/>
      <w:lvlText w:val="（%2）"/>
      <w:lvlJc w:val="left"/>
      <w:pPr>
        <w:ind w:left="1768" w:hanging="720"/>
      </w:pPr>
      <w:rPr>
        <w:color w:val="FF0000"/>
      </w:r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4" w15:restartNumberingAfterBreak="0">
    <w:nsid w:val="79A756BC"/>
    <w:multiLevelType w:val="hybridMultilevel"/>
    <w:tmpl w:val="302EC878"/>
    <w:lvl w:ilvl="0" w:tplc="3230C2C2">
      <w:start w:val="1"/>
      <w:numFmt w:val="taiwaneseCountingThousand"/>
      <w:lvlText w:val="%1."/>
      <w:lvlJc w:val="left"/>
      <w:pPr>
        <w:ind w:left="480" w:hanging="480"/>
      </w:pPr>
      <w:rPr>
        <w:rFonts w:eastAsia="標楷體" w:hint="eastAsia"/>
        <w:sz w:val="24"/>
      </w:rPr>
    </w:lvl>
    <w:lvl w:ilvl="1" w:tplc="04090015">
      <w:start w:val="1"/>
      <w:numFmt w:val="taiwaneseCountingThousand"/>
      <w:lvlText w:val="%2、"/>
      <w:lvlJc w:val="left"/>
      <w:pPr>
        <w:ind w:left="960" w:hanging="480"/>
      </w:pPr>
      <w:rPr>
        <w:rFonts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EE04D2"/>
    <w:multiLevelType w:val="hybridMultilevel"/>
    <w:tmpl w:val="4620B368"/>
    <w:lvl w:ilvl="0" w:tplc="8FB4794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1"/>
  </w:num>
  <w:num w:numId="4">
    <w:abstractNumId w:val="17"/>
  </w:num>
  <w:num w:numId="5">
    <w:abstractNumId w:val="21"/>
  </w:num>
  <w:num w:numId="6">
    <w:abstractNumId w:val="1"/>
  </w:num>
  <w:num w:numId="7">
    <w:abstractNumId w:val="33"/>
  </w:num>
  <w:num w:numId="8">
    <w:abstractNumId w:val="40"/>
  </w:num>
  <w:num w:numId="9">
    <w:abstractNumId w:val="23"/>
  </w:num>
  <w:num w:numId="10">
    <w:abstractNumId w:val="44"/>
  </w:num>
  <w:num w:numId="11">
    <w:abstractNumId w:val="0"/>
  </w:num>
  <w:num w:numId="12">
    <w:abstractNumId w:val="3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3"/>
  </w:num>
  <w:num w:numId="26">
    <w:abstractNumId w:val="7"/>
  </w:num>
  <w:num w:numId="27">
    <w:abstractNumId w:val="30"/>
  </w:num>
  <w:num w:numId="28">
    <w:abstractNumId w:val="18"/>
  </w:num>
  <w:num w:numId="29">
    <w:abstractNumId w:val="1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2"/>
  </w:num>
  <w:num w:numId="40">
    <w:abstractNumId w:val="3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9"/>
  </w:num>
  <w:num w:numId="45">
    <w:abstractNumId w:val="12"/>
  </w:num>
  <w:num w:numId="46">
    <w:abstractNumId w:val="38"/>
  </w:num>
  <w:num w:numId="47">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C5"/>
    <w:rsid w:val="0000557F"/>
    <w:rsid w:val="00011724"/>
    <w:rsid w:val="00013E1C"/>
    <w:rsid w:val="00017AA8"/>
    <w:rsid w:val="0002227F"/>
    <w:rsid w:val="000272D2"/>
    <w:rsid w:val="00037945"/>
    <w:rsid w:val="00040E25"/>
    <w:rsid w:val="00041B3C"/>
    <w:rsid w:val="00045D8A"/>
    <w:rsid w:val="00050FD5"/>
    <w:rsid w:val="000657E3"/>
    <w:rsid w:val="00067DEB"/>
    <w:rsid w:val="000722B3"/>
    <w:rsid w:val="00080E1A"/>
    <w:rsid w:val="00087212"/>
    <w:rsid w:val="0008767B"/>
    <w:rsid w:val="000919D0"/>
    <w:rsid w:val="0009342E"/>
    <w:rsid w:val="00094154"/>
    <w:rsid w:val="0009718A"/>
    <w:rsid w:val="000A2359"/>
    <w:rsid w:val="000A4B07"/>
    <w:rsid w:val="000B21EA"/>
    <w:rsid w:val="000B3455"/>
    <w:rsid w:val="000B62F8"/>
    <w:rsid w:val="000C1E84"/>
    <w:rsid w:val="000E49E8"/>
    <w:rsid w:val="000F0E00"/>
    <w:rsid w:val="000F3A03"/>
    <w:rsid w:val="000F3BDA"/>
    <w:rsid w:val="000F6BE4"/>
    <w:rsid w:val="000F79CE"/>
    <w:rsid w:val="001047E4"/>
    <w:rsid w:val="00105AAF"/>
    <w:rsid w:val="00107837"/>
    <w:rsid w:val="00120C4A"/>
    <w:rsid w:val="00120EB3"/>
    <w:rsid w:val="0012290D"/>
    <w:rsid w:val="001234AC"/>
    <w:rsid w:val="001235DF"/>
    <w:rsid w:val="00124451"/>
    <w:rsid w:val="00125535"/>
    <w:rsid w:val="0012703E"/>
    <w:rsid w:val="0013528C"/>
    <w:rsid w:val="00137024"/>
    <w:rsid w:val="00140921"/>
    <w:rsid w:val="0014147E"/>
    <w:rsid w:val="0014332D"/>
    <w:rsid w:val="00144916"/>
    <w:rsid w:val="001610A4"/>
    <w:rsid w:val="00162626"/>
    <w:rsid w:val="0017416C"/>
    <w:rsid w:val="0017520D"/>
    <w:rsid w:val="00180DD0"/>
    <w:rsid w:val="00184E1A"/>
    <w:rsid w:val="00190640"/>
    <w:rsid w:val="00191D0F"/>
    <w:rsid w:val="001A3775"/>
    <w:rsid w:val="001A390E"/>
    <w:rsid w:val="001B0F5C"/>
    <w:rsid w:val="001B67E0"/>
    <w:rsid w:val="001C28FF"/>
    <w:rsid w:val="001C360A"/>
    <w:rsid w:val="001C3D45"/>
    <w:rsid w:val="001C5267"/>
    <w:rsid w:val="001C5B6F"/>
    <w:rsid w:val="001D228D"/>
    <w:rsid w:val="001D6821"/>
    <w:rsid w:val="001E5E08"/>
    <w:rsid w:val="001F0780"/>
    <w:rsid w:val="001F07CD"/>
    <w:rsid w:val="001F3608"/>
    <w:rsid w:val="002228DF"/>
    <w:rsid w:val="00223227"/>
    <w:rsid w:val="00230F7E"/>
    <w:rsid w:val="00253692"/>
    <w:rsid w:val="00266344"/>
    <w:rsid w:val="00267665"/>
    <w:rsid w:val="002736EA"/>
    <w:rsid w:val="00282882"/>
    <w:rsid w:val="00284161"/>
    <w:rsid w:val="00284549"/>
    <w:rsid w:val="00285605"/>
    <w:rsid w:val="002857DF"/>
    <w:rsid w:val="00290A38"/>
    <w:rsid w:val="00290A55"/>
    <w:rsid w:val="00291CCD"/>
    <w:rsid w:val="002928BF"/>
    <w:rsid w:val="00294A26"/>
    <w:rsid w:val="002970E9"/>
    <w:rsid w:val="002A2BCF"/>
    <w:rsid w:val="002A6EC5"/>
    <w:rsid w:val="002B17B6"/>
    <w:rsid w:val="002B5422"/>
    <w:rsid w:val="002C7B24"/>
    <w:rsid w:val="002D0931"/>
    <w:rsid w:val="002D22A3"/>
    <w:rsid w:val="002D6251"/>
    <w:rsid w:val="002D6A04"/>
    <w:rsid w:val="002E35E7"/>
    <w:rsid w:val="002E3955"/>
    <w:rsid w:val="002E4225"/>
    <w:rsid w:val="002E58B4"/>
    <w:rsid w:val="00303AC6"/>
    <w:rsid w:val="003178CE"/>
    <w:rsid w:val="0032336B"/>
    <w:rsid w:val="00324CF4"/>
    <w:rsid w:val="00334A7E"/>
    <w:rsid w:val="0034175F"/>
    <w:rsid w:val="003459EC"/>
    <w:rsid w:val="0035443C"/>
    <w:rsid w:val="003569C6"/>
    <w:rsid w:val="00360642"/>
    <w:rsid w:val="003656E2"/>
    <w:rsid w:val="00365DD2"/>
    <w:rsid w:val="00372105"/>
    <w:rsid w:val="00375691"/>
    <w:rsid w:val="00376B4A"/>
    <w:rsid w:val="00377857"/>
    <w:rsid w:val="00377D9A"/>
    <w:rsid w:val="00381125"/>
    <w:rsid w:val="00381F2D"/>
    <w:rsid w:val="00383A0B"/>
    <w:rsid w:val="00383BA3"/>
    <w:rsid w:val="00384A98"/>
    <w:rsid w:val="003A40C6"/>
    <w:rsid w:val="003B37CD"/>
    <w:rsid w:val="003B7400"/>
    <w:rsid w:val="003C0326"/>
    <w:rsid w:val="003C454A"/>
    <w:rsid w:val="003C4F73"/>
    <w:rsid w:val="003C66BB"/>
    <w:rsid w:val="003D3EEC"/>
    <w:rsid w:val="003D6CB7"/>
    <w:rsid w:val="003F0057"/>
    <w:rsid w:val="003F233B"/>
    <w:rsid w:val="003F23E9"/>
    <w:rsid w:val="003F3973"/>
    <w:rsid w:val="003F6222"/>
    <w:rsid w:val="004003BA"/>
    <w:rsid w:val="0040513D"/>
    <w:rsid w:val="004076EB"/>
    <w:rsid w:val="00410E2E"/>
    <w:rsid w:val="00422451"/>
    <w:rsid w:val="00430774"/>
    <w:rsid w:val="00430952"/>
    <w:rsid w:val="00431A17"/>
    <w:rsid w:val="00432515"/>
    <w:rsid w:val="00433AF7"/>
    <w:rsid w:val="00435FA0"/>
    <w:rsid w:val="004361F7"/>
    <w:rsid w:val="004426A7"/>
    <w:rsid w:val="00442AF0"/>
    <w:rsid w:val="00446AFA"/>
    <w:rsid w:val="004475F6"/>
    <w:rsid w:val="00453347"/>
    <w:rsid w:val="00454015"/>
    <w:rsid w:val="00461783"/>
    <w:rsid w:val="00461FAB"/>
    <w:rsid w:val="00471CD6"/>
    <w:rsid w:val="00475751"/>
    <w:rsid w:val="00484F7A"/>
    <w:rsid w:val="00487C99"/>
    <w:rsid w:val="00490565"/>
    <w:rsid w:val="00495B49"/>
    <w:rsid w:val="0049673B"/>
    <w:rsid w:val="0049759C"/>
    <w:rsid w:val="004A4689"/>
    <w:rsid w:val="004B07D6"/>
    <w:rsid w:val="004B2291"/>
    <w:rsid w:val="004B2A99"/>
    <w:rsid w:val="004C1ACD"/>
    <w:rsid w:val="004C5377"/>
    <w:rsid w:val="004D6219"/>
    <w:rsid w:val="004F70B0"/>
    <w:rsid w:val="0050063B"/>
    <w:rsid w:val="005032FC"/>
    <w:rsid w:val="00510802"/>
    <w:rsid w:val="00510943"/>
    <w:rsid w:val="005121D4"/>
    <w:rsid w:val="00516294"/>
    <w:rsid w:val="005232AD"/>
    <w:rsid w:val="0052513F"/>
    <w:rsid w:val="00531EAD"/>
    <w:rsid w:val="005328DD"/>
    <w:rsid w:val="00533FEE"/>
    <w:rsid w:val="0053475D"/>
    <w:rsid w:val="00534AD0"/>
    <w:rsid w:val="005407C1"/>
    <w:rsid w:val="00542A41"/>
    <w:rsid w:val="005472BE"/>
    <w:rsid w:val="005531D5"/>
    <w:rsid w:val="00557C62"/>
    <w:rsid w:val="005661AF"/>
    <w:rsid w:val="0057034F"/>
    <w:rsid w:val="00574EB4"/>
    <w:rsid w:val="00575310"/>
    <w:rsid w:val="00576D1C"/>
    <w:rsid w:val="005804EE"/>
    <w:rsid w:val="0058107D"/>
    <w:rsid w:val="005814A5"/>
    <w:rsid w:val="00582A5C"/>
    <w:rsid w:val="00586C86"/>
    <w:rsid w:val="005878A9"/>
    <w:rsid w:val="00593539"/>
    <w:rsid w:val="00593684"/>
    <w:rsid w:val="00595A7F"/>
    <w:rsid w:val="005B19DB"/>
    <w:rsid w:val="005B2CF9"/>
    <w:rsid w:val="005B5B54"/>
    <w:rsid w:val="005C6410"/>
    <w:rsid w:val="005C69DE"/>
    <w:rsid w:val="005D5C07"/>
    <w:rsid w:val="005E5569"/>
    <w:rsid w:val="005E709B"/>
    <w:rsid w:val="005F3EAD"/>
    <w:rsid w:val="00600745"/>
    <w:rsid w:val="00600B0A"/>
    <w:rsid w:val="00605BF8"/>
    <w:rsid w:val="006075E7"/>
    <w:rsid w:val="00612EBE"/>
    <w:rsid w:val="00614C9F"/>
    <w:rsid w:val="00617409"/>
    <w:rsid w:val="00626C9C"/>
    <w:rsid w:val="00626D3C"/>
    <w:rsid w:val="00632BEE"/>
    <w:rsid w:val="00636941"/>
    <w:rsid w:val="006411BA"/>
    <w:rsid w:val="00647888"/>
    <w:rsid w:val="00650B65"/>
    <w:rsid w:val="006529DF"/>
    <w:rsid w:val="006617A5"/>
    <w:rsid w:val="006625F6"/>
    <w:rsid w:val="00674753"/>
    <w:rsid w:val="0068136A"/>
    <w:rsid w:val="006817B6"/>
    <w:rsid w:val="00681925"/>
    <w:rsid w:val="00682CDC"/>
    <w:rsid w:val="006834F9"/>
    <w:rsid w:val="00683687"/>
    <w:rsid w:val="00691D1A"/>
    <w:rsid w:val="00692A22"/>
    <w:rsid w:val="0069460F"/>
    <w:rsid w:val="00694E21"/>
    <w:rsid w:val="00695C98"/>
    <w:rsid w:val="00696C21"/>
    <w:rsid w:val="006971C7"/>
    <w:rsid w:val="006A0052"/>
    <w:rsid w:val="006A490D"/>
    <w:rsid w:val="006B0060"/>
    <w:rsid w:val="006B3914"/>
    <w:rsid w:val="006B7FDD"/>
    <w:rsid w:val="006C182B"/>
    <w:rsid w:val="006C1A2A"/>
    <w:rsid w:val="006C278A"/>
    <w:rsid w:val="006C2A53"/>
    <w:rsid w:val="006C6C81"/>
    <w:rsid w:val="006D3703"/>
    <w:rsid w:val="006D77FC"/>
    <w:rsid w:val="006E623D"/>
    <w:rsid w:val="006F208C"/>
    <w:rsid w:val="006F2C06"/>
    <w:rsid w:val="006F574A"/>
    <w:rsid w:val="007048D8"/>
    <w:rsid w:val="00710FCE"/>
    <w:rsid w:val="00711B9F"/>
    <w:rsid w:val="007152EE"/>
    <w:rsid w:val="0072258E"/>
    <w:rsid w:val="00731C62"/>
    <w:rsid w:val="0074783E"/>
    <w:rsid w:val="00757A2A"/>
    <w:rsid w:val="00757F93"/>
    <w:rsid w:val="007615E9"/>
    <w:rsid w:val="00762C80"/>
    <w:rsid w:val="00765B7C"/>
    <w:rsid w:val="00767666"/>
    <w:rsid w:val="00767C9B"/>
    <w:rsid w:val="00770811"/>
    <w:rsid w:val="00772D3D"/>
    <w:rsid w:val="00774F68"/>
    <w:rsid w:val="0078202A"/>
    <w:rsid w:val="007833C7"/>
    <w:rsid w:val="0078618B"/>
    <w:rsid w:val="00792BCC"/>
    <w:rsid w:val="00793F06"/>
    <w:rsid w:val="007A2B27"/>
    <w:rsid w:val="007A3746"/>
    <w:rsid w:val="007A520D"/>
    <w:rsid w:val="007B50A2"/>
    <w:rsid w:val="007B6CEA"/>
    <w:rsid w:val="007C3AB9"/>
    <w:rsid w:val="007C4C57"/>
    <w:rsid w:val="007C63D1"/>
    <w:rsid w:val="007E1A9F"/>
    <w:rsid w:val="007E3036"/>
    <w:rsid w:val="007E78C4"/>
    <w:rsid w:val="007F47F5"/>
    <w:rsid w:val="007F5DB1"/>
    <w:rsid w:val="00804822"/>
    <w:rsid w:val="00805D04"/>
    <w:rsid w:val="00806147"/>
    <w:rsid w:val="00810492"/>
    <w:rsid w:val="00821712"/>
    <w:rsid w:val="00826220"/>
    <w:rsid w:val="00826F28"/>
    <w:rsid w:val="008272D8"/>
    <w:rsid w:val="008302B8"/>
    <w:rsid w:val="00832918"/>
    <w:rsid w:val="00832EFD"/>
    <w:rsid w:val="00837F79"/>
    <w:rsid w:val="00840BF7"/>
    <w:rsid w:val="00851DB0"/>
    <w:rsid w:val="008561D8"/>
    <w:rsid w:val="0085719F"/>
    <w:rsid w:val="0087367F"/>
    <w:rsid w:val="00881B62"/>
    <w:rsid w:val="00885341"/>
    <w:rsid w:val="0089182C"/>
    <w:rsid w:val="0089703A"/>
    <w:rsid w:val="00897689"/>
    <w:rsid w:val="008978AD"/>
    <w:rsid w:val="008A23A5"/>
    <w:rsid w:val="008A4333"/>
    <w:rsid w:val="008B451F"/>
    <w:rsid w:val="008D01D3"/>
    <w:rsid w:val="008D1F15"/>
    <w:rsid w:val="008D4CAA"/>
    <w:rsid w:val="008D5C06"/>
    <w:rsid w:val="008D66FE"/>
    <w:rsid w:val="008E59AB"/>
    <w:rsid w:val="008F1985"/>
    <w:rsid w:val="009014E6"/>
    <w:rsid w:val="009052BE"/>
    <w:rsid w:val="0091724E"/>
    <w:rsid w:val="00921511"/>
    <w:rsid w:val="0092620A"/>
    <w:rsid w:val="0093013B"/>
    <w:rsid w:val="0093077F"/>
    <w:rsid w:val="00934B70"/>
    <w:rsid w:val="00940176"/>
    <w:rsid w:val="00947234"/>
    <w:rsid w:val="0095042B"/>
    <w:rsid w:val="009512FC"/>
    <w:rsid w:val="00953CBB"/>
    <w:rsid w:val="009560B0"/>
    <w:rsid w:val="00957F06"/>
    <w:rsid w:val="009614A2"/>
    <w:rsid w:val="00964701"/>
    <w:rsid w:val="00976EA8"/>
    <w:rsid w:val="00977996"/>
    <w:rsid w:val="00983224"/>
    <w:rsid w:val="009902D3"/>
    <w:rsid w:val="009912B5"/>
    <w:rsid w:val="009A116D"/>
    <w:rsid w:val="009A1BE2"/>
    <w:rsid w:val="009A2EE6"/>
    <w:rsid w:val="009B5344"/>
    <w:rsid w:val="009B5F09"/>
    <w:rsid w:val="009C0F3D"/>
    <w:rsid w:val="009C3662"/>
    <w:rsid w:val="009D2B1D"/>
    <w:rsid w:val="009D3249"/>
    <w:rsid w:val="009D78ED"/>
    <w:rsid w:val="009E2582"/>
    <w:rsid w:val="009E285E"/>
    <w:rsid w:val="009F078B"/>
    <w:rsid w:val="009F5D46"/>
    <w:rsid w:val="00A0600D"/>
    <w:rsid w:val="00A06C04"/>
    <w:rsid w:val="00A125D4"/>
    <w:rsid w:val="00A14545"/>
    <w:rsid w:val="00A15C5B"/>
    <w:rsid w:val="00A17CF3"/>
    <w:rsid w:val="00A26E62"/>
    <w:rsid w:val="00A34522"/>
    <w:rsid w:val="00A34871"/>
    <w:rsid w:val="00A47E87"/>
    <w:rsid w:val="00A52A5F"/>
    <w:rsid w:val="00A52E15"/>
    <w:rsid w:val="00A61DF0"/>
    <w:rsid w:val="00A66172"/>
    <w:rsid w:val="00A83BFE"/>
    <w:rsid w:val="00A87FC3"/>
    <w:rsid w:val="00A90387"/>
    <w:rsid w:val="00A93B41"/>
    <w:rsid w:val="00A940F0"/>
    <w:rsid w:val="00A97CF6"/>
    <w:rsid w:val="00AA1405"/>
    <w:rsid w:val="00AA4062"/>
    <w:rsid w:val="00AA69A2"/>
    <w:rsid w:val="00AB0AFE"/>
    <w:rsid w:val="00AB10A6"/>
    <w:rsid w:val="00AB3259"/>
    <w:rsid w:val="00AC0E0B"/>
    <w:rsid w:val="00AC3073"/>
    <w:rsid w:val="00AC34EE"/>
    <w:rsid w:val="00AC3699"/>
    <w:rsid w:val="00AC4640"/>
    <w:rsid w:val="00AD201A"/>
    <w:rsid w:val="00AD3856"/>
    <w:rsid w:val="00AD7557"/>
    <w:rsid w:val="00AE5DEA"/>
    <w:rsid w:val="00AF04BE"/>
    <w:rsid w:val="00AF3A2E"/>
    <w:rsid w:val="00B02E4F"/>
    <w:rsid w:val="00B070FD"/>
    <w:rsid w:val="00B16264"/>
    <w:rsid w:val="00B25314"/>
    <w:rsid w:val="00B32030"/>
    <w:rsid w:val="00B34237"/>
    <w:rsid w:val="00B42A03"/>
    <w:rsid w:val="00B462B9"/>
    <w:rsid w:val="00B55542"/>
    <w:rsid w:val="00B6117D"/>
    <w:rsid w:val="00B63EFE"/>
    <w:rsid w:val="00B7183E"/>
    <w:rsid w:val="00B73DA6"/>
    <w:rsid w:val="00B7555B"/>
    <w:rsid w:val="00B8647E"/>
    <w:rsid w:val="00B871FA"/>
    <w:rsid w:val="00B92630"/>
    <w:rsid w:val="00B943D9"/>
    <w:rsid w:val="00BA5260"/>
    <w:rsid w:val="00BB065A"/>
    <w:rsid w:val="00BB21CA"/>
    <w:rsid w:val="00BB3F07"/>
    <w:rsid w:val="00BC12BB"/>
    <w:rsid w:val="00BC1D6C"/>
    <w:rsid w:val="00BC2BD6"/>
    <w:rsid w:val="00BD20A0"/>
    <w:rsid w:val="00BD4305"/>
    <w:rsid w:val="00BE0DC4"/>
    <w:rsid w:val="00BE3E97"/>
    <w:rsid w:val="00BE78A0"/>
    <w:rsid w:val="00BF70A6"/>
    <w:rsid w:val="00C057A3"/>
    <w:rsid w:val="00C1389C"/>
    <w:rsid w:val="00C147F3"/>
    <w:rsid w:val="00C25702"/>
    <w:rsid w:val="00C32D01"/>
    <w:rsid w:val="00C346C5"/>
    <w:rsid w:val="00C3503B"/>
    <w:rsid w:val="00C42646"/>
    <w:rsid w:val="00C45532"/>
    <w:rsid w:val="00C512C9"/>
    <w:rsid w:val="00C51D02"/>
    <w:rsid w:val="00C55F94"/>
    <w:rsid w:val="00C5629B"/>
    <w:rsid w:val="00C56B84"/>
    <w:rsid w:val="00C63068"/>
    <w:rsid w:val="00C6712A"/>
    <w:rsid w:val="00C709D8"/>
    <w:rsid w:val="00C70F1E"/>
    <w:rsid w:val="00C77D13"/>
    <w:rsid w:val="00C851DE"/>
    <w:rsid w:val="00CA1152"/>
    <w:rsid w:val="00CB1AEF"/>
    <w:rsid w:val="00CB3976"/>
    <w:rsid w:val="00CC4D3D"/>
    <w:rsid w:val="00CD0D51"/>
    <w:rsid w:val="00CD286E"/>
    <w:rsid w:val="00CD518E"/>
    <w:rsid w:val="00CD53F3"/>
    <w:rsid w:val="00CE3E67"/>
    <w:rsid w:val="00CE57C7"/>
    <w:rsid w:val="00CF01AB"/>
    <w:rsid w:val="00CF24BC"/>
    <w:rsid w:val="00CF6EA5"/>
    <w:rsid w:val="00D10F32"/>
    <w:rsid w:val="00D11FAE"/>
    <w:rsid w:val="00D1710C"/>
    <w:rsid w:val="00D21C49"/>
    <w:rsid w:val="00D349EA"/>
    <w:rsid w:val="00D364C2"/>
    <w:rsid w:val="00D37B44"/>
    <w:rsid w:val="00D4264F"/>
    <w:rsid w:val="00D43ED1"/>
    <w:rsid w:val="00D52781"/>
    <w:rsid w:val="00D53484"/>
    <w:rsid w:val="00D56993"/>
    <w:rsid w:val="00D6418E"/>
    <w:rsid w:val="00D8074B"/>
    <w:rsid w:val="00D814D0"/>
    <w:rsid w:val="00D8203F"/>
    <w:rsid w:val="00D86243"/>
    <w:rsid w:val="00D87D37"/>
    <w:rsid w:val="00D90596"/>
    <w:rsid w:val="00D91437"/>
    <w:rsid w:val="00D923B4"/>
    <w:rsid w:val="00D939B7"/>
    <w:rsid w:val="00D956CD"/>
    <w:rsid w:val="00DA6596"/>
    <w:rsid w:val="00DB3A2E"/>
    <w:rsid w:val="00DB459B"/>
    <w:rsid w:val="00DC081A"/>
    <w:rsid w:val="00DC4E57"/>
    <w:rsid w:val="00DC5470"/>
    <w:rsid w:val="00DC5EDA"/>
    <w:rsid w:val="00DD2635"/>
    <w:rsid w:val="00DD4D77"/>
    <w:rsid w:val="00DE4672"/>
    <w:rsid w:val="00DE659A"/>
    <w:rsid w:val="00DE6FED"/>
    <w:rsid w:val="00DF146E"/>
    <w:rsid w:val="00DF1E1F"/>
    <w:rsid w:val="00DF45FF"/>
    <w:rsid w:val="00E015AE"/>
    <w:rsid w:val="00E0793D"/>
    <w:rsid w:val="00E10872"/>
    <w:rsid w:val="00E14F3E"/>
    <w:rsid w:val="00E225BA"/>
    <w:rsid w:val="00E33935"/>
    <w:rsid w:val="00E36C3B"/>
    <w:rsid w:val="00E52355"/>
    <w:rsid w:val="00E55CA5"/>
    <w:rsid w:val="00E63914"/>
    <w:rsid w:val="00E723A0"/>
    <w:rsid w:val="00E7528E"/>
    <w:rsid w:val="00E80A16"/>
    <w:rsid w:val="00E90076"/>
    <w:rsid w:val="00E90B57"/>
    <w:rsid w:val="00EA059C"/>
    <w:rsid w:val="00EA09EC"/>
    <w:rsid w:val="00EA1A32"/>
    <w:rsid w:val="00EA4577"/>
    <w:rsid w:val="00EB3214"/>
    <w:rsid w:val="00EB3405"/>
    <w:rsid w:val="00EC14BF"/>
    <w:rsid w:val="00ED3F44"/>
    <w:rsid w:val="00ED4182"/>
    <w:rsid w:val="00EE078E"/>
    <w:rsid w:val="00EE2A40"/>
    <w:rsid w:val="00EE665F"/>
    <w:rsid w:val="00EF0B2B"/>
    <w:rsid w:val="00EF21A0"/>
    <w:rsid w:val="00EF2609"/>
    <w:rsid w:val="00EF39F6"/>
    <w:rsid w:val="00EF79AE"/>
    <w:rsid w:val="00EF7D94"/>
    <w:rsid w:val="00F004F7"/>
    <w:rsid w:val="00F01DB4"/>
    <w:rsid w:val="00F02B46"/>
    <w:rsid w:val="00F041CC"/>
    <w:rsid w:val="00F05164"/>
    <w:rsid w:val="00F06D50"/>
    <w:rsid w:val="00F077B8"/>
    <w:rsid w:val="00F07863"/>
    <w:rsid w:val="00F1360E"/>
    <w:rsid w:val="00F16687"/>
    <w:rsid w:val="00F17C70"/>
    <w:rsid w:val="00F200A4"/>
    <w:rsid w:val="00F219BC"/>
    <w:rsid w:val="00F27B56"/>
    <w:rsid w:val="00F30239"/>
    <w:rsid w:val="00F32109"/>
    <w:rsid w:val="00F3249C"/>
    <w:rsid w:val="00F3687A"/>
    <w:rsid w:val="00F422CF"/>
    <w:rsid w:val="00F47AAE"/>
    <w:rsid w:val="00F51797"/>
    <w:rsid w:val="00F5769D"/>
    <w:rsid w:val="00F632FE"/>
    <w:rsid w:val="00F64E48"/>
    <w:rsid w:val="00F6628D"/>
    <w:rsid w:val="00F71A82"/>
    <w:rsid w:val="00F71AD4"/>
    <w:rsid w:val="00F74013"/>
    <w:rsid w:val="00F7555B"/>
    <w:rsid w:val="00F75EE3"/>
    <w:rsid w:val="00F83856"/>
    <w:rsid w:val="00F85BA8"/>
    <w:rsid w:val="00F87089"/>
    <w:rsid w:val="00F87266"/>
    <w:rsid w:val="00F905EE"/>
    <w:rsid w:val="00F970CC"/>
    <w:rsid w:val="00FA1213"/>
    <w:rsid w:val="00FA4456"/>
    <w:rsid w:val="00FB16B6"/>
    <w:rsid w:val="00FB3E0E"/>
    <w:rsid w:val="00FC025A"/>
    <w:rsid w:val="00FC4034"/>
    <w:rsid w:val="00FD1E38"/>
    <w:rsid w:val="00FD22BE"/>
    <w:rsid w:val="00FE0F03"/>
    <w:rsid w:val="00FE1DA1"/>
    <w:rsid w:val="00FF10DE"/>
    <w:rsid w:val="00FF14C1"/>
    <w:rsid w:val="00FF37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4A073EF-E23A-4E1B-8530-95D11EBC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64701"/>
    <w:pPr>
      <w:keepNext/>
      <w:snapToGrid w:val="0"/>
      <w:spacing w:afterLines="15" w:after="54" w:line="276" w:lineRule="auto"/>
      <w:jc w:val="center"/>
      <w:outlineLvl w:val="0"/>
    </w:pPr>
    <w:rPr>
      <w:rFonts w:ascii="Times New Roman" w:eastAsia="標楷體" w:hAnsi="Times New Roman" w:cstheme="majorBidi"/>
      <w:b/>
      <w:bCs/>
      <w:kern w:val="52"/>
      <w:sz w:val="28"/>
      <w:szCs w:val="52"/>
    </w:rPr>
  </w:style>
  <w:style w:type="paragraph" w:styleId="2">
    <w:name w:val="heading 2"/>
    <w:basedOn w:val="a"/>
    <w:next w:val="a"/>
    <w:link w:val="20"/>
    <w:uiPriority w:val="9"/>
    <w:unhideWhenUsed/>
    <w:qFormat/>
    <w:rsid w:val="008B451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iPriority w:val="99"/>
    <w:unhideWhenUsed/>
    <w:rsid w:val="00A83BFE"/>
    <w:pPr>
      <w:tabs>
        <w:tab w:val="center" w:pos="4153"/>
        <w:tab w:val="right" w:pos="8306"/>
      </w:tabs>
      <w:snapToGrid w:val="0"/>
    </w:pPr>
    <w:rPr>
      <w:sz w:val="20"/>
      <w:szCs w:val="20"/>
    </w:rPr>
  </w:style>
  <w:style w:type="character" w:customStyle="1" w:styleId="a7">
    <w:name w:val="頁尾 字元"/>
    <w:basedOn w:val="a0"/>
    <w:link w:val="a6"/>
    <w:uiPriority w:val="99"/>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B451F"/>
    <w:rPr>
      <w:rFonts w:asciiTheme="majorHAnsi" w:eastAsiaTheme="majorEastAsia" w:hAnsiTheme="majorHAnsi" w:cstheme="majorBidi"/>
      <w:b/>
      <w:bCs/>
      <w:sz w:val="48"/>
      <w:szCs w:val="48"/>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964701"/>
    <w:rPr>
      <w:rFonts w:ascii="Times New Roman" w:eastAsia="標楷體" w:hAnsi="Times New Roman" w:cstheme="majorBidi"/>
      <w:b/>
      <w:bCs/>
      <w:kern w:val="52"/>
      <w:sz w:val="28"/>
      <w:szCs w:val="52"/>
    </w:rPr>
  </w:style>
  <w:style w:type="paragraph" w:styleId="af0">
    <w:name w:val="TOC Heading"/>
    <w:basedOn w:val="1"/>
    <w:next w:val="a"/>
    <w:uiPriority w:val="39"/>
    <w:semiHidden/>
    <w:unhideWhenUsed/>
    <w:qFormat/>
    <w:rsid w:val="00FD1E38"/>
    <w:pPr>
      <w:keepLines/>
      <w:widowControl/>
      <w:snapToGrid/>
      <w:spacing w:before="480" w:afterLines="0" w:after="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semiHidden/>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rsid w:val="0010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color w:val="000000"/>
      <w:kern w:val="0"/>
      <w:sz w:val="20"/>
      <w:szCs w:val="20"/>
    </w:rPr>
  </w:style>
  <w:style w:type="character" w:customStyle="1" w:styleId="HTML0">
    <w:name w:val="HTML 預設格式 字元"/>
    <w:basedOn w:val="a0"/>
    <w:link w:val="HTML"/>
    <w:rsid w:val="00105AAF"/>
    <w:rPr>
      <w:rFonts w:ascii="細明體" w:eastAsia="細明體" w:hAnsi="細明體"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B0672-DB1C-44E2-9D32-7CF3FDD1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邱之駿</cp:lastModifiedBy>
  <cp:revision>28</cp:revision>
  <cp:lastPrinted>2019-03-29T08:24:00Z</cp:lastPrinted>
  <dcterms:created xsi:type="dcterms:W3CDTF">2018-01-29T02:34:00Z</dcterms:created>
  <dcterms:modified xsi:type="dcterms:W3CDTF">2019-04-08T06:57:00Z</dcterms:modified>
</cp:coreProperties>
</file>