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DF" w:rsidRPr="00D21D94" w:rsidRDefault="000135DF" w:rsidP="000135DF">
      <w:pPr>
        <w:pStyle w:val="13"/>
        <w:ind w:left="2"/>
      </w:pPr>
      <w:bookmarkStart w:id="0" w:name="_Toc521333963"/>
      <w:proofErr w:type="spellStart"/>
      <w:r w:rsidRPr="000135DF">
        <w:rPr>
          <w:rFonts w:hint="eastAsia"/>
        </w:rPr>
        <w:t>財團法人中華民國證券櫃檯買賣中心對有價證券上櫃公司資訊申報</w:t>
      </w:r>
      <w:proofErr w:type="spellEnd"/>
      <w:r w:rsidR="00D33965">
        <w:br/>
      </w:r>
      <w:proofErr w:type="spellStart"/>
      <w:r w:rsidRPr="000135DF">
        <w:rPr>
          <w:rFonts w:hint="eastAsia"/>
        </w:rPr>
        <w:t>作業辦法第三條及第三條之五</w:t>
      </w:r>
      <w:r w:rsidRPr="007B1C7E">
        <w:rPr>
          <w:rFonts w:hint="eastAsia"/>
        </w:rPr>
        <w:t>修正條文對照表</w:t>
      </w:r>
      <w:proofErr w:type="spellEnd"/>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5"/>
        <w:gridCol w:w="3289"/>
        <w:gridCol w:w="3344"/>
      </w:tblGrid>
      <w:tr w:rsidR="000135DF" w:rsidTr="00C63560">
        <w:trPr>
          <w:tblHeader/>
        </w:trPr>
        <w:tc>
          <w:tcPr>
            <w:tcW w:w="3275" w:type="dxa"/>
            <w:hideMark/>
          </w:tcPr>
          <w:p w:rsidR="000135DF" w:rsidRPr="00640E09" w:rsidRDefault="000135DF" w:rsidP="00C63560">
            <w:pPr>
              <w:ind w:leftChars="57" w:left="137" w:rightChars="67" w:right="161"/>
              <w:jc w:val="center"/>
              <w:rPr>
                <w:rFonts w:ascii="標楷體" w:eastAsia="標楷體" w:hAnsi="標楷體"/>
              </w:rPr>
            </w:pPr>
            <w:r w:rsidRPr="00640E09">
              <w:rPr>
                <w:rFonts w:ascii="標楷體" w:eastAsia="標楷體" w:hAnsi="標楷體" w:hint="eastAsia"/>
              </w:rPr>
              <w:t>修正條文</w:t>
            </w:r>
          </w:p>
        </w:tc>
        <w:tc>
          <w:tcPr>
            <w:tcW w:w="3289" w:type="dxa"/>
            <w:hideMark/>
          </w:tcPr>
          <w:p w:rsidR="000135DF" w:rsidRPr="00640E09" w:rsidRDefault="000135DF" w:rsidP="00C63560">
            <w:pPr>
              <w:ind w:leftChars="57" w:left="137" w:rightChars="67" w:right="161"/>
              <w:jc w:val="center"/>
              <w:rPr>
                <w:rFonts w:ascii="標楷體" w:eastAsia="標楷體" w:hAnsi="標楷體"/>
              </w:rPr>
            </w:pPr>
            <w:r w:rsidRPr="00640E09">
              <w:rPr>
                <w:rFonts w:ascii="標楷體" w:eastAsia="標楷體" w:hAnsi="標楷體" w:hint="eastAsia"/>
              </w:rPr>
              <w:t>現行條文</w:t>
            </w:r>
          </w:p>
        </w:tc>
        <w:tc>
          <w:tcPr>
            <w:tcW w:w="3344" w:type="dxa"/>
            <w:hideMark/>
          </w:tcPr>
          <w:p w:rsidR="000135DF" w:rsidRPr="00640E09" w:rsidRDefault="000135DF" w:rsidP="00C63560">
            <w:pPr>
              <w:ind w:leftChars="57" w:left="137" w:rightChars="67" w:right="161"/>
              <w:jc w:val="center"/>
              <w:rPr>
                <w:rFonts w:ascii="標楷體" w:eastAsia="標楷體" w:hAnsi="標楷體"/>
              </w:rPr>
            </w:pPr>
            <w:r w:rsidRPr="00640E09">
              <w:rPr>
                <w:rFonts w:ascii="標楷體" w:eastAsia="標楷體" w:hAnsi="標楷體" w:hint="eastAsia"/>
              </w:rPr>
              <w:t>說明</w:t>
            </w:r>
          </w:p>
        </w:tc>
      </w:tr>
      <w:tr w:rsidR="000135DF" w:rsidTr="00C63560">
        <w:tc>
          <w:tcPr>
            <w:tcW w:w="3275" w:type="dxa"/>
          </w:tcPr>
          <w:p w:rsidR="000135DF" w:rsidRPr="000135DF" w:rsidRDefault="000135DF" w:rsidP="000135DF">
            <w:pPr>
              <w:widowControl/>
              <w:suppressAutoHyphens/>
              <w:autoSpaceDN w:val="0"/>
              <w:textAlignment w:val="baseline"/>
              <w:rPr>
                <w:rFonts w:ascii="標楷體" w:eastAsia="標楷體" w:hAnsi="標楷體" w:cs="細明體"/>
                <w:kern w:val="0"/>
                <w:szCs w:val="24"/>
              </w:rPr>
            </w:pPr>
            <w:r w:rsidRPr="000135DF">
              <w:rPr>
                <w:rFonts w:ascii="標楷體" w:eastAsia="標楷體" w:hAnsi="標楷體" w:cs="細明體" w:hint="eastAsia"/>
                <w:kern w:val="0"/>
                <w:szCs w:val="24"/>
              </w:rPr>
              <w:t>第三條</w:t>
            </w:r>
          </w:p>
          <w:p w:rsidR="000135DF" w:rsidRPr="000135DF" w:rsidRDefault="000135DF" w:rsidP="000135DF">
            <w:pPr>
              <w:pStyle w:val="af3"/>
              <w:tabs>
                <w:tab w:val="left" w:pos="724"/>
              </w:tabs>
              <w:kinsoku w:val="0"/>
              <w:overflowPunct w:val="0"/>
              <w:autoSpaceDE w:val="0"/>
              <w:autoSpaceDN w:val="0"/>
              <w:adjustRightInd w:val="0"/>
              <w:snapToGrid w:val="0"/>
              <w:spacing w:beforeLines="50" w:before="180" w:afterLines="50" w:after="180"/>
              <w:ind w:leftChars="100" w:left="720" w:hangingChars="200" w:hanging="480"/>
              <w:jc w:val="center"/>
              <w:rPr>
                <w:rFonts w:cs="細明體"/>
                <w:sz w:val="24"/>
              </w:rPr>
            </w:pPr>
            <w:r w:rsidRPr="000135DF">
              <w:rPr>
                <w:rFonts w:cs="細明體"/>
                <w:sz w:val="24"/>
              </w:rPr>
              <w:t>(</w:t>
            </w:r>
            <w:proofErr w:type="gramStart"/>
            <w:r w:rsidRPr="000135DF">
              <w:rPr>
                <w:rFonts w:cs="細明體" w:hint="eastAsia"/>
                <w:sz w:val="24"/>
              </w:rPr>
              <w:t>第一項略</w:t>
            </w:r>
            <w:proofErr w:type="gramEnd"/>
            <w:r w:rsidRPr="000135DF">
              <w:rPr>
                <w:rFonts w:cs="細明體"/>
                <w:sz w:val="24"/>
              </w:rPr>
              <w:t>)</w:t>
            </w:r>
          </w:p>
          <w:p w:rsidR="000135DF" w:rsidRPr="000135DF" w:rsidRDefault="000135DF" w:rsidP="000135DF">
            <w:pPr>
              <w:pStyle w:val="af3"/>
              <w:tabs>
                <w:tab w:val="left" w:pos="724"/>
              </w:tabs>
              <w:kinsoku w:val="0"/>
              <w:overflowPunct w:val="0"/>
              <w:autoSpaceDE w:val="0"/>
              <w:autoSpaceDN w:val="0"/>
              <w:adjustRightInd w:val="0"/>
              <w:snapToGrid w:val="0"/>
              <w:ind w:leftChars="100" w:left="240" w:firstLineChars="200" w:firstLine="480"/>
              <w:rPr>
                <w:rFonts w:cs="細明體"/>
                <w:sz w:val="24"/>
              </w:rPr>
            </w:pPr>
            <w:r w:rsidRPr="000135DF">
              <w:rPr>
                <w:rFonts w:cs="細明體" w:hint="eastAsia"/>
                <w:sz w:val="24"/>
              </w:rPr>
              <w:t>股票上櫃公司應向本中心不定期申報資訊之事項及時限，依下列各款之規定：</w:t>
            </w:r>
          </w:p>
          <w:p w:rsidR="000135DF" w:rsidRPr="000135DF" w:rsidRDefault="000135DF" w:rsidP="000135DF">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ind w:leftChars="100" w:left="240"/>
              <w:jc w:val="center"/>
              <w:rPr>
                <w:rFonts w:ascii="標楷體" w:eastAsia="標楷體" w:hAnsi="標楷體" w:cs="細明體"/>
                <w:kern w:val="0"/>
                <w:szCs w:val="24"/>
              </w:rPr>
            </w:pPr>
            <w:r w:rsidRPr="000135DF">
              <w:rPr>
                <w:rFonts w:ascii="標楷體" w:eastAsia="標楷體" w:hAnsi="標楷體" w:cs="細明體"/>
                <w:kern w:val="0"/>
                <w:szCs w:val="24"/>
              </w:rPr>
              <w:t>(</w:t>
            </w:r>
            <w:r w:rsidRPr="000135DF">
              <w:rPr>
                <w:rFonts w:ascii="標楷體" w:eastAsia="標楷體" w:hAnsi="標楷體" w:cs="細明體" w:hint="eastAsia"/>
                <w:kern w:val="0"/>
                <w:szCs w:val="24"/>
              </w:rPr>
              <w:t>第一款至第七款略</w:t>
            </w:r>
            <w:r w:rsidRPr="000135DF">
              <w:rPr>
                <w:rFonts w:ascii="標楷體" w:eastAsia="標楷體" w:hAnsi="標楷體" w:cs="細明體"/>
                <w:kern w:val="0"/>
                <w:szCs w:val="24"/>
              </w:rPr>
              <w:t>)</w:t>
            </w:r>
          </w:p>
          <w:p w:rsidR="000135DF" w:rsidRPr="000135DF" w:rsidRDefault="000135DF" w:rsidP="000135DF">
            <w:pPr>
              <w:pStyle w:val="af3"/>
              <w:tabs>
                <w:tab w:val="left" w:pos="727"/>
              </w:tabs>
              <w:kinsoku w:val="0"/>
              <w:overflowPunct w:val="0"/>
              <w:autoSpaceDE w:val="0"/>
              <w:autoSpaceDN w:val="0"/>
              <w:adjustRightInd w:val="0"/>
              <w:snapToGrid w:val="0"/>
              <w:ind w:leftChars="100" w:left="720" w:hangingChars="200" w:hanging="480"/>
              <w:rPr>
                <w:rFonts w:cs="細明體"/>
                <w:sz w:val="24"/>
              </w:rPr>
            </w:pPr>
            <w:r w:rsidRPr="000135DF">
              <w:rPr>
                <w:rFonts w:cs="細明體" w:hint="eastAsia"/>
                <w:sz w:val="24"/>
              </w:rPr>
              <w:t>八、</w:t>
            </w:r>
            <w:r w:rsidRPr="000135DF">
              <w:rPr>
                <w:rFonts w:cs="細明體"/>
                <w:sz w:val="24"/>
              </w:rPr>
              <w:tab/>
            </w:r>
            <w:r w:rsidRPr="000135DF">
              <w:rPr>
                <w:rFonts w:cs="細明體" w:hint="eastAsia"/>
                <w:sz w:val="24"/>
              </w:rPr>
              <w:t>上櫃公司僑外</w:t>
            </w:r>
            <w:r w:rsidRPr="000135DF">
              <w:rPr>
                <w:rFonts w:cs="細明體" w:hint="eastAsia"/>
                <w:sz w:val="24"/>
                <w:u w:val="single"/>
              </w:rPr>
              <w:t>及大陸地區投資人</w:t>
            </w:r>
            <w:r w:rsidRPr="000135DF">
              <w:rPr>
                <w:rFonts w:cs="細明體" w:hint="eastAsia"/>
                <w:sz w:val="24"/>
              </w:rPr>
              <w:t>投資持股情形統計表：應於（一）增資</w:t>
            </w:r>
            <w:r w:rsidRPr="000135DF">
              <w:rPr>
                <w:rFonts w:cs="細明體" w:hint="eastAsia"/>
                <w:sz w:val="24"/>
                <w:u w:val="single"/>
              </w:rPr>
              <w:t>發行新</w:t>
            </w:r>
            <w:r w:rsidRPr="000135DF">
              <w:rPr>
                <w:rFonts w:cs="細明體" w:hint="eastAsia"/>
                <w:sz w:val="24"/>
              </w:rPr>
              <w:t>股（二）</w:t>
            </w:r>
            <w:r w:rsidRPr="000135DF">
              <w:rPr>
                <w:rFonts w:cs="細明體" w:hint="eastAsia"/>
                <w:sz w:val="24"/>
                <w:u w:val="single"/>
              </w:rPr>
              <w:t>募集發行或私募</w:t>
            </w:r>
            <w:r w:rsidRPr="000135DF">
              <w:rPr>
                <w:rFonts w:cs="細明體" w:hint="eastAsia"/>
                <w:sz w:val="24"/>
              </w:rPr>
              <w:t>海外存託憑證（含新股及老股）、海外可轉換公司債及附認股權有價證券或海外股票（三）減資（四）合併（五）公開收購（六）上櫃公司</w:t>
            </w:r>
            <w:r w:rsidRPr="000135DF">
              <w:rPr>
                <w:rFonts w:cs="細明體" w:hint="eastAsia"/>
                <w:sz w:val="24"/>
                <w:u w:val="single"/>
              </w:rPr>
              <w:t>分派員工酬勞</w:t>
            </w:r>
            <w:r w:rsidRPr="000135DF">
              <w:rPr>
                <w:rFonts w:cs="細明體" w:hint="eastAsia"/>
                <w:sz w:val="24"/>
              </w:rPr>
              <w:t>、庫藏股轉讓</w:t>
            </w:r>
            <w:r w:rsidRPr="000135DF">
              <w:rPr>
                <w:rFonts w:cs="細明體" w:hint="eastAsia"/>
                <w:sz w:val="24"/>
                <w:u w:val="single"/>
              </w:rPr>
              <w:t>、</w:t>
            </w:r>
            <w:r w:rsidRPr="000135DF">
              <w:rPr>
                <w:rFonts w:cs="細明體" w:hint="eastAsia"/>
                <w:sz w:val="24"/>
              </w:rPr>
              <w:t>發</w:t>
            </w:r>
            <w:r w:rsidRPr="000135DF">
              <w:rPr>
                <w:rFonts w:cs="細明體" w:hint="eastAsia"/>
                <w:sz w:val="24"/>
                <w:u w:val="single"/>
              </w:rPr>
              <w:t>行</w:t>
            </w:r>
            <w:r w:rsidRPr="000135DF">
              <w:rPr>
                <w:rFonts w:cs="細明體" w:hint="eastAsia"/>
                <w:sz w:val="24"/>
              </w:rPr>
              <w:t>認股權憑證</w:t>
            </w:r>
            <w:r w:rsidRPr="000135DF">
              <w:rPr>
                <w:rFonts w:cs="細明體" w:hint="eastAsia"/>
                <w:sz w:val="24"/>
                <w:u w:val="single"/>
              </w:rPr>
              <w:t>或限制員工權利新股</w:t>
            </w:r>
            <w:r w:rsidRPr="000135DF">
              <w:rPr>
                <w:rFonts w:cs="細明體" w:hint="eastAsia"/>
                <w:sz w:val="24"/>
              </w:rPr>
              <w:t>予外籍員工（七）初次上櫃或轉換新設公司上櫃（八）召開股東常會</w:t>
            </w:r>
            <w:r w:rsidRPr="000135DF">
              <w:rPr>
                <w:rFonts w:cs="細明體" w:hint="eastAsia"/>
                <w:sz w:val="24"/>
                <w:u w:val="single"/>
              </w:rPr>
              <w:t>（九）變更面額</w:t>
            </w:r>
            <w:r w:rsidRPr="000135DF">
              <w:rPr>
                <w:rFonts w:cs="細明體" w:hint="eastAsia"/>
                <w:sz w:val="24"/>
              </w:rPr>
              <w:t>時輸入，各項申報時限應依僑外</w:t>
            </w:r>
            <w:r w:rsidRPr="000135DF">
              <w:rPr>
                <w:rFonts w:cs="細明體" w:hint="eastAsia"/>
                <w:sz w:val="24"/>
                <w:u w:val="single"/>
              </w:rPr>
              <w:t>及大陸地區投資人</w:t>
            </w:r>
            <w:r w:rsidRPr="000135DF">
              <w:rPr>
                <w:rFonts w:cs="細明體" w:hint="eastAsia"/>
                <w:sz w:val="24"/>
              </w:rPr>
              <w:t>投資持股情形申報作業之申報時限辦理。</w:t>
            </w:r>
          </w:p>
          <w:p w:rsidR="000135DF" w:rsidRPr="00E72213" w:rsidRDefault="000135DF" w:rsidP="00A5491A">
            <w:pPr>
              <w:pStyle w:val="af3"/>
              <w:tabs>
                <w:tab w:val="left" w:pos="724"/>
              </w:tabs>
              <w:kinsoku w:val="0"/>
              <w:overflowPunct w:val="0"/>
              <w:autoSpaceDE w:val="0"/>
              <w:autoSpaceDN w:val="0"/>
              <w:adjustRightInd w:val="0"/>
              <w:snapToGrid w:val="0"/>
              <w:spacing w:beforeLines="50" w:before="180" w:afterLines="50" w:after="180"/>
              <w:ind w:leftChars="100" w:left="720" w:hangingChars="200" w:hanging="480"/>
              <w:jc w:val="center"/>
              <w:rPr>
                <w:snapToGrid w:val="0"/>
                <w:u w:val="single"/>
              </w:rPr>
            </w:pPr>
            <w:r w:rsidRPr="000135DF">
              <w:rPr>
                <w:rFonts w:cs="細明體"/>
                <w:sz w:val="24"/>
              </w:rPr>
              <w:t>(</w:t>
            </w:r>
            <w:r w:rsidRPr="00A5491A">
              <w:rPr>
                <w:rFonts w:hint="eastAsia"/>
                <w:snapToGrid w:val="0"/>
                <w:sz w:val="24"/>
              </w:rPr>
              <w:t>以下</w:t>
            </w:r>
            <w:r w:rsidRPr="000135DF">
              <w:rPr>
                <w:rFonts w:cs="細明體" w:hint="eastAsia"/>
                <w:sz w:val="24"/>
              </w:rPr>
              <w:t>略</w:t>
            </w:r>
            <w:r w:rsidRPr="000135DF">
              <w:rPr>
                <w:rFonts w:cs="細明體"/>
                <w:sz w:val="24"/>
              </w:rPr>
              <w:t>)</w:t>
            </w:r>
          </w:p>
        </w:tc>
        <w:tc>
          <w:tcPr>
            <w:tcW w:w="3289" w:type="dxa"/>
          </w:tcPr>
          <w:p w:rsidR="000135DF" w:rsidRPr="000135DF" w:rsidRDefault="000135DF" w:rsidP="000135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szCs w:val="24"/>
              </w:rPr>
            </w:pPr>
            <w:r w:rsidRPr="000135DF">
              <w:rPr>
                <w:rFonts w:ascii="標楷體" w:eastAsia="標楷體" w:hAnsi="標楷體" w:cs="細明體" w:hint="eastAsia"/>
                <w:kern w:val="0"/>
                <w:szCs w:val="24"/>
              </w:rPr>
              <w:t>第三條</w:t>
            </w:r>
          </w:p>
          <w:p w:rsidR="000135DF" w:rsidRPr="000135DF" w:rsidRDefault="000135DF" w:rsidP="000135DF">
            <w:pPr>
              <w:pStyle w:val="af3"/>
              <w:tabs>
                <w:tab w:val="left" w:pos="724"/>
              </w:tabs>
              <w:kinsoku w:val="0"/>
              <w:overflowPunct w:val="0"/>
              <w:autoSpaceDE w:val="0"/>
              <w:autoSpaceDN w:val="0"/>
              <w:adjustRightInd w:val="0"/>
              <w:snapToGrid w:val="0"/>
              <w:spacing w:beforeLines="50" w:before="180" w:afterLines="50" w:after="180"/>
              <w:ind w:leftChars="100" w:left="720" w:hangingChars="200" w:hanging="480"/>
              <w:jc w:val="center"/>
              <w:rPr>
                <w:rFonts w:cs="細明體"/>
                <w:sz w:val="24"/>
              </w:rPr>
            </w:pPr>
            <w:r w:rsidRPr="000135DF">
              <w:rPr>
                <w:rFonts w:cs="細明體" w:hint="eastAsia"/>
                <w:sz w:val="24"/>
              </w:rPr>
              <w:t>(</w:t>
            </w:r>
            <w:proofErr w:type="gramStart"/>
            <w:r w:rsidRPr="000135DF">
              <w:rPr>
                <w:rFonts w:cs="細明體" w:hint="eastAsia"/>
                <w:sz w:val="24"/>
              </w:rPr>
              <w:t>第一項略</w:t>
            </w:r>
            <w:proofErr w:type="gramEnd"/>
            <w:r w:rsidRPr="000135DF">
              <w:rPr>
                <w:rFonts w:cs="細明體" w:hint="eastAsia"/>
                <w:sz w:val="24"/>
              </w:rPr>
              <w:t>)</w:t>
            </w:r>
          </w:p>
          <w:p w:rsidR="000135DF" w:rsidRPr="000135DF" w:rsidRDefault="000135DF" w:rsidP="000135DF">
            <w:pPr>
              <w:pStyle w:val="af3"/>
              <w:tabs>
                <w:tab w:val="left" w:pos="724"/>
              </w:tabs>
              <w:kinsoku w:val="0"/>
              <w:overflowPunct w:val="0"/>
              <w:autoSpaceDE w:val="0"/>
              <w:autoSpaceDN w:val="0"/>
              <w:adjustRightInd w:val="0"/>
              <w:snapToGrid w:val="0"/>
              <w:ind w:leftChars="100" w:left="240" w:firstLineChars="200" w:firstLine="480"/>
              <w:rPr>
                <w:rFonts w:cs="細明體"/>
                <w:sz w:val="24"/>
              </w:rPr>
            </w:pPr>
            <w:r w:rsidRPr="000135DF">
              <w:rPr>
                <w:rFonts w:cs="細明體" w:hint="eastAsia"/>
                <w:sz w:val="24"/>
              </w:rPr>
              <w:t>股票上櫃公司應向本中心不定期申報資訊之事項及時限，依下列各款之規定：</w:t>
            </w:r>
          </w:p>
          <w:p w:rsidR="000135DF" w:rsidRPr="000135DF" w:rsidRDefault="000135DF" w:rsidP="000135DF">
            <w:pPr>
              <w:pStyle w:val="af3"/>
              <w:tabs>
                <w:tab w:val="left" w:pos="724"/>
              </w:tabs>
              <w:kinsoku w:val="0"/>
              <w:overflowPunct w:val="0"/>
              <w:autoSpaceDE w:val="0"/>
              <w:autoSpaceDN w:val="0"/>
              <w:adjustRightInd w:val="0"/>
              <w:snapToGrid w:val="0"/>
              <w:spacing w:beforeLines="50" w:before="180" w:afterLines="50" w:after="180"/>
              <w:ind w:leftChars="100" w:left="720" w:hangingChars="200" w:hanging="480"/>
              <w:jc w:val="center"/>
              <w:rPr>
                <w:rFonts w:cs="細明體"/>
                <w:sz w:val="24"/>
              </w:rPr>
            </w:pPr>
            <w:r w:rsidRPr="000135DF">
              <w:rPr>
                <w:rFonts w:cs="細明體" w:hint="eastAsia"/>
                <w:sz w:val="24"/>
              </w:rPr>
              <w:t>(第一款至第七款略)</w:t>
            </w:r>
          </w:p>
          <w:p w:rsidR="000135DF" w:rsidRPr="000135DF" w:rsidRDefault="000135DF" w:rsidP="000135DF">
            <w:pPr>
              <w:pStyle w:val="af3"/>
              <w:tabs>
                <w:tab w:val="left" w:pos="724"/>
              </w:tabs>
              <w:kinsoku w:val="0"/>
              <w:overflowPunct w:val="0"/>
              <w:autoSpaceDE w:val="0"/>
              <w:autoSpaceDN w:val="0"/>
              <w:adjustRightInd w:val="0"/>
              <w:snapToGrid w:val="0"/>
              <w:ind w:leftChars="100" w:left="720" w:hangingChars="200" w:hanging="480"/>
              <w:rPr>
                <w:snapToGrid w:val="0"/>
                <w:sz w:val="24"/>
              </w:rPr>
            </w:pPr>
            <w:r w:rsidRPr="000135DF">
              <w:rPr>
                <w:rFonts w:hint="eastAsia"/>
                <w:snapToGrid w:val="0"/>
                <w:sz w:val="24"/>
              </w:rPr>
              <w:t>八、</w:t>
            </w:r>
            <w:r w:rsidRPr="000135DF">
              <w:rPr>
                <w:rFonts w:hint="eastAsia"/>
                <w:snapToGrid w:val="0"/>
                <w:sz w:val="24"/>
              </w:rPr>
              <w:tab/>
            </w:r>
            <w:r w:rsidRPr="000135DF">
              <w:rPr>
                <w:rFonts w:cs="細明體" w:hint="eastAsia"/>
                <w:sz w:val="24"/>
              </w:rPr>
              <w:t>上櫃公司僑外投資持股情形統計表：應於（一）增資</w:t>
            </w:r>
            <w:r w:rsidRPr="000135DF">
              <w:rPr>
                <w:rFonts w:cs="細明體" w:hint="eastAsia"/>
                <w:sz w:val="24"/>
                <w:u w:val="single"/>
              </w:rPr>
              <w:t>配</w:t>
            </w:r>
            <w:r w:rsidRPr="000135DF">
              <w:rPr>
                <w:rFonts w:cs="細明體" w:hint="eastAsia"/>
                <w:sz w:val="24"/>
              </w:rPr>
              <w:t>股（二）私募或公開發行海外存託憑證（含新股及老股）、海外可轉換公司債及附認股權有價證券或海外股票（三）減資（四）合併（五）公開收購（六）上櫃公司</w:t>
            </w:r>
            <w:r w:rsidRPr="000135DF">
              <w:rPr>
                <w:rFonts w:cs="細明體" w:hint="eastAsia"/>
                <w:sz w:val="24"/>
                <w:u w:val="single"/>
              </w:rPr>
              <w:t>紅利配股</w:t>
            </w:r>
            <w:r w:rsidRPr="000135DF">
              <w:rPr>
                <w:rFonts w:cs="細明體" w:hint="eastAsia"/>
                <w:sz w:val="24"/>
              </w:rPr>
              <w:t>、庫藏股轉讓</w:t>
            </w:r>
            <w:r w:rsidRPr="000135DF">
              <w:rPr>
                <w:rFonts w:cs="細明體" w:hint="eastAsia"/>
                <w:sz w:val="24"/>
                <w:u w:val="single"/>
              </w:rPr>
              <w:t>或</w:t>
            </w:r>
            <w:r w:rsidRPr="000135DF">
              <w:rPr>
                <w:rFonts w:cs="細明體" w:hint="eastAsia"/>
                <w:sz w:val="24"/>
              </w:rPr>
              <w:t>發認股權憑證予外籍員工（七）初次上櫃或轉換新設公司上櫃（八）召開股東常會時輸入，各項申報時限應依僑外投資持股情形申報作業之申報時限辦理。</w:t>
            </w:r>
          </w:p>
          <w:p w:rsidR="000135DF" w:rsidRPr="000135DF" w:rsidRDefault="000135DF" w:rsidP="000135DF">
            <w:pPr>
              <w:pStyle w:val="af3"/>
              <w:tabs>
                <w:tab w:val="left" w:pos="724"/>
              </w:tabs>
              <w:kinsoku w:val="0"/>
              <w:overflowPunct w:val="0"/>
              <w:autoSpaceDE w:val="0"/>
              <w:autoSpaceDN w:val="0"/>
              <w:adjustRightInd w:val="0"/>
              <w:snapToGrid w:val="0"/>
              <w:ind w:leftChars="100" w:left="720" w:hangingChars="200" w:hanging="480"/>
              <w:rPr>
                <w:snapToGrid w:val="0"/>
                <w:sz w:val="24"/>
              </w:rPr>
            </w:pPr>
          </w:p>
          <w:p w:rsidR="000135DF" w:rsidRPr="000135DF" w:rsidRDefault="000135DF" w:rsidP="000135DF">
            <w:pPr>
              <w:pStyle w:val="af3"/>
              <w:tabs>
                <w:tab w:val="left" w:pos="724"/>
              </w:tabs>
              <w:kinsoku w:val="0"/>
              <w:overflowPunct w:val="0"/>
              <w:autoSpaceDE w:val="0"/>
              <w:autoSpaceDN w:val="0"/>
              <w:adjustRightInd w:val="0"/>
              <w:snapToGrid w:val="0"/>
              <w:ind w:leftChars="100" w:left="720" w:hangingChars="200" w:hanging="480"/>
              <w:rPr>
                <w:snapToGrid w:val="0"/>
                <w:sz w:val="24"/>
              </w:rPr>
            </w:pPr>
          </w:p>
          <w:p w:rsidR="000135DF" w:rsidRPr="000135DF" w:rsidRDefault="000135DF" w:rsidP="000135DF">
            <w:pPr>
              <w:pStyle w:val="af3"/>
              <w:tabs>
                <w:tab w:val="left" w:pos="724"/>
              </w:tabs>
              <w:kinsoku w:val="0"/>
              <w:overflowPunct w:val="0"/>
              <w:autoSpaceDE w:val="0"/>
              <w:autoSpaceDN w:val="0"/>
              <w:adjustRightInd w:val="0"/>
              <w:snapToGrid w:val="0"/>
              <w:ind w:leftChars="100" w:left="720" w:hangingChars="200" w:hanging="480"/>
              <w:rPr>
                <w:snapToGrid w:val="0"/>
                <w:sz w:val="24"/>
              </w:rPr>
            </w:pPr>
          </w:p>
          <w:p w:rsidR="000135DF" w:rsidRPr="002B6BFB" w:rsidRDefault="000135DF" w:rsidP="00A5491A">
            <w:pPr>
              <w:pStyle w:val="af3"/>
              <w:tabs>
                <w:tab w:val="left" w:pos="724"/>
              </w:tabs>
              <w:kinsoku w:val="0"/>
              <w:overflowPunct w:val="0"/>
              <w:autoSpaceDE w:val="0"/>
              <w:autoSpaceDN w:val="0"/>
              <w:adjustRightInd w:val="0"/>
              <w:snapToGrid w:val="0"/>
              <w:spacing w:beforeLines="50" w:before="180" w:afterLines="50" w:after="180"/>
              <w:ind w:leftChars="100" w:left="720" w:hangingChars="200" w:hanging="480"/>
              <w:jc w:val="center"/>
              <w:rPr>
                <w:snapToGrid w:val="0"/>
              </w:rPr>
            </w:pPr>
            <w:r w:rsidRPr="000135DF">
              <w:rPr>
                <w:rFonts w:hint="eastAsia"/>
                <w:snapToGrid w:val="0"/>
                <w:sz w:val="24"/>
              </w:rPr>
              <w:t>(以下略)</w:t>
            </w:r>
          </w:p>
        </w:tc>
        <w:tc>
          <w:tcPr>
            <w:tcW w:w="3344" w:type="dxa"/>
            <w:hideMark/>
          </w:tcPr>
          <w:p w:rsidR="00A5491A" w:rsidRPr="00A5491A" w:rsidRDefault="000135DF" w:rsidP="00A5491A">
            <w:pPr>
              <w:widowControl/>
              <w:tabs>
                <w:tab w:val="left" w:pos="4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3" w:hangingChars="197" w:hanging="473"/>
              <w:jc w:val="both"/>
              <w:rPr>
                <w:rFonts w:eastAsia="標楷體" w:cs="細明體"/>
                <w:color w:val="000000"/>
                <w:kern w:val="0"/>
              </w:rPr>
            </w:pPr>
            <w:r>
              <w:rPr>
                <w:rFonts w:eastAsia="標楷體" w:cs="細明體" w:hint="eastAsia"/>
                <w:color w:val="000000"/>
                <w:kern w:val="0"/>
              </w:rPr>
              <w:t>一、</w:t>
            </w:r>
            <w:r>
              <w:rPr>
                <w:rFonts w:eastAsia="標楷體" w:cs="細明體"/>
                <w:color w:val="000000"/>
                <w:kern w:val="0"/>
              </w:rPr>
              <w:tab/>
            </w:r>
            <w:proofErr w:type="gramStart"/>
            <w:r w:rsidR="00A5491A" w:rsidRPr="00A5491A">
              <w:rPr>
                <w:rFonts w:eastAsia="標楷體" w:cs="細明體" w:hint="eastAsia"/>
                <w:color w:val="000000"/>
                <w:kern w:val="0"/>
              </w:rPr>
              <w:t>酌修第</w:t>
            </w:r>
            <w:r w:rsidR="007767A0">
              <w:rPr>
                <w:rFonts w:eastAsia="標楷體" w:cs="細明體" w:hint="eastAsia"/>
                <w:color w:val="000000"/>
                <w:kern w:val="0"/>
              </w:rPr>
              <w:t>二</w:t>
            </w:r>
            <w:proofErr w:type="gramEnd"/>
            <w:r w:rsidR="00A5491A" w:rsidRPr="00A5491A">
              <w:rPr>
                <w:rFonts w:eastAsia="標楷體" w:cs="細明體" w:hint="eastAsia"/>
                <w:color w:val="000000"/>
                <w:kern w:val="0"/>
              </w:rPr>
              <w:t>項第</w:t>
            </w:r>
            <w:r w:rsidR="007767A0">
              <w:rPr>
                <w:rFonts w:eastAsia="標楷體" w:cs="細明體" w:hint="eastAsia"/>
                <w:color w:val="000000"/>
                <w:kern w:val="0"/>
              </w:rPr>
              <w:t>八</w:t>
            </w:r>
            <w:r w:rsidR="00A5491A" w:rsidRPr="00A5491A">
              <w:rPr>
                <w:rFonts w:eastAsia="標楷體" w:cs="細明體" w:hint="eastAsia"/>
                <w:color w:val="000000"/>
                <w:kern w:val="0"/>
              </w:rPr>
              <w:t>款（一）及（二）文字。</w:t>
            </w:r>
          </w:p>
          <w:p w:rsidR="00A5491A" w:rsidRPr="00A5491A" w:rsidRDefault="00A5491A" w:rsidP="00A5491A">
            <w:pPr>
              <w:widowControl/>
              <w:tabs>
                <w:tab w:val="left" w:pos="4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3" w:hangingChars="197" w:hanging="473"/>
              <w:jc w:val="both"/>
              <w:rPr>
                <w:rFonts w:eastAsia="標楷體" w:cs="細明體"/>
                <w:color w:val="000000"/>
                <w:kern w:val="0"/>
              </w:rPr>
            </w:pPr>
            <w:r w:rsidRPr="00A5491A">
              <w:rPr>
                <w:rFonts w:eastAsia="標楷體" w:cs="細明體" w:hint="eastAsia"/>
                <w:color w:val="000000"/>
                <w:kern w:val="0"/>
              </w:rPr>
              <w:t>二、配合公司法第</w:t>
            </w:r>
            <w:r w:rsidR="007767A0">
              <w:rPr>
                <w:rFonts w:eastAsia="標楷體" w:cs="細明體" w:hint="eastAsia"/>
                <w:color w:val="000000"/>
                <w:kern w:val="0"/>
              </w:rPr>
              <w:t>二百三十五</w:t>
            </w:r>
            <w:r w:rsidRPr="00A5491A">
              <w:rPr>
                <w:rFonts w:eastAsia="標楷體" w:cs="細明體" w:hint="eastAsia"/>
                <w:color w:val="000000"/>
                <w:kern w:val="0"/>
              </w:rPr>
              <w:t>條之</w:t>
            </w:r>
            <w:proofErr w:type="gramStart"/>
            <w:r w:rsidR="007767A0">
              <w:rPr>
                <w:rFonts w:eastAsia="標楷體" w:cs="細明體" w:hint="eastAsia"/>
                <w:color w:val="000000"/>
                <w:kern w:val="0"/>
              </w:rPr>
              <w:t>一</w:t>
            </w:r>
            <w:proofErr w:type="gramEnd"/>
            <w:r w:rsidRPr="00A5491A">
              <w:rPr>
                <w:rFonts w:eastAsia="標楷體" w:cs="細明體" w:hint="eastAsia"/>
                <w:color w:val="000000"/>
                <w:kern w:val="0"/>
              </w:rPr>
              <w:t>規定，修正第</w:t>
            </w:r>
            <w:r w:rsidR="007767A0">
              <w:rPr>
                <w:rFonts w:eastAsia="標楷體" w:cs="細明體" w:hint="eastAsia"/>
                <w:color w:val="000000"/>
                <w:kern w:val="0"/>
              </w:rPr>
              <w:t>二</w:t>
            </w:r>
            <w:r w:rsidRPr="00A5491A">
              <w:rPr>
                <w:rFonts w:eastAsia="標楷體" w:cs="細明體" w:hint="eastAsia"/>
                <w:color w:val="000000"/>
                <w:kern w:val="0"/>
              </w:rPr>
              <w:t>項第</w:t>
            </w:r>
            <w:r w:rsidR="007767A0">
              <w:rPr>
                <w:rFonts w:eastAsia="標楷體" w:cs="細明體" w:hint="eastAsia"/>
                <w:color w:val="000000"/>
                <w:kern w:val="0"/>
              </w:rPr>
              <w:t>八</w:t>
            </w:r>
            <w:r w:rsidRPr="00A5491A">
              <w:rPr>
                <w:rFonts w:eastAsia="標楷體" w:cs="細明體" w:hint="eastAsia"/>
                <w:color w:val="000000"/>
                <w:kern w:val="0"/>
              </w:rPr>
              <w:t>款（六），並增加限制員工權利新股。</w:t>
            </w:r>
          </w:p>
          <w:p w:rsidR="000135DF" w:rsidRPr="000F7816" w:rsidRDefault="00A5491A" w:rsidP="007767A0">
            <w:pPr>
              <w:widowControl/>
              <w:tabs>
                <w:tab w:val="left" w:pos="4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3" w:hangingChars="197" w:hanging="473"/>
              <w:jc w:val="both"/>
              <w:rPr>
                <w:rFonts w:eastAsia="標楷體" w:cs="細明體"/>
                <w:color w:val="000000"/>
                <w:kern w:val="0"/>
                <w:highlight w:val="yellow"/>
              </w:rPr>
            </w:pPr>
            <w:r w:rsidRPr="00A5491A">
              <w:rPr>
                <w:rFonts w:eastAsia="標楷體" w:cs="細明體" w:hint="eastAsia"/>
                <w:color w:val="000000"/>
                <w:kern w:val="0"/>
              </w:rPr>
              <w:t>三、配合公開發行股票公司股</w:t>
            </w:r>
            <w:proofErr w:type="gramStart"/>
            <w:r w:rsidRPr="00A5491A">
              <w:rPr>
                <w:rFonts w:eastAsia="標楷體" w:cs="細明體" w:hint="eastAsia"/>
                <w:color w:val="000000"/>
                <w:kern w:val="0"/>
              </w:rPr>
              <w:t>務</w:t>
            </w:r>
            <w:proofErr w:type="gramEnd"/>
            <w:r w:rsidRPr="00A5491A">
              <w:rPr>
                <w:rFonts w:eastAsia="標楷體" w:cs="細明體" w:hint="eastAsia"/>
                <w:color w:val="000000"/>
                <w:kern w:val="0"/>
              </w:rPr>
              <w:t>處理準則第</w:t>
            </w:r>
            <w:r w:rsidR="007767A0">
              <w:rPr>
                <w:rFonts w:eastAsia="標楷體" w:cs="細明體" w:hint="eastAsia"/>
                <w:color w:val="000000"/>
                <w:kern w:val="0"/>
              </w:rPr>
              <w:t>十四</w:t>
            </w:r>
            <w:r w:rsidRPr="00A5491A">
              <w:rPr>
                <w:rFonts w:eastAsia="標楷體" w:cs="細明體" w:hint="eastAsia"/>
                <w:color w:val="000000"/>
                <w:kern w:val="0"/>
              </w:rPr>
              <w:t>條規定，新增第</w:t>
            </w:r>
            <w:r w:rsidR="007767A0">
              <w:rPr>
                <w:rFonts w:eastAsia="標楷體" w:cs="細明體" w:hint="eastAsia"/>
                <w:color w:val="000000"/>
                <w:kern w:val="0"/>
              </w:rPr>
              <w:t>二</w:t>
            </w:r>
            <w:r w:rsidRPr="00A5491A">
              <w:rPr>
                <w:rFonts w:eastAsia="標楷體" w:cs="細明體" w:hint="eastAsia"/>
                <w:color w:val="000000"/>
                <w:kern w:val="0"/>
              </w:rPr>
              <w:t>項第</w:t>
            </w:r>
            <w:r w:rsidR="007767A0">
              <w:rPr>
                <w:rFonts w:eastAsia="標楷體" w:cs="細明體" w:hint="eastAsia"/>
                <w:color w:val="000000"/>
                <w:kern w:val="0"/>
              </w:rPr>
              <w:t>八</w:t>
            </w:r>
            <w:r w:rsidRPr="00A5491A">
              <w:rPr>
                <w:rFonts w:eastAsia="標楷體" w:cs="細明體" w:hint="eastAsia"/>
                <w:color w:val="000000"/>
                <w:kern w:val="0"/>
              </w:rPr>
              <w:t>款（九）。</w:t>
            </w:r>
          </w:p>
        </w:tc>
      </w:tr>
      <w:tr w:rsidR="00A5491A" w:rsidTr="00C63560">
        <w:tc>
          <w:tcPr>
            <w:tcW w:w="3275" w:type="dxa"/>
          </w:tcPr>
          <w:p w:rsidR="00A5491A" w:rsidRDefault="00A5491A" w:rsidP="00A5491A">
            <w:pPr>
              <w:widowControl/>
              <w:suppressAutoHyphens/>
              <w:autoSpaceDN w:val="0"/>
              <w:textAlignment w:val="baseline"/>
              <w:rPr>
                <w:rFonts w:ascii="標楷體" w:eastAsia="標楷體" w:hAnsi="標楷體" w:cs="細明體"/>
                <w:kern w:val="0"/>
                <w:szCs w:val="24"/>
              </w:rPr>
            </w:pPr>
            <w:r>
              <w:rPr>
                <w:rFonts w:ascii="標楷體" w:eastAsia="標楷體" w:hAnsi="標楷體" w:cs="細明體" w:hint="eastAsia"/>
                <w:kern w:val="0"/>
                <w:szCs w:val="24"/>
              </w:rPr>
              <w:t>第三</w:t>
            </w:r>
            <w:r>
              <w:rPr>
                <w:rFonts w:ascii="標楷體" w:eastAsia="標楷體" w:hAnsi="標楷體" w:cs="細明體"/>
                <w:kern w:val="0"/>
                <w:szCs w:val="24"/>
              </w:rPr>
              <w:t>條之五</w:t>
            </w:r>
          </w:p>
          <w:p w:rsidR="00A5491A" w:rsidRPr="00EE4AD8" w:rsidRDefault="00A5491A" w:rsidP="00A5491A">
            <w:pPr>
              <w:pStyle w:val="af3"/>
              <w:tabs>
                <w:tab w:val="left" w:pos="724"/>
              </w:tabs>
              <w:kinsoku w:val="0"/>
              <w:overflowPunct w:val="0"/>
              <w:autoSpaceDE w:val="0"/>
              <w:autoSpaceDN w:val="0"/>
              <w:adjustRightInd w:val="0"/>
              <w:snapToGrid w:val="0"/>
              <w:spacing w:beforeLines="50" w:before="180" w:afterLines="50" w:after="180"/>
              <w:ind w:leftChars="100" w:left="640" w:hangingChars="200" w:hanging="400"/>
              <w:jc w:val="center"/>
              <w:rPr>
                <w:rFonts w:cs="細明體"/>
              </w:rPr>
            </w:pPr>
            <w:r w:rsidRPr="0061042E">
              <w:rPr>
                <w:rFonts w:cs="細明體"/>
              </w:rPr>
              <w:t>(</w:t>
            </w:r>
            <w:proofErr w:type="gramStart"/>
            <w:r w:rsidRPr="00A5491A">
              <w:rPr>
                <w:rFonts w:cs="細明體" w:hint="eastAsia"/>
                <w:sz w:val="24"/>
              </w:rPr>
              <w:t>第一項略</w:t>
            </w:r>
            <w:proofErr w:type="gramEnd"/>
            <w:r w:rsidRPr="0061042E">
              <w:rPr>
                <w:rFonts w:cs="細明體"/>
              </w:rPr>
              <w:t>)</w:t>
            </w:r>
          </w:p>
          <w:p w:rsidR="00A5491A" w:rsidRPr="00A5491A" w:rsidRDefault="00A5491A" w:rsidP="00A5491A">
            <w:pPr>
              <w:pStyle w:val="af3"/>
              <w:tabs>
                <w:tab w:val="left" w:pos="724"/>
              </w:tabs>
              <w:kinsoku w:val="0"/>
              <w:overflowPunct w:val="0"/>
              <w:autoSpaceDE w:val="0"/>
              <w:autoSpaceDN w:val="0"/>
              <w:adjustRightInd w:val="0"/>
              <w:snapToGrid w:val="0"/>
              <w:ind w:leftChars="100" w:left="240" w:firstLineChars="200" w:firstLine="480"/>
              <w:rPr>
                <w:rFonts w:cs="細明體"/>
                <w:sz w:val="24"/>
              </w:rPr>
            </w:pPr>
            <w:r w:rsidRPr="00A5491A">
              <w:rPr>
                <w:rFonts w:cs="細明體" w:hint="eastAsia"/>
                <w:sz w:val="24"/>
              </w:rPr>
              <w:t>發行股票或臺灣存託憑證之第二上櫃公司應向本中心申報之不定期公開資訊及其申報之時限，依下列各款之規定：</w:t>
            </w:r>
          </w:p>
          <w:p w:rsidR="00A5491A" w:rsidRPr="00A5491A" w:rsidRDefault="00A5491A" w:rsidP="00A5491A">
            <w:pPr>
              <w:pStyle w:val="af3"/>
              <w:tabs>
                <w:tab w:val="left" w:pos="724"/>
              </w:tabs>
              <w:kinsoku w:val="0"/>
              <w:overflowPunct w:val="0"/>
              <w:autoSpaceDE w:val="0"/>
              <w:autoSpaceDN w:val="0"/>
              <w:adjustRightInd w:val="0"/>
              <w:snapToGrid w:val="0"/>
              <w:spacing w:beforeLines="50" w:before="180" w:afterLines="50" w:after="180"/>
              <w:ind w:leftChars="100" w:left="720" w:hangingChars="200" w:hanging="480"/>
              <w:jc w:val="center"/>
              <w:rPr>
                <w:rFonts w:cs="細明體"/>
                <w:sz w:val="24"/>
              </w:rPr>
            </w:pPr>
            <w:r w:rsidRPr="00A5491A">
              <w:rPr>
                <w:rFonts w:cs="細明體"/>
                <w:sz w:val="24"/>
              </w:rPr>
              <w:t>(</w:t>
            </w:r>
            <w:r w:rsidRPr="00A5491A">
              <w:rPr>
                <w:rFonts w:cs="細明體" w:hint="eastAsia"/>
                <w:sz w:val="24"/>
              </w:rPr>
              <w:t>第一款至第八款略</w:t>
            </w:r>
            <w:r w:rsidRPr="00A5491A">
              <w:rPr>
                <w:rFonts w:cs="細明體"/>
                <w:sz w:val="24"/>
              </w:rPr>
              <w:t>)</w:t>
            </w:r>
          </w:p>
          <w:p w:rsidR="00A5491A" w:rsidRPr="00A5491A" w:rsidRDefault="00A5491A" w:rsidP="00A5491A">
            <w:pPr>
              <w:pStyle w:val="af3"/>
              <w:tabs>
                <w:tab w:val="left" w:pos="727"/>
              </w:tabs>
              <w:kinsoku w:val="0"/>
              <w:overflowPunct w:val="0"/>
              <w:autoSpaceDE w:val="0"/>
              <w:autoSpaceDN w:val="0"/>
              <w:adjustRightInd w:val="0"/>
              <w:snapToGrid w:val="0"/>
              <w:ind w:leftChars="100" w:left="720" w:hangingChars="200" w:hanging="480"/>
              <w:rPr>
                <w:rFonts w:cs="細明體"/>
                <w:sz w:val="24"/>
              </w:rPr>
            </w:pPr>
            <w:r w:rsidRPr="00A5491A">
              <w:rPr>
                <w:rFonts w:cs="細明體" w:hint="eastAsia"/>
                <w:sz w:val="24"/>
              </w:rPr>
              <w:t>九、</w:t>
            </w:r>
            <w:r>
              <w:rPr>
                <w:rFonts w:cs="細明體"/>
                <w:sz w:val="24"/>
              </w:rPr>
              <w:tab/>
            </w:r>
            <w:r w:rsidRPr="00A5491A">
              <w:rPr>
                <w:rFonts w:cs="細明體" w:hint="eastAsia"/>
                <w:sz w:val="24"/>
              </w:rPr>
              <w:t>僑外</w:t>
            </w:r>
            <w:r w:rsidRPr="00A5491A">
              <w:rPr>
                <w:rFonts w:cs="細明體" w:hint="eastAsia"/>
                <w:sz w:val="24"/>
                <w:u w:val="single"/>
              </w:rPr>
              <w:t>及大陸地區投資人</w:t>
            </w:r>
            <w:r w:rsidRPr="00A5491A">
              <w:rPr>
                <w:rFonts w:cs="細明體" w:hint="eastAsia"/>
                <w:sz w:val="24"/>
              </w:rPr>
              <w:t>投資持股情形統計表：應</w:t>
            </w:r>
            <w:r w:rsidRPr="00A5491A">
              <w:rPr>
                <w:rFonts w:cs="細明體" w:hint="eastAsia"/>
                <w:sz w:val="24"/>
              </w:rPr>
              <w:lastRenderedPageBreak/>
              <w:t>於（一）增資</w:t>
            </w:r>
            <w:r w:rsidRPr="00A5491A">
              <w:rPr>
                <w:rFonts w:cs="細明體" w:hint="eastAsia"/>
                <w:sz w:val="24"/>
                <w:u w:val="single"/>
              </w:rPr>
              <w:t>發行新</w:t>
            </w:r>
            <w:r w:rsidRPr="00A5491A">
              <w:rPr>
                <w:rFonts w:cs="細明體" w:hint="eastAsia"/>
                <w:sz w:val="24"/>
              </w:rPr>
              <w:t>股、（二）額度內再發行、（三）減資、（四）合併、（五）公司紅利配股、</w:t>
            </w:r>
            <w:r w:rsidR="007767A0" w:rsidRPr="00A5491A">
              <w:rPr>
                <w:rFonts w:cs="細明體" w:hint="eastAsia"/>
                <w:sz w:val="24"/>
              </w:rPr>
              <w:t>（</w:t>
            </w:r>
            <w:r w:rsidRPr="00A5491A">
              <w:rPr>
                <w:rFonts w:cs="細明體" w:hint="eastAsia"/>
                <w:sz w:val="24"/>
              </w:rPr>
              <w:t>六）初次上</w:t>
            </w:r>
            <w:r w:rsidR="0066089B">
              <w:rPr>
                <w:rFonts w:cs="細明體" w:hint="eastAsia"/>
                <w:sz w:val="24"/>
              </w:rPr>
              <w:t>櫃</w:t>
            </w:r>
            <w:r w:rsidRPr="00A5491A">
              <w:rPr>
                <w:rFonts w:cs="細明體" w:hint="eastAsia"/>
                <w:sz w:val="24"/>
              </w:rPr>
              <w:t>，</w:t>
            </w:r>
            <w:r w:rsidRPr="00A5491A">
              <w:rPr>
                <w:rFonts w:cs="細明體"/>
                <w:sz w:val="24"/>
              </w:rPr>
              <w:t>及</w:t>
            </w:r>
            <w:r w:rsidRPr="00A5491A">
              <w:rPr>
                <w:rFonts w:cs="細明體" w:hint="eastAsia"/>
                <w:sz w:val="24"/>
              </w:rPr>
              <w:t>（七）召開股東常會時輸入，各項申報時限應依僑外</w:t>
            </w:r>
            <w:r w:rsidRPr="00A5491A">
              <w:rPr>
                <w:rFonts w:cs="細明體" w:hint="eastAsia"/>
                <w:sz w:val="24"/>
                <w:u w:val="single"/>
              </w:rPr>
              <w:t>及大陸地區投資人</w:t>
            </w:r>
            <w:r w:rsidRPr="00A5491A">
              <w:rPr>
                <w:rFonts w:cs="細明體" w:hint="eastAsia"/>
                <w:sz w:val="24"/>
              </w:rPr>
              <w:t>投資持股情形申報作業之申報時限辦理。</w:t>
            </w:r>
          </w:p>
          <w:p w:rsidR="00A5491A" w:rsidRPr="00A5491A" w:rsidRDefault="00A5491A" w:rsidP="00A5491A">
            <w:pPr>
              <w:pStyle w:val="af3"/>
              <w:tabs>
                <w:tab w:val="left" w:pos="727"/>
              </w:tabs>
              <w:kinsoku w:val="0"/>
              <w:overflowPunct w:val="0"/>
              <w:autoSpaceDE w:val="0"/>
              <w:autoSpaceDN w:val="0"/>
              <w:adjustRightInd w:val="0"/>
              <w:snapToGrid w:val="0"/>
              <w:spacing w:beforeLines="50" w:before="180" w:afterLines="50" w:after="180"/>
              <w:ind w:leftChars="100" w:left="720" w:hangingChars="200" w:hanging="480"/>
              <w:jc w:val="center"/>
              <w:rPr>
                <w:rFonts w:cs="細明體"/>
                <w:sz w:val="24"/>
              </w:rPr>
            </w:pPr>
            <w:r w:rsidRPr="00A5491A">
              <w:rPr>
                <w:rFonts w:cs="細明體" w:hint="eastAsia"/>
                <w:sz w:val="24"/>
              </w:rPr>
              <w:t>（以下略）</w:t>
            </w:r>
          </w:p>
        </w:tc>
        <w:tc>
          <w:tcPr>
            <w:tcW w:w="3289" w:type="dxa"/>
          </w:tcPr>
          <w:p w:rsidR="00A5491A" w:rsidRDefault="00A5491A" w:rsidP="00A5491A">
            <w:pPr>
              <w:widowControl/>
              <w:suppressAutoHyphens/>
              <w:autoSpaceDN w:val="0"/>
              <w:textAlignment w:val="baseline"/>
              <w:rPr>
                <w:rFonts w:ascii="標楷體" w:eastAsia="標楷體" w:hAnsi="標楷體" w:cs="細明體"/>
                <w:kern w:val="0"/>
                <w:szCs w:val="24"/>
              </w:rPr>
            </w:pPr>
            <w:r>
              <w:rPr>
                <w:rFonts w:ascii="標楷體" w:eastAsia="標楷體" w:hAnsi="標楷體" w:cs="細明體" w:hint="eastAsia"/>
                <w:kern w:val="0"/>
                <w:szCs w:val="24"/>
              </w:rPr>
              <w:lastRenderedPageBreak/>
              <w:t>第三</w:t>
            </w:r>
            <w:r>
              <w:rPr>
                <w:rFonts w:ascii="標楷體" w:eastAsia="標楷體" w:hAnsi="標楷體" w:cs="細明體"/>
                <w:kern w:val="0"/>
                <w:szCs w:val="24"/>
              </w:rPr>
              <w:t>條之五</w:t>
            </w:r>
          </w:p>
          <w:p w:rsidR="00A5491A" w:rsidRPr="00A5491A" w:rsidRDefault="00A5491A" w:rsidP="00A5491A">
            <w:pPr>
              <w:pStyle w:val="af3"/>
              <w:tabs>
                <w:tab w:val="left" w:pos="724"/>
              </w:tabs>
              <w:kinsoku w:val="0"/>
              <w:overflowPunct w:val="0"/>
              <w:autoSpaceDE w:val="0"/>
              <w:autoSpaceDN w:val="0"/>
              <w:adjustRightInd w:val="0"/>
              <w:snapToGrid w:val="0"/>
              <w:spacing w:beforeLines="50" w:before="180" w:afterLines="50" w:after="180"/>
              <w:ind w:leftChars="100" w:left="720" w:hangingChars="200" w:hanging="480"/>
              <w:jc w:val="center"/>
              <w:rPr>
                <w:rFonts w:cs="細明體"/>
                <w:sz w:val="24"/>
              </w:rPr>
            </w:pPr>
            <w:r w:rsidRPr="00A5491A">
              <w:rPr>
                <w:rFonts w:cs="細明體"/>
                <w:sz w:val="24"/>
              </w:rPr>
              <w:t>(</w:t>
            </w:r>
            <w:proofErr w:type="gramStart"/>
            <w:r w:rsidRPr="00A5491A">
              <w:rPr>
                <w:rFonts w:cs="細明體" w:hint="eastAsia"/>
                <w:sz w:val="24"/>
              </w:rPr>
              <w:t>第一項略</w:t>
            </w:r>
            <w:proofErr w:type="gramEnd"/>
            <w:r w:rsidRPr="00A5491A">
              <w:rPr>
                <w:rFonts w:cs="細明體"/>
                <w:sz w:val="24"/>
              </w:rPr>
              <w:t>)</w:t>
            </w:r>
          </w:p>
          <w:p w:rsidR="00A5491A" w:rsidRPr="00A5491A" w:rsidRDefault="00A5491A" w:rsidP="00A5491A">
            <w:pPr>
              <w:pStyle w:val="af3"/>
              <w:tabs>
                <w:tab w:val="left" w:pos="724"/>
              </w:tabs>
              <w:kinsoku w:val="0"/>
              <w:overflowPunct w:val="0"/>
              <w:autoSpaceDE w:val="0"/>
              <w:autoSpaceDN w:val="0"/>
              <w:adjustRightInd w:val="0"/>
              <w:snapToGrid w:val="0"/>
              <w:ind w:leftChars="100" w:left="240" w:firstLineChars="200" w:firstLine="480"/>
              <w:rPr>
                <w:rFonts w:cs="細明體"/>
                <w:sz w:val="24"/>
              </w:rPr>
            </w:pPr>
            <w:r w:rsidRPr="00A5491A">
              <w:rPr>
                <w:rFonts w:cs="細明體" w:hint="eastAsia"/>
                <w:sz w:val="24"/>
              </w:rPr>
              <w:t>發行股票或臺灣存託憑證之第二上櫃公司應向本中心申報之不定期公開資訊及其申報之時限，依下列各款之規定：</w:t>
            </w:r>
          </w:p>
          <w:p w:rsidR="00A5491A" w:rsidRPr="00A5491A" w:rsidRDefault="00A5491A" w:rsidP="00A5491A">
            <w:pPr>
              <w:pStyle w:val="af3"/>
              <w:tabs>
                <w:tab w:val="left" w:pos="724"/>
              </w:tabs>
              <w:kinsoku w:val="0"/>
              <w:overflowPunct w:val="0"/>
              <w:autoSpaceDE w:val="0"/>
              <w:autoSpaceDN w:val="0"/>
              <w:adjustRightInd w:val="0"/>
              <w:snapToGrid w:val="0"/>
              <w:spacing w:beforeLines="50" w:before="180" w:afterLines="50" w:after="180"/>
              <w:ind w:leftChars="100" w:left="720" w:hangingChars="200" w:hanging="480"/>
              <w:jc w:val="center"/>
              <w:rPr>
                <w:rFonts w:cs="細明體"/>
                <w:sz w:val="24"/>
              </w:rPr>
            </w:pPr>
            <w:r w:rsidRPr="00A5491A">
              <w:rPr>
                <w:rFonts w:cs="細明體"/>
                <w:sz w:val="24"/>
              </w:rPr>
              <w:t>(</w:t>
            </w:r>
            <w:r w:rsidRPr="00A5491A">
              <w:rPr>
                <w:rFonts w:cs="細明體" w:hint="eastAsia"/>
                <w:sz w:val="24"/>
              </w:rPr>
              <w:t>第一款至第八款略</w:t>
            </w:r>
            <w:r w:rsidRPr="00A5491A">
              <w:rPr>
                <w:rFonts w:cs="細明體"/>
                <w:sz w:val="24"/>
              </w:rPr>
              <w:t>)</w:t>
            </w:r>
          </w:p>
          <w:p w:rsidR="00A5491A" w:rsidRPr="00A5491A" w:rsidRDefault="00A5491A" w:rsidP="00A5491A">
            <w:pPr>
              <w:pStyle w:val="af3"/>
              <w:tabs>
                <w:tab w:val="left" w:pos="727"/>
              </w:tabs>
              <w:kinsoku w:val="0"/>
              <w:overflowPunct w:val="0"/>
              <w:autoSpaceDE w:val="0"/>
              <w:autoSpaceDN w:val="0"/>
              <w:adjustRightInd w:val="0"/>
              <w:snapToGrid w:val="0"/>
              <w:ind w:leftChars="100" w:left="720" w:hangingChars="200" w:hanging="480"/>
              <w:rPr>
                <w:rFonts w:cs="細明體"/>
                <w:sz w:val="24"/>
              </w:rPr>
            </w:pPr>
            <w:r w:rsidRPr="00A5491A">
              <w:rPr>
                <w:rFonts w:cs="細明體" w:hint="eastAsia"/>
                <w:sz w:val="24"/>
              </w:rPr>
              <w:t>九、</w:t>
            </w:r>
            <w:r>
              <w:rPr>
                <w:rFonts w:cs="細明體"/>
                <w:sz w:val="24"/>
              </w:rPr>
              <w:tab/>
            </w:r>
            <w:r w:rsidRPr="00A5491A">
              <w:rPr>
                <w:rFonts w:cs="細明體" w:hint="eastAsia"/>
                <w:sz w:val="24"/>
              </w:rPr>
              <w:t>僑外投資持股情形統計表：應於（一）增資</w:t>
            </w:r>
            <w:r w:rsidRPr="00A5491A">
              <w:rPr>
                <w:rFonts w:cs="細明體" w:hint="eastAsia"/>
                <w:sz w:val="24"/>
                <w:u w:val="single"/>
              </w:rPr>
              <w:t>配</w:t>
            </w:r>
            <w:r w:rsidRPr="00A5491A">
              <w:rPr>
                <w:rFonts w:cs="細明體" w:hint="eastAsia"/>
                <w:sz w:val="24"/>
              </w:rPr>
              <w:t>股</w:t>
            </w:r>
            <w:r w:rsidRPr="00A5491A">
              <w:rPr>
                <w:rFonts w:cs="細明體" w:hint="eastAsia"/>
                <w:sz w:val="24"/>
              </w:rPr>
              <w:lastRenderedPageBreak/>
              <w:t>、（二）額度內再</w:t>
            </w:r>
            <w:r w:rsidR="0066089B">
              <w:rPr>
                <w:rFonts w:cs="細明體" w:hint="eastAsia"/>
                <w:sz w:val="24"/>
              </w:rPr>
              <w:t>發行、（三）減資、（四）合併、（五）公司紅利配股、（六）初次上櫃</w:t>
            </w:r>
            <w:r w:rsidRPr="00A5491A">
              <w:rPr>
                <w:rFonts w:cs="細明體" w:hint="eastAsia"/>
                <w:sz w:val="24"/>
              </w:rPr>
              <w:t>，</w:t>
            </w:r>
            <w:r w:rsidRPr="00A5491A">
              <w:rPr>
                <w:rFonts w:cs="細明體"/>
                <w:sz w:val="24"/>
              </w:rPr>
              <w:t>及</w:t>
            </w:r>
            <w:r w:rsidRPr="00A5491A">
              <w:rPr>
                <w:rFonts w:cs="細明體" w:hint="eastAsia"/>
                <w:sz w:val="24"/>
              </w:rPr>
              <w:t>（七）召開股東常會時輸入，各項申報時限應依僑外投資持股情形申報作業之申報時限辦理。</w:t>
            </w:r>
          </w:p>
          <w:p w:rsidR="00A5491A" w:rsidRPr="00A5491A" w:rsidRDefault="00A5491A" w:rsidP="00A5491A">
            <w:pPr>
              <w:pStyle w:val="af3"/>
              <w:tabs>
                <w:tab w:val="left" w:pos="727"/>
              </w:tabs>
              <w:kinsoku w:val="0"/>
              <w:overflowPunct w:val="0"/>
              <w:autoSpaceDE w:val="0"/>
              <w:autoSpaceDN w:val="0"/>
              <w:adjustRightInd w:val="0"/>
              <w:snapToGrid w:val="0"/>
              <w:ind w:leftChars="100" w:left="720" w:hangingChars="200" w:hanging="480"/>
              <w:rPr>
                <w:rFonts w:cs="細明體"/>
                <w:sz w:val="24"/>
              </w:rPr>
            </w:pPr>
          </w:p>
          <w:p w:rsidR="00A5491A" w:rsidRPr="00A5491A" w:rsidRDefault="00A5491A" w:rsidP="00A5491A">
            <w:pPr>
              <w:pStyle w:val="af3"/>
              <w:tabs>
                <w:tab w:val="left" w:pos="727"/>
              </w:tabs>
              <w:kinsoku w:val="0"/>
              <w:overflowPunct w:val="0"/>
              <w:autoSpaceDE w:val="0"/>
              <w:autoSpaceDN w:val="0"/>
              <w:adjustRightInd w:val="0"/>
              <w:snapToGrid w:val="0"/>
              <w:ind w:leftChars="100" w:left="720" w:hangingChars="200" w:hanging="480"/>
              <w:rPr>
                <w:rFonts w:cs="細明體"/>
                <w:sz w:val="24"/>
              </w:rPr>
            </w:pPr>
          </w:p>
          <w:p w:rsidR="00A5491A" w:rsidRPr="0061042E" w:rsidRDefault="00A5491A" w:rsidP="00A5491A">
            <w:pPr>
              <w:pStyle w:val="af3"/>
              <w:tabs>
                <w:tab w:val="left" w:pos="727"/>
              </w:tabs>
              <w:kinsoku w:val="0"/>
              <w:overflowPunct w:val="0"/>
              <w:autoSpaceDE w:val="0"/>
              <w:autoSpaceDN w:val="0"/>
              <w:adjustRightInd w:val="0"/>
              <w:snapToGrid w:val="0"/>
              <w:spacing w:beforeLines="50" w:before="180" w:afterLines="50" w:after="180"/>
              <w:ind w:leftChars="100" w:left="720" w:hangingChars="200" w:hanging="480"/>
              <w:jc w:val="center"/>
              <w:rPr>
                <w:rFonts w:cs="細明體"/>
              </w:rPr>
            </w:pPr>
            <w:r w:rsidRPr="00A5491A">
              <w:rPr>
                <w:rFonts w:cs="細明體" w:hint="eastAsia"/>
                <w:sz w:val="24"/>
              </w:rPr>
              <w:t>（以下略）</w:t>
            </w:r>
          </w:p>
        </w:tc>
        <w:tc>
          <w:tcPr>
            <w:tcW w:w="3344" w:type="dxa"/>
          </w:tcPr>
          <w:p w:rsidR="00A5491A" w:rsidRPr="00C728C5" w:rsidRDefault="00A5491A" w:rsidP="00C728C5">
            <w:pPr>
              <w:widowControl/>
              <w:suppressAutoHyphens/>
              <w:autoSpaceDN w:val="0"/>
              <w:textAlignment w:val="baseline"/>
              <w:rPr>
                <w:rFonts w:ascii="標楷體" w:eastAsia="標楷體" w:hAnsi="標楷體" w:cs="細明體"/>
                <w:kern w:val="0"/>
                <w:szCs w:val="24"/>
              </w:rPr>
            </w:pPr>
          </w:p>
          <w:p w:rsidR="00A5491A" w:rsidRPr="00C728C5" w:rsidRDefault="00A5491A" w:rsidP="00C728C5">
            <w:pPr>
              <w:widowControl/>
              <w:suppressAutoHyphens/>
              <w:autoSpaceDN w:val="0"/>
              <w:textAlignment w:val="baseline"/>
              <w:rPr>
                <w:rFonts w:ascii="標楷體" w:eastAsia="標楷體" w:hAnsi="標楷體" w:cs="細明體"/>
                <w:kern w:val="0"/>
                <w:szCs w:val="24"/>
              </w:rPr>
            </w:pPr>
          </w:p>
          <w:p w:rsidR="00A5491A" w:rsidRPr="00C728C5" w:rsidRDefault="00A5491A" w:rsidP="00C728C5">
            <w:pPr>
              <w:widowControl/>
              <w:suppressAutoHyphens/>
              <w:autoSpaceDN w:val="0"/>
              <w:textAlignment w:val="baseline"/>
              <w:rPr>
                <w:rFonts w:ascii="標楷體" w:eastAsia="標楷體" w:hAnsi="標楷體" w:cs="細明體"/>
                <w:kern w:val="0"/>
                <w:szCs w:val="24"/>
              </w:rPr>
            </w:pPr>
          </w:p>
          <w:p w:rsidR="00A5491A" w:rsidRPr="0061042E" w:rsidRDefault="00A5491A" w:rsidP="007767A0">
            <w:pPr>
              <w:widowControl/>
              <w:tabs>
                <w:tab w:val="left" w:pos="4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3" w:hangingChars="197" w:hanging="473"/>
              <w:jc w:val="both"/>
              <w:rPr>
                <w:rFonts w:ascii="標楷體" w:eastAsia="標楷體" w:hAnsi="標楷體"/>
                <w:kern w:val="3"/>
                <w:szCs w:val="24"/>
              </w:rPr>
            </w:pPr>
            <w:r w:rsidRPr="00A5491A">
              <w:rPr>
                <w:rFonts w:eastAsia="標楷體" w:cs="細明體"/>
                <w:color w:val="000000"/>
                <w:kern w:val="0"/>
              </w:rPr>
              <w:t>修</w:t>
            </w:r>
            <w:r w:rsidRPr="00A5491A">
              <w:rPr>
                <w:rFonts w:eastAsia="標楷體" w:cs="細明體" w:hint="eastAsia"/>
                <w:color w:val="000000"/>
                <w:kern w:val="0"/>
              </w:rPr>
              <w:t>正</w:t>
            </w:r>
            <w:r w:rsidRPr="00A5491A">
              <w:rPr>
                <w:rFonts w:eastAsia="標楷體" w:cs="細明體"/>
                <w:color w:val="000000"/>
                <w:kern w:val="0"/>
              </w:rPr>
              <w:t>第</w:t>
            </w:r>
            <w:r w:rsidR="007767A0">
              <w:rPr>
                <w:rFonts w:eastAsia="標楷體" w:cs="細明體" w:hint="eastAsia"/>
                <w:color w:val="000000"/>
                <w:kern w:val="0"/>
              </w:rPr>
              <w:t>二</w:t>
            </w:r>
            <w:r w:rsidRPr="00A5491A">
              <w:rPr>
                <w:rFonts w:eastAsia="標楷體" w:cs="細明體" w:hint="eastAsia"/>
                <w:color w:val="000000"/>
                <w:kern w:val="0"/>
              </w:rPr>
              <w:t>項</w:t>
            </w:r>
            <w:r w:rsidRPr="00A5491A">
              <w:rPr>
                <w:rFonts w:eastAsia="標楷體" w:cs="細明體"/>
                <w:color w:val="000000"/>
                <w:kern w:val="0"/>
              </w:rPr>
              <w:t>第</w:t>
            </w:r>
            <w:r w:rsidR="007767A0">
              <w:rPr>
                <w:rFonts w:eastAsia="標楷體" w:cs="細明體" w:hint="eastAsia"/>
                <w:color w:val="000000"/>
                <w:kern w:val="0"/>
              </w:rPr>
              <w:t>九</w:t>
            </w:r>
            <w:r w:rsidRPr="00A5491A">
              <w:rPr>
                <w:rFonts w:eastAsia="標楷體" w:cs="細明體" w:hint="eastAsia"/>
                <w:color w:val="000000"/>
                <w:kern w:val="0"/>
              </w:rPr>
              <w:t>款</w:t>
            </w:r>
            <w:r w:rsidRPr="00A5491A">
              <w:rPr>
                <w:rFonts w:eastAsia="標楷體" w:cs="細明體"/>
                <w:color w:val="000000"/>
                <w:kern w:val="0"/>
              </w:rPr>
              <w:t>文字。</w:t>
            </w:r>
          </w:p>
        </w:tc>
      </w:tr>
    </w:tbl>
    <w:p w:rsidR="000135DF" w:rsidRDefault="000135DF">
      <w:pPr>
        <w:widowControl/>
        <w:rPr>
          <w:rFonts w:ascii="標楷體" w:eastAsia="標楷體" w:hAnsi="標楷體"/>
          <w:b/>
          <w:bCs/>
          <w:kern w:val="52"/>
          <w:sz w:val="32"/>
          <w:szCs w:val="32"/>
          <w:lang w:val="x-none" w:eastAsia="x-none"/>
        </w:rPr>
      </w:pPr>
      <w:r>
        <w:br w:type="page"/>
      </w:r>
    </w:p>
    <w:p w:rsidR="003206CF" w:rsidRPr="00D21D94" w:rsidRDefault="007B1C7E" w:rsidP="00E72213">
      <w:pPr>
        <w:pStyle w:val="13"/>
        <w:ind w:left="2"/>
      </w:pPr>
      <w:proofErr w:type="spellStart"/>
      <w:r w:rsidRPr="007B1C7E">
        <w:rPr>
          <w:rFonts w:hint="eastAsia"/>
        </w:rPr>
        <w:lastRenderedPageBreak/>
        <w:t>財團法人中華民國證券櫃檯買賣中心證券商營業處所買賣指數股票型基金受益憑證審查準則</w:t>
      </w:r>
      <w:r w:rsidR="00E72213">
        <w:rPr>
          <w:rFonts w:hint="eastAsia"/>
          <w:lang w:eastAsia="zh-TW"/>
        </w:rPr>
        <w:t>第五條及第六條</w:t>
      </w:r>
      <w:r w:rsidRPr="007B1C7E">
        <w:rPr>
          <w:rFonts w:hint="eastAsia"/>
        </w:rPr>
        <w:t>修正條文對照表</w:t>
      </w:r>
      <w:bookmarkEnd w:id="0"/>
      <w:proofErr w:type="spellEnd"/>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5"/>
        <w:gridCol w:w="3289"/>
        <w:gridCol w:w="3344"/>
      </w:tblGrid>
      <w:tr w:rsidR="00A524A0" w:rsidTr="00EE34D4">
        <w:trPr>
          <w:tblHeader/>
        </w:trPr>
        <w:tc>
          <w:tcPr>
            <w:tcW w:w="3275" w:type="dxa"/>
            <w:hideMark/>
          </w:tcPr>
          <w:p w:rsidR="00A524A0" w:rsidRPr="00640E09" w:rsidRDefault="00A524A0" w:rsidP="00981035">
            <w:pPr>
              <w:ind w:leftChars="57" w:left="137" w:rightChars="67" w:right="161"/>
              <w:jc w:val="center"/>
              <w:rPr>
                <w:rFonts w:ascii="標楷體" w:eastAsia="標楷體" w:hAnsi="標楷體"/>
              </w:rPr>
            </w:pPr>
            <w:r w:rsidRPr="00640E09">
              <w:rPr>
                <w:rFonts w:ascii="標楷體" w:eastAsia="標楷體" w:hAnsi="標楷體" w:hint="eastAsia"/>
              </w:rPr>
              <w:t>修正條文</w:t>
            </w:r>
          </w:p>
        </w:tc>
        <w:tc>
          <w:tcPr>
            <w:tcW w:w="3289" w:type="dxa"/>
            <w:hideMark/>
          </w:tcPr>
          <w:p w:rsidR="00A524A0" w:rsidRPr="00640E09" w:rsidRDefault="00A524A0" w:rsidP="00981035">
            <w:pPr>
              <w:ind w:leftChars="57" w:left="137" w:rightChars="67" w:right="161"/>
              <w:jc w:val="center"/>
              <w:rPr>
                <w:rFonts w:ascii="標楷體" w:eastAsia="標楷體" w:hAnsi="標楷體"/>
              </w:rPr>
            </w:pPr>
            <w:r w:rsidRPr="00640E09">
              <w:rPr>
                <w:rFonts w:ascii="標楷體" w:eastAsia="標楷體" w:hAnsi="標楷體" w:hint="eastAsia"/>
              </w:rPr>
              <w:t>現行條文</w:t>
            </w:r>
          </w:p>
        </w:tc>
        <w:tc>
          <w:tcPr>
            <w:tcW w:w="3344" w:type="dxa"/>
            <w:hideMark/>
          </w:tcPr>
          <w:p w:rsidR="00A524A0" w:rsidRPr="00640E09" w:rsidRDefault="00A524A0" w:rsidP="00981035">
            <w:pPr>
              <w:ind w:leftChars="57" w:left="137" w:rightChars="67" w:right="161"/>
              <w:jc w:val="center"/>
              <w:rPr>
                <w:rFonts w:ascii="標楷體" w:eastAsia="標楷體" w:hAnsi="標楷體"/>
              </w:rPr>
            </w:pPr>
            <w:r w:rsidRPr="00640E09">
              <w:rPr>
                <w:rFonts w:ascii="標楷體" w:eastAsia="標楷體" w:hAnsi="標楷體" w:hint="eastAsia"/>
              </w:rPr>
              <w:t>說明</w:t>
            </w:r>
          </w:p>
        </w:tc>
      </w:tr>
      <w:tr w:rsidR="000D683C" w:rsidTr="00A524A0">
        <w:tc>
          <w:tcPr>
            <w:tcW w:w="3275" w:type="dxa"/>
          </w:tcPr>
          <w:p w:rsidR="000D683C" w:rsidRPr="00E72213" w:rsidRDefault="000D683C" w:rsidP="000D6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szCs w:val="24"/>
              </w:rPr>
            </w:pPr>
            <w:r w:rsidRPr="00E72213">
              <w:rPr>
                <w:rFonts w:ascii="標楷體" w:eastAsia="標楷體" w:hAnsi="標楷體" w:cs="細明體" w:hint="eastAsia"/>
                <w:kern w:val="0"/>
                <w:szCs w:val="24"/>
              </w:rPr>
              <w:t>第五條　發行人應將下列資訊依規定期限輸入本中心指定之網際網路資訊申報系統：</w:t>
            </w:r>
          </w:p>
          <w:p w:rsidR="000D683C" w:rsidRPr="00E72213" w:rsidRDefault="007767A0" w:rsidP="007767A0">
            <w:pPr>
              <w:pStyle w:val="af3"/>
              <w:tabs>
                <w:tab w:val="left" w:pos="724"/>
              </w:tabs>
              <w:kinsoku w:val="0"/>
              <w:overflowPunct w:val="0"/>
              <w:autoSpaceDE w:val="0"/>
              <w:autoSpaceDN w:val="0"/>
              <w:adjustRightInd w:val="0"/>
              <w:snapToGrid w:val="0"/>
              <w:ind w:leftChars="100" w:left="720" w:hangingChars="200" w:hanging="480"/>
              <w:jc w:val="center"/>
              <w:rPr>
                <w:snapToGrid w:val="0"/>
                <w:sz w:val="24"/>
              </w:rPr>
            </w:pPr>
            <w:r>
              <w:rPr>
                <w:rFonts w:hint="eastAsia"/>
                <w:snapToGrid w:val="0"/>
                <w:sz w:val="24"/>
              </w:rPr>
              <w:t>（本款刪除）</w:t>
            </w:r>
          </w:p>
          <w:p w:rsidR="000D683C" w:rsidRPr="00E72213"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p>
          <w:p w:rsidR="000D683C" w:rsidRPr="00E72213"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p>
          <w:p w:rsidR="000D683C" w:rsidRPr="00E72213"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p>
          <w:p w:rsidR="000D683C" w:rsidRPr="00E72213"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p>
          <w:p w:rsidR="000D683C" w:rsidRPr="00E72213"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p>
          <w:p w:rsidR="000D683C" w:rsidRPr="00E72213"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p>
          <w:p w:rsidR="000D683C" w:rsidRPr="00E72213"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r w:rsidRPr="00E72213">
              <w:rPr>
                <w:rFonts w:hint="eastAsia"/>
                <w:snapToGrid w:val="0"/>
                <w:sz w:val="24"/>
                <w:u w:val="single"/>
              </w:rPr>
              <w:t>一</w:t>
            </w:r>
            <w:r w:rsidRPr="00E72213">
              <w:rPr>
                <w:rFonts w:hint="eastAsia"/>
                <w:snapToGrid w:val="0"/>
                <w:sz w:val="24"/>
              </w:rPr>
              <w:t>、</w:t>
            </w:r>
            <w:r w:rsidRPr="00E72213">
              <w:rPr>
                <w:snapToGrid w:val="0"/>
                <w:sz w:val="24"/>
              </w:rPr>
              <w:tab/>
            </w:r>
            <w:r w:rsidRPr="00E72213">
              <w:rPr>
                <w:rFonts w:hint="eastAsia"/>
                <w:snapToGrid w:val="0"/>
                <w:sz w:val="24"/>
              </w:rPr>
              <w:t>於每營業日開盤前，申報可算得最近一營業日指數股票型基金每受益權單位淨資產價值之資料。</w:t>
            </w:r>
          </w:p>
          <w:p w:rsidR="000D683C" w:rsidRPr="00E72213"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r w:rsidRPr="00E72213">
              <w:rPr>
                <w:rFonts w:hint="eastAsia"/>
                <w:snapToGrid w:val="0"/>
                <w:sz w:val="24"/>
                <w:u w:val="single"/>
              </w:rPr>
              <w:t>二</w:t>
            </w:r>
            <w:r w:rsidRPr="00E72213">
              <w:rPr>
                <w:rFonts w:hint="eastAsia"/>
                <w:snapToGrid w:val="0"/>
                <w:sz w:val="24"/>
              </w:rPr>
              <w:t>、</w:t>
            </w:r>
            <w:r w:rsidRPr="00E72213">
              <w:rPr>
                <w:snapToGrid w:val="0"/>
                <w:sz w:val="24"/>
              </w:rPr>
              <w:tab/>
            </w:r>
            <w:r w:rsidRPr="00E72213">
              <w:rPr>
                <w:rFonts w:hint="eastAsia"/>
                <w:snapToGrid w:val="0"/>
                <w:sz w:val="24"/>
              </w:rPr>
              <w:t>於交易時間內，取用即時市價資訊，依至少每十五秒更新乙次之頻率於基本市</w:t>
            </w:r>
            <w:proofErr w:type="gramStart"/>
            <w:r w:rsidRPr="00E72213">
              <w:rPr>
                <w:rFonts w:hint="eastAsia"/>
                <w:snapToGrid w:val="0"/>
                <w:sz w:val="24"/>
              </w:rPr>
              <w:t>況</w:t>
            </w:r>
            <w:proofErr w:type="gramEnd"/>
            <w:r w:rsidRPr="00E72213">
              <w:rPr>
                <w:rFonts w:hint="eastAsia"/>
                <w:snapToGrid w:val="0"/>
                <w:sz w:val="24"/>
              </w:rPr>
              <w:t>報導網站申報指數股票型基金之每受益權單位盤中預估淨資產價值。指數股票型基金持有外國有價證券或期貨契約等資產者，自上午八點三十分起至下午五點止，取用即時市價或最近收盤價依上開更新頻率，揭示該指數股票型基金之每受益權單位盤中預估淨資產價值。</w:t>
            </w:r>
          </w:p>
          <w:p w:rsidR="000D683C" w:rsidRPr="00E72213"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r w:rsidRPr="00E72213">
              <w:rPr>
                <w:rFonts w:hint="eastAsia"/>
                <w:snapToGrid w:val="0"/>
                <w:sz w:val="24"/>
                <w:u w:val="single"/>
              </w:rPr>
              <w:t>三</w:t>
            </w:r>
            <w:r w:rsidRPr="00E72213">
              <w:rPr>
                <w:rFonts w:hint="eastAsia"/>
                <w:snapToGrid w:val="0"/>
                <w:sz w:val="24"/>
              </w:rPr>
              <w:t>、</w:t>
            </w:r>
            <w:r w:rsidRPr="00E72213">
              <w:rPr>
                <w:snapToGrid w:val="0"/>
                <w:sz w:val="24"/>
              </w:rPr>
              <w:tab/>
            </w:r>
            <w:r w:rsidRPr="00E72213">
              <w:rPr>
                <w:rFonts w:hint="eastAsia"/>
                <w:snapToGrid w:val="0"/>
                <w:sz w:val="24"/>
              </w:rPr>
              <w:t>於每週第一營業日開盤前，申報前一</w:t>
            </w:r>
            <w:proofErr w:type="gramStart"/>
            <w:r w:rsidRPr="00E72213">
              <w:rPr>
                <w:rFonts w:hint="eastAsia"/>
                <w:snapToGrid w:val="0"/>
                <w:sz w:val="24"/>
              </w:rPr>
              <w:t>週</w:t>
            </w:r>
            <w:proofErr w:type="gramEnd"/>
            <w:r w:rsidRPr="00E72213">
              <w:rPr>
                <w:rFonts w:hint="eastAsia"/>
                <w:snapToGrid w:val="0"/>
                <w:sz w:val="24"/>
              </w:rPr>
              <w:t>指數股票型基金投資產業類股或資產組合比率，但基金資產之上市地交易時間與本中心無重疊者，得於每週第一營業日中午12點前申報。</w:t>
            </w:r>
          </w:p>
          <w:p w:rsidR="000D683C" w:rsidRPr="00E72213"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r w:rsidRPr="00E72213">
              <w:rPr>
                <w:rFonts w:hint="eastAsia"/>
                <w:snapToGrid w:val="0"/>
                <w:sz w:val="24"/>
                <w:u w:val="single"/>
              </w:rPr>
              <w:t>四</w:t>
            </w:r>
            <w:r w:rsidRPr="00E72213">
              <w:rPr>
                <w:rFonts w:hint="eastAsia"/>
                <w:snapToGrid w:val="0"/>
                <w:sz w:val="24"/>
              </w:rPr>
              <w:t>、</w:t>
            </w:r>
            <w:r w:rsidRPr="00E72213">
              <w:rPr>
                <w:snapToGrid w:val="0"/>
                <w:sz w:val="24"/>
              </w:rPr>
              <w:tab/>
            </w:r>
            <w:r w:rsidRPr="00E72213">
              <w:rPr>
                <w:rFonts w:hint="eastAsia"/>
                <w:snapToGrid w:val="0"/>
                <w:sz w:val="24"/>
              </w:rPr>
              <w:t>於每月十日前，申報上月份指數股票型基金持有前五大投資資產名稱及合計占基金淨資產價值之比率。</w:t>
            </w:r>
          </w:p>
          <w:p w:rsidR="000D683C" w:rsidRPr="00E72213"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r w:rsidRPr="00E72213">
              <w:rPr>
                <w:rFonts w:hint="eastAsia"/>
                <w:snapToGrid w:val="0"/>
                <w:sz w:val="24"/>
                <w:u w:val="single"/>
              </w:rPr>
              <w:lastRenderedPageBreak/>
              <w:t>五</w:t>
            </w:r>
            <w:r w:rsidRPr="00E72213">
              <w:rPr>
                <w:rFonts w:hint="eastAsia"/>
                <w:snapToGrid w:val="0"/>
                <w:sz w:val="24"/>
              </w:rPr>
              <w:t>、</w:t>
            </w:r>
            <w:r w:rsidRPr="00E72213">
              <w:rPr>
                <w:snapToGrid w:val="0"/>
                <w:sz w:val="24"/>
              </w:rPr>
              <w:tab/>
            </w:r>
            <w:r w:rsidRPr="00E72213">
              <w:rPr>
                <w:rFonts w:hint="eastAsia"/>
                <w:snapToGrid w:val="0"/>
                <w:sz w:val="24"/>
              </w:rPr>
              <w:t>於每月十日前，申報指數股票型基金之每受益權單位淨資產價值及其所追蹤之指數截至上月為止之三個月、六個月、一年、年度至今及上櫃至今之累計漲跌幅度等比較資料。</w:t>
            </w:r>
          </w:p>
          <w:p w:rsidR="000D683C" w:rsidRPr="00E72213"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r w:rsidRPr="00E72213">
              <w:rPr>
                <w:rFonts w:hint="eastAsia"/>
                <w:snapToGrid w:val="0"/>
                <w:sz w:val="24"/>
                <w:u w:val="single"/>
              </w:rPr>
              <w:t>六</w:t>
            </w:r>
            <w:r w:rsidRPr="00E72213">
              <w:rPr>
                <w:rFonts w:hint="eastAsia"/>
                <w:snapToGrid w:val="0"/>
                <w:sz w:val="24"/>
              </w:rPr>
              <w:t>、</w:t>
            </w:r>
            <w:r w:rsidRPr="00E72213">
              <w:rPr>
                <w:snapToGrid w:val="0"/>
                <w:sz w:val="24"/>
              </w:rPr>
              <w:tab/>
            </w:r>
            <w:r w:rsidRPr="00E72213">
              <w:rPr>
                <w:rFonts w:hint="eastAsia"/>
                <w:snapToGrid w:val="0"/>
                <w:sz w:val="24"/>
              </w:rPr>
              <w:t>於每季第一個月十日前，申報上一季指數股票型基金投資資產內容及比率。</w:t>
            </w:r>
          </w:p>
          <w:p w:rsidR="000D683C" w:rsidRPr="00E72213" w:rsidRDefault="000D683C" w:rsidP="00D544A4">
            <w:pPr>
              <w:pStyle w:val="af3"/>
              <w:tabs>
                <w:tab w:val="left" w:pos="724"/>
              </w:tabs>
              <w:kinsoku w:val="0"/>
              <w:overflowPunct w:val="0"/>
              <w:autoSpaceDE w:val="0"/>
              <w:autoSpaceDN w:val="0"/>
              <w:adjustRightInd w:val="0"/>
              <w:snapToGrid w:val="0"/>
              <w:ind w:leftChars="100" w:left="720" w:hangingChars="200" w:hanging="480"/>
              <w:rPr>
                <w:snapToGrid w:val="0"/>
                <w:u w:val="single"/>
              </w:rPr>
            </w:pPr>
            <w:r w:rsidRPr="00E72213">
              <w:rPr>
                <w:rFonts w:hint="eastAsia"/>
                <w:snapToGrid w:val="0"/>
                <w:sz w:val="24"/>
                <w:u w:val="single"/>
              </w:rPr>
              <w:t>七、</w:t>
            </w:r>
            <w:r w:rsidR="00D544A4">
              <w:rPr>
                <w:snapToGrid w:val="0"/>
                <w:sz w:val="24"/>
                <w:u w:val="single"/>
              </w:rPr>
              <w:tab/>
            </w:r>
            <w:r w:rsidRPr="00E72213">
              <w:rPr>
                <w:rFonts w:hint="eastAsia"/>
                <w:snapToGrid w:val="0"/>
                <w:sz w:val="24"/>
                <w:u w:val="single"/>
              </w:rPr>
              <w:t>於每年六月固定基準日</w:t>
            </w:r>
            <w:r w:rsidR="00D544A4">
              <w:rPr>
                <w:rFonts w:hint="eastAsia"/>
                <w:snapToGrid w:val="0"/>
                <w:sz w:val="24"/>
                <w:u w:val="single"/>
              </w:rPr>
              <w:t>，</w:t>
            </w:r>
            <w:r w:rsidRPr="00E72213">
              <w:rPr>
                <w:rFonts w:hint="eastAsia"/>
                <w:snapToGrid w:val="0"/>
                <w:sz w:val="24"/>
                <w:u w:val="single"/>
              </w:rPr>
              <w:t>輸入僑外及大陸地區投資人投資持股情形統計表，</w:t>
            </w:r>
            <w:proofErr w:type="gramStart"/>
            <w:r w:rsidRPr="00E72213">
              <w:rPr>
                <w:rFonts w:hint="eastAsia"/>
                <w:snapToGrid w:val="0"/>
                <w:sz w:val="24"/>
                <w:u w:val="single"/>
              </w:rPr>
              <w:t>並依僑外</w:t>
            </w:r>
            <w:proofErr w:type="gramEnd"/>
            <w:r w:rsidRPr="00E72213">
              <w:rPr>
                <w:rFonts w:hint="eastAsia"/>
                <w:snapToGrid w:val="0"/>
                <w:sz w:val="24"/>
                <w:u w:val="single"/>
              </w:rPr>
              <w:t>及大陸地區投資人投資持股情形申報作業之申報時限辦理。</w:t>
            </w:r>
          </w:p>
        </w:tc>
        <w:tc>
          <w:tcPr>
            <w:tcW w:w="3289" w:type="dxa"/>
          </w:tcPr>
          <w:p w:rsidR="000D683C" w:rsidRPr="00DD1B07" w:rsidRDefault="000D683C" w:rsidP="000D6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cs="細明體"/>
                <w:kern w:val="0"/>
                <w:szCs w:val="24"/>
              </w:rPr>
            </w:pPr>
            <w:r>
              <w:rPr>
                <w:rFonts w:ascii="標楷體" w:eastAsia="標楷體" w:hAnsi="標楷體" w:cs="細明體" w:hint="eastAsia"/>
                <w:kern w:val="0"/>
                <w:szCs w:val="24"/>
              </w:rPr>
              <w:lastRenderedPageBreak/>
              <w:t xml:space="preserve">第五條　</w:t>
            </w:r>
            <w:r w:rsidRPr="00DD1B07">
              <w:rPr>
                <w:rFonts w:ascii="標楷體" w:eastAsia="標楷體" w:hAnsi="標楷體" w:cs="細明體" w:hint="eastAsia"/>
                <w:kern w:val="0"/>
                <w:szCs w:val="24"/>
              </w:rPr>
              <w:t>發行人應將下列資訊依規定期限輸入本中心指定之網際網路資訊申報系統：</w:t>
            </w:r>
          </w:p>
          <w:p w:rsidR="000D683C" w:rsidRPr="00957883"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u w:val="single"/>
              </w:rPr>
            </w:pPr>
            <w:r w:rsidRPr="00957883">
              <w:rPr>
                <w:rFonts w:hint="eastAsia"/>
                <w:snapToGrid w:val="0"/>
                <w:sz w:val="24"/>
                <w:u w:val="single"/>
              </w:rPr>
              <w:t>一、</w:t>
            </w:r>
            <w:r w:rsidRPr="00957883">
              <w:rPr>
                <w:snapToGrid w:val="0"/>
                <w:sz w:val="24"/>
                <w:u w:val="single"/>
              </w:rPr>
              <w:tab/>
            </w:r>
            <w:r w:rsidRPr="00957883">
              <w:rPr>
                <w:rFonts w:hint="eastAsia"/>
                <w:snapToGrid w:val="0"/>
                <w:sz w:val="24"/>
                <w:u w:val="single"/>
              </w:rPr>
              <w:t>於上櫃前一日，申報初次上櫃之指數股票型基金之基本資料暨上櫃前可算得最近一營業日之每受益權單位淨資產價值、受益權單位總數及基金淨資產價值。</w:t>
            </w:r>
          </w:p>
          <w:p w:rsidR="000D683C" w:rsidRPr="009C303F"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r w:rsidRPr="00957883">
              <w:rPr>
                <w:rFonts w:hint="eastAsia"/>
                <w:snapToGrid w:val="0"/>
                <w:sz w:val="24"/>
                <w:u w:val="single"/>
              </w:rPr>
              <w:t>二</w:t>
            </w:r>
            <w:r w:rsidRPr="009C303F">
              <w:rPr>
                <w:rFonts w:hint="eastAsia"/>
                <w:snapToGrid w:val="0"/>
                <w:sz w:val="24"/>
              </w:rPr>
              <w:t>、</w:t>
            </w:r>
            <w:r>
              <w:rPr>
                <w:snapToGrid w:val="0"/>
                <w:sz w:val="24"/>
              </w:rPr>
              <w:tab/>
            </w:r>
            <w:r w:rsidRPr="009C303F">
              <w:rPr>
                <w:rFonts w:hint="eastAsia"/>
                <w:snapToGrid w:val="0"/>
                <w:sz w:val="24"/>
              </w:rPr>
              <w:t>於每營業日開盤前，申報可算得最近一營業日指數股票型基金每受益權單位淨資產價值之資料。</w:t>
            </w:r>
          </w:p>
          <w:p w:rsidR="000D683C" w:rsidRPr="009C303F"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r w:rsidRPr="00957883">
              <w:rPr>
                <w:rFonts w:hint="eastAsia"/>
                <w:snapToGrid w:val="0"/>
                <w:sz w:val="24"/>
                <w:u w:val="single"/>
              </w:rPr>
              <w:t>三</w:t>
            </w:r>
            <w:r w:rsidRPr="009C303F">
              <w:rPr>
                <w:rFonts w:hint="eastAsia"/>
                <w:snapToGrid w:val="0"/>
                <w:sz w:val="24"/>
              </w:rPr>
              <w:t>、</w:t>
            </w:r>
            <w:r>
              <w:rPr>
                <w:snapToGrid w:val="0"/>
                <w:sz w:val="24"/>
              </w:rPr>
              <w:tab/>
            </w:r>
            <w:r w:rsidRPr="009C303F">
              <w:rPr>
                <w:rFonts w:hint="eastAsia"/>
                <w:snapToGrid w:val="0"/>
                <w:sz w:val="24"/>
              </w:rPr>
              <w:t>於交易時間內，取用即時市價資訊，依至少每十五秒更新乙次之頻率於基本市</w:t>
            </w:r>
            <w:proofErr w:type="gramStart"/>
            <w:r w:rsidRPr="009C303F">
              <w:rPr>
                <w:rFonts w:hint="eastAsia"/>
                <w:snapToGrid w:val="0"/>
                <w:sz w:val="24"/>
              </w:rPr>
              <w:t>況</w:t>
            </w:r>
            <w:proofErr w:type="gramEnd"/>
            <w:r w:rsidRPr="009C303F">
              <w:rPr>
                <w:rFonts w:hint="eastAsia"/>
                <w:snapToGrid w:val="0"/>
                <w:sz w:val="24"/>
              </w:rPr>
              <w:t>報導網站申報指數股票型基金之每受益權單位盤中預估淨資產價值。指數股票型基金持有外國有價證券或期貨契約等資產者，自上午八點三十分起至下午五點止，取用即時市價或最近收盤價依上開更新頻率，揭示該指數股票型基金之每受益權單位盤中預估淨資產價值。</w:t>
            </w:r>
          </w:p>
          <w:p w:rsidR="000D683C" w:rsidRPr="009C303F"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r w:rsidRPr="00957883">
              <w:rPr>
                <w:rFonts w:hint="eastAsia"/>
                <w:snapToGrid w:val="0"/>
                <w:sz w:val="24"/>
                <w:u w:val="single"/>
              </w:rPr>
              <w:t>四</w:t>
            </w:r>
            <w:r w:rsidRPr="009C303F">
              <w:rPr>
                <w:rFonts w:hint="eastAsia"/>
                <w:snapToGrid w:val="0"/>
                <w:sz w:val="24"/>
              </w:rPr>
              <w:t>、</w:t>
            </w:r>
            <w:r>
              <w:rPr>
                <w:snapToGrid w:val="0"/>
                <w:sz w:val="24"/>
              </w:rPr>
              <w:tab/>
            </w:r>
            <w:r w:rsidRPr="009C303F">
              <w:rPr>
                <w:rFonts w:hint="eastAsia"/>
                <w:snapToGrid w:val="0"/>
                <w:sz w:val="24"/>
              </w:rPr>
              <w:t>於每週第一營業日開盤前，申報前一</w:t>
            </w:r>
            <w:proofErr w:type="gramStart"/>
            <w:r w:rsidRPr="009C303F">
              <w:rPr>
                <w:rFonts w:hint="eastAsia"/>
                <w:snapToGrid w:val="0"/>
                <w:sz w:val="24"/>
              </w:rPr>
              <w:t>週</w:t>
            </w:r>
            <w:proofErr w:type="gramEnd"/>
            <w:r w:rsidRPr="009C303F">
              <w:rPr>
                <w:rFonts w:hint="eastAsia"/>
                <w:snapToGrid w:val="0"/>
                <w:sz w:val="24"/>
              </w:rPr>
              <w:t>指數股票型基金投資產業類股或資產組合比率，但基金資產之上市地交易時間與本中心無重疊者，得於每週第一營業日中午12點前申報。</w:t>
            </w:r>
          </w:p>
          <w:p w:rsidR="000D683C" w:rsidRPr="009C303F"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r w:rsidRPr="00957883">
              <w:rPr>
                <w:rFonts w:hint="eastAsia"/>
                <w:snapToGrid w:val="0"/>
                <w:sz w:val="24"/>
                <w:u w:val="single"/>
              </w:rPr>
              <w:t>五</w:t>
            </w:r>
            <w:r w:rsidRPr="009C303F">
              <w:rPr>
                <w:rFonts w:hint="eastAsia"/>
                <w:snapToGrid w:val="0"/>
                <w:sz w:val="24"/>
              </w:rPr>
              <w:t>、</w:t>
            </w:r>
            <w:r>
              <w:rPr>
                <w:snapToGrid w:val="0"/>
                <w:sz w:val="24"/>
              </w:rPr>
              <w:tab/>
            </w:r>
            <w:r w:rsidRPr="009C303F">
              <w:rPr>
                <w:rFonts w:hint="eastAsia"/>
                <w:snapToGrid w:val="0"/>
                <w:sz w:val="24"/>
              </w:rPr>
              <w:t>於每月十日前，申報上月份指數股票型基金持有前五大投資資產名稱及合計占基金淨資產價值之比率。</w:t>
            </w:r>
          </w:p>
          <w:p w:rsidR="000D683C" w:rsidRPr="009C303F"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r w:rsidRPr="00957883">
              <w:rPr>
                <w:rFonts w:hint="eastAsia"/>
                <w:snapToGrid w:val="0"/>
                <w:sz w:val="24"/>
                <w:u w:val="single"/>
              </w:rPr>
              <w:lastRenderedPageBreak/>
              <w:t>六</w:t>
            </w:r>
            <w:r w:rsidRPr="009C303F">
              <w:rPr>
                <w:rFonts w:hint="eastAsia"/>
                <w:snapToGrid w:val="0"/>
                <w:sz w:val="24"/>
              </w:rPr>
              <w:t>、</w:t>
            </w:r>
            <w:r>
              <w:rPr>
                <w:snapToGrid w:val="0"/>
                <w:sz w:val="24"/>
              </w:rPr>
              <w:tab/>
            </w:r>
            <w:r w:rsidRPr="009C303F">
              <w:rPr>
                <w:rFonts w:hint="eastAsia"/>
                <w:snapToGrid w:val="0"/>
                <w:sz w:val="24"/>
              </w:rPr>
              <w:t>於每月十日前，申報指數股票型基金之每受益權單位淨資產價值及其所追蹤之指數截至上月為止之三個月、六個月、一年、年度至今及上櫃至今之累計漲跌幅度等比較資料。</w:t>
            </w:r>
          </w:p>
          <w:p w:rsidR="000D683C" w:rsidRDefault="000D683C" w:rsidP="000D683C">
            <w:pPr>
              <w:pStyle w:val="af3"/>
              <w:tabs>
                <w:tab w:val="left" w:pos="724"/>
              </w:tabs>
              <w:kinsoku w:val="0"/>
              <w:overflowPunct w:val="0"/>
              <w:autoSpaceDE w:val="0"/>
              <w:autoSpaceDN w:val="0"/>
              <w:adjustRightInd w:val="0"/>
              <w:snapToGrid w:val="0"/>
              <w:ind w:leftChars="100" w:left="720" w:hangingChars="200" w:hanging="480"/>
              <w:rPr>
                <w:snapToGrid w:val="0"/>
                <w:sz w:val="24"/>
              </w:rPr>
            </w:pPr>
            <w:r w:rsidRPr="00957883">
              <w:rPr>
                <w:rFonts w:hint="eastAsia"/>
                <w:snapToGrid w:val="0"/>
                <w:sz w:val="24"/>
                <w:u w:val="single"/>
              </w:rPr>
              <w:t>七</w:t>
            </w:r>
            <w:r w:rsidRPr="009C303F">
              <w:rPr>
                <w:rFonts w:hint="eastAsia"/>
                <w:snapToGrid w:val="0"/>
                <w:sz w:val="24"/>
              </w:rPr>
              <w:t>、</w:t>
            </w:r>
            <w:r>
              <w:rPr>
                <w:snapToGrid w:val="0"/>
                <w:sz w:val="24"/>
              </w:rPr>
              <w:tab/>
            </w:r>
            <w:r w:rsidRPr="009C303F">
              <w:rPr>
                <w:rFonts w:hint="eastAsia"/>
                <w:snapToGrid w:val="0"/>
                <w:sz w:val="24"/>
              </w:rPr>
              <w:t>於每季第一個月十日前，申報上一季指數股票型基金投資資產內容及比率。</w:t>
            </w:r>
          </w:p>
          <w:p w:rsidR="00D544A4" w:rsidRPr="002B6BFB" w:rsidRDefault="00D544A4" w:rsidP="00D544A4">
            <w:pPr>
              <w:pStyle w:val="af3"/>
              <w:tabs>
                <w:tab w:val="left" w:pos="724"/>
              </w:tabs>
              <w:kinsoku w:val="0"/>
              <w:overflowPunct w:val="0"/>
              <w:autoSpaceDE w:val="0"/>
              <w:autoSpaceDN w:val="0"/>
              <w:adjustRightInd w:val="0"/>
              <w:snapToGrid w:val="0"/>
              <w:ind w:leftChars="100" w:left="720" w:hangingChars="200" w:hanging="480"/>
              <w:jc w:val="center"/>
              <w:rPr>
                <w:snapToGrid w:val="0"/>
              </w:rPr>
            </w:pPr>
            <w:r w:rsidRPr="002B6BFB">
              <w:rPr>
                <w:rFonts w:hint="eastAsia"/>
                <w:snapToGrid w:val="0"/>
                <w:sz w:val="24"/>
              </w:rPr>
              <w:t>（本款新增）</w:t>
            </w:r>
          </w:p>
        </w:tc>
        <w:tc>
          <w:tcPr>
            <w:tcW w:w="3344" w:type="dxa"/>
            <w:hideMark/>
          </w:tcPr>
          <w:p w:rsidR="003D5D07" w:rsidRPr="003D5D07" w:rsidRDefault="000D683C" w:rsidP="003D5D07">
            <w:pPr>
              <w:pStyle w:val="a4"/>
              <w:widowControl/>
              <w:numPr>
                <w:ilvl w:val="0"/>
                <w:numId w:val="7"/>
              </w:numPr>
              <w:tabs>
                <w:tab w:val="left" w:pos="4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cs="細明體"/>
                <w:color w:val="000000"/>
                <w:kern w:val="0"/>
              </w:rPr>
            </w:pPr>
            <w:r w:rsidRPr="003D5D07">
              <w:rPr>
                <w:rFonts w:eastAsia="標楷體" w:cs="細明體" w:hint="eastAsia"/>
                <w:color w:val="000000"/>
                <w:kern w:val="0"/>
              </w:rPr>
              <w:lastRenderedPageBreak/>
              <w:t>指數股票型基金於上櫃前一日應申報之資訊，係屬不定期申報資訊，</w:t>
            </w:r>
            <w:proofErr w:type="gramStart"/>
            <w:r w:rsidRPr="003D5D07">
              <w:rPr>
                <w:rFonts w:eastAsia="標楷體" w:cs="細明體" w:hint="eastAsia"/>
                <w:color w:val="000000"/>
                <w:kern w:val="0"/>
              </w:rPr>
              <w:t>爰</w:t>
            </w:r>
            <w:proofErr w:type="gramEnd"/>
            <w:r w:rsidR="007767A0" w:rsidRPr="003D5D07">
              <w:rPr>
                <w:rFonts w:eastAsia="標楷體" w:cs="細明體" w:hint="eastAsia"/>
                <w:color w:val="000000"/>
                <w:kern w:val="0"/>
              </w:rPr>
              <w:t>刪除</w:t>
            </w:r>
            <w:r w:rsidRPr="003D5D07">
              <w:rPr>
                <w:rFonts w:eastAsia="標楷體" w:cs="細明體" w:hint="eastAsia"/>
                <w:color w:val="000000"/>
                <w:kern w:val="0"/>
              </w:rPr>
              <w:t>第</w:t>
            </w:r>
            <w:r w:rsidR="003D5D07" w:rsidRPr="003D5D07">
              <w:rPr>
                <w:rFonts w:eastAsia="標楷體" w:cs="細明體" w:hint="eastAsia"/>
                <w:color w:val="000000"/>
                <w:kern w:val="0"/>
              </w:rPr>
              <w:t>一</w:t>
            </w:r>
            <w:r w:rsidRPr="003D5D07">
              <w:rPr>
                <w:rFonts w:eastAsia="標楷體" w:cs="細明體" w:hint="eastAsia"/>
                <w:color w:val="000000"/>
                <w:kern w:val="0"/>
              </w:rPr>
              <w:t>款</w:t>
            </w:r>
            <w:r w:rsidR="003D5D07" w:rsidRPr="003D5D07">
              <w:rPr>
                <w:rFonts w:eastAsia="標楷體" w:cs="細明體" w:hint="eastAsia"/>
                <w:color w:val="000000"/>
                <w:kern w:val="0"/>
              </w:rPr>
              <w:t>，移列</w:t>
            </w:r>
            <w:r w:rsidRPr="003D5D07">
              <w:rPr>
                <w:rFonts w:eastAsia="標楷體" w:cs="細明體" w:hint="eastAsia"/>
                <w:color w:val="000000"/>
                <w:kern w:val="0"/>
              </w:rPr>
              <w:t>至第</w:t>
            </w:r>
            <w:r w:rsidR="003D5D07" w:rsidRPr="003D5D07">
              <w:rPr>
                <w:rFonts w:eastAsia="標楷體" w:cs="細明體" w:hint="eastAsia"/>
                <w:color w:val="000000"/>
                <w:kern w:val="0"/>
              </w:rPr>
              <w:t>六</w:t>
            </w:r>
            <w:r w:rsidRPr="003D5D07">
              <w:rPr>
                <w:rFonts w:eastAsia="標楷體" w:cs="細明體" w:hint="eastAsia"/>
                <w:color w:val="000000"/>
                <w:kern w:val="0"/>
              </w:rPr>
              <w:t>條第</w:t>
            </w:r>
            <w:r w:rsidR="003D5D07" w:rsidRPr="003D5D07">
              <w:rPr>
                <w:rFonts w:eastAsia="標楷體" w:cs="細明體" w:hint="eastAsia"/>
                <w:color w:val="000000"/>
                <w:kern w:val="0"/>
              </w:rPr>
              <w:t>一</w:t>
            </w:r>
            <w:r w:rsidRPr="003D5D07">
              <w:rPr>
                <w:rFonts w:eastAsia="標楷體" w:cs="細明體" w:hint="eastAsia"/>
                <w:color w:val="000000"/>
                <w:kern w:val="0"/>
              </w:rPr>
              <w:t>項第</w:t>
            </w:r>
            <w:r w:rsidR="003D5D07" w:rsidRPr="003D5D07">
              <w:rPr>
                <w:rFonts w:eastAsia="標楷體" w:cs="細明體" w:hint="eastAsia"/>
                <w:color w:val="000000"/>
                <w:kern w:val="0"/>
              </w:rPr>
              <w:t>一款。</w:t>
            </w:r>
          </w:p>
          <w:p w:rsidR="000D683C" w:rsidRPr="003D5D07" w:rsidRDefault="003D5D07" w:rsidP="003D5D07">
            <w:pPr>
              <w:pStyle w:val="a4"/>
              <w:widowControl/>
              <w:numPr>
                <w:ilvl w:val="0"/>
                <w:numId w:val="7"/>
              </w:numPr>
              <w:tabs>
                <w:tab w:val="left" w:pos="4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eastAsia="標楷體" w:cs="細明體"/>
                <w:color w:val="000000"/>
                <w:kern w:val="0"/>
              </w:rPr>
            </w:pPr>
            <w:r>
              <w:rPr>
                <w:rFonts w:eastAsia="標楷體" w:cs="細明體" w:hint="eastAsia"/>
                <w:color w:val="000000"/>
                <w:kern w:val="0"/>
              </w:rPr>
              <w:t>現行</w:t>
            </w:r>
            <w:r w:rsidR="000D683C" w:rsidRPr="003D5D07">
              <w:rPr>
                <w:rFonts w:eastAsia="標楷體" w:cs="細明體" w:hint="eastAsia"/>
                <w:color w:val="000000"/>
                <w:kern w:val="0"/>
              </w:rPr>
              <w:t>第</w:t>
            </w:r>
            <w:r>
              <w:rPr>
                <w:rFonts w:eastAsia="標楷體" w:cs="細明體" w:hint="eastAsia"/>
                <w:color w:val="000000"/>
                <w:kern w:val="0"/>
              </w:rPr>
              <w:t>二</w:t>
            </w:r>
            <w:r w:rsidR="000D683C" w:rsidRPr="003D5D07">
              <w:rPr>
                <w:rFonts w:eastAsia="標楷體" w:cs="細明體" w:hint="eastAsia"/>
                <w:color w:val="000000"/>
                <w:kern w:val="0"/>
              </w:rPr>
              <w:t>款至第</w:t>
            </w:r>
            <w:r>
              <w:rPr>
                <w:rFonts w:eastAsia="標楷體" w:cs="細明體" w:hint="eastAsia"/>
                <w:color w:val="000000"/>
                <w:kern w:val="0"/>
              </w:rPr>
              <w:t>七</w:t>
            </w:r>
            <w:r w:rsidR="000D683C" w:rsidRPr="003D5D07">
              <w:rPr>
                <w:rFonts w:eastAsia="標楷體" w:cs="細明體" w:hint="eastAsia"/>
                <w:color w:val="000000"/>
                <w:kern w:val="0"/>
              </w:rPr>
              <w:t>款</w:t>
            </w:r>
            <w:r>
              <w:rPr>
                <w:rFonts w:eastAsia="標楷體" w:cs="細明體" w:hint="eastAsia"/>
                <w:color w:val="000000"/>
                <w:kern w:val="0"/>
              </w:rPr>
              <w:t>移列</w:t>
            </w:r>
            <w:r w:rsidR="000D683C" w:rsidRPr="003D5D07">
              <w:rPr>
                <w:rFonts w:eastAsia="標楷體" w:cs="細明體" w:hint="eastAsia"/>
                <w:color w:val="000000"/>
                <w:kern w:val="0"/>
              </w:rPr>
              <w:t>為第</w:t>
            </w:r>
            <w:r>
              <w:rPr>
                <w:rFonts w:eastAsia="標楷體" w:cs="細明體" w:hint="eastAsia"/>
                <w:color w:val="000000"/>
                <w:kern w:val="0"/>
              </w:rPr>
              <w:t>一</w:t>
            </w:r>
            <w:r w:rsidR="000D683C" w:rsidRPr="003D5D07">
              <w:rPr>
                <w:rFonts w:eastAsia="標楷體" w:cs="細明體" w:hint="eastAsia"/>
                <w:color w:val="000000"/>
                <w:kern w:val="0"/>
              </w:rPr>
              <w:t>款至第</w:t>
            </w:r>
            <w:r>
              <w:rPr>
                <w:rFonts w:eastAsia="標楷體" w:cs="細明體" w:hint="eastAsia"/>
                <w:color w:val="000000"/>
                <w:kern w:val="0"/>
              </w:rPr>
              <w:t>六</w:t>
            </w:r>
            <w:r w:rsidR="000D683C" w:rsidRPr="003D5D07">
              <w:rPr>
                <w:rFonts w:eastAsia="標楷體" w:cs="細明體" w:hint="eastAsia"/>
                <w:color w:val="000000"/>
                <w:kern w:val="0"/>
              </w:rPr>
              <w:t>款。</w:t>
            </w:r>
          </w:p>
          <w:p w:rsidR="000D683C" w:rsidRPr="000F7816" w:rsidRDefault="000D683C" w:rsidP="00801479">
            <w:pPr>
              <w:widowControl/>
              <w:tabs>
                <w:tab w:val="left" w:pos="4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3" w:hangingChars="197" w:hanging="473"/>
              <w:jc w:val="both"/>
              <w:rPr>
                <w:rFonts w:eastAsia="標楷體" w:cs="細明體"/>
                <w:color w:val="000000"/>
                <w:kern w:val="0"/>
                <w:highlight w:val="yellow"/>
              </w:rPr>
            </w:pPr>
            <w:r>
              <w:rPr>
                <w:rFonts w:eastAsia="標楷體" w:cs="細明體" w:hint="eastAsia"/>
                <w:color w:val="000000"/>
                <w:kern w:val="0"/>
              </w:rPr>
              <w:t>二、</w:t>
            </w:r>
            <w:r>
              <w:rPr>
                <w:rFonts w:eastAsia="標楷體" w:cs="細明體"/>
                <w:color w:val="000000"/>
                <w:kern w:val="0"/>
              </w:rPr>
              <w:tab/>
            </w:r>
            <w:r>
              <w:rPr>
                <w:rFonts w:eastAsia="標楷體" w:cs="細明體" w:hint="eastAsia"/>
                <w:color w:val="000000"/>
                <w:kern w:val="0"/>
              </w:rPr>
              <w:t>為</w:t>
            </w:r>
            <w:r w:rsidR="00801479">
              <w:rPr>
                <w:rFonts w:eastAsia="標楷體" w:cs="細明體" w:hint="eastAsia"/>
                <w:color w:val="000000"/>
                <w:kern w:val="0"/>
              </w:rPr>
              <w:t>提高</w:t>
            </w:r>
            <w:r w:rsidRPr="00E72213">
              <w:rPr>
                <w:rFonts w:eastAsia="標楷體" w:cs="細明體" w:hint="eastAsia"/>
                <w:color w:val="000000"/>
                <w:kern w:val="0"/>
              </w:rPr>
              <w:t>指數股票型基金僑外及大陸地區投資人投資持股情形</w:t>
            </w:r>
            <w:r w:rsidR="00801479">
              <w:rPr>
                <w:rFonts w:eastAsia="標楷體" w:cs="細明體" w:hint="eastAsia"/>
                <w:color w:val="000000"/>
                <w:kern w:val="0"/>
              </w:rPr>
              <w:t>之</w:t>
            </w:r>
            <w:r w:rsidRPr="00E72213">
              <w:rPr>
                <w:rFonts w:eastAsia="標楷體" w:cs="細明體" w:hint="eastAsia"/>
                <w:color w:val="000000"/>
                <w:kern w:val="0"/>
              </w:rPr>
              <w:t>正確</w:t>
            </w:r>
            <w:r w:rsidR="00801479">
              <w:rPr>
                <w:rFonts w:eastAsia="標楷體" w:cs="細明體" w:hint="eastAsia"/>
                <w:color w:val="000000"/>
                <w:kern w:val="0"/>
              </w:rPr>
              <w:t>性</w:t>
            </w:r>
            <w:r w:rsidRPr="00E72213">
              <w:rPr>
                <w:rFonts w:eastAsia="標楷體" w:cs="細明體" w:hint="eastAsia"/>
                <w:color w:val="000000"/>
                <w:kern w:val="0"/>
              </w:rPr>
              <w:t>，</w:t>
            </w:r>
            <w:proofErr w:type="gramStart"/>
            <w:r w:rsidRPr="00E72213">
              <w:rPr>
                <w:rFonts w:eastAsia="標楷體" w:cs="細明體" w:hint="eastAsia"/>
                <w:color w:val="000000"/>
                <w:kern w:val="0"/>
              </w:rPr>
              <w:t>爰</w:t>
            </w:r>
            <w:proofErr w:type="gramEnd"/>
            <w:r w:rsidRPr="00E72213">
              <w:rPr>
                <w:rFonts w:eastAsia="標楷體" w:cs="細明體" w:hint="eastAsia"/>
                <w:color w:val="000000"/>
                <w:kern w:val="0"/>
              </w:rPr>
              <w:t>增訂第</w:t>
            </w:r>
            <w:r w:rsidR="003D5D07">
              <w:rPr>
                <w:rFonts w:eastAsia="標楷體" w:cs="細明體" w:hint="eastAsia"/>
                <w:color w:val="000000"/>
                <w:kern w:val="0"/>
              </w:rPr>
              <w:t>七</w:t>
            </w:r>
            <w:r w:rsidRPr="00E72213">
              <w:rPr>
                <w:rFonts w:eastAsia="標楷體" w:cs="細明體" w:hint="eastAsia"/>
                <w:color w:val="000000"/>
                <w:kern w:val="0"/>
              </w:rPr>
              <w:t>款之規定，明</w:t>
            </w:r>
            <w:r w:rsidR="003D5D07">
              <w:rPr>
                <w:rFonts w:eastAsia="標楷體" w:cs="細明體" w:hint="eastAsia"/>
                <w:color w:val="000000"/>
                <w:kern w:val="0"/>
              </w:rPr>
              <w:t>定</w:t>
            </w:r>
            <w:r w:rsidRPr="00E72213">
              <w:rPr>
                <w:rFonts w:eastAsia="標楷體" w:cs="細明體" w:hint="eastAsia"/>
                <w:color w:val="000000"/>
                <w:kern w:val="0"/>
              </w:rPr>
              <w:t>指數股票型基金發行人應依僑外及大陸地區投資人投</w:t>
            </w:r>
            <w:r>
              <w:rPr>
                <w:rFonts w:eastAsia="標楷體" w:cs="細明體" w:hint="eastAsia"/>
                <w:color w:val="000000"/>
                <w:kern w:val="0"/>
              </w:rPr>
              <w:t>資持股情形申報作業之申報時限辦理申報。</w:t>
            </w:r>
          </w:p>
        </w:tc>
      </w:tr>
      <w:tr w:rsidR="000D683C" w:rsidRPr="000F7816" w:rsidTr="00A524A0">
        <w:tc>
          <w:tcPr>
            <w:tcW w:w="3275" w:type="dxa"/>
          </w:tcPr>
          <w:p w:rsidR="000D683C" w:rsidRPr="00E72213" w:rsidRDefault="000D683C" w:rsidP="000D6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napToGrid w:val="0"/>
                <w:szCs w:val="24"/>
              </w:rPr>
            </w:pPr>
            <w:r w:rsidRPr="00E72213">
              <w:rPr>
                <w:rFonts w:ascii="標楷體" w:eastAsia="標楷體" w:hAnsi="標楷體" w:hint="eastAsia"/>
                <w:snapToGrid w:val="0"/>
                <w:kern w:val="0"/>
                <w:szCs w:val="24"/>
              </w:rPr>
              <w:t xml:space="preserve">第六條　</w:t>
            </w:r>
            <w:r w:rsidRPr="00E72213">
              <w:rPr>
                <w:rFonts w:ascii="標楷體" w:eastAsia="標楷體" w:hAnsi="標楷體" w:hint="eastAsia"/>
                <w:snapToGrid w:val="0"/>
                <w:szCs w:val="24"/>
              </w:rPr>
              <w:t>發行人應依下列各款規定，</w:t>
            </w:r>
            <w:r w:rsidRPr="00E72213">
              <w:rPr>
                <w:rFonts w:ascii="標楷體" w:eastAsia="標楷體" w:hAnsi="標楷體" w:cs="細明體" w:hint="eastAsia"/>
                <w:szCs w:val="24"/>
              </w:rPr>
              <w:t>透過</w:t>
            </w:r>
            <w:r w:rsidRPr="00E72213">
              <w:rPr>
                <w:rFonts w:ascii="標楷體" w:eastAsia="標楷體" w:hAnsi="標楷體" w:hint="eastAsia"/>
                <w:snapToGrid w:val="0"/>
                <w:szCs w:val="24"/>
              </w:rPr>
              <w:t>本中心指定之網際網路資訊申報系統向本中心申報不定期公開資訊：</w:t>
            </w:r>
          </w:p>
          <w:p w:rsidR="000D683C" w:rsidRPr="00E72213" w:rsidRDefault="000D683C" w:rsidP="000D683C">
            <w:pPr>
              <w:pStyle w:val="af3"/>
              <w:tabs>
                <w:tab w:val="left" w:pos="727"/>
              </w:tabs>
              <w:kinsoku w:val="0"/>
              <w:overflowPunct w:val="0"/>
              <w:autoSpaceDE w:val="0"/>
              <w:autoSpaceDN w:val="0"/>
              <w:adjustRightInd w:val="0"/>
              <w:snapToGrid w:val="0"/>
              <w:ind w:leftChars="100" w:left="720" w:hangingChars="200" w:hanging="480"/>
              <w:rPr>
                <w:snapToGrid w:val="0"/>
                <w:sz w:val="24"/>
              </w:rPr>
            </w:pPr>
            <w:r w:rsidRPr="00E72213">
              <w:rPr>
                <w:rFonts w:hint="eastAsia"/>
                <w:snapToGrid w:val="0"/>
                <w:sz w:val="24"/>
                <w:u w:val="single"/>
              </w:rPr>
              <w:t>一、</w:t>
            </w:r>
            <w:r w:rsidRPr="00E72213">
              <w:rPr>
                <w:snapToGrid w:val="0"/>
                <w:sz w:val="24"/>
                <w:u w:val="single"/>
              </w:rPr>
              <w:tab/>
            </w:r>
            <w:r w:rsidRPr="00E72213">
              <w:rPr>
                <w:rFonts w:hint="eastAsia"/>
                <w:snapToGrid w:val="0"/>
                <w:sz w:val="24"/>
                <w:u w:val="single"/>
              </w:rPr>
              <w:t>初次上櫃之指數股票型基金之基本資料暨上櫃前可算得最近一營業日之每受益權單位淨資產價值、受益權單位總數及基金淨資產價值</w:t>
            </w:r>
            <w:r w:rsidR="00A05D20">
              <w:rPr>
                <w:rFonts w:hint="eastAsia"/>
                <w:snapToGrid w:val="0"/>
                <w:sz w:val="24"/>
                <w:u w:val="single"/>
              </w:rPr>
              <w:t>，應於上櫃前一日申報</w:t>
            </w:r>
            <w:r w:rsidRPr="00E72213">
              <w:rPr>
                <w:rFonts w:hint="eastAsia"/>
                <w:snapToGrid w:val="0"/>
                <w:sz w:val="24"/>
                <w:u w:val="single"/>
              </w:rPr>
              <w:t>。</w:t>
            </w:r>
          </w:p>
          <w:p w:rsidR="000D683C" w:rsidRPr="00E72213" w:rsidRDefault="000D683C" w:rsidP="000D683C">
            <w:pPr>
              <w:pStyle w:val="af3"/>
              <w:tabs>
                <w:tab w:val="left" w:pos="727"/>
              </w:tabs>
              <w:kinsoku w:val="0"/>
              <w:overflowPunct w:val="0"/>
              <w:autoSpaceDE w:val="0"/>
              <w:autoSpaceDN w:val="0"/>
              <w:adjustRightInd w:val="0"/>
              <w:snapToGrid w:val="0"/>
              <w:ind w:leftChars="100" w:left="720" w:hangingChars="200" w:hanging="480"/>
              <w:rPr>
                <w:snapToGrid w:val="0"/>
                <w:sz w:val="24"/>
                <w:u w:val="single"/>
              </w:rPr>
            </w:pPr>
            <w:r w:rsidRPr="00E72213">
              <w:rPr>
                <w:rFonts w:hint="eastAsia"/>
                <w:snapToGrid w:val="0"/>
                <w:sz w:val="24"/>
                <w:u w:val="single"/>
              </w:rPr>
              <w:t>二、</w:t>
            </w:r>
            <w:r w:rsidR="0095097E">
              <w:rPr>
                <w:snapToGrid w:val="0"/>
                <w:sz w:val="24"/>
                <w:u w:val="single"/>
              </w:rPr>
              <w:tab/>
            </w:r>
            <w:r w:rsidRPr="00E72213">
              <w:rPr>
                <w:rFonts w:hint="eastAsia"/>
                <w:snapToGrid w:val="0"/>
                <w:sz w:val="24"/>
                <w:u w:val="single"/>
              </w:rPr>
              <w:t>僑外及大陸地區投資人投資持股情形統計表，</w:t>
            </w:r>
            <w:r w:rsidR="0095097E">
              <w:rPr>
                <w:rFonts w:hint="eastAsia"/>
                <w:snapToGrid w:val="0"/>
                <w:sz w:val="24"/>
                <w:u w:val="single"/>
              </w:rPr>
              <w:t>應</w:t>
            </w:r>
            <w:r w:rsidR="0095097E" w:rsidRPr="00E72213">
              <w:rPr>
                <w:snapToGrid w:val="0"/>
                <w:sz w:val="24"/>
                <w:u w:val="single"/>
              </w:rPr>
              <w:tab/>
            </w:r>
            <w:r w:rsidR="0095097E" w:rsidRPr="00E72213">
              <w:rPr>
                <w:rFonts w:hint="eastAsia"/>
                <w:snapToGrid w:val="0"/>
                <w:sz w:val="24"/>
                <w:u w:val="single"/>
              </w:rPr>
              <w:t>於初次</w:t>
            </w:r>
            <w:r w:rsidR="002C74E8">
              <w:rPr>
                <w:rFonts w:hint="eastAsia"/>
                <w:snapToGrid w:val="0"/>
                <w:sz w:val="24"/>
                <w:u w:val="single"/>
              </w:rPr>
              <w:t>上櫃</w:t>
            </w:r>
            <w:r w:rsidR="0095097E" w:rsidRPr="00E72213">
              <w:rPr>
                <w:rFonts w:hint="eastAsia"/>
                <w:snapToGrid w:val="0"/>
                <w:sz w:val="24"/>
                <w:u w:val="single"/>
              </w:rPr>
              <w:t>時輸入</w:t>
            </w:r>
            <w:r w:rsidR="0095097E">
              <w:rPr>
                <w:rFonts w:hint="eastAsia"/>
                <w:snapToGrid w:val="0"/>
                <w:sz w:val="24"/>
                <w:u w:val="single"/>
              </w:rPr>
              <w:t>，</w:t>
            </w:r>
            <w:proofErr w:type="gramStart"/>
            <w:r w:rsidRPr="00E72213">
              <w:rPr>
                <w:rFonts w:hint="eastAsia"/>
                <w:snapToGrid w:val="0"/>
                <w:sz w:val="24"/>
                <w:u w:val="single"/>
              </w:rPr>
              <w:t>並依僑外</w:t>
            </w:r>
            <w:proofErr w:type="gramEnd"/>
            <w:r w:rsidRPr="00E72213">
              <w:rPr>
                <w:rFonts w:hint="eastAsia"/>
                <w:snapToGrid w:val="0"/>
                <w:sz w:val="24"/>
                <w:u w:val="single"/>
              </w:rPr>
              <w:t>及大陸地區投資人投資持股情形申報作業之申報時限辦理。</w:t>
            </w:r>
          </w:p>
          <w:p w:rsidR="000D683C" w:rsidRPr="00E72213" w:rsidRDefault="000D683C" w:rsidP="000D683C">
            <w:pPr>
              <w:pStyle w:val="af3"/>
              <w:tabs>
                <w:tab w:val="left" w:pos="727"/>
              </w:tabs>
              <w:kinsoku w:val="0"/>
              <w:overflowPunct w:val="0"/>
              <w:autoSpaceDE w:val="0"/>
              <w:autoSpaceDN w:val="0"/>
              <w:adjustRightInd w:val="0"/>
              <w:snapToGrid w:val="0"/>
              <w:ind w:leftChars="100" w:left="720" w:hangingChars="200" w:hanging="480"/>
              <w:rPr>
                <w:snapToGrid w:val="0"/>
                <w:sz w:val="24"/>
              </w:rPr>
            </w:pPr>
            <w:r w:rsidRPr="00E72213">
              <w:rPr>
                <w:rFonts w:hint="eastAsia"/>
                <w:snapToGrid w:val="0"/>
                <w:sz w:val="24"/>
                <w:u w:val="single"/>
              </w:rPr>
              <w:t>三</w:t>
            </w:r>
            <w:r w:rsidRPr="00E72213">
              <w:rPr>
                <w:rFonts w:hint="eastAsia"/>
                <w:snapToGrid w:val="0"/>
                <w:sz w:val="24"/>
              </w:rPr>
              <w:t>、</w:t>
            </w:r>
            <w:r w:rsidRPr="00E72213">
              <w:rPr>
                <w:snapToGrid w:val="0"/>
                <w:sz w:val="24"/>
              </w:rPr>
              <w:tab/>
            </w:r>
            <w:r w:rsidRPr="00E72213">
              <w:rPr>
                <w:rFonts w:hint="eastAsia"/>
                <w:snapToGrid w:val="0"/>
                <w:sz w:val="24"/>
              </w:rPr>
              <w:t>召開受益人大會有關事項之公告，應於停止受益人名</w:t>
            </w:r>
            <w:proofErr w:type="gramStart"/>
            <w:r w:rsidRPr="00E72213">
              <w:rPr>
                <w:rFonts w:hint="eastAsia"/>
                <w:snapToGrid w:val="0"/>
                <w:sz w:val="24"/>
              </w:rPr>
              <w:t>簿</w:t>
            </w:r>
            <w:proofErr w:type="gramEnd"/>
            <w:r w:rsidRPr="00E72213">
              <w:rPr>
                <w:rFonts w:hint="eastAsia"/>
                <w:snapToGrid w:val="0"/>
                <w:sz w:val="24"/>
              </w:rPr>
              <w:t>變更日前至少十二</w:t>
            </w:r>
            <w:proofErr w:type="gramStart"/>
            <w:r w:rsidRPr="00E72213">
              <w:rPr>
                <w:rFonts w:hint="eastAsia"/>
                <w:snapToGrid w:val="0"/>
                <w:sz w:val="24"/>
              </w:rPr>
              <w:t>個</w:t>
            </w:r>
            <w:proofErr w:type="gramEnd"/>
            <w:r w:rsidRPr="00E72213">
              <w:rPr>
                <w:rFonts w:hint="eastAsia"/>
                <w:snapToGrid w:val="0"/>
                <w:sz w:val="24"/>
              </w:rPr>
              <w:t>營業日申報。</w:t>
            </w:r>
          </w:p>
          <w:p w:rsidR="000D683C" w:rsidRPr="00E72213" w:rsidRDefault="000D683C" w:rsidP="000D683C">
            <w:pPr>
              <w:pStyle w:val="af3"/>
              <w:tabs>
                <w:tab w:val="left" w:pos="727"/>
              </w:tabs>
              <w:kinsoku w:val="0"/>
              <w:overflowPunct w:val="0"/>
              <w:autoSpaceDE w:val="0"/>
              <w:autoSpaceDN w:val="0"/>
              <w:adjustRightInd w:val="0"/>
              <w:snapToGrid w:val="0"/>
              <w:ind w:leftChars="100" w:left="720" w:hangingChars="200" w:hanging="480"/>
              <w:rPr>
                <w:snapToGrid w:val="0"/>
                <w:sz w:val="24"/>
              </w:rPr>
            </w:pPr>
            <w:r w:rsidRPr="00E72213">
              <w:rPr>
                <w:rFonts w:hint="eastAsia"/>
                <w:snapToGrid w:val="0"/>
                <w:sz w:val="24"/>
                <w:u w:val="single"/>
              </w:rPr>
              <w:t>四</w:t>
            </w:r>
            <w:r w:rsidRPr="00E72213">
              <w:rPr>
                <w:rFonts w:hint="eastAsia"/>
                <w:snapToGrid w:val="0"/>
                <w:sz w:val="24"/>
              </w:rPr>
              <w:t>、</w:t>
            </w:r>
            <w:r w:rsidRPr="00E72213">
              <w:rPr>
                <w:snapToGrid w:val="0"/>
                <w:sz w:val="24"/>
              </w:rPr>
              <w:tab/>
            </w:r>
            <w:r w:rsidRPr="00E72213">
              <w:rPr>
                <w:rFonts w:hint="eastAsia"/>
                <w:snapToGrid w:val="0"/>
                <w:sz w:val="24"/>
              </w:rPr>
              <w:t>受益人大會決議或其他相關事項之公告申報，應於事實發生後二日內申報。</w:t>
            </w:r>
          </w:p>
          <w:p w:rsidR="000D683C" w:rsidRPr="00E72213" w:rsidRDefault="000D683C" w:rsidP="000D683C">
            <w:pPr>
              <w:pStyle w:val="af3"/>
              <w:tabs>
                <w:tab w:val="left" w:pos="727"/>
              </w:tabs>
              <w:kinsoku w:val="0"/>
              <w:overflowPunct w:val="0"/>
              <w:autoSpaceDE w:val="0"/>
              <w:autoSpaceDN w:val="0"/>
              <w:adjustRightInd w:val="0"/>
              <w:snapToGrid w:val="0"/>
              <w:ind w:leftChars="100" w:left="720" w:hangingChars="200" w:hanging="480"/>
              <w:rPr>
                <w:snapToGrid w:val="0"/>
                <w:sz w:val="24"/>
              </w:rPr>
            </w:pPr>
            <w:r w:rsidRPr="00E72213">
              <w:rPr>
                <w:rFonts w:hint="eastAsia"/>
                <w:snapToGrid w:val="0"/>
                <w:sz w:val="24"/>
                <w:u w:val="single"/>
              </w:rPr>
              <w:t>五</w:t>
            </w:r>
            <w:r w:rsidRPr="00E72213">
              <w:rPr>
                <w:rFonts w:hint="eastAsia"/>
                <w:snapToGrid w:val="0"/>
                <w:sz w:val="24"/>
              </w:rPr>
              <w:t>、</w:t>
            </w:r>
            <w:r w:rsidRPr="00E72213">
              <w:rPr>
                <w:snapToGrid w:val="0"/>
                <w:sz w:val="24"/>
              </w:rPr>
              <w:tab/>
            </w:r>
            <w:r w:rsidRPr="00E72213">
              <w:rPr>
                <w:rFonts w:hint="eastAsia"/>
                <w:snapToGrid w:val="0"/>
                <w:sz w:val="24"/>
              </w:rPr>
              <w:t>受益人名簿記載之停止變更期間或收益發放基</w:t>
            </w:r>
            <w:r w:rsidRPr="00E72213">
              <w:rPr>
                <w:rFonts w:hint="eastAsia"/>
                <w:snapToGrid w:val="0"/>
                <w:sz w:val="24"/>
              </w:rPr>
              <w:lastRenderedPageBreak/>
              <w:t>準日之公告，應於停止受益人名</w:t>
            </w:r>
            <w:proofErr w:type="gramStart"/>
            <w:r w:rsidRPr="00E72213">
              <w:rPr>
                <w:rFonts w:hint="eastAsia"/>
                <w:snapToGrid w:val="0"/>
                <w:sz w:val="24"/>
              </w:rPr>
              <w:t>簿</w:t>
            </w:r>
            <w:proofErr w:type="gramEnd"/>
            <w:r w:rsidRPr="00E72213">
              <w:rPr>
                <w:rFonts w:hint="eastAsia"/>
                <w:snapToGrid w:val="0"/>
                <w:sz w:val="24"/>
              </w:rPr>
              <w:t>變更日或發放基準日起算，至少十二</w:t>
            </w:r>
            <w:proofErr w:type="gramStart"/>
            <w:r w:rsidRPr="00E72213">
              <w:rPr>
                <w:rFonts w:hint="eastAsia"/>
                <w:snapToGrid w:val="0"/>
                <w:sz w:val="24"/>
              </w:rPr>
              <w:t>個</w:t>
            </w:r>
            <w:proofErr w:type="gramEnd"/>
            <w:r w:rsidRPr="00E72213">
              <w:rPr>
                <w:rFonts w:hint="eastAsia"/>
                <w:snapToGrid w:val="0"/>
                <w:sz w:val="24"/>
              </w:rPr>
              <w:t>營業日前申報；或僅先於前揭時間輸入其年度收益發放作業期</w:t>
            </w:r>
            <w:bookmarkStart w:id="1" w:name="_GoBack"/>
            <w:r w:rsidRPr="00E72213">
              <w:rPr>
                <w:rFonts w:hint="eastAsia"/>
                <w:snapToGrid w:val="0"/>
                <w:sz w:val="24"/>
              </w:rPr>
              <w:t>日</w:t>
            </w:r>
            <w:bookmarkEnd w:id="1"/>
            <w:r w:rsidRPr="00E72213">
              <w:rPr>
                <w:rFonts w:hint="eastAsia"/>
                <w:snapToGrid w:val="0"/>
                <w:sz w:val="24"/>
              </w:rPr>
              <w:t>，並</w:t>
            </w:r>
            <w:proofErr w:type="gramStart"/>
            <w:r w:rsidRPr="00E72213">
              <w:rPr>
                <w:rFonts w:hint="eastAsia"/>
                <w:snapToGrid w:val="0"/>
                <w:sz w:val="24"/>
              </w:rPr>
              <w:t>應於除息</w:t>
            </w:r>
            <w:proofErr w:type="gramEnd"/>
            <w:r w:rsidRPr="00E72213">
              <w:rPr>
                <w:rFonts w:hint="eastAsia"/>
                <w:snapToGrid w:val="0"/>
                <w:sz w:val="24"/>
              </w:rPr>
              <w:t>交易日前至少二個營業日，就其年度收益分配金額補行輸入。</w:t>
            </w:r>
          </w:p>
          <w:p w:rsidR="000D683C" w:rsidRPr="00E72213" w:rsidRDefault="000D683C" w:rsidP="000D683C">
            <w:pPr>
              <w:pStyle w:val="af3"/>
              <w:tabs>
                <w:tab w:val="left" w:pos="727"/>
              </w:tabs>
              <w:kinsoku w:val="0"/>
              <w:overflowPunct w:val="0"/>
              <w:autoSpaceDE w:val="0"/>
              <w:autoSpaceDN w:val="0"/>
              <w:adjustRightInd w:val="0"/>
              <w:snapToGrid w:val="0"/>
              <w:ind w:leftChars="100" w:left="720" w:hangingChars="200" w:hanging="480"/>
              <w:rPr>
                <w:snapToGrid w:val="0"/>
                <w:sz w:val="24"/>
              </w:rPr>
            </w:pPr>
            <w:r w:rsidRPr="00E72213">
              <w:rPr>
                <w:rFonts w:hint="eastAsia"/>
                <w:snapToGrid w:val="0"/>
                <w:sz w:val="24"/>
                <w:u w:val="single"/>
              </w:rPr>
              <w:t>六</w:t>
            </w:r>
            <w:r w:rsidRPr="00E72213">
              <w:rPr>
                <w:rFonts w:hint="eastAsia"/>
                <w:snapToGrid w:val="0"/>
                <w:sz w:val="24"/>
              </w:rPr>
              <w:t>、</w:t>
            </w:r>
            <w:r w:rsidRPr="00E72213">
              <w:rPr>
                <w:snapToGrid w:val="0"/>
                <w:sz w:val="24"/>
              </w:rPr>
              <w:tab/>
            </w:r>
            <w:r w:rsidRPr="00E72213">
              <w:rPr>
                <w:rFonts w:hint="eastAsia"/>
                <w:snapToGrid w:val="0"/>
                <w:sz w:val="24"/>
              </w:rPr>
              <w:t>指數股票型基金受益憑證申購或買回異動單位數及異動後之發行單位總數，應於發行人受理申購或買回日之次一營業日確認後申報。</w:t>
            </w:r>
          </w:p>
          <w:p w:rsidR="000D683C" w:rsidRPr="00E72213" w:rsidRDefault="000D683C" w:rsidP="000D683C">
            <w:pPr>
              <w:pStyle w:val="af3"/>
              <w:tabs>
                <w:tab w:val="left" w:pos="727"/>
              </w:tabs>
              <w:kinsoku w:val="0"/>
              <w:overflowPunct w:val="0"/>
              <w:autoSpaceDE w:val="0"/>
              <w:autoSpaceDN w:val="0"/>
              <w:adjustRightInd w:val="0"/>
              <w:snapToGrid w:val="0"/>
              <w:ind w:leftChars="100" w:left="720" w:hangingChars="200" w:hanging="480"/>
              <w:rPr>
                <w:snapToGrid w:val="0"/>
                <w:sz w:val="24"/>
              </w:rPr>
            </w:pPr>
            <w:r w:rsidRPr="00E72213">
              <w:rPr>
                <w:rFonts w:hint="eastAsia"/>
                <w:snapToGrid w:val="0"/>
                <w:sz w:val="24"/>
                <w:u w:val="single"/>
              </w:rPr>
              <w:t>七</w:t>
            </w:r>
            <w:r w:rsidRPr="00E72213">
              <w:rPr>
                <w:rFonts w:hint="eastAsia"/>
                <w:snapToGrid w:val="0"/>
                <w:sz w:val="24"/>
              </w:rPr>
              <w:t>、</w:t>
            </w:r>
            <w:r w:rsidRPr="00E72213">
              <w:rPr>
                <w:snapToGrid w:val="0"/>
                <w:sz w:val="24"/>
              </w:rPr>
              <w:tab/>
            </w:r>
            <w:r w:rsidRPr="00E72213">
              <w:rPr>
                <w:rFonts w:hint="eastAsia"/>
                <w:snapToGrid w:val="0"/>
                <w:sz w:val="24"/>
              </w:rPr>
              <w:t>符合本中心「對上櫃指數股票型基金之證券投資暨期貨信託事業重大訊息之查證暨公開處理程序」規範之重大訊息項目者，應於事實發生日或傳播媒體報導日之次一營業日交易時間開始前申報。</w:t>
            </w:r>
          </w:p>
          <w:p w:rsidR="000D683C" w:rsidRPr="00E72213" w:rsidRDefault="000D683C" w:rsidP="000B76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4" w:firstLine="10"/>
              <w:jc w:val="center"/>
              <w:rPr>
                <w:rFonts w:ascii="標楷體" w:eastAsia="標楷體" w:hAnsi="標楷體"/>
                <w:snapToGrid w:val="0"/>
                <w:szCs w:val="24"/>
              </w:rPr>
            </w:pPr>
            <w:r w:rsidRPr="00E72213">
              <w:rPr>
                <w:rFonts w:ascii="標楷體" w:eastAsia="標楷體" w:hAnsi="標楷體" w:hint="eastAsia"/>
                <w:snapToGrid w:val="0"/>
                <w:szCs w:val="24"/>
              </w:rPr>
              <w:t>（第二項及第三項略）</w:t>
            </w:r>
          </w:p>
          <w:p w:rsidR="000D683C" w:rsidRPr="00E72213" w:rsidRDefault="000D683C" w:rsidP="000D6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cs="細明體"/>
                <w:color w:val="FF0000"/>
                <w:u w:val="single"/>
              </w:rPr>
            </w:pPr>
          </w:p>
        </w:tc>
        <w:tc>
          <w:tcPr>
            <w:tcW w:w="3289" w:type="dxa"/>
          </w:tcPr>
          <w:p w:rsidR="000D683C" w:rsidRDefault="000D683C" w:rsidP="000D6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標楷體" w:eastAsia="標楷體" w:hAnsi="標楷體"/>
                <w:snapToGrid w:val="0"/>
                <w:szCs w:val="24"/>
              </w:rPr>
            </w:pPr>
            <w:r w:rsidRPr="00EF628C">
              <w:rPr>
                <w:rFonts w:ascii="標楷體" w:eastAsia="標楷體" w:hAnsi="標楷體" w:hint="eastAsia"/>
                <w:snapToGrid w:val="0"/>
                <w:kern w:val="0"/>
                <w:szCs w:val="24"/>
              </w:rPr>
              <w:lastRenderedPageBreak/>
              <w:t xml:space="preserve">第六條　</w:t>
            </w:r>
            <w:r w:rsidRPr="00EF628C">
              <w:rPr>
                <w:rFonts w:ascii="標楷體" w:eastAsia="標楷體" w:hAnsi="標楷體" w:hint="eastAsia"/>
                <w:snapToGrid w:val="0"/>
                <w:szCs w:val="24"/>
              </w:rPr>
              <w:t>發行人應依下列各款規定，</w:t>
            </w:r>
            <w:r w:rsidRPr="00EF628C">
              <w:rPr>
                <w:rFonts w:ascii="標楷體" w:eastAsia="標楷體" w:hAnsi="標楷體" w:cs="細明體" w:hint="eastAsia"/>
                <w:szCs w:val="24"/>
              </w:rPr>
              <w:t>透過</w:t>
            </w:r>
            <w:r w:rsidRPr="00EF628C">
              <w:rPr>
                <w:rFonts w:ascii="標楷體" w:eastAsia="標楷體" w:hAnsi="標楷體" w:hint="eastAsia"/>
                <w:snapToGrid w:val="0"/>
                <w:szCs w:val="24"/>
              </w:rPr>
              <w:t>本中心指定之網際網路資訊申報系統向本中心申報不定期公開資訊：</w:t>
            </w:r>
          </w:p>
          <w:p w:rsidR="000D683C" w:rsidRPr="002C74E8" w:rsidRDefault="000D683C" w:rsidP="002C74E8">
            <w:pPr>
              <w:pStyle w:val="af3"/>
              <w:tabs>
                <w:tab w:val="left" w:pos="727"/>
              </w:tabs>
              <w:kinsoku w:val="0"/>
              <w:overflowPunct w:val="0"/>
              <w:autoSpaceDE w:val="0"/>
              <w:autoSpaceDN w:val="0"/>
              <w:adjustRightInd w:val="0"/>
              <w:snapToGrid w:val="0"/>
              <w:ind w:leftChars="100" w:left="720" w:hangingChars="200" w:hanging="480"/>
              <w:jc w:val="center"/>
              <w:rPr>
                <w:snapToGrid w:val="0"/>
                <w:sz w:val="24"/>
              </w:rPr>
            </w:pPr>
            <w:r w:rsidRPr="002C74E8">
              <w:rPr>
                <w:rFonts w:hint="eastAsia"/>
                <w:snapToGrid w:val="0"/>
                <w:sz w:val="24"/>
              </w:rPr>
              <w:t>(本款新增)</w:t>
            </w:r>
          </w:p>
          <w:p w:rsidR="000D683C" w:rsidRPr="002C74E8" w:rsidRDefault="000D683C" w:rsidP="002C74E8">
            <w:pPr>
              <w:pStyle w:val="af3"/>
              <w:tabs>
                <w:tab w:val="left" w:pos="727"/>
              </w:tabs>
              <w:kinsoku w:val="0"/>
              <w:overflowPunct w:val="0"/>
              <w:autoSpaceDE w:val="0"/>
              <w:autoSpaceDN w:val="0"/>
              <w:adjustRightInd w:val="0"/>
              <w:snapToGrid w:val="0"/>
              <w:ind w:leftChars="100" w:left="720" w:hangingChars="200" w:hanging="480"/>
              <w:rPr>
                <w:snapToGrid w:val="0"/>
                <w:sz w:val="24"/>
              </w:rPr>
            </w:pPr>
          </w:p>
          <w:p w:rsidR="000D683C" w:rsidRPr="002C74E8" w:rsidRDefault="000D683C" w:rsidP="002C74E8">
            <w:pPr>
              <w:pStyle w:val="af3"/>
              <w:tabs>
                <w:tab w:val="left" w:pos="727"/>
              </w:tabs>
              <w:kinsoku w:val="0"/>
              <w:overflowPunct w:val="0"/>
              <w:autoSpaceDE w:val="0"/>
              <w:autoSpaceDN w:val="0"/>
              <w:adjustRightInd w:val="0"/>
              <w:snapToGrid w:val="0"/>
              <w:ind w:leftChars="100" w:left="720" w:hangingChars="200" w:hanging="480"/>
              <w:rPr>
                <w:snapToGrid w:val="0"/>
                <w:sz w:val="24"/>
              </w:rPr>
            </w:pPr>
          </w:p>
          <w:p w:rsidR="000D683C" w:rsidRPr="002C74E8" w:rsidRDefault="000D683C" w:rsidP="002C74E8">
            <w:pPr>
              <w:pStyle w:val="af3"/>
              <w:tabs>
                <w:tab w:val="left" w:pos="727"/>
              </w:tabs>
              <w:kinsoku w:val="0"/>
              <w:overflowPunct w:val="0"/>
              <w:autoSpaceDE w:val="0"/>
              <w:autoSpaceDN w:val="0"/>
              <w:adjustRightInd w:val="0"/>
              <w:snapToGrid w:val="0"/>
              <w:ind w:leftChars="100" w:left="720" w:hangingChars="200" w:hanging="480"/>
              <w:rPr>
                <w:snapToGrid w:val="0"/>
                <w:sz w:val="24"/>
              </w:rPr>
            </w:pPr>
          </w:p>
          <w:p w:rsidR="000D683C" w:rsidRDefault="000D683C" w:rsidP="002C74E8">
            <w:pPr>
              <w:pStyle w:val="af3"/>
              <w:tabs>
                <w:tab w:val="left" w:pos="727"/>
              </w:tabs>
              <w:kinsoku w:val="0"/>
              <w:overflowPunct w:val="0"/>
              <w:autoSpaceDE w:val="0"/>
              <w:autoSpaceDN w:val="0"/>
              <w:adjustRightInd w:val="0"/>
              <w:snapToGrid w:val="0"/>
              <w:ind w:leftChars="100" w:left="720" w:hangingChars="200" w:hanging="480"/>
              <w:rPr>
                <w:snapToGrid w:val="0"/>
                <w:sz w:val="24"/>
              </w:rPr>
            </w:pPr>
          </w:p>
          <w:p w:rsidR="002C74E8" w:rsidRPr="002C74E8" w:rsidRDefault="002C74E8" w:rsidP="002C74E8">
            <w:pPr>
              <w:pStyle w:val="af3"/>
              <w:tabs>
                <w:tab w:val="left" w:pos="727"/>
              </w:tabs>
              <w:kinsoku w:val="0"/>
              <w:overflowPunct w:val="0"/>
              <w:autoSpaceDE w:val="0"/>
              <w:autoSpaceDN w:val="0"/>
              <w:adjustRightInd w:val="0"/>
              <w:snapToGrid w:val="0"/>
              <w:ind w:leftChars="100" w:left="720" w:hangingChars="200" w:hanging="480"/>
              <w:rPr>
                <w:snapToGrid w:val="0"/>
                <w:sz w:val="24"/>
              </w:rPr>
            </w:pPr>
          </w:p>
          <w:p w:rsidR="000D683C" w:rsidRPr="002C74E8" w:rsidRDefault="000D683C" w:rsidP="002C74E8">
            <w:pPr>
              <w:pStyle w:val="af3"/>
              <w:tabs>
                <w:tab w:val="left" w:pos="727"/>
              </w:tabs>
              <w:kinsoku w:val="0"/>
              <w:overflowPunct w:val="0"/>
              <w:autoSpaceDE w:val="0"/>
              <w:autoSpaceDN w:val="0"/>
              <w:adjustRightInd w:val="0"/>
              <w:snapToGrid w:val="0"/>
              <w:ind w:leftChars="100" w:left="720" w:hangingChars="200" w:hanging="480"/>
              <w:rPr>
                <w:snapToGrid w:val="0"/>
                <w:sz w:val="24"/>
              </w:rPr>
            </w:pPr>
          </w:p>
          <w:p w:rsidR="000D683C" w:rsidRPr="002C74E8" w:rsidRDefault="000D683C" w:rsidP="002C74E8">
            <w:pPr>
              <w:pStyle w:val="af3"/>
              <w:tabs>
                <w:tab w:val="left" w:pos="727"/>
              </w:tabs>
              <w:kinsoku w:val="0"/>
              <w:overflowPunct w:val="0"/>
              <w:autoSpaceDE w:val="0"/>
              <w:autoSpaceDN w:val="0"/>
              <w:adjustRightInd w:val="0"/>
              <w:snapToGrid w:val="0"/>
              <w:ind w:leftChars="100" w:left="720" w:hangingChars="200" w:hanging="480"/>
              <w:jc w:val="center"/>
              <w:rPr>
                <w:snapToGrid w:val="0"/>
                <w:sz w:val="24"/>
              </w:rPr>
            </w:pPr>
            <w:r w:rsidRPr="002C74E8">
              <w:rPr>
                <w:rFonts w:hint="eastAsia"/>
                <w:snapToGrid w:val="0"/>
                <w:sz w:val="24"/>
              </w:rPr>
              <w:t>(本款新增)</w:t>
            </w:r>
          </w:p>
          <w:p w:rsidR="000D683C" w:rsidRPr="002C74E8" w:rsidRDefault="000D683C" w:rsidP="002C74E8">
            <w:pPr>
              <w:pStyle w:val="af3"/>
              <w:tabs>
                <w:tab w:val="left" w:pos="727"/>
              </w:tabs>
              <w:kinsoku w:val="0"/>
              <w:overflowPunct w:val="0"/>
              <w:autoSpaceDE w:val="0"/>
              <w:autoSpaceDN w:val="0"/>
              <w:adjustRightInd w:val="0"/>
              <w:snapToGrid w:val="0"/>
              <w:ind w:leftChars="100" w:left="720" w:hangingChars="200" w:hanging="480"/>
              <w:rPr>
                <w:snapToGrid w:val="0"/>
                <w:sz w:val="24"/>
              </w:rPr>
            </w:pPr>
          </w:p>
          <w:p w:rsidR="000D683C" w:rsidRDefault="000D683C" w:rsidP="002C74E8">
            <w:pPr>
              <w:pStyle w:val="af3"/>
              <w:tabs>
                <w:tab w:val="left" w:pos="727"/>
              </w:tabs>
              <w:kinsoku w:val="0"/>
              <w:overflowPunct w:val="0"/>
              <w:autoSpaceDE w:val="0"/>
              <w:autoSpaceDN w:val="0"/>
              <w:adjustRightInd w:val="0"/>
              <w:snapToGrid w:val="0"/>
              <w:ind w:leftChars="100" w:left="720" w:hangingChars="200" w:hanging="480"/>
              <w:rPr>
                <w:snapToGrid w:val="0"/>
                <w:sz w:val="24"/>
              </w:rPr>
            </w:pPr>
          </w:p>
          <w:p w:rsidR="002C74E8" w:rsidRPr="002C74E8" w:rsidRDefault="002C74E8" w:rsidP="002C74E8">
            <w:pPr>
              <w:pStyle w:val="af3"/>
              <w:tabs>
                <w:tab w:val="left" w:pos="727"/>
              </w:tabs>
              <w:kinsoku w:val="0"/>
              <w:overflowPunct w:val="0"/>
              <w:autoSpaceDE w:val="0"/>
              <w:autoSpaceDN w:val="0"/>
              <w:adjustRightInd w:val="0"/>
              <w:snapToGrid w:val="0"/>
              <w:ind w:leftChars="100" w:left="720" w:hangingChars="200" w:hanging="480"/>
              <w:rPr>
                <w:snapToGrid w:val="0"/>
                <w:sz w:val="24"/>
              </w:rPr>
            </w:pPr>
          </w:p>
          <w:p w:rsidR="0095097E" w:rsidRPr="002C74E8" w:rsidRDefault="0095097E" w:rsidP="002C74E8">
            <w:pPr>
              <w:pStyle w:val="af3"/>
              <w:tabs>
                <w:tab w:val="left" w:pos="727"/>
              </w:tabs>
              <w:kinsoku w:val="0"/>
              <w:overflowPunct w:val="0"/>
              <w:autoSpaceDE w:val="0"/>
              <w:autoSpaceDN w:val="0"/>
              <w:adjustRightInd w:val="0"/>
              <w:snapToGrid w:val="0"/>
              <w:ind w:leftChars="100" w:left="720" w:hangingChars="200" w:hanging="480"/>
              <w:rPr>
                <w:snapToGrid w:val="0"/>
                <w:sz w:val="24"/>
              </w:rPr>
            </w:pPr>
          </w:p>
          <w:p w:rsidR="000D683C" w:rsidRPr="002C74E8" w:rsidRDefault="000D683C" w:rsidP="002C74E8">
            <w:pPr>
              <w:pStyle w:val="af3"/>
              <w:tabs>
                <w:tab w:val="left" w:pos="727"/>
              </w:tabs>
              <w:kinsoku w:val="0"/>
              <w:overflowPunct w:val="0"/>
              <w:autoSpaceDE w:val="0"/>
              <w:autoSpaceDN w:val="0"/>
              <w:adjustRightInd w:val="0"/>
              <w:snapToGrid w:val="0"/>
              <w:ind w:leftChars="100" w:left="720" w:hangingChars="200" w:hanging="480"/>
              <w:rPr>
                <w:snapToGrid w:val="0"/>
                <w:sz w:val="24"/>
              </w:rPr>
            </w:pPr>
          </w:p>
          <w:p w:rsidR="000D683C" w:rsidRDefault="000D683C" w:rsidP="000D683C">
            <w:pPr>
              <w:pStyle w:val="af3"/>
              <w:tabs>
                <w:tab w:val="left" w:pos="727"/>
              </w:tabs>
              <w:kinsoku w:val="0"/>
              <w:overflowPunct w:val="0"/>
              <w:autoSpaceDE w:val="0"/>
              <w:autoSpaceDN w:val="0"/>
              <w:adjustRightInd w:val="0"/>
              <w:snapToGrid w:val="0"/>
              <w:ind w:leftChars="100" w:left="720" w:hangingChars="200" w:hanging="480"/>
              <w:rPr>
                <w:snapToGrid w:val="0"/>
                <w:sz w:val="24"/>
              </w:rPr>
            </w:pPr>
            <w:r w:rsidRPr="00A862BE">
              <w:rPr>
                <w:rFonts w:hint="eastAsia"/>
                <w:snapToGrid w:val="0"/>
                <w:sz w:val="24"/>
                <w:u w:val="single"/>
              </w:rPr>
              <w:t>一</w:t>
            </w:r>
            <w:r>
              <w:rPr>
                <w:rFonts w:hint="eastAsia"/>
                <w:snapToGrid w:val="0"/>
                <w:sz w:val="24"/>
              </w:rPr>
              <w:t>、</w:t>
            </w:r>
            <w:r>
              <w:rPr>
                <w:snapToGrid w:val="0"/>
                <w:sz w:val="24"/>
              </w:rPr>
              <w:tab/>
            </w:r>
            <w:r w:rsidRPr="00EF628C">
              <w:rPr>
                <w:rFonts w:hint="eastAsia"/>
                <w:snapToGrid w:val="0"/>
                <w:sz w:val="24"/>
              </w:rPr>
              <w:t>召開受益人大會有關事項之公告，應於停止受益人名</w:t>
            </w:r>
            <w:proofErr w:type="gramStart"/>
            <w:r w:rsidRPr="00EF628C">
              <w:rPr>
                <w:rFonts w:hint="eastAsia"/>
                <w:snapToGrid w:val="0"/>
                <w:sz w:val="24"/>
              </w:rPr>
              <w:t>簿</w:t>
            </w:r>
            <w:proofErr w:type="gramEnd"/>
            <w:r w:rsidRPr="00EF628C">
              <w:rPr>
                <w:rFonts w:hint="eastAsia"/>
                <w:snapToGrid w:val="0"/>
                <w:sz w:val="24"/>
              </w:rPr>
              <w:t>變更日前至少十二</w:t>
            </w:r>
            <w:proofErr w:type="gramStart"/>
            <w:r w:rsidRPr="00EF628C">
              <w:rPr>
                <w:rFonts w:hint="eastAsia"/>
                <w:snapToGrid w:val="0"/>
                <w:sz w:val="24"/>
              </w:rPr>
              <w:t>個</w:t>
            </w:r>
            <w:proofErr w:type="gramEnd"/>
            <w:r w:rsidRPr="00EF628C">
              <w:rPr>
                <w:rFonts w:hint="eastAsia"/>
                <w:snapToGrid w:val="0"/>
                <w:sz w:val="24"/>
              </w:rPr>
              <w:t>營業日申報。</w:t>
            </w:r>
          </w:p>
          <w:p w:rsidR="000D683C" w:rsidRPr="00EF628C" w:rsidRDefault="000D683C" w:rsidP="000D683C">
            <w:pPr>
              <w:pStyle w:val="af3"/>
              <w:tabs>
                <w:tab w:val="left" w:pos="727"/>
              </w:tabs>
              <w:kinsoku w:val="0"/>
              <w:overflowPunct w:val="0"/>
              <w:autoSpaceDE w:val="0"/>
              <w:autoSpaceDN w:val="0"/>
              <w:adjustRightInd w:val="0"/>
              <w:snapToGrid w:val="0"/>
              <w:ind w:leftChars="100" w:left="720" w:hangingChars="200" w:hanging="480"/>
              <w:rPr>
                <w:snapToGrid w:val="0"/>
                <w:sz w:val="24"/>
              </w:rPr>
            </w:pPr>
            <w:r w:rsidRPr="00A862BE">
              <w:rPr>
                <w:rFonts w:hint="eastAsia"/>
                <w:snapToGrid w:val="0"/>
                <w:sz w:val="24"/>
                <w:u w:val="single"/>
              </w:rPr>
              <w:t>二</w:t>
            </w:r>
            <w:r w:rsidRPr="00EF628C">
              <w:rPr>
                <w:rFonts w:hint="eastAsia"/>
                <w:snapToGrid w:val="0"/>
                <w:sz w:val="24"/>
              </w:rPr>
              <w:t>、</w:t>
            </w:r>
            <w:r>
              <w:rPr>
                <w:snapToGrid w:val="0"/>
                <w:sz w:val="24"/>
              </w:rPr>
              <w:tab/>
            </w:r>
            <w:r w:rsidRPr="00EF628C">
              <w:rPr>
                <w:rFonts w:hint="eastAsia"/>
                <w:snapToGrid w:val="0"/>
                <w:sz w:val="24"/>
              </w:rPr>
              <w:t>受益人大會決議或其他相關事項之公告</w:t>
            </w:r>
            <w:r w:rsidRPr="00FC5325">
              <w:rPr>
                <w:rFonts w:hint="eastAsia"/>
                <w:snapToGrid w:val="0"/>
                <w:sz w:val="24"/>
              </w:rPr>
              <w:t>申報</w:t>
            </w:r>
            <w:r w:rsidRPr="00EF628C">
              <w:rPr>
                <w:rFonts w:hint="eastAsia"/>
                <w:snapToGrid w:val="0"/>
                <w:sz w:val="24"/>
              </w:rPr>
              <w:t>，應於事實發生後二日內申報。</w:t>
            </w:r>
          </w:p>
          <w:p w:rsidR="000D683C" w:rsidRDefault="000D683C" w:rsidP="000D683C">
            <w:pPr>
              <w:pStyle w:val="af3"/>
              <w:tabs>
                <w:tab w:val="left" w:pos="727"/>
              </w:tabs>
              <w:kinsoku w:val="0"/>
              <w:overflowPunct w:val="0"/>
              <w:autoSpaceDE w:val="0"/>
              <w:autoSpaceDN w:val="0"/>
              <w:adjustRightInd w:val="0"/>
              <w:snapToGrid w:val="0"/>
              <w:ind w:leftChars="100" w:left="720" w:hangingChars="200" w:hanging="480"/>
              <w:rPr>
                <w:snapToGrid w:val="0"/>
                <w:sz w:val="24"/>
              </w:rPr>
            </w:pPr>
            <w:r w:rsidRPr="00A862BE">
              <w:rPr>
                <w:rFonts w:hint="eastAsia"/>
                <w:snapToGrid w:val="0"/>
                <w:sz w:val="24"/>
                <w:u w:val="single"/>
              </w:rPr>
              <w:t>三</w:t>
            </w:r>
            <w:r w:rsidRPr="00EF628C">
              <w:rPr>
                <w:rFonts w:hint="eastAsia"/>
                <w:snapToGrid w:val="0"/>
                <w:sz w:val="24"/>
              </w:rPr>
              <w:t>、</w:t>
            </w:r>
            <w:r>
              <w:rPr>
                <w:snapToGrid w:val="0"/>
                <w:sz w:val="24"/>
              </w:rPr>
              <w:tab/>
            </w:r>
            <w:r w:rsidRPr="00EF628C">
              <w:rPr>
                <w:rFonts w:hint="eastAsia"/>
                <w:snapToGrid w:val="0"/>
                <w:sz w:val="24"/>
              </w:rPr>
              <w:t>受益人名簿記載之停止變更期間或收益發放基</w:t>
            </w:r>
            <w:r w:rsidRPr="00EF628C">
              <w:rPr>
                <w:rFonts w:hint="eastAsia"/>
                <w:snapToGrid w:val="0"/>
                <w:sz w:val="24"/>
              </w:rPr>
              <w:lastRenderedPageBreak/>
              <w:t>準日之公告，應於停止受益人名</w:t>
            </w:r>
            <w:proofErr w:type="gramStart"/>
            <w:r w:rsidRPr="00EF628C">
              <w:rPr>
                <w:rFonts w:hint="eastAsia"/>
                <w:snapToGrid w:val="0"/>
                <w:sz w:val="24"/>
              </w:rPr>
              <w:t>簿</w:t>
            </w:r>
            <w:proofErr w:type="gramEnd"/>
            <w:r w:rsidRPr="00EF628C">
              <w:rPr>
                <w:rFonts w:hint="eastAsia"/>
                <w:snapToGrid w:val="0"/>
                <w:sz w:val="24"/>
              </w:rPr>
              <w:t>變更日或發放基準日起算，至少十二</w:t>
            </w:r>
            <w:proofErr w:type="gramStart"/>
            <w:r w:rsidRPr="00EF628C">
              <w:rPr>
                <w:rFonts w:hint="eastAsia"/>
                <w:snapToGrid w:val="0"/>
                <w:sz w:val="24"/>
              </w:rPr>
              <w:t>個</w:t>
            </w:r>
            <w:proofErr w:type="gramEnd"/>
            <w:r w:rsidRPr="00EF628C">
              <w:rPr>
                <w:rFonts w:hint="eastAsia"/>
                <w:snapToGrid w:val="0"/>
                <w:sz w:val="24"/>
              </w:rPr>
              <w:t>營業日前申報</w:t>
            </w:r>
            <w:r w:rsidRPr="00FC5325">
              <w:rPr>
                <w:rFonts w:hint="eastAsia"/>
                <w:snapToGrid w:val="0"/>
                <w:sz w:val="24"/>
              </w:rPr>
              <w:t>；或僅先於前揭時間輸入其年度收益發放作業期日，並</w:t>
            </w:r>
            <w:proofErr w:type="gramStart"/>
            <w:r w:rsidRPr="00FC5325">
              <w:rPr>
                <w:rFonts w:hint="eastAsia"/>
                <w:snapToGrid w:val="0"/>
                <w:sz w:val="24"/>
              </w:rPr>
              <w:t>應於除息</w:t>
            </w:r>
            <w:proofErr w:type="gramEnd"/>
            <w:r w:rsidRPr="00FC5325">
              <w:rPr>
                <w:rFonts w:hint="eastAsia"/>
                <w:snapToGrid w:val="0"/>
                <w:sz w:val="24"/>
              </w:rPr>
              <w:t>交易日前至少二個營業日，就其年度收益分配金額補行輸入</w:t>
            </w:r>
            <w:r w:rsidRPr="00EF628C">
              <w:rPr>
                <w:rFonts w:hint="eastAsia"/>
                <w:snapToGrid w:val="0"/>
                <w:sz w:val="24"/>
              </w:rPr>
              <w:t>。</w:t>
            </w:r>
          </w:p>
          <w:p w:rsidR="000D683C" w:rsidRPr="00EF628C" w:rsidRDefault="000D683C" w:rsidP="000D683C">
            <w:pPr>
              <w:pStyle w:val="af3"/>
              <w:tabs>
                <w:tab w:val="left" w:pos="727"/>
              </w:tabs>
              <w:kinsoku w:val="0"/>
              <w:overflowPunct w:val="0"/>
              <w:autoSpaceDE w:val="0"/>
              <w:autoSpaceDN w:val="0"/>
              <w:adjustRightInd w:val="0"/>
              <w:snapToGrid w:val="0"/>
              <w:ind w:leftChars="100" w:left="720" w:hangingChars="200" w:hanging="480"/>
              <w:rPr>
                <w:snapToGrid w:val="0"/>
                <w:sz w:val="24"/>
              </w:rPr>
            </w:pPr>
            <w:r w:rsidRPr="00A862BE">
              <w:rPr>
                <w:rFonts w:hint="eastAsia"/>
                <w:snapToGrid w:val="0"/>
                <w:sz w:val="24"/>
                <w:u w:val="single"/>
              </w:rPr>
              <w:t>四</w:t>
            </w:r>
            <w:r w:rsidRPr="00EF628C">
              <w:rPr>
                <w:rFonts w:hint="eastAsia"/>
                <w:snapToGrid w:val="0"/>
                <w:sz w:val="24"/>
              </w:rPr>
              <w:t>、</w:t>
            </w:r>
            <w:r>
              <w:rPr>
                <w:snapToGrid w:val="0"/>
                <w:sz w:val="24"/>
              </w:rPr>
              <w:tab/>
            </w:r>
            <w:r w:rsidRPr="00EF628C">
              <w:rPr>
                <w:rFonts w:hint="eastAsia"/>
                <w:snapToGrid w:val="0"/>
                <w:sz w:val="24"/>
              </w:rPr>
              <w:t>指數股票型基金受益憑證申購或買回異動單位數及異動後之發行單位總數，應於發行人受理申購或買回日之次一營業日確認後申報。</w:t>
            </w:r>
          </w:p>
          <w:p w:rsidR="000D683C" w:rsidRDefault="000D683C" w:rsidP="000D683C">
            <w:pPr>
              <w:pStyle w:val="af3"/>
              <w:tabs>
                <w:tab w:val="left" w:pos="727"/>
              </w:tabs>
              <w:kinsoku w:val="0"/>
              <w:overflowPunct w:val="0"/>
              <w:autoSpaceDE w:val="0"/>
              <w:autoSpaceDN w:val="0"/>
              <w:adjustRightInd w:val="0"/>
              <w:snapToGrid w:val="0"/>
              <w:ind w:leftChars="100" w:left="720" w:hangingChars="200" w:hanging="480"/>
              <w:rPr>
                <w:snapToGrid w:val="0"/>
                <w:sz w:val="24"/>
              </w:rPr>
            </w:pPr>
            <w:r w:rsidRPr="00A862BE">
              <w:rPr>
                <w:rFonts w:hint="eastAsia"/>
                <w:snapToGrid w:val="0"/>
                <w:sz w:val="24"/>
                <w:u w:val="single"/>
              </w:rPr>
              <w:t>五</w:t>
            </w:r>
            <w:r w:rsidRPr="00EF628C">
              <w:rPr>
                <w:rFonts w:hint="eastAsia"/>
                <w:snapToGrid w:val="0"/>
                <w:sz w:val="24"/>
              </w:rPr>
              <w:t>、</w:t>
            </w:r>
            <w:r>
              <w:rPr>
                <w:snapToGrid w:val="0"/>
                <w:sz w:val="24"/>
              </w:rPr>
              <w:tab/>
            </w:r>
            <w:r w:rsidRPr="00EF628C">
              <w:rPr>
                <w:rFonts w:hint="eastAsia"/>
                <w:snapToGrid w:val="0"/>
                <w:sz w:val="24"/>
              </w:rPr>
              <w:t>符合本中心「</w:t>
            </w:r>
            <w:r w:rsidRPr="00D11AA0">
              <w:rPr>
                <w:rFonts w:hint="eastAsia"/>
                <w:snapToGrid w:val="0"/>
                <w:sz w:val="24"/>
              </w:rPr>
              <w:t>對上櫃指數股票型基金</w:t>
            </w:r>
            <w:r w:rsidRPr="001A36C8">
              <w:rPr>
                <w:rFonts w:hint="eastAsia"/>
                <w:snapToGrid w:val="0"/>
                <w:sz w:val="24"/>
              </w:rPr>
              <w:t>之證券投資</w:t>
            </w:r>
            <w:r w:rsidRPr="00FC5325">
              <w:rPr>
                <w:rFonts w:hint="eastAsia"/>
                <w:snapToGrid w:val="0"/>
                <w:sz w:val="24"/>
              </w:rPr>
              <w:t>暨期貨</w:t>
            </w:r>
            <w:r w:rsidRPr="00D11AA0">
              <w:rPr>
                <w:rFonts w:hint="eastAsia"/>
                <w:snapToGrid w:val="0"/>
                <w:sz w:val="24"/>
              </w:rPr>
              <w:t>信託事業重大訊息之查證暨公開處理程序</w:t>
            </w:r>
            <w:r w:rsidRPr="00EF628C">
              <w:rPr>
                <w:rFonts w:hint="eastAsia"/>
                <w:snapToGrid w:val="0"/>
                <w:sz w:val="24"/>
              </w:rPr>
              <w:t>」規範之重大訊息項目者，應於事實發生日或傳播媒體報導日之次一營業日交易時間開始前申報。</w:t>
            </w:r>
          </w:p>
          <w:p w:rsidR="000D683C" w:rsidRPr="00EF628C" w:rsidRDefault="000D683C" w:rsidP="000B76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4" w:firstLine="10"/>
              <w:jc w:val="center"/>
              <w:rPr>
                <w:rFonts w:cs="細明體"/>
              </w:rPr>
            </w:pPr>
            <w:r w:rsidRPr="004B657D">
              <w:rPr>
                <w:rFonts w:ascii="標楷體" w:eastAsia="標楷體" w:hAnsi="標楷體" w:hint="eastAsia"/>
                <w:snapToGrid w:val="0"/>
                <w:szCs w:val="24"/>
              </w:rPr>
              <w:t>（第二項及第三項略）</w:t>
            </w:r>
          </w:p>
        </w:tc>
        <w:tc>
          <w:tcPr>
            <w:tcW w:w="3344" w:type="dxa"/>
            <w:hideMark/>
          </w:tcPr>
          <w:p w:rsidR="000D683C" w:rsidRPr="000D683C" w:rsidRDefault="000D683C" w:rsidP="000D683C">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0D683C">
              <w:rPr>
                <w:rFonts w:ascii="標楷體" w:eastAsia="標楷體" w:hAnsi="標楷體" w:hint="eastAsia"/>
                <w:szCs w:val="24"/>
              </w:rPr>
              <w:lastRenderedPageBreak/>
              <w:t>一、指數股票型基金於上櫃前一日應申報之資訊，係屬不定期申報資訊，</w:t>
            </w:r>
            <w:proofErr w:type="gramStart"/>
            <w:r w:rsidRPr="000D683C">
              <w:rPr>
                <w:rFonts w:ascii="標楷體" w:eastAsia="標楷體" w:hAnsi="標楷體" w:hint="eastAsia"/>
                <w:szCs w:val="24"/>
              </w:rPr>
              <w:t>爰</w:t>
            </w:r>
            <w:proofErr w:type="gramEnd"/>
            <w:r w:rsidRPr="000D683C">
              <w:rPr>
                <w:rFonts w:ascii="標楷體" w:eastAsia="標楷體" w:hAnsi="標楷體" w:hint="eastAsia"/>
                <w:szCs w:val="24"/>
              </w:rPr>
              <w:t>將第</w:t>
            </w:r>
            <w:r w:rsidR="003D5D07">
              <w:rPr>
                <w:rFonts w:ascii="標楷體" w:eastAsia="標楷體" w:hAnsi="標楷體" w:hint="eastAsia"/>
                <w:szCs w:val="24"/>
              </w:rPr>
              <w:t>五</w:t>
            </w:r>
            <w:r w:rsidRPr="000D683C">
              <w:rPr>
                <w:rFonts w:ascii="標楷體" w:eastAsia="標楷體" w:hAnsi="標楷體" w:hint="eastAsia"/>
                <w:szCs w:val="24"/>
              </w:rPr>
              <w:t>條第</w:t>
            </w:r>
            <w:r w:rsidR="003D5D07">
              <w:rPr>
                <w:rFonts w:ascii="標楷體" w:eastAsia="標楷體" w:hAnsi="標楷體" w:hint="eastAsia"/>
                <w:szCs w:val="24"/>
              </w:rPr>
              <w:t>一</w:t>
            </w:r>
            <w:r w:rsidRPr="000D683C">
              <w:rPr>
                <w:rFonts w:ascii="標楷體" w:eastAsia="標楷體" w:hAnsi="標楷體" w:hint="eastAsia"/>
                <w:szCs w:val="24"/>
              </w:rPr>
              <w:t>款</w:t>
            </w:r>
            <w:r w:rsidR="003D5D07">
              <w:rPr>
                <w:rFonts w:ascii="標楷體" w:eastAsia="標楷體" w:hAnsi="標楷體" w:hint="eastAsia"/>
                <w:szCs w:val="24"/>
              </w:rPr>
              <w:t>移列</w:t>
            </w:r>
            <w:r w:rsidRPr="000D683C">
              <w:rPr>
                <w:rFonts w:ascii="標楷體" w:eastAsia="標楷體" w:hAnsi="標楷體" w:hint="eastAsia"/>
                <w:szCs w:val="24"/>
              </w:rPr>
              <w:t>至第</w:t>
            </w:r>
            <w:r w:rsidR="003D5D07">
              <w:rPr>
                <w:rFonts w:ascii="標楷體" w:eastAsia="標楷體" w:hAnsi="標楷體" w:hint="eastAsia"/>
                <w:szCs w:val="24"/>
              </w:rPr>
              <w:t>六</w:t>
            </w:r>
            <w:r w:rsidRPr="000D683C">
              <w:rPr>
                <w:rFonts w:ascii="標楷體" w:eastAsia="標楷體" w:hAnsi="標楷體" w:hint="eastAsia"/>
                <w:szCs w:val="24"/>
              </w:rPr>
              <w:t>條第</w:t>
            </w:r>
            <w:r w:rsidR="003D5D07">
              <w:rPr>
                <w:rFonts w:ascii="標楷體" w:eastAsia="標楷體" w:hAnsi="標楷體" w:hint="eastAsia"/>
                <w:szCs w:val="24"/>
              </w:rPr>
              <w:t>一</w:t>
            </w:r>
            <w:r w:rsidRPr="000D683C">
              <w:rPr>
                <w:rFonts w:ascii="標楷體" w:eastAsia="標楷體" w:hAnsi="標楷體" w:hint="eastAsia"/>
                <w:szCs w:val="24"/>
              </w:rPr>
              <w:t>項第</w:t>
            </w:r>
            <w:r w:rsidR="003D5D07">
              <w:rPr>
                <w:rFonts w:ascii="標楷體" w:eastAsia="標楷體" w:hAnsi="標楷體" w:hint="eastAsia"/>
                <w:szCs w:val="24"/>
              </w:rPr>
              <w:t>一</w:t>
            </w:r>
            <w:r w:rsidRPr="000D683C">
              <w:rPr>
                <w:rFonts w:ascii="標楷體" w:eastAsia="標楷體" w:hAnsi="標楷體" w:hint="eastAsia"/>
                <w:szCs w:val="24"/>
              </w:rPr>
              <w:t>款，</w:t>
            </w:r>
            <w:proofErr w:type="gramStart"/>
            <w:r w:rsidR="0095097E">
              <w:rPr>
                <w:rFonts w:ascii="標楷體" w:eastAsia="標楷體" w:hAnsi="標楷體" w:hint="eastAsia"/>
                <w:szCs w:val="24"/>
              </w:rPr>
              <w:t>並酌</w:t>
            </w:r>
            <w:r w:rsidR="00A05D20">
              <w:rPr>
                <w:rFonts w:ascii="標楷體" w:eastAsia="標楷體" w:hAnsi="標楷體" w:hint="eastAsia"/>
                <w:szCs w:val="24"/>
              </w:rPr>
              <w:t>作</w:t>
            </w:r>
            <w:r w:rsidR="0095097E">
              <w:rPr>
                <w:rFonts w:ascii="標楷體" w:eastAsia="標楷體" w:hAnsi="標楷體" w:hint="eastAsia"/>
                <w:szCs w:val="24"/>
              </w:rPr>
              <w:t>文字</w:t>
            </w:r>
            <w:proofErr w:type="gramEnd"/>
            <w:r w:rsidR="003D5D07">
              <w:rPr>
                <w:rFonts w:ascii="標楷體" w:eastAsia="標楷體" w:hAnsi="標楷體" w:hint="eastAsia"/>
                <w:szCs w:val="24"/>
              </w:rPr>
              <w:t>修正</w:t>
            </w:r>
            <w:r w:rsidRPr="000D683C">
              <w:rPr>
                <w:rFonts w:ascii="標楷體" w:eastAsia="標楷體" w:hAnsi="標楷體" w:hint="eastAsia"/>
                <w:szCs w:val="24"/>
              </w:rPr>
              <w:t>。</w:t>
            </w:r>
          </w:p>
          <w:p w:rsidR="000D683C" w:rsidRPr="000D683C" w:rsidRDefault="000D683C" w:rsidP="000D683C">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rPr>
            </w:pPr>
            <w:r w:rsidRPr="000D683C">
              <w:rPr>
                <w:rFonts w:ascii="標楷體" w:eastAsia="標楷體" w:hAnsi="標楷體" w:hint="eastAsia"/>
                <w:szCs w:val="24"/>
              </w:rPr>
              <w:t>二、</w:t>
            </w:r>
            <w:r w:rsidRPr="000D683C">
              <w:rPr>
                <w:rFonts w:ascii="標楷體" w:eastAsia="標楷體" w:hAnsi="標楷體" w:hint="eastAsia"/>
                <w:szCs w:val="24"/>
              </w:rPr>
              <w:tab/>
              <w:t>為</w:t>
            </w:r>
            <w:r w:rsidR="002B6BFB">
              <w:rPr>
                <w:rFonts w:ascii="標楷體" w:eastAsia="標楷體" w:hAnsi="標楷體" w:hint="eastAsia"/>
                <w:szCs w:val="24"/>
              </w:rPr>
              <w:t>提高</w:t>
            </w:r>
            <w:r w:rsidRPr="000D683C">
              <w:rPr>
                <w:rFonts w:ascii="標楷體" w:eastAsia="標楷體" w:hAnsi="標楷體" w:hint="eastAsia"/>
                <w:szCs w:val="24"/>
              </w:rPr>
              <w:t>指數股票型基金僑外及大陸地區投資人投資持股情形</w:t>
            </w:r>
            <w:r w:rsidR="002B6BFB">
              <w:rPr>
                <w:rFonts w:ascii="標楷體" w:eastAsia="標楷體" w:hAnsi="標楷體" w:hint="eastAsia"/>
                <w:szCs w:val="24"/>
              </w:rPr>
              <w:t>之</w:t>
            </w:r>
            <w:r w:rsidRPr="000D683C">
              <w:rPr>
                <w:rFonts w:ascii="標楷體" w:eastAsia="標楷體" w:hAnsi="標楷體" w:hint="eastAsia"/>
                <w:szCs w:val="24"/>
              </w:rPr>
              <w:t>正確</w:t>
            </w:r>
            <w:r w:rsidR="002B6BFB">
              <w:rPr>
                <w:rFonts w:ascii="標楷體" w:eastAsia="標楷體" w:hAnsi="標楷體" w:hint="eastAsia"/>
                <w:szCs w:val="24"/>
              </w:rPr>
              <w:t>性</w:t>
            </w:r>
            <w:r w:rsidRPr="000D683C">
              <w:rPr>
                <w:rFonts w:ascii="標楷體" w:eastAsia="標楷體" w:hAnsi="標楷體" w:hint="eastAsia"/>
                <w:szCs w:val="24"/>
              </w:rPr>
              <w:t>，</w:t>
            </w:r>
            <w:proofErr w:type="gramStart"/>
            <w:r w:rsidRPr="000D683C">
              <w:rPr>
                <w:rFonts w:ascii="標楷體" w:eastAsia="標楷體" w:hAnsi="標楷體" w:hint="eastAsia"/>
                <w:szCs w:val="24"/>
              </w:rPr>
              <w:t>爰</w:t>
            </w:r>
            <w:proofErr w:type="gramEnd"/>
            <w:r w:rsidRPr="000D683C">
              <w:rPr>
                <w:rFonts w:ascii="標楷體" w:eastAsia="標楷體" w:hAnsi="標楷體" w:hint="eastAsia"/>
                <w:szCs w:val="24"/>
              </w:rPr>
              <w:t>增訂第</w:t>
            </w:r>
            <w:r w:rsidR="003D5D07">
              <w:rPr>
                <w:rFonts w:ascii="標楷體" w:eastAsia="標楷體" w:hAnsi="標楷體" w:hint="eastAsia"/>
                <w:szCs w:val="24"/>
              </w:rPr>
              <w:t>一</w:t>
            </w:r>
            <w:r w:rsidRPr="000D683C">
              <w:rPr>
                <w:rFonts w:ascii="標楷體" w:eastAsia="標楷體" w:hAnsi="標楷體" w:hint="eastAsia"/>
                <w:szCs w:val="24"/>
              </w:rPr>
              <w:t>項第</w:t>
            </w:r>
            <w:r w:rsidR="003D5D07">
              <w:rPr>
                <w:rFonts w:ascii="標楷體" w:eastAsia="標楷體" w:hAnsi="標楷體" w:hint="eastAsia"/>
                <w:szCs w:val="24"/>
              </w:rPr>
              <w:t>二</w:t>
            </w:r>
            <w:r w:rsidRPr="000D683C">
              <w:rPr>
                <w:rFonts w:ascii="標楷體" w:eastAsia="標楷體" w:hAnsi="標楷體" w:hint="eastAsia"/>
                <w:szCs w:val="24"/>
              </w:rPr>
              <w:t>款之規定，明</w:t>
            </w:r>
            <w:r w:rsidR="003D5D07">
              <w:rPr>
                <w:rFonts w:ascii="標楷體" w:eastAsia="標楷體" w:hAnsi="標楷體" w:hint="eastAsia"/>
                <w:szCs w:val="24"/>
              </w:rPr>
              <w:t>定</w:t>
            </w:r>
            <w:r w:rsidRPr="000D683C">
              <w:rPr>
                <w:rFonts w:ascii="標楷體" w:eastAsia="標楷體" w:hAnsi="標楷體" w:hint="eastAsia"/>
                <w:szCs w:val="24"/>
              </w:rPr>
              <w:t>指數股票型基金初次掛牌時，發行人應依僑外及大陸地區投資人投資持股情形申報作業之申報時限辦理申報。</w:t>
            </w:r>
          </w:p>
          <w:p w:rsidR="000D683C" w:rsidRPr="000F7816" w:rsidRDefault="000D683C" w:rsidP="003D5D07">
            <w:pPr>
              <w:widowControl/>
              <w:tabs>
                <w:tab w:val="left" w:pos="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szCs w:val="24"/>
                <w:highlight w:val="yellow"/>
              </w:rPr>
            </w:pPr>
            <w:r w:rsidRPr="000D683C">
              <w:rPr>
                <w:rFonts w:ascii="標楷體" w:eastAsia="標楷體" w:hAnsi="標楷體" w:hint="eastAsia"/>
                <w:szCs w:val="24"/>
              </w:rPr>
              <w:t>三、</w:t>
            </w:r>
            <w:r w:rsidRPr="000D683C">
              <w:rPr>
                <w:rFonts w:ascii="標楷體" w:eastAsia="標楷體" w:hAnsi="標楷體" w:hint="eastAsia"/>
                <w:szCs w:val="24"/>
              </w:rPr>
              <w:tab/>
            </w:r>
            <w:r w:rsidR="003D5D07">
              <w:rPr>
                <w:rFonts w:ascii="標楷體" w:eastAsia="標楷體" w:hAnsi="標楷體" w:hint="eastAsia"/>
                <w:szCs w:val="24"/>
              </w:rPr>
              <w:t>現行</w:t>
            </w:r>
            <w:r w:rsidRPr="000D683C">
              <w:rPr>
                <w:rFonts w:ascii="標楷體" w:eastAsia="標楷體" w:hAnsi="標楷體" w:hint="eastAsia"/>
                <w:szCs w:val="24"/>
              </w:rPr>
              <w:t>第</w:t>
            </w:r>
            <w:r w:rsidR="003D5D07">
              <w:rPr>
                <w:rFonts w:ascii="標楷體" w:eastAsia="標楷體" w:hAnsi="標楷體" w:hint="eastAsia"/>
                <w:szCs w:val="24"/>
              </w:rPr>
              <w:t>一</w:t>
            </w:r>
            <w:r w:rsidRPr="000D683C">
              <w:rPr>
                <w:rFonts w:ascii="標楷體" w:eastAsia="標楷體" w:hAnsi="標楷體" w:hint="eastAsia"/>
                <w:szCs w:val="24"/>
              </w:rPr>
              <w:t>項第</w:t>
            </w:r>
            <w:r w:rsidR="003D5D07">
              <w:rPr>
                <w:rFonts w:ascii="標楷體" w:eastAsia="標楷體" w:hAnsi="標楷體" w:hint="eastAsia"/>
                <w:szCs w:val="24"/>
              </w:rPr>
              <w:t>一</w:t>
            </w:r>
            <w:r w:rsidRPr="000D683C">
              <w:rPr>
                <w:rFonts w:ascii="標楷體" w:eastAsia="標楷體" w:hAnsi="標楷體" w:hint="eastAsia"/>
                <w:szCs w:val="24"/>
              </w:rPr>
              <w:t>款至第</w:t>
            </w:r>
            <w:r w:rsidR="003D5D07">
              <w:rPr>
                <w:rFonts w:ascii="標楷體" w:eastAsia="標楷體" w:hAnsi="標楷體" w:hint="eastAsia"/>
                <w:szCs w:val="24"/>
              </w:rPr>
              <w:t>五</w:t>
            </w:r>
            <w:r w:rsidRPr="000D683C">
              <w:rPr>
                <w:rFonts w:ascii="標楷體" w:eastAsia="標楷體" w:hAnsi="標楷體" w:hint="eastAsia"/>
                <w:szCs w:val="24"/>
              </w:rPr>
              <w:t>款</w:t>
            </w:r>
            <w:r w:rsidR="002B6BFB">
              <w:rPr>
                <w:rFonts w:ascii="標楷體" w:eastAsia="標楷體" w:hAnsi="標楷體" w:hint="eastAsia"/>
                <w:szCs w:val="24"/>
              </w:rPr>
              <w:t>移列</w:t>
            </w:r>
            <w:r w:rsidRPr="000D683C">
              <w:rPr>
                <w:rFonts w:ascii="標楷體" w:eastAsia="標楷體" w:hAnsi="標楷體" w:hint="eastAsia"/>
                <w:szCs w:val="24"/>
              </w:rPr>
              <w:t>為第</w:t>
            </w:r>
            <w:r w:rsidR="003D5D07">
              <w:rPr>
                <w:rFonts w:ascii="標楷體" w:eastAsia="標楷體" w:hAnsi="標楷體" w:hint="eastAsia"/>
                <w:szCs w:val="24"/>
              </w:rPr>
              <w:t>三</w:t>
            </w:r>
            <w:r w:rsidRPr="000D683C">
              <w:rPr>
                <w:rFonts w:ascii="標楷體" w:eastAsia="標楷體" w:hAnsi="標楷體" w:hint="eastAsia"/>
                <w:szCs w:val="24"/>
              </w:rPr>
              <w:t>款至第</w:t>
            </w:r>
            <w:r w:rsidR="003D5D07">
              <w:rPr>
                <w:rFonts w:ascii="標楷體" w:eastAsia="標楷體" w:hAnsi="標楷體" w:hint="eastAsia"/>
                <w:szCs w:val="24"/>
              </w:rPr>
              <w:t>七</w:t>
            </w:r>
            <w:r w:rsidRPr="000D683C">
              <w:rPr>
                <w:rFonts w:ascii="標楷體" w:eastAsia="標楷體" w:hAnsi="標楷體" w:hint="eastAsia"/>
                <w:szCs w:val="24"/>
              </w:rPr>
              <w:t>款。</w:t>
            </w:r>
          </w:p>
        </w:tc>
      </w:tr>
    </w:tbl>
    <w:p w:rsidR="000D4070" w:rsidRDefault="000D4070">
      <w:pPr>
        <w:widowControl/>
      </w:pPr>
    </w:p>
    <w:sectPr w:rsidR="000D4070" w:rsidSect="000B76CA">
      <w:headerReference w:type="default" r:id="rId8"/>
      <w:footerReference w:type="default" r:id="rId9"/>
      <w:pgSz w:w="11906" w:h="16838"/>
      <w:pgMar w:top="709" w:right="1134" w:bottom="1135" w:left="1134" w:header="567" w:footer="11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F82" w:rsidRDefault="00DD2F82" w:rsidP="00C10973">
      <w:r>
        <w:separator/>
      </w:r>
    </w:p>
  </w:endnote>
  <w:endnote w:type="continuationSeparator" w:id="0">
    <w:p w:rsidR="00DD2F82" w:rsidRDefault="00DD2F82" w:rsidP="00C1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研澤楷書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pPr>
      <w:pStyle w:val="a7"/>
      <w:jc w:val="center"/>
    </w:pPr>
    <w:r>
      <w:rPr>
        <w:rFonts w:hint="eastAsia"/>
      </w:rPr>
      <w:t>-</w:t>
    </w:r>
    <w:r>
      <w:fldChar w:fldCharType="begin"/>
    </w:r>
    <w:r>
      <w:instrText>PAGE   \* MERGEFORMAT</w:instrText>
    </w:r>
    <w:r>
      <w:fldChar w:fldCharType="separate"/>
    </w:r>
    <w:r w:rsidR="003F487E" w:rsidRPr="003F487E">
      <w:rPr>
        <w:noProof/>
        <w:lang w:val="zh-TW"/>
      </w:rPr>
      <w:t>4</w:t>
    </w:r>
    <w:r>
      <w:rPr>
        <w:noProof/>
        <w:lang w:val="zh-TW"/>
      </w:rPr>
      <w:fldChar w:fldCharType="end"/>
    </w:r>
    <w:r>
      <w:rPr>
        <w:rFonts w:hint="eastAsia"/>
      </w:rPr>
      <w:t>-</w:t>
    </w:r>
  </w:p>
  <w:p w:rsidR="008C5B49" w:rsidRDefault="008C5B49" w:rsidP="0006660F">
    <w:pPr>
      <w:pStyle w:val="a7"/>
      <w:jc w:val="center"/>
    </w:pPr>
  </w:p>
  <w:p w:rsidR="008C5B49" w:rsidRDefault="008C5B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F82" w:rsidRDefault="00DD2F82" w:rsidP="00C10973">
      <w:r>
        <w:separator/>
      </w:r>
    </w:p>
  </w:footnote>
  <w:footnote w:type="continuationSeparator" w:id="0">
    <w:p w:rsidR="00DD2F82" w:rsidRDefault="00DD2F82" w:rsidP="00C1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B49" w:rsidRDefault="008C5B49" w:rsidP="0006660F">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2E0E"/>
    <w:multiLevelType w:val="hybridMultilevel"/>
    <w:tmpl w:val="6B7AB1F2"/>
    <w:lvl w:ilvl="0" w:tplc="3F3EA3CC">
      <w:start w:val="1"/>
      <w:numFmt w:val="taiwaneseCountingThousand"/>
      <w:lvlText w:val="%1、"/>
      <w:lvlJc w:val="left"/>
      <w:pPr>
        <w:ind w:left="490" w:hanging="4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3A6BE1"/>
    <w:multiLevelType w:val="hybridMultilevel"/>
    <w:tmpl w:val="AFFCE10A"/>
    <w:lvl w:ilvl="0" w:tplc="1236FA3A">
      <w:start w:val="1"/>
      <w:numFmt w:val="taiwaneseCountingThousand"/>
      <w:lvlText w:val="(%1)"/>
      <w:lvlJc w:val="left"/>
      <w:pPr>
        <w:tabs>
          <w:tab w:val="num" w:pos="1021"/>
        </w:tabs>
        <w:ind w:left="1021" w:hanging="454"/>
      </w:pPr>
      <w:rPr>
        <w:rFonts w:eastAsia="標楷體" w:hint="eastAsia"/>
        <w:b w:val="0"/>
        <w:i w:val="0"/>
        <w:sz w:val="1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2875AEA"/>
    <w:multiLevelType w:val="hybridMultilevel"/>
    <w:tmpl w:val="E34462BA"/>
    <w:lvl w:ilvl="0" w:tplc="8000EE0C">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3" w15:restartNumberingAfterBreak="0">
    <w:nsid w:val="2BE77349"/>
    <w:multiLevelType w:val="hybridMultilevel"/>
    <w:tmpl w:val="5F769008"/>
    <w:lvl w:ilvl="0" w:tplc="0ABE80EC">
      <w:start w:val="1"/>
      <w:numFmt w:val="taiwaneseCountingThousand"/>
      <w:lvlText w:val="（%1）"/>
      <w:lvlJc w:val="left"/>
      <w:pPr>
        <w:ind w:left="960" w:hanging="72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abstractNum w:abstractNumId="4" w15:restartNumberingAfterBreak="0">
    <w:nsid w:val="5D4E47C4"/>
    <w:multiLevelType w:val="hybridMultilevel"/>
    <w:tmpl w:val="38581928"/>
    <w:lvl w:ilvl="0" w:tplc="88FE1B7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FFB678F"/>
    <w:multiLevelType w:val="hybridMultilevel"/>
    <w:tmpl w:val="35F0B73A"/>
    <w:lvl w:ilvl="0" w:tplc="2C565A5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FC33958"/>
    <w:multiLevelType w:val="hybridMultilevel"/>
    <w:tmpl w:val="C524819C"/>
    <w:lvl w:ilvl="0" w:tplc="D05E3766">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FD"/>
    <w:rsid w:val="000025D0"/>
    <w:rsid w:val="000051D4"/>
    <w:rsid w:val="00007F29"/>
    <w:rsid w:val="00011152"/>
    <w:rsid w:val="00012863"/>
    <w:rsid w:val="000135DF"/>
    <w:rsid w:val="00014EFF"/>
    <w:rsid w:val="000158AB"/>
    <w:rsid w:val="00015977"/>
    <w:rsid w:val="00017099"/>
    <w:rsid w:val="000171D8"/>
    <w:rsid w:val="00020CE2"/>
    <w:rsid w:val="00022CCA"/>
    <w:rsid w:val="000230C7"/>
    <w:rsid w:val="00023BA8"/>
    <w:rsid w:val="00023DAB"/>
    <w:rsid w:val="00025278"/>
    <w:rsid w:val="0003022C"/>
    <w:rsid w:val="000302AB"/>
    <w:rsid w:val="00030335"/>
    <w:rsid w:val="0003372A"/>
    <w:rsid w:val="00033DA7"/>
    <w:rsid w:val="00034DA0"/>
    <w:rsid w:val="00035524"/>
    <w:rsid w:val="00037214"/>
    <w:rsid w:val="0004039D"/>
    <w:rsid w:val="000405B6"/>
    <w:rsid w:val="000406DB"/>
    <w:rsid w:val="000413E5"/>
    <w:rsid w:val="000421E7"/>
    <w:rsid w:val="00042900"/>
    <w:rsid w:val="00042E78"/>
    <w:rsid w:val="00042F6C"/>
    <w:rsid w:val="0004338A"/>
    <w:rsid w:val="00043D77"/>
    <w:rsid w:val="000444B7"/>
    <w:rsid w:val="00044DA4"/>
    <w:rsid w:val="00045910"/>
    <w:rsid w:val="00045F7E"/>
    <w:rsid w:val="00046213"/>
    <w:rsid w:val="00046540"/>
    <w:rsid w:val="000465EA"/>
    <w:rsid w:val="00046B4C"/>
    <w:rsid w:val="000511CD"/>
    <w:rsid w:val="00052BFC"/>
    <w:rsid w:val="00053E6D"/>
    <w:rsid w:val="0005404C"/>
    <w:rsid w:val="00054855"/>
    <w:rsid w:val="000550D3"/>
    <w:rsid w:val="0005515D"/>
    <w:rsid w:val="000558AA"/>
    <w:rsid w:val="0005710E"/>
    <w:rsid w:val="000572A4"/>
    <w:rsid w:val="00061347"/>
    <w:rsid w:val="0006151F"/>
    <w:rsid w:val="00064419"/>
    <w:rsid w:val="00064A46"/>
    <w:rsid w:val="0006660F"/>
    <w:rsid w:val="0006749E"/>
    <w:rsid w:val="00067F1B"/>
    <w:rsid w:val="00070D5E"/>
    <w:rsid w:val="0007263C"/>
    <w:rsid w:val="00073F19"/>
    <w:rsid w:val="00075711"/>
    <w:rsid w:val="00075CFF"/>
    <w:rsid w:val="00076D68"/>
    <w:rsid w:val="00077ADD"/>
    <w:rsid w:val="00077B3C"/>
    <w:rsid w:val="000803EB"/>
    <w:rsid w:val="00081AE2"/>
    <w:rsid w:val="000844D7"/>
    <w:rsid w:val="00085FE0"/>
    <w:rsid w:val="00091B7B"/>
    <w:rsid w:val="00091FDB"/>
    <w:rsid w:val="00093644"/>
    <w:rsid w:val="000939B2"/>
    <w:rsid w:val="00096111"/>
    <w:rsid w:val="000A06DB"/>
    <w:rsid w:val="000A0821"/>
    <w:rsid w:val="000A09CE"/>
    <w:rsid w:val="000A14AF"/>
    <w:rsid w:val="000A1BB1"/>
    <w:rsid w:val="000A25CD"/>
    <w:rsid w:val="000A45B3"/>
    <w:rsid w:val="000A5E60"/>
    <w:rsid w:val="000B0CFA"/>
    <w:rsid w:val="000B19E4"/>
    <w:rsid w:val="000B65EF"/>
    <w:rsid w:val="000B6809"/>
    <w:rsid w:val="000B6B71"/>
    <w:rsid w:val="000B76CA"/>
    <w:rsid w:val="000C19BC"/>
    <w:rsid w:val="000C19C5"/>
    <w:rsid w:val="000C4750"/>
    <w:rsid w:val="000C4964"/>
    <w:rsid w:val="000C595B"/>
    <w:rsid w:val="000C6B15"/>
    <w:rsid w:val="000D0042"/>
    <w:rsid w:val="000D03FA"/>
    <w:rsid w:val="000D0BB7"/>
    <w:rsid w:val="000D1522"/>
    <w:rsid w:val="000D4070"/>
    <w:rsid w:val="000D4893"/>
    <w:rsid w:val="000D512F"/>
    <w:rsid w:val="000D54F3"/>
    <w:rsid w:val="000D612C"/>
    <w:rsid w:val="000D6299"/>
    <w:rsid w:val="000D683C"/>
    <w:rsid w:val="000D69D1"/>
    <w:rsid w:val="000D7E67"/>
    <w:rsid w:val="000E04F5"/>
    <w:rsid w:val="000E3C4F"/>
    <w:rsid w:val="000E576F"/>
    <w:rsid w:val="000E5830"/>
    <w:rsid w:val="000F046D"/>
    <w:rsid w:val="000F0818"/>
    <w:rsid w:val="000F0E72"/>
    <w:rsid w:val="000F36FB"/>
    <w:rsid w:val="000F55E4"/>
    <w:rsid w:val="000F70F8"/>
    <w:rsid w:val="000F7816"/>
    <w:rsid w:val="00100914"/>
    <w:rsid w:val="00101322"/>
    <w:rsid w:val="00103437"/>
    <w:rsid w:val="00103FFA"/>
    <w:rsid w:val="001042E1"/>
    <w:rsid w:val="001055A0"/>
    <w:rsid w:val="00105817"/>
    <w:rsid w:val="00105912"/>
    <w:rsid w:val="00105A25"/>
    <w:rsid w:val="0010776C"/>
    <w:rsid w:val="00111805"/>
    <w:rsid w:val="00112CEA"/>
    <w:rsid w:val="00113A08"/>
    <w:rsid w:val="00114B0F"/>
    <w:rsid w:val="00114DEB"/>
    <w:rsid w:val="00115A45"/>
    <w:rsid w:val="001200D9"/>
    <w:rsid w:val="0012017C"/>
    <w:rsid w:val="001205CB"/>
    <w:rsid w:val="0012202F"/>
    <w:rsid w:val="00122DAD"/>
    <w:rsid w:val="00123492"/>
    <w:rsid w:val="00123D9A"/>
    <w:rsid w:val="00124E51"/>
    <w:rsid w:val="001257FC"/>
    <w:rsid w:val="00126059"/>
    <w:rsid w:val="00131D26"/>
    <w:rsid w:val="0013429B"/>
    <w:rsid w:val="001342EE"/>
    <w:rsid w:val="00134991"/>
    <w:rsid w:val="00136362"/>
    <w:rsid w:val="001363E9"/>
    <w:rsid w:val="001416C4"/>
    <w:rsid w:val="00142836"/>
    <w:rsid w:val="00142F4E"/>
    <w:rsid w:val="00146FF6"/>
    <w:rsid w:val="00147524"/>
    <w:rsid w:val="001475AA"/>
    <w:rsid w:val="00147920"/>
    <w:rsid w:val="00150FFD"/>
    <w:rsid w:val="00151C18"/>
    <w:rsid w:val="00152155"/>
    <w:rsid w:val="001542E3"/>
    <w:rsid w:val="00154332"/>
    <w:rsid w:val="0015477B"/>
    <w:rsid w:val="00154D84"/>
    <w:rsid w:val="0015566A"/>
    <w:rsid w:val="00160CD7"/>
    <w:rsid w:val="00161D92"/>
    <w:rsid w:val="00163CAB"/>
    <w:rsid w:val="00164A80"/>
    <w:rsid w:val="001669C6"/>
    <w:rsid w:val="001679C8"/>
    <w:rsid w:val="00172772"/>
    <w:rsid w:val="00172F09"/>
    <w:rsid w:val="00174D68"/>
    <w:rsid w:val="00175829"/>
    <w:rsid w:val="00177075"/>
    <w:rsid w:val="0017715E"/>
    <w:rsid w:val="0018070C"/>
    <w:rsid w:val="00184447"/>
    <w:rsid w:val="00185B05"/>
    <w:rsid w:val="00185BF7"/>
    <w:rsid w:val="00186322"/>
    <w:rsid w:val="00187729"/>
    <w:rsid w:val="001900BC"/>
    <w:rsid w:val="001909EE"/>
    <w:rsid w:val="001917C9"/>
    <w:rsid w:val="0019266E"/>
    <w:rsid w:val="001964AA"/>
    <w:rsid w:val="001968F9"/>
    <w:rsid w:val="001A1060"/>
    <w:rsid w:val="001A22B4"/>
    <w:rsid w:val="001A3137"/>
    <w:rsid w:val="001A3851"/>
    <w:rsid w:val="001A4639"/>
    <w:rsid w:val="001A51EF"/>
    <w:rsid w:val="001A555D"/>
    <w:rsid w:val="001A632B"/>
    <w:rsid w:val="001A6AA7"/>
    <w:rsid w:val="001A6C0F"/>
    <w:rsid w:val="001B11FC"/>
    <w:rsid w:val="001B387C"/>
    <w:rsid w:val="001B4C94"/>
    <w:rsid w:val="001B5EE9"/>
    <w:rsid w:val="001B6333"/>
    <w:rsid w:val="001B7C61"/>
    <w:rsid w:val="001C043A"/>
    <w:rsid w:val="001C07D9"/>
    <w:rsid w:val="001C0AB3"/>
    <w:rsid w:val="001C2FB3"/>
    <w:rsid w:val="001C32C8"/>
    <w:rsid w:val="001C3C26"/>
    <w:rsid w:val="001C4B89"/>
    <w:rsid w:val="001C61C7"/>
    <w:rsid w:val="001C721F"/>
    <w:rsid w:val="001C7570"/>
    <w:rsid w:val="001D0222"/>
    <w:rsid w:val="001D0869"/>
    <w:rsid w:val="001D1528"/>
    <w:rsid w:val="001D21BF"/>
    <w:rsid w:val="001D3C81"/>
    <w:rsid w:val="001D463E"/>
    <w:rsid w:val="001D6FB3"/>
    <w:rsid w:val="001E1EE7"/>
    <w:rsid w:val="001E209E"/>
    <w:rsid w:val="001E217A"/>
    <w:rsid w:val="001E2DDF"/>
    <w:rsid w:val="001E3242"/>
    <w:rsid w:val="001E3482"/>
    <w:rsid w:val="001E4AD2"/>
    <w:rsid w:val="001E5286"/>
    <w:rsid w:val="001E63B7"/>
    <w:rsid w:val="001E6728"/>
    <w:rsid w:val="001E75AE"/>
    <w:rsid w:val="001F1BB9"/>
    <w:rsid w:val="001F201B"/>
    <w:rsid w:val="001F3A5C"/>
    <w:rsid w:val="001F4E71"/>
    <w:rsid w:val="001F5506"/>
    <w:rsid w:val="001F5AC5"/>
    <w:rsid w:val="001F604F"/>
    <w:rsid w:val="00200EA2"/>
    <w:rsid w:val="002011AA"/>
    <w:rsid w:val="00201A22"/>
    <w:rsid w:val="00203BAE"/>
    <w:rsid w:val="002053A0"/>
    <w:rsid w:val="00205D0A"/>
    <w:rsid w:val="0020606D"/>
    <w:rsid w:val="0020681E"/>
    <w:rsid w:val="002072E5"/>
    <w:rsid w:val="002156CF"/>
    <w:rsid w:val="00215D29"/>
    <w:rsid w:val="00216838"/>
    <w:rsid w:val="00216ADF"/>
    <w:rsid w:val="00216CFB"/>
    <w:rsid w:val="00220436"/>
    <w:rsid w:val="00221B98"/>
    <w:rsid w:val="00221EDD"/>
    <w:rsid w:val="00222B93"/>
    <w:rsid w:val="00223E33"/>
    <w:rsid w:val="002247FF"/>
    <w:rsid w:val="002249D0"/>
    <w:rsid w:val="00224C4E"/>
    <w:rsid w:val="00225494"/>
    <w:rsid w:val="00226ECC"/>
    <w:rsid w:val="0023375C"/>
    <w:rsid w:val="002342EE"/>
    <w:rsid w:val="0023433C"/>
    <w:rsid w:val="0023525F"/>
    <w:rsid w:val="00235E0D"/>
    <w:rsid w:val="00237A95"/>
    <w:rsid w:val="00237D70"/>
    <w:rsid w:val="00240159"/>
    <w:rsid w:val="00242DC5"/>
    <w:rsid w:val="00245311"/>
    <w:rsid w:val="00245F3A"/>
    <w:rsid w:val="00245F80"/>
    <w:rsid w:val="002467CB"/>
    <w:rsid w:val="00246F46"/>
    <w:rsid w:val="0025211C"/>
    <w:rsid w:val="00253BA1"/>
    <w:rsid w:val="00254250"/>
    <w:rsid w:val="00255673"/>
    <w:rsid w:val="002573DD"/>
    <w:rsid w:val="0026047C"/>
    <w:rsid w:val="0026054A"/>
    <w:rsid w:val="0026126C"/>
    <w:rsid w:val="00261813"/>
    <w:rsid w:val="00261F8A"/>
    <w:rsid w:val="00263159"/>
    <w:rsid w:val="00264DB0"/>
    <w:rsid w:val="002653EB"/>
    <w:rsid w:val="00265D0C"/>
    <w:rsid w:val="00267320"/>
    <w:rsid w:val="002707A3"/>
    <w:rsid w:val="0027147B"/>
    <w:rsid w:val="00272779"/>
    <w:rsid w:val="00273FE8"/>
    <w:rsid w:val="002743E3"/>
    <w:rsid w:val="002747E2"/>
    <w:rsid w:val="00276789"/>
    <w:rsid w:val="00276FDF"/>
    <w:rsid w:val="00277784"/>
    <w:rsid w:val="00277D11"/>
    <w:rsid w:val="00280E67"/>
    <w:rsid w:val="002829DF"/>
    <w:rsid w:val="0028310C"/>
    <w:rsid w:val="00283D30"/>
    <w:rsid w:val="00283DF0"/>
    <w:rsid w:val="0028444D"/>
    <w:rsid w:val="002849EA"/>
    <w:rsid w:val="00284EAC"/>
    <w:rsid w:val="002852A1"/>
    <w:rsid w:val="00286F2A"/>
    <w:rsid w:val="002871FD"/>
    <w:rsid w:val="002930F9"/>
    <w:rsid w:val="0029415F"/>
    <w:rsid w:val="002944EB"/>
    <w:rsid w:val="00296C01"/>
    <w:rsid w:val="002A2708"/>
    <w:rsid w:val="002A33BF"/>
    <w:rsid w:val="002B10D0"/>
    <w:rsid w:val="002B1702"/>
    <w:rsid w:val="002B19DD"/>
    <w:rsid w:val="002B1C2B"/>
    <w:rsid w:val="002B1DA4"/>
    <w:rsid w:val="002B280A"/>
    <w:rsid w:val="002B31FF"/>
    <w:rsid w:val="002B336C"/>
    <w:rsid w:val="002B3C27"/>
    <w:rsid w:val="002B4C0B"/>
    <w:rsid w:val="002B6BFB"/>
    <w:rsid w:val="002C000D"/>
    <w:rsid w:val="002C143C"/>
    <w:rsid w:val="002C1FEF"/>
    <w:rsid w:val="002C263E"/>
    <w:rsid w:val="002C29E4"/>
    <w:rsid w:val="002C2DBA"/>
    <w:rsid w:val="002C3744"/>
    <w:rsid w:val="002C38C5"/>
    <w:rsid w:val="002C3D3E"/>
    <w:rsid w:val="002C5F2D"/>
    <w:rsid w:val="002C6A87"/>
    <w:rsid w:val="002C74E8"/>
    <w:rsid w:val="002C79D6"/>
    <w:rsid w:val="002D06A2"/>
    <w:rsid w:val="002D0A76"/>
    <w:rsid w:val="002D0A9B"/>
    <w:rsid w:val="002D145C"/>
    <w:rsid w:val="002D3A72"/>
    <w:rsid w:val="002D4322"/>
    <w:rsid w:val="002D4599"/>
    <w:rsid w:val="002D4AD0"/>
    <w:rsid w:val="002D5065"/>
    <w:rsid w:val="002D5E32"/>
    <w:rsid w:val="002D61BE"/>
    <w:rsid w:val="002D7384"/>
    <w:rsid w:val="002D7B50"/>
    <w:rsid w:val="002E04F2"/>
    <w:rsid w:val="002E18D5"/>
    <w:rsid w:val="002E20CF"/>
    <w:rsid w:val="002E2E0D"/>
    <w:rsid w:val="002E31C6"/>
    <w:rsid w:val="002E3A6A"/>
    <w:rsid w:val="002E4648"/>
    <w:rsid w:val="002E604C"/>
    <w:rsid w:val="002E6D1A"/>
    <w:rsid w:val="002E7D45"/>
    <w:rsid w:val="002F0D08"/>
    <w:rsid w:val="002F13F5"/>
    <w:rsid w:val="002F20D7"/>
    <w:rsid w:val="002F3268"/>
    <w:rsid w:val="002F4661"/>
    <w:rsid w:val="002F5C9F"/>
    <w:rsid w:val="00301889"/>
    <w:rsid w:val="00302747"/>
    <w:rsid w:val="0030339B"/>
    <w:rsid w:val="003038DB"/>
    <w:rsid w:val="00304950"/>
    <w:rsid w:val="00305D38"/>
    <w:rsid w:val="003063F7"/>
    <w:rsid w:val="0031138A"/>
    <w:rsid w:val="00311DC5"/>
    <w:rsid w:val="00315552"/>
    <w:rsid w:val="00315E14"/>
    <w:rsid w:val="00316101"/>
    <w:rsid w:val="003169A5"/>
    <w:rsid w:val="003175EE"/>
    <w:rsid w:val="00317C0A"/>
    <w:rsid w:val="00317E19"/>
    <w:rsid w:val="003206CF"/>
    <w:rsid w:val="00320A81"/>
    <w:rsid w:val="00321858"/>
    <w:rsid w:val="003218A5"/>
    <w:rsid w:val="003228CA"/>
    <w:rsid w:val="00322A63"/>
    <w:rsid w:val="00323A9D"/>
    <w:rsid w:val="00325541"/>
    <w:rsid w:val="0032643E"/>
    <w:rsid w:val="00326B06"/>
    <w:rsid w:val="00330356"/>
    <w:rsid w:val="0033113B"/>
    <w:rsid w:val="00331888"/>
    <w:rsid w:val="00333633"/>
    <w:rsid w:val="00333ECC"/>
    <w:rsid w:val="00334DB6"/>
    <w:rsid w:val="00335B1D"/>
    <w:rsid w:val="00336C55"/>
    <w:rsid w:val="0033740F"/>
    <w:rsid w:val="00337F20"/>
    <w:rsid w:val="00340CFD"/>
    <w:rsid w:val="003424FD"/>
    <w:rsid w:val="003434C7"/>
    <w:rsid w:val="003451D8"/>
    <w:rsid w:val="0034592A"/>
    <w:rsid w:val="0034651E"/>
    <w:rsid w:val="003470B1"/>
    <w:rsid w:val="00353529"/>
    <w:rsid w:val="00353DF2"/>
    <w:rsid w:val="00354EB1"/>
    <w:rsid w:val="00355237"/>
    <w:rsid w:val="00356130"/>
    <w:rsid w:val="00356495"/>
    <w:rsid w:val="00357BDC"/>
    <w:rsid w:val="00360116"/>
    <w:rsid w:val="00360456"/>
    <w:rsid w:val="00361C9B"/>
    <w:rsid w:val="00362801"/>
    <w:rsid w:val="00364876"/>
    <w:rsid w:val="00364F47"/>
    <w:rsid w:val="00365E52"/>
    <w:rsid w:val="003670E4"/>
    <w:rsid w:val="003674EC"/>
    <w:rsid w:val="00367650"/>
    <w:rsid w:val="00367EDC"/>
    <w:rsid w:val="00370913"/>
    <w:rsid w:val="0037169B"/>
    <w:rsid w:val="00373F51"/>
    <w:rsid w:val="00375562"/>
    <w:rsid w:val="00375968"/>
    <w:rsid w:val="003764E2"/>
    <w:rsid w:val="00377234"/>
    <w:rsid w:val="00377DA1"/>
    <w:rsid w:val="00381167"/>
    <w:rsid w:val="003829A8"/>
    <w:rsid w:val="003829E4"/>
    <w:rsid w:val="003844EB"/>
    <w:rsid w:val="003849C6"/>
    <w:rsid w:val="003853C4"/>
    <w:rsid w:val="00385D60"/>
    <w:rsid w:val="0039011A"/>
    <w:rsid w:val="00390FCE"/>
    <w:rsid w:val="00395B23"/>
    <w:rsid w:val="00396777"/>
    <w:rsid w:val="00396EE1"/>
    <w:rsid w:val="003A0D11"/>
    <w:rsid w:val="003A1B50"/>
    <w:rsid w:val="003A268A"/>
    <w:rsid w:val="003A3AA6"/>
    <w:rsid w:val="003A3D60"/>
    <w:rsid w:val="003A47C1"/>
    <w:rsid w:val="003A5B94"/>
    <w:rsid w:val="003A72E9"/>
    <w:rsid w:val="003A7E5D"/>
    <w:rsid w:val="003B0FB5"/>
    <w:rsid w:val="003B1159"/>
    <w:rsid w:val="003B1EA8"/>
    <w:rsid w:val="003B43F1"/>
    <w:rsid w:val="003B507F"/>
    <w:rsid w:val="003C0A52"/>
    <w:rsid w:val="003C1078"/>
    <w:rsid w:val="003C2897"/>
    <w:rsid w:val="003C43D9"/>
    <w:rsid w:val="003C5B20"/>
    <w:rsid w:val="003C6405"/>
    <w:rsid w:val="003C6697"/>
    <w:rsid w:val="003D342E"/>
    <w:rsid w:val="003D3D42"/>
    <w:rsid w:val="003D5D07"/>
    <w:rsid w:val="003D6B5C"/>
    <w:rsid w:val="003D6F9C"/>
    <w:rsid w:val="003E0378"/>
    <w:rsid w:val="003E0C82"/>
    <w:rsid w:val="003E2F23"/>
    <w:rsid w:val="003E469B"/>
    <w:rsid w:val="003E511E"/>
    <w:rsid w:val="003E62FE"/>
    <w:rsid w:val="003E63D3"/>
    <w:rsid w:val="003E7AD3"/>
    <w:rsid w:val="003F01E7"/>
    <w:rsid w:val="003F07A3"/>
    <w:rsid w:val="003F0A65"/>
    <w:rsid w:val="003F487E"/>
    <w:rsid w:val="003F6E06"/>
    <w:rsid w:val="003F6EB0"/>
    <w:rsid w:val="00403335"/>
    <w:rsid w:val="00404658"/>
    <w:rsid w:val="00404DBD"/>
    <w:rsid w:val="004072A2"/>
    <w:rsid w:val="00410221"/>
    <w:rsid w:val="00410525"/>
    <w:rsid w:val="00410B48"/>
    <w:rsid w:val="00411423"/>
    <w:rsid w:val="00412672"/>
    <w:rsid w:val="00413D71"/>
    <w:rsid w:val="004143C4"/>
    <w:rsid w:val="00414ADC"/>
    <w:rsid w:val="00415C97"/>
    <w:rsid w:val="0041697C"/>
    <w:rsid w:val="004170FD"/>
    <w:rsid w:val="00422837"/>
    <w:rsid w:val="004229B9"/>
    <w:rsid w:val="0042315E"/>
    <w:rsid w:val="00423767"/>
    <w:rsid w:val="00423978"/>
    <w:rsid w:val="00425819"/>
    <w:rsid w:val="004279CC"/>
    <w:rsid w:val="00431DF4"/>
    <w:rsid w:val="00432976"/>
    <w:rsid w:val="00432D02"/>
    <w:rsid w:val="00434948"/>
    <w:rsid w:val="00434A6C"/>
    <w:rsid w:val="00434DBA"/>
    <w:rsid w:val="00435004"/>
    <w:rsid w:val="00435049"/>
    <w:rsid w:val="004356AD"/>
    <w:rsid w:val="00436F0C"/>
    <w:rsid w:val="004378F2"/>
    <w:rsid w:val="00437D31"/>
    <w:rsid w:val="00437DE5"/>
    <w:rsid w:val="00440EF8"/>
    <w:rsid w:val="0044221C"/>
    <w:rsid w:val="00443A6C"/>
    <w:rsid w:val="00444543"/>
    <w:rsid w:val="004448EB"/>
    <w:rsid w:val="00444F44"/>
    <w:rsid w:val="004459A2"/>
    <w:rsid w:val="0044722B"/>
    <w:rsid w:val="00452E6F"/>
    <w:rsid w:val="0045417F"/>
    <w:rsid w:val="004547F8"/>
    <w:rsid w:val="004555B8"/>
    <w:rsid w:val="00457174"/>
    <w:rsid w:val="004608C2"/>
    <w:rsid w:val="00462218"/>
    <w:rsid w:val="00462ABA"/>
    <w:rsid w:val="004647E7"/>
    <w:rsid w:val="00465922"/>
    <w:rsid w:val="0046647A"/>
    <w:rsid w:val="0046698B"/>
    <w:rsid w:val="00467B8F"/>
    <w:rsid w:val="004718A9"/>
    <w:rsid w:val="00472E71"/>
    <w:rsid w:val="0047646A"/>
    <w:rsid w:val="00476F13"/>
    <w:rsid w:val="0048095D"/>
    <w:rsid w:val="00480C40"/>
    <w:rsid w:val="0048117F"/>
    <w:rsid w:val="0048120D"/>
    <w:rsid w:val="00481815"/>
    <w:rsid w:val="004834F8"/>
    <w:rsid w:val="0048554A"/>
    <w:rsid w:val="00485942"/>
    <w:rsid w:val="00486FE1"/>
    <w:rsid w:val="00487AE7"/>
    <w:rsid w:val="004918D5"/>
    <w:rsid w:val="00492AD9"/>
    <w:rsid w:val="00492D67"/>
    <w:rsid w:val="00492FCE"/>
    <w:rsid w:val="0049372A"/>
    <w:rsid w:val="004964BF"/>
    <w:rsid w:val="00497430"/>
    <w:rsid w:val="004A0C33"/>
    <w:rsid w:val="004A496E"/>
    <w:rsid w:val="004A4CD3"/>
    <w:rsid w:val="004A52E5"/>
    <w:rsid w:val="004A5F9C"/>
    <w:rsid w:val="004B0F2C"/>
    <w:rsid w:val="004B1346"/>
    <w:rsid w:val="004B1C2B"/>
    <w:rsid w:val="004B2589"/>
    <w:rsid w:val="004B2990"/>
    <w:rsid w:val="004B348C"/>
    <w:rsid w:val="004B34C5"/>
    <w:rsid w:val="004B45B2"/>
    <w:rsid w:val="004B677B"/>
    <w:rsid w:val="004C2727"/>
    <w:rsid w:val="004C2D87"/>
    <w:rsid w:val="004C2FD4"/>
    <w:rsid w:val="004C4927"/>
    <w:rsid w:val="004C53EF"/>
    <w:rsid w:val="004C6418"/>
    <w:rsid w:val="004C70E3"/>
    <w:rsid w:val="004D08F8"/>
    <w:rsid w:val="004D0C5E"/>
    <w:rsid w:val="004D17E2"/>
    <w:rsid w:val="004D24D5"/>
    <w:rsid w:val="004D2F38"/>
    <w:rsid w:val="004D4305"/>
    <w:rsid w:val="004D4EAF"/>
    <w:rsid w:val="004D66B6"/>
    <w:rsid w:val="004D6BC6"/>
    <w:rsid w:val="004E05CE"/>
    <w:rsid w:val="004E0B60"/>
    <w:rsid w:val="004E1092"/>
    <w:rsid w:val="004E2879"/>
    <w:rsid w:val="004E2D7F"/>
    <w:rsid w:val="004E323A"/>
    <w:rsid w:val="004E56D9"/>
    <w:rsid w:val="004E5771"/>
    <w:rsid w:val="004F52A4"/>
    <w:rsid w:val="004F59E3"/>
    <w:rsid w:val="004F6B48"/>
    <w:rsid w:val="004F74E4"/>
    <w:rsid w:val="004F750F"/>
    <w:rsid w:val="005010DF"/>
    <w:rsid w:val="005019C0"/>
    <w:rsid w:val="00502386"/>
    <w:rsid w:val="00502A03"/>
    <w:rsid w:val="00502ABB"/>
    <w:rsid w:val="00503736"/>
    <w:rsid w:val="00504645"/>
    <w:rsid w:val="00505B4D"/>
    <w:rsid w:val="00506B2E"/>
    <w:rsid w:val="00512CCA"/>
    <w:rsid w:val="00512FB4"/>
    <w:rsid w:val="00513286"/>
    <w:rsid w:val="00514032"/>
    <w:rsid w:val="00514C5A"/>
    <w:rsid w:val="005157B0"/>
    <w:rsid w:val="005159B9"/>
    <w:rsid w:val="00520721"/>
    <w:rsid w:val="005218CC"/>
    <w:rsid w:val="00521C8F"/>
    <w:rsid w:val="00524B7D"/>
    <w:rsid w:val="00526D53"/>
    <w:rsid w:val="0052766B"/>
    <w:rsid w:val="00527B1A"/>
    <w:rsid w:val="005303CA"/>
    <w:rsid w:val="00531159"/>
    <w:rsid w:val="00534A17"/>
    <w:rsid w:val="00534B67"/>
    <w:rsid w:val="0053501A"/>
    <w:rsid w:val="005356CC"/>
    <w:rsid w:val="005368C6"/>
    <w:rsid w:val="0054020B"/>
    <w:rsid w:val="00540B80"/>
    <w:rsid w:val="00540EBA"/>
    <w:rsid w:val="0054103E"/>
    <w:rsid w:val="00541148"/>
    <w:rsid w:val="005422DF"/>
    <w:rsid w:val="005422EA"/>
    <w:rsid w:val="00542719"/>
    <w:rsid w:val="00546786"/>
    <w:rsid w:val="00546BAD"/>
    <w:rsid w:val="00546F7B"/>
    <w:rsid w:val="00551CD3"/>
    <w:rsid w:val="00552C37"/>
    <w:rsid w:val="00553212"/>
    <w:rsid w:val="005539BC"/>
    <w:rsid w:val="005545CF"/>
    <w:rsid w:val="0055609D"/>
    <w:rsid w:val="00556254"/>
    <w:rsid w:val="00557AA7"/>
    <w:rsid w:val="005619A7"/>
    <w:rsid w:val="00562258"/>
    <w:rsid w:val="005649C1"/>
    <w:rsid w:val="00564FDF"/>
    <w:rsid w:val="00566088"/>
    <w:rsid w:val="0057087A"/>
    <w:rsid w:val="00571817"/>
    <w:rsid w:val="005719DE"/>
    <w:rsid w:val="005732D3"/>
    <w:rsid w:val="0057355F"/>
    <w:rsid w:val="005735B4"/>
    <w:rsid w:val="00577948"/>
    <w:rsid w:val="00581262"/>
    <w:rsid w:val="00582659"/>
    <w:rsid w:val="00586D61"/>
    <w:rsid w:val="00587844"/>
    <w:rsid w:val="00590579"/>
    <w:rsid w:val="00593CAE"/>
    <w:rsid w:val="00595251"/>
    <w:rsid w:val="005A0051"/>
    <w:rsid w:val="005A1817"/>
    <w:rsid w:val="005A24F6"/>
    <w:rsid w:val="005A3071"/>
    <w:rsid w:val="005A32A6"/>
    <w:rsid w:val="005A3851"/>
    <w:rsid w:val="005A44C2"/>
    <w:rsid w:val="005A4A23"/>
    <w:rsid w:val="005B53A2"/>
    <w:rsid w:val="005B6155"/>
    <w:rsid w:val="005B6D51"/>
    <w:rsid w:val="005B70C1"/>
    <w:rsid w:val="005B76B6"/>
    <w:rsid w:val="005B7CF7"/>
    <w:rsid w:val="005C068F"/>
    <w:rsid w:val="005C198A"/>
    <w:rsid w:val="005C326E"/>
    <w:rsid w:val="005C38B2"/>
    <w:rsid w:val="005C61A9"/>
    <w:rsid w:val="005C6276"/>
    <w:rsid w:val="005C75C6"/>
    <w:rsid w:val="005D0625"/>
    <w:rsid w:val="005D0DE6"/>
    <w:rsid w:val="005D3C43"/>
    <w:rsid w:val="005D6D03"/>
    <w:rsid w:val="005E2FC0"/>
    <w:rsid w:val="005E54B5"/>
    <w:rsid w:val="005E6ABF"/>
    <w:rsid w:val="005E6E91"/>
    <w:rsid w:val="005E6FAC"/>
    <w:rsid w:val="005E79DB"/>
    <w:rsid w:val="005F0188"/>
    <w:rsid w:val="005F3FED"/>
    <w:rsid w:val="005F461B"/>
    <w:rsid w:val="005F5E68"/>
    <w:rsid w:val="005F6DE1"/>
    <w:rsid w:val="005F7DFD"/>
    <w:rsid w:val="006026B6"/>
    <w:rsid w:val="006057F7"/>
    <w:rsid w:val="006065A1"/>
    <w:rsid w:val="00606FD1"/>
    <w:rsid w:val="00610321"/>
    <w:rsid w:val="0061074B"/>
    <w:rsid w:val="006111D4"/>
    <w:rsid w:val="006113F3"/>
    <w:rsid w:val="00611633"/>
    <w:rsid w:val="00611C5F"/>
    <w:rsid w:val="006131D0"/>
    <w:rsid w:val="0061417E"/>
    <w:rsid w:val="00616943"/>
    <w:rsid w:val="00617E51"/>
    <w:rsid w:val="0062054F"/>
    <w:rsid w:val="0062071C"/>
    <w:rsid w:val="006209A9"/>
    <w:rsid w:val="0062224B"/>
    <w:rsid w:val="00622763"/>
    <w:rsid w:val="00624D6E"/>
    <w:rsid w:val="00626E51"/>
    <w:rsid w:val="00627226"/>
    <w:rsid w:val="00627328"/>
    <w:rsid w:val="00627521"/>
    <w:rsid w:val="00627EC9"/>
    <w:rsid w:val="006310B1"/>
    <w:rsid w:val="00631985"/>
    <w:rsid w:val="00631C64"/>
    <w:rsid w:val="00632886"/>
    <w:rsid w:val="00632AFF"/>
    <w:rsid w:val="00632F3C"/>
    <w:rsid w:val="00633BDB"/>
    <w:rsid w:val="0063481B"/>
    <w:rsid w:val="006357CA"/>
    <w:rsid w:val="0063647F"/>
    <w:rsid w:val="00636600"/>
    <w:rsid w:val="00637178"/>
    <w:rsid w:val="00637346"/>
    <w:rsid w:val="00637E66"/>
    <w:rsid w:val="0064059C"/>
    <w:rsid w:val="00640612"/>
    <w:rsid w:val="00640E09"/>
    <w:rsid w:val="006410D2"/>
    <w:rsid w:val="00641220"/>
    <w:rsid w:val="00641FDD"/>
    <w:rsid w:val="00643A61"/>
    <w:rsid w:val="00643D50"/>
    <w:rsid w:val="00646D6B"/>
    <w:rsid w:val="00646F3D"/>
    <w:rsid w:val="00646FD7"/>
    <w:rsid w:val="00652937"/>
    <w:rsid w:val="00652F85"/>
    <w:rsid w:val="0065437B"/>
    <w:rsid w:val="006563EA"/>
    <w:rsid w:val="00656402"/>
    <w:rsid w:val="00660299"/>
    <w:rsid w:val="0066089B"/>
    <w:rsid w:val="006615ED"/>
    <w:rsid w:val="00664072"/>
    <w:rsid w:val="00666A30"/>
    <w:rsid w:val="00670654"/>
    <w:rsid w:val="00674EDF"/>
    <w:rsid w:val="0067760E"/>
    <w:rsid w:val="00677C4C"/>
    <w:rsid w:val="00683799"/>
    <w:rsid w:val="0068382C"/>
    <w:rsid w:val="006874F1"/>
    <w:rsid w:val="00687855"/>
    <w:rsid w:val="006907BB"/>
    <w:rsid w:val="00690A9D"/>
    <w:rsid w:val="00690E7C"/>
    <w:rsid w:val="00692587"/>
    <w:rsid w:val="00693A6B"/>
    <w:rsid w:val="00693FEC"/>
    <w:rsid w:val="00694C90"/>
    <w:rsid w:val="0069577D"/>
    <w:rsid w:val="006959BD"/>
    <w:rsid w:val="00695F58"/>
    <w:rsid w:val="00696EF3"/>
    <w:rsid w:val="0069769C"/>
    <w:rsid w:val="006A02F4"/>
    <w:rsid w:val="006A05F2"/>
    <w:rsid w:val="006A22F5"/>
    <w:rsid w:val="006A25D6"/>
    <w:rsid w:val="006A4390"/>
    <w:rsid w:val="006A600F"/>
    <w:rsid w:val="006B049D"/>
    <w:rsid w:val="006B1DD3"/>
    <w:rsid w:val="006B2D9F"/>
    <w:rsid w:val="006B34EA"/>
    <w:rsid w:val="006B3568"/>
    <w:rsid w:val="006B3ACA"/>
    <w:rsid w:val="006B442F"/>
    <w:rsid w:val="006B4807"/>
    <w:rsid w:val="006B4B20"/>
    <w:rsid w:val="006B57DC"/>
    <w:rsid w:val="006C0596"/>
    <w:rsid w:val="006C0B43"/>
    <w:rsid w:val="006C1AB9"/>
    <w:rsid w:val="006C1C5C"/>
    <w:rsid w:val="006C1DDF"/>
    <w:rsid w:val="006C249F"/>
    <w:rsid w:val="006C2797"/>
    <w:rsid w:val="006C31FD"/>
    <w:rsid w:val="006C354B"/>
    <w:rsid w:val="006C7A7E"/>
    <w:rsid w:val="006D0A2D"/>
    <w:rsid w:val="006D2B46"/>
    <w:rsid w:val="006D3FB7"/>
    <w:rsid w:val="006D44D5"/>
    <w:rsid w:val="006D5A67"/>
    <w:rsid w:val="006D660E"/>
    <w:rsid w:val="006E02C8"/>
    <w:rsid w:val="006E2271"/>
    <w:rsid w:val="006E2840"/>
    <w:rsid w:val="006E33A0"/>
    <w:rsid w:val="006E3E03"/>
    <w:rsid w:val="006E4007"/>
    <w:rsid w:val="006E5152"/>
    <w:rsid w:val="006E587A"/>
    <w:rsid w:val="006E5EFE"/>
    <w:rsid w:val="006E654B"/>
    <w:rsid w:val="006E6B95"/>
    <w:rsid w:val="006E783D"/>
    <w:rsid w:val="006F1C6C"/>
    <w:rsid w:val="006F2846"/>
    <w:rsid w:val="006F2981"/>
    <w:rsid w:val="006F2D4D"/>
    <w:rsid w:val="006F3A36"/>
    <w:rsid w:val="006F3A84"/>
    <w:rsid w:val="006F3CFE"/>
    <w:rsid w:val="006F4EFB"/>
    <w:rsid w:val="006F5B49"/>
    <w:rsid w:val="006F623A"/>
    <w:rsid w:val="006F7B01"/>
    <w:rsid w:val="00702A32"/>
    <w:rsid w:val="00702C51"/>
    <w:rsid w:val="00703020"/>
    <w:rsid w:val="00703CCA"/>
    <w:rsid w:val="00704648"/>
    <w:rsid w:val="007062AC"/>
    <w:rsid w:val="0070733A"/>
    <w:rsid w:val="00707827"/>
    <w:rsid w:val="007100E9"/>
    <w:rsid w:val="0071110B"/>
    <w:rsid w:val="00711120"/>
    <w:rsid w:val="007116D9"/>
    <w:rsid w:val="00711963"/>
    <w:rsid w:val="007134C1"/>
    <w:rsid w:val="00713775"/>
    <w:rsid w:val="00715168"/>
    <w:rsid w:val="007152EC"/>
    <w:rsid w:val="00716232"/>
    <w:rsid w:val="00716B85"/>
    <w:rsid w:val="00717FDF"/>
    <w:rsid w:val="0072175A"/>
    <w:rsid w:val="0072360E"/>
    <w:rsid w:val="00725AB8"/>
    <w:rsid w:val="007260D9"/>
    <w:rsid w:val="00726338"/>
    <w:rsid w:val="00727CF2"/>
    <w:rsid w:val="00730942"/>
    <w:rsid w:val="00730EB1"/>
    <w:rsid w:val="0073149E"/>
    <w:rsid w:val="00731B86"/>
    <w:rsid w:val="00731BB9"/>
    <w:rsid w:val="007320C4"/>
    <w:rsid w:val="0073250C"/>
    <w:rsid w:val="007360FD"/>
    <w:rsid w:val="00737220"/>
    <w:rsid w:val="00741BF4"/>
    <w:rsid w:val="00742D14"/>
    <w:rsid w:val="00742D41"/>
    <w:rsid w:val="0074371B"/>
    <w:rsid w:val="00743D71"/>
    <w:rsid w:val="00744F3A"/>
    <w:rsid w:val="00747384"/>
    <w:rsid w:val="007475B0"/>
    <w:rsid w:val="00747793"/>
    <w:rsid w:val="007508CC"/>
    <w:rsid w:val="00750B66"/>
    <w:rsid w:val="00751913"/>
    <w:rsid w:val="00751F72"/>
    <w:rsid w:val="00752DBF"/>
    <w:rsid w:val="0075311C"/>
    <w:rsid w:val="00753801"/>
    <w:rsid w:val="0075500C"/>
    <w:rsid w:val="0075732E"/>
    <w:rsid w:val="00757341"/>
    <w:rsid w:val="00761636"/>
    <w:rsid w:val="0076192B"/>
    <w:rsid w:val="00761D1F"/>
    <w:rsid w:val="00761E73"/>
    <w:rsid w:val="00761EF3"/>
    <w:rsid w:val="00761F7A"/>
    <w:rsid w:val="007659F7"/>
    <w:rsid w:val="007663AF"/>
    <w:rsid w:val="00767157"/>
    <w:rsid w:val="00767803"/>
    <w:rsid w:val="00771D7E"/>
    <w:rsid w:val="00771ED8"/>
    <w:rsid w:val="007734D8"/>
    <w:rsid w:val="007741AC"/>
    <w:rsid w:val="00774BA6"/>
    <w:rsid w:val="00775325"/>
    <w:rsid w:val="00775518"/>
    <w:rsid w:val="007767A0"/>
    <w:rsid w:val="00776D33"/>
    <w:rsid w:val="007804D8"/>
    <w:rsid w:val="007811BD"/>
    <w:rsid w:val="00781515"/>
    <w:rsid w:val="007817B3"/>
    <w:rsid w:val="007821FB"/>
    <w:rsid w:val="007854E2"/>
    <w:rsid w:val="00787BB9"/>
    <w:rsid w:val="00787CDA"/>
    <w:rsid w:val="00787CF5"/>
    <w:rsid w:val="00790D30"/>
    <w:rsid w:val="007918C3"/>
    <w:rsid w:val="007923D0"/>
    <w:rsid w:val="00794E98"/>
    <w:rsid w:val="007A20DB"/>
    <w:rsid w:val="007A5960"/>
    <w:rsid w:val="007B078A"/>
    <w:rsid w:val="007B1C7E"/>
    <w:rsid w:val="007B42CB"/>
    <w:rsid w:val="007B75B1"/>
    <w:rsid w:val="007B782E"/>
    <w:rsid w:val="007C11BF"/>
    <w:rsid w:val="007C21C1"/>
    <w:rsid w:val="007C29C9"/>
    <w:rsid w:val="007C47F7"/>
    <w:rsid w:val="007C55A0"/>
    <w:rsid w:val="007C5951"/>
    <w:rsid w:val="007C5EAD"/>
    <w:rsid w:val="007C690F"/>
    <w:rsid w:val="007C6C81"/>
    <w:rsid w:val="007D3AAD"/>
    <w:rsid w:val="007D3D2E"/>
    <w:rsid w:val="007D3DBC"/>
    <w:rsid w:val="007D6D05"/>
    <w:rsid w:val="007D7DE1"/>
    <w:rsid w:val="007E24BF"/>
    <w:rsid w:val="007E2C59"/>
    <w:rsid w:val="007E40C9"/>
    <w:rsid w:val="007E4822"/>
    <w:rsid w:val="007E4884"/>
    <w:rsid w:val="007E6665"/>
    <w:rsid w:val="007E7938"/>
    <w:rsid w:val="007F03A6"/>
    <w:rsid w:val="007F0705"/>
    <w:rsid w:val="007F26BC"/>
    <w:rsid w:val="007F28F3"/>
    <w:rsid w:val="007F49FC"/>
    <w:rsid w:val="007F4B57"/>
    <w:rsid w:val="007F4FE1"/>
    <w:rsid w:val="007F59A9"/>
    <w:rsid w:val="007F7321"/>
    <w:rsid w:val="0080077C"/>
    <w:rsid w:val="00800C27"/>
    <w:rsid w:val="00800F82"/>
    <w:rsid w:val="00801479"/>
    <w:rsid w:val="00802BE5"/>
    <w:rsid w:val="008040D7"/>
    <w:rsid w:val="00805092"/>
    <w:rsid w:val="00806203"/>
    <w:rsid w:val="008067BA"/>
    <w:rsid w:val="008103D6"/>
    <w:rsid w:val="0081054E"/>
    <w:rsid w:val="00811B16"/>
    <w:rsid w:val="0081237B"/>
    <w:rsid w:val="0081374F"/>
    <w:rsid w:val="008147D9"/>
    <w:rsid w:val="008153EE"/>
    <w:rsid w:val="00815490"/>
    <w:rsid w:val="0081583B"/>
    <w:rsid w:val="008167F7"/>
    <w:rsid w:val="00817B66"/>
    <w:rsid w:val="00820601"/>
    <w:rsid w:val="00820830"/>
    <w:rsid w:val="00821B22"/>
    <w:rsid w:val="00822472"/>
    <w:rsid w:val="00822968"/>
    <w:rsid w:val="00822BBB"/>
    <w:rsid w:val="00823AD3"/>
    <w:rsid w:val="00824C30"/>
    <w:rsid w:val="008264BA"/>
    <w:rsid w:val="00826F41"/>
    <w:rsid w:val="0083286A"/>
    <w:rsid w:val="00835BE6"/>
    <w:rsid w:val="00840981"/>
    <w:rsid w:val="00842AFF"/>
    <w:rsid w:val="00842B98"/>
    <w:rsid w:val="008433EF"/>
    <w:rsid w:val="00843E96"/>
    <w:rsid w:val="00844318"/>
    <w:rsid w:val="0084509A"/>
    <w:rsid w:val="008451A6"/>
    <w:rsid w:val="008454F8"/>
    <w:rsid w:val="00845E9E"/>
    <w:rsid w:val="00846AA5"/>
    <w:rsid w:val="00846AD4"/>
    <w:rsid w:val="00847DC5"/>
    <w:rsid w:val="008507F5"/>
    <w:rsid w:val="00850C2D"/>
    <w:rsid w:val="00850E17"/>
    <w:rsid w:val="0085312B"/>
    <w:rsid w:val="008538E1"/>
    <w:rsid w:val="0085496F"/>
    <w:rsid w:val="0085607C"/>
    <w:rsid w:val="00856668"/>
    <w:rsid w:val="008569EB"/>
    <w:rsid w:val="0085781A"/>
    <w:rsid w:val="0086626F"/>
    <w:rsid w:val="0087021B"/>
    <w:rsid w:val="0087210D"/>
    <w:rsid w:val="00873E46"/>
    <w:rsid w:val="00873E76"/>
    <w:rsid w:val="008803C5"/>
    <w:rsid w:val="008826EE"/>
    <w:rsid w:val="00884F95"/>
    <w:rsid w:val="00884FC9"/>
    <w:rsid w:val="008874E2"/>
    <w:rsid w:val="008914A0"/>
    <w:rsid w:val="0089410C"/>
    <w:rsid w:val="0089651D"/>
    <w:rsid w:val="00896BEF"/>
    <w:rsid w:val="00897800"/>
    <w:rsid w:val="00897E43"/>
    <w:rsid w:val="00897FE7"/>
    <w:rsid w:val="008A030E"/>
    <w:rsid w:val="008A050D"/>
    <w:rsid w:val="008A2A08"/>
    <w:rsid w:val="008A2E0F"/>
    <w:rsid w:val="008A4243"/>
    <w:rsid w:val="008A478C"/>
    <w:rsid w:val="008A5C48"/>
    <w:rsid w:val="008B0083"/>
    <w:rsid w:val="008B0317"/>
    <w:rsid w:val="008B1A85"/>
    <w:rsid w:val="008B1D77"/>
    <w:rsid w:val="008B2E36"/>
    <w:rsid w:val="008B33DC"/>
    <w:rsid w:val="008B3489"/>
    <w:rsid w:val="008B568C"/>
    <w:rsid w:val="008B7319"/>
    <w:rsid w:val="008B7D87"/>
    <w:rsid w:val="008C0A65"/>
    <w:rsid w:val="008C0DC7"/>
    <w:rsid w:val="008C1B55"/>
    <w:rsid w:val="008C2372"/>
    <w:rsid w:val="008C4D20"/>
    <w:rsid w:val="008C5B49"/>
    <w:rsid w:val="008C6583"/>
    <w:rsid w:val="008C6CAC"/>
    <w:rsid w:val="008C7549"/>
    <w:rsid w:val="008D0F54"/>
    <w:rsid w:val="008D1311"/>
    <w:rsid w:val="008D19DE"/>
    <w:rsid w:val="008D2429"/>
    <w:rsid w:val="008D27A3"/>
    <w:rsid w:val="008D2F11"/>
    <w:rsid w:val="008D408A"/>
    <w:rsid w:val="008D5566"/>
    <w:rsid w:val="008D67DE"/>
    <w:rsid w:val="008E368B"/>
    <w:rsid w:val="008E578D"/>
    <w:rsid w:val="008E74DB"/>
    <w:rsid w:val="008F016B"/>
    <w:rsid w:val="008F0480"/>
    <w:rsid w:val="008F07CF"/>
    <w:rsid w:val="008F2E23"/>
    <w:rsid w:val="008F3F46"/>
    <w:rsid w:val="008F4B74"/>
    <w:rsid w:val="008F6916"/>
    <w:rsid w:val="009008E1"/>
    <w:rsid w:val="00902029"/>
    <w:rsid w:val="00902D59"/>
    <w:rsid w:val="009030DB"/>
    <w:rsid w:val="009036A9"/>
    <w:rsid w:val="00904908"/>
    <w:rsid w:val="0090643F"/>
    <w:rsid w:val="00906C2F"/>
    <w:rsid w:val="009079FB"/>
    <w:rsid w:val="00911EFF"/>
    <w:rsid w:val="00913726"/>
    <w:rsid w:val="0091569F"/>
    <w:rsid w:val="009156B4"/>
    <w:rsid w:val="009167C0"/>
    <w:rsid w:val="0091782D"/>
    <w:rsid w:val="00920053"/>
    <w:rsid w:val="00920EC5"/>
    <w:rsid w:val="009215DF"/>
    <w:rsid w:val="00922169"/>
    <w:rsid w:val="00922B3D"/>
    <w:rsid w:val="009251FB"/>
    <w:rsid w:val="0092756D"/>
    <w:rsid w:val="00931B1D"/>
    <w:rsid w:val="00931C9D"/>
    <w:rsid w:val="0093238B"/>
    <w:rsid w:val="009336C2"/>
    <w:rsid w:val="00933E7A"/>
    <w:rsid w:val="009342DA"/>
    <w:rsid w:val="00936085"/>
    <w:rsid w:val="0094190B"/>
    <w:rsid w:val="00941A6C"/>
    <w:rsid w:val="0094321B"/>
    <w:rsid w:val="00943B29"/>
    <w:rsid w:val="00945C5D"/>
    <w:rsid w:val="00946F72"/>
    <w:rsid w:val="009475F9"/>
    <w:rsid w:val="00947888"/>
    <w:rsid w:val="0095097E"/>
    <w:rsid w:val="009509DD"/>
    <w:rsid w:val="0095172C"/>
    <w:rsid w:val="00951889"/>
    <w:rsid w:val="00952234"/>
    <w:rsid w:val="0095269D"/>
    <w:rsid w:val="00952FEF"/>
    <w:rsid w:val="009539BC"/>
    <w:rsid w:val="0095435B"/>
    <w:rsid w:val="009550C2"/>
    <w:rsid w:val="00955890"/>
    <w:rsid w:val="00956515"/>
    <w:rsid w:val="00957C83"/>
    <w:rsid w:val="0096063B"/>
    <w:rsid w:val="00961B98"/>
    <w:rsid w:val="009629B1"/>
    <w:rsid w:val="009678B7"/>
    <w:rsid w:val="00970C82"/>
    <w:rsid w:val="009728FD"/>
    <w:rsid w:val="009740C4"/>
    <w:rsid w:val="0097446E"/>
    <w:rsid w:val="00974E26"/>
    <w:rsid w:val="00975481"/>
    <w:rsid w:val="009759BB"/>
    <w:rsid w:val="009767AA"/>
    <w:rsid w:val="00977648"/>
    <w:rsid w:val="00981035"/>
    <w:rsid w:val="00983315"/>
    <w:rsid w:val="00984A86"/>
    <w:rsid w:val="009867CC"/>
    <w:rsid w:val="00987774"/>
    <w:rsid w:val="00992C4B"/>
    <w:rsid w:val="00993516"/>
    <w:rsid w:val="00993D64"/>
    <w:rsid w:val="00994649"/>
    <w:rsid w:val="00995205"/>
    <w:rsid w:val="00997357"/>
    <w:rsid w:val="009A0721"/>
    <w:rsid w:val="009A1F84"/>
    <w:rsid w:val="009A245B"/>
    <w:rsid w:val="009A2C46"/>
    <w:rsid w:val="009A2DC1"/>
    <w:rsid w:val="009A3E38"/>
    <w:rsid w:val="009A45B3"/>
    <w:rsid w:val="009A4930"/>
    <w:rsid w:val="009A498F"/>
    <w:rsid w:val="009A4A32"/>
    <w:rsid w:val="009A4FB0"/>
    <w:rsid w:val="009A5A96"/>
    <w:rsid w:val="009A7337"/>
    <w:rsid w:val="009A7B5F"/>
    <w:rsid w:val="009A7DA9"/>
    <w:rsid w:val="009B08E9"/>
    <w:rsid w:val="009B2097"/>
    <w:rsid w:val="009B238F"/>
    <w:rsid w:val="009B3E59"/>
    <w:rsid w:val="009B4868"/>
    <w:rsid w:val="009B5C97"/>
    <w:rsid w:val="009B7671"/>
    <w:rsid w:val="009C1BD1"/>
    <w:rsid w:val="009C1FD3"/>
    <w:rsid w:val="009C303F"/>
    <w:rsid w:val="009C3C19"/>
    <w:rsid w:val="009C3C86"/>
    <w:rsid w:val="009C6FB4"/>
    <w:rsid w:val="009D0CA2"/>
    <w:rsid w:val="009D1B58"/>
    <w:rsid w:val="009D2030"/>
    <w:rsid w:val="009D3F09"/>
    <w:rsid w:val="009D4102"/>
    <w:rsid w:val="009D51F0"/>
    <w:rsid w:val="009D559B"/>
    <w:rsid w:val="009D57FD"/>
    <w:rsid w:val="009D5AF0"/>
    <w:rsid w:val="009D77DA"/>
    <w:rsid w:val="009E2B46"/>
    <w:rsid w:val="009E442A"/>
    <w:rsid w:val="009E5720"/>
    <w:rsid w:val="009E6136"/>
    <w:rsid w:val="009F024F"/>
    <w:rsid w:val="009F1D1E"/>
    <w:rsid w:val="009F1DBC"/>
    <w:rsid w:val="009F2448"/>
    <w:rsid w:val="009F2C6E"/>
    <w:rsid w:val="009F3B1B"/>
    <w:rsid w:val="009F3BA1"/>
    <w:rsid w:val="009F4DB0"/>
    <w:rsid w:val="009F5109"/>
    <w:rsid w:val="009F7A69"/>
    <w:rsid w:val="00A00A05"/>
    <w:rsid w:val="00A00D21"/>
    <w:rsid w:val="00A00E51"/>
    <w:rsid w:val="00A01E32"/>
    <w:rsid w:val="00A024B0"/>
    <w:rsid w:val="00A05D20"/>
    <w:rsid w:val="00A067C6"/>
    <w:rsid w:val="00A07808"/>
    <w:rsid w:val="00A10204"/>
    <w:rsid w:val="00A10D9D"/>
    <w:rsid w:val="00A1178E"/>
    <w:rsid w:val="00A128EB"/>
    <w:rsid w:val="00A1331B"/>
    <w:rsid w:val="00A1388C"/>
    <w:rsid w:val="00A13EBF"/>
    <w:rsid w:val="00A14030"/>
    <w:rsid w:val="00A1436E"/>
    <w:rsid w:val="00A145A7"/>
    <w:rsid w:val="00A159A1"/>
    <w:rsid w:val="00A15CE6"/>
    <w:rsid w:val="00A17911"/>
    <w:rsid w:val="00A205BB"/>
    <w:rsid w:val="00A214E3"/>
    <w:rsid w:val="00A2161F"/>
    <w:rsid w:val="00A21BB9"/>
    <w:rsid w:val="00A25FCD"/>
    <w:rsid w:val="00A2728D"/>
    <w:rsid w:val="00A27542"/>
    <w:rsid w:val="00A27B96"/>
    <w:rsid w:val="00A30715"/>
    <w:rsid w:val="00A30D6A"/>
    <w:rsid w:val="00A32691"/>
    <w:rsid w:val="00A327FB"/>
    <w:rsid w:val="00A333FA"/>
    <w:rsid w:val="00A33C16"/>
    <w:rsid w:val="00A3465D"/>
    <w:rsid w:val="00A35768"/>
    <w:rsid w:val="00A35809"/>
    <w:rsid w:val="00A3676A"/>
    <w:rsid w:val="00A37263"/>
    <w:rsid w:val="00A37A2C"/>
    <w:rsid w:val="00A37D8F"/>
    <w:rsid w:val="00A42182"/>
    <w:rsid w:val="00A4222D"/>
    <w:rsid w:val="00A4322A"/>
    <w:rsid w:val="00A43D76"/>
    <w:rsid w:val="00A45686"/>
    <w:rsid w:val="00A45F7D"/>
    <w:rsid w:val="00A467F3"/>
    <w:rsid w:val="00A50518"/>
    <w:rsid w:val="00A50751"/>
    <w:rsid w:val="00A50C05"/>
    <w:rsid w:val="00A524A0"/>
    <w:rsid w:val="00A5491A"/>
    <w:rsid w:val="00A5571C"/>
    <w:rsid w:val="00A56805"/>
    <w:rsid w:val="00A654C5"/>
    <w:rsid w:val="00A65A81"/>
    <w:rsid w:val="00A67660"/>
    <w:rsid w:val="00A676C1"/>
    <w:rsid w:val="00A71A92"/>
    <w:rsid w:val="00A7321F"/>
    <w:rsid w:val="00A75D1D"/>
    <w:rsid w:val="00A75D41"/>
    <w:rsid w:val="00A75EA2"/>
    <w:rsid w:val="00A76B78"/>
    <w:rsid w:val="00A76DF1"/>
    <w:rsid w:val="00A76EFC"/>
    <w:rsid w:val="00A77896"/>
    <w:rsid w:val="00A81094"/>
    <w:rsid w:val="00A8160C"/>
    <w:rsid w:val="00A82334"/>
    <w:rsid w:val="00A83394"/>
    <w:rsid w:val="00A835BC"/>
    <w:rsid w:val="00A840B1"/>
    <w:rsid w:val="00A844CD"/>
    <w:rsid w:val="00A84812"/>
    <w:rsid w:val="00A85998"/>
    <w:rsid w:val="00A8647C"/>
    <w:rsid w:val="00A918E7"/>
    <w:rsid w:val="00A9198C"/>
    <w:rsid w:val="00A925D6"/>
    <w:rsid w:val="00A928FC"/>
    <w:rsid w:val="00A94103"/>
    <w:rsid w:val="00A94CC5"/>
    <w:rsid w:val="00A94F89"/>
    <w:rsid w:val="00A9655E"/>
    <w:rsid w:val="00A9698E"/>
    <w:rsid w:val="00A975FE"/>
    <w:rsid w:val="00A976CA"/>
    <w:rsid w:val="00AA1803"/>
    <w:rsid w:val="00AA210A"/>
    <w:rsid w:val="00AA212C"/>
    <w:rsid w:val="00AA549E"/>
    <w:rsid w:val="00AA54F2"/>
    <w:rsid w:val="00AA5EC0"/>
    <w:rsid w:val="00AA6571"/>
    <w:rsid w:val="00AA73FB"/>
    <w:rsid w:val="00AB0861"/>
    <w:rsid w:val="00AB12F4"/>
    <w:rsid w:val="00AB2DC3"/>
    <w:rsid w:val="00AB2E22"/>
    <w:rsid w:val="00AB3BE6"/>
    <w:rsid w:val="00AB487E"/>
    <w:rsid w:val="00AB4A5F"/>
    <w:rsid w:val="00AB7892"/>
    <w:rsid w:val="00AB7AB6"/>
    <w:rsid w:val="00AC1838"/>
    <w:rsid w:val="00AC1941"/>
    <w:rsid w:val="00AC284D"/>
    <w:rsid w:val="00AC33A3"/>
    <w:rsid w:val="00AC36F4"/>
    <w:rsid w:val="00AC43A0"/>
    <w:rsid w:val="00AD01C6"/>
    <w:rsid w:val="00AD0285"/>
    <w:rsid w:val="00AD1016"/>
    <w:rsid w:val="00AD136C"/>
    <w:rsid w:val="00AD2213"/>
    <w:rsid w:val="00AD5902"/>
    <w:rsid w:val="00AD763F"/>
    <w:rsid w:val="00AE2712"/>
    <w:rsid w:val="00AE2E2B"/>
    <w:rsid w:val="00AE34B6"/>
    <w:rsid w:val="00AE389B"/>
    <w:rsid w:val="00AE40BB"/>
    <w:rsid w:val="00AE42A2"/>
    <w:rsid w:val="00AE527E"/>
    <w:rsid w:val="00AE690B"/>
    <w:rsid w:val="00AE74B4"/>
    <w:rsid w:val="00AF114E"/>
    <w:rsid w:val="00AF50B5"/>
    <w:rsid w:val="00AF5A3E"/>
    <w:rsid w:val="00AF6825"/>
    <w:rsid w:val="00AF712F"/>
    <w:rsid w:val="00B0066D"/>
    <w:rsid w:val="00B00F57"/>
    <w:rsid w:val="00B01347"/>
    <w:rsid w:val="00B01D51"/>
    <w:rsid w:val="00B02A22"/>
    <w:rsid w:val="00B0374E"/>
    <w:rsid w:val="00B0490B"/>
    <w:rsid w:val="00B051C9"/>
    <w:rsid w:val="00B06790"/>
    <w:rsid w:val="00B13006"/>
    <w:rsid w:val="00B13061"/>
    <w:rsid w:val="00B14105"/>
    <w:rsid w:val="00B14661"/>
    <w:rsid w:val="00B15AB2"/>
    <w:rsid w:val="00B16C85"/>
    <w:rsid w:val="00B2023B"/>
    <w:rsid w:val="00B21A78"/>
    <w:rsid w:val="00B24394"/>
    <w:rsid w:val="00B2469B"/>
    <w:rsid w:val="00B246BA"/>
    <w:rsid w:val="00B2696F"/>
    <w:rsid w:val="00B26E09"/>
    <w:rsid w:val="00B273BD"/>
    <w:rsid w:val="00B2741E"/>
    <w:rsid w:val="00B27459"/>
    <w:rsid w:val="00B3090E"/>
    <w:rsid w:val="00B322DC"/>
    <w:rsid w:val="00B325E2"/>
    <w:rsid w:val="00B32EA6"/>
    <w:rsid w:val="00B33D67"/>
    <w:rsid w:val="00B340A6"/>
    <w:rsid w:val="00B3439C"/>
    <w:rsid w:val="00B3481E"/>
    <w:rsid w:val="00B369A1"/>
    <w:rsid w:val="00B40063"/>
    <w:rsid w:val="00B40EB8"/>
    <w:rsid w:val="00B41322"/>
    <w:rsid w:val="00B43260"/>
    <w:rsid w:val="00B443CA"/>
    <w:rsid w:val="00B4494A"/>
    <w:rsid w:val="00B45772"/>
    <w:rsid w:val="00B458CF"/>
    <w:rsid w:val="00B51B5C"/>
    <w:rsid w:val="00B525A1"/>
    <w:rsid w:val="00B52CFA"/>
    <w:rsid w:val="00B54356"/>
    <w:rsid w:val="00B562F5"/>
    <w:rsid w:val="00B56ED0"/>
    <w:rsid w:val="00B57BA6"/>
    <w:rsid w:val="00B60BAF"/>
    <w:rsid w:val="00B6152F"/>
    <w:rsid w:val="00B61D8E"/>
    <w:rsid w:val="00B63C7E"/>
    <w:rsid w:val="00B64AF3"/>
    <w:rsid w:val="00B704ED"/>
    <w:rsid w:val="00B72425"/>
    <w:rsid w:val="00B75020"/>
    <w:rsid w:val="00B75DE1"/>
    <w:rsid w:val="00B81134"/>
    <w:rsid w:val="00B814D5"/>
    <w:rsid w:val="00B8383B"/>
    <w:rsid w:val="00B85D3B"/>
    <w:rsid w:val="00B864D6"/>
    <w:rsid w:val="00B87319"/>
    <w:rsid w:val="00B902CB"/>
    <w:rsid w:val="00B94BFB"/>
    <w:rsid w:val="00B9503C"/>
    <w:rsid w:val="00B95158"/>
    <w:rsid w:val="00B95FF5"/>
    <w:rsid w:val="00B96F97"/>
    <w:rsid w:val="00B9708D"/>
    <w:rsid w:val="00B97475"/>
    <w:rsid w:val="00BA07DD"/>
    <w:rsid w:val="00BA0A3C"/>
    <w:rsid w:val="00BA3730"/>
    <w:rsid w:val="00BA64F0"/>
    <w:rsid w:val="00BA68DE"/>
    <w:rsid w:val="00BA6D43"/>
    <w:rsid w:val="00BA7CF5"/>
    <w:rsid w:val="00BB153C"/>
    <w:rsid w:val="00BB1C4B"/>
    <w:rsid w:val="00BB1FE3"/>
    <w:rsid w:val="00BB3880"/>
    <w:rsid w:val="00BB78CE"/>
    <w:rsid w:val="00BB7BC7"/>
    <w:rsid w:val="00BC031C"/>
    <w:rsid w:val="00BC0D86"/>
    <w:rsid w:val="00BC29D7"/>
    <w:rsid w:val="00BC48DC"/>
    <w:rsid w:val="00BC61A3"/>
    <w:rsid w:val="00BC7978"/>
    <w:rsid w:val="00BD04E3"/>
    <w:rsid w:val="00BD25E4"/>
    <w:rsid w:val="00BD2E3E"/>
    <w:rsid w:val="00BD3522"/>
    <w:rsid w:val="00BD3805"/>
    <w:rsid w:val="00BD4C94"/>
    <w:rsid w:val="00BD4D1B"/>
    <w:rsid w:val="00BD5374"/>
    <w:rsid w:val="00BD554E"/>
    <w:rsid w:val="00BD5D81"/>
    <w:rsid w:val="00BE081D"/>
    <w:rsid w:val="00BE1ECC"/>
    <w:rsid w:val="00BE2242"/>
    <w:rsid w:val="00BE38C0"/>
    <w:rsid w:val="00BE3B52"/>
    <w:rsid w:val="00BE3FC0"/>
    <w:rsid w:val="00BE4E69"/>
    <w:rsid w:val="00BE6506"/>
    <w:rsid w:val="00BE7B83"/>
    <w:rsid w:val="00BF1591"/>
    <w:rsid w:val="00BF2CB5"/>
    <w:rsid w:val="00BF356F"/>
    <w:rsid w:val="00BF3E3B"/>
    <w:rsid w:val="00BF4934"/>
    <w:rsid w:val="00BF58AD"/>
    <w:rsid w:val="00BF5F70"/>
    <w:rsid w:val="00BF6C40"/>
    <w:rsid w:val="00BF70CA"/>
    <w:rsid w:val="00BF73F7"/>
    <w:rsid w:val="00C00DEC"/>
    <w:rsid w:val="00C01ABC"/>
    <w:rsid w:val="00C01BCC"/>
    <w:rsid w:val="00C04725"/>
    <w:rsid w:val="00C04BB2"/>
    <w:rsid w:val="00C106B0"/>
    <w:rsid w:val="00C10973"/>
    <w:rsid w:val="00C118C5"/>
    <w:rsid w:val="00C201A9"/>
    <w:rsid w:val="00C2085A"/>
    <w:rsid w:val="00C212BF"/>
    <w:rsid w:val="00C21801"/>
    <w:rsid w:val="00C21D4A"/>
    <w:rsid w:val="00C226AA"/>
    <w:rsid w:val="00C23261"/>
    <w:rsid w:val="00C236DC"/>
    <w:rsid w:val="00C23B02"/>
    <w:rsid w:val="00C25957"/>
    <w:rsid w:val="00C27399"/>
    <w:rsid w:val="00C27BC1"/>
    <w:rsid w:val="00C30023"/>
    <w:rsid w:val="00C3053C"/>
    <w:rsid w:val="00C305E5"/>
    <w:rsid w:val="00C30815"/>
    <w:rsid w:val="00C32371"/>
    <w:rsid w:val="00C3329C"/>
    <w:rsid w:val="00C34719"/>
    <w:rsid w:val="00C34B81"/>
    <w:rsid w:val="00C36EDB"/>
    <w:rsid w:val="00C378A5"/>
    <w:rsid w:val="00C42122"/>
    <w:rsid w:val="00C429E2"/>
    <w:rsid w:val="00C44545"/>
    <w:rsid w:val="00C445EF"/>
    <w:rsid w:val="00C44793"/>
    <w:rsid w:val="00C46E79"/>
    <w:rsid w:val="00C47931"/>
    <w:rsid w:val="00C47F62"/>
    <w:rsid w:val="00C50FC5"/>
    <w:rsid w:val="00C5105B"/>
    <w:rsid w:val="00C514D5"/>
    <w:rsid w:val="00C52509"/>
    <w:rsid w:val="00C52611"/>
    <w:rsid w:val="00C53A9A"/>
    <w:rsid w:val="00C54127"/>
    <w:rsid w:val="00C54DA0"/>
    <w:rsid w:val="00C55157"/>
    <w:rsid w:val="00C55789"/>
    <w:rsid w:val="00C56117"/>
    <w:rsid w:val="00C56792"/>
    <w:rsid w:val="00C60865"/>
    <w:rsid w:val="00C610AD"/>
    <w:rsid w:val="00C62728"/>
    <w:rsid w:val="00C63D03"/>
    <w:rsid w:val="00C641CD"/>
    <w:rsid w:val="00C66EAC"/>
    <w:rsid w:val="00C67054"/>
    <w:rsid w:val="00C67AD2"/>
    <w:rsid w:val="00C71C99"/>
    <w:rsid w:val="00C728C5"/>
    <w:rsid w:val="00C72C11"/>
    <w:rsid w:val="00C73CDD"/>
    <w:rsid w:val="00C74F6E"/>
    <w:rsid w:val="00C7598E"/>
    <w:rsid w:val="00C76A95"/>
    <w:rsid w:val="00C76EDD"/>
    <w:rsid w:val="00C80D0F"/>
    <w:rsid w:val="00C820DC"/>
    <w:rsid w:val="00C84054"/>
    <w:rsid w:val="00C84B11"/>
    <w:rsid w:val="00C854C7"/>
    <w:rsid w:val="00C85900"/>
    <w:rsid w:val="00C86BAB"/>
    <w:rsid w:val="00C874AD"/>
    <w:rsid w:val="00C91C39"/>
    <w:rsid w:val="00C91D9C"/>
    <w:rsid w:val="00C92EDD"/>
    <w:rsid w:val="00C939D6"/>
    <w:rsid w:val="00C95A59"/>
    <w:rsid w:val="00C964C8"/>
    <w:rsid w:val="00C97D22"/>
    <w:rsid w:val="00C97E82"/>
    <w:rsid w:val="00CA1AF4"/>
    <w:rsid w:val="00CA1D32"/>
    <w:rsid w:val="00CA3617"/>
    <w:rsid w:val="00CA4A13"/>
    <w:rsid w:val="00CA4DB4"/>
    <w:rsid w:val="00CA6898"/>
    <w:rsid w:val="00CA6D60"/>
    <w:rsid w:val="00CA78AD"/>
    <w:rsid w:val="00CB0AB2"/>
    <w:rsid w:val="00CB1017"/>
    <w:rsid w:val="00CB1A2B"/>
    <w:rsid w:val="00CB21A6"/>
    <w:rsid w:val="00CB244B"/>
    <w:rsid w:val="00CB2F07"/>
    <w:rsid w:val="00CB4EBA"/>
    <w:rsid w:val="00CB5854"/>
    <w:rsid w:val="00CB707E"/>
    <w:rsid w:val="00CB72FD"/>
    <w:rsid w:val="00CB7F1B"/>
    <w:rsid w:val="00CB7FB8"/>
    <w:rsid w:val="00CC271B"/>
    <w:rsid w:val="00CC2BA9"/>
    <w:rsid w:val="00CC4E0C"/>
    <w:rsid w:val="00CC4E0D"/>
    <w:rsid w:val="00CC5F88"/>
    <w:rsid w:val="00CC7376"/>
    <w:rsid w:val="00CC7AE8"/>
    <w:rsid w:val="00CD0997"/>
    <w:rsid w:val="00CD133D"/>
    <w:rsid w:val="00CD138F"/>
    <w:rsid w:val="00CD1E43"/>
    <w:rsid w:val="00CD1FF4"/>
    <w:rsid w:val="00CD2150"/>
    <w:rsid w:val="00CD257A"/>
    <w:rsid w:val="00CD2980"/>
    <w:rsid w:val="00CD37AC"/>
    <w:rsid w:val="00CD6BEA"/>
    <w:rsid w:val="00CD707E"/>
    <w:rsid w:val="00CE0869"/>
    <w:rsid w:val="00CE1080"/>
    <w:rsid w:val="00CE1CC5"/>
    <w:rsid w:val="00CE2B29"/>
    <w:rsid w:val="00CE2B85"/>
    <w:rsid w:val="00CE32DC"/>
    <w:rsid w:val="00CE3D0B"/>
    <w:rsid w:val="00CE4517"/>
    <w:rsid w:val="00CE552F"/>
    <w:rsid w:val="00CE55E9"/>
    <w:rsid w:val="00CE5ED5"/>
    <w:rsid w:val="00CE7273"/>
    <w:rsid w:val="00CF0D90"/>
    <w:rsid w:val="00CF26EA"/>
    <w:rsid w:val="00CF2811"/>
    <w:rsid w:val="00CF3AE9"/>
    <w:rsid w:val="00CF3FA2"/>
    <w:rsid w:val="00CF4289"/>
    <w:rsid w:val="00CF73E0"/>
    <w:rsid w:val="00CF7F97"/>
    <w:rsid w:val="00D00FC7"/>
    <w:rsid w:val="00D0212C"/>
    <w:rsid w:val="00D029A2"/>
    <w:rsid w:val="00D03FBC"/>
    <w:rsid w:val="00D04BDD"/>
    <w:rsid w:val="00D05397"/>
    <w:rsid w:val="00D0786F"/>
    <w:rsid w:val="00D128D6"/>
    <w:rsid w:val="00D14C5A"/>
    <w:rsid w:val="00D151AE"/>
    <w:rsid w:val="00D157D5"/>
    <w:rsid w:val="00D1636E"/>
    <w:rsid w:val="00D20270"/>
    <w:rsid w:val="00D20AAE"/>
    <w:rsid w:val="00D21D94"/>
    <w:rsid w:val="00D24C41"/>
    <w:rsid w:val="00D310C3"/>
    <w:rsid w:val="00D31742"/>
    <w:rsid w:val="00D31B0C"/>
    <w:rsid w:val="00D3232F"/>
    <w:rsid w:val="00D32D70"/>
    <w:rsid w:val="00D33965"/>
    <w:rsid w:val="00D33C2F"/>
    <w:rsid w:val="00D36274"/>
    <w:rsid w:val="00D367E0"/>
    <w:rsid w:val="00D3782E"/>
    <w:rsid w:val="00D412A1"/>
    <w:rsid w:val="00D42AEC"/>
    <w:rsid w:val="00D43021"/>
    <w:rsid w:val="00D436AF"/>
    <w:rsid w:val="00D43EC2"/>
    <w:rsid w:val="00D463F7"/>
    <w:rsid w:val="00D46877"/>
    <w:rsid w:val="00D47379"/>
    <w:rsid w:val="00D51A8F"/>
    <w:rsid w:val="00D51FF9"/>
    <w:rsid w:val="00D5278C"/>
    <w:rsid w:val="00D53D05"/>
    <w:rsid w:val="00D544A4"/>
    <w:rsid w:val="00D5450A"/>
    <w:rsid w:val="00D54531"/>
    <w:rsid w:val="00D54F43"/>
    <w:rsid w:val="00D55B77"/>
    <w:rsid w:val="00D55CA8"/>
    <w:rsid w:val="00D60083"/>
    <w:rsid w:val="00D62FE8"/>
    <w:rsid w:val="00D641C9"/>
    <w:rsid w:val="00D64A94"/>
    <w:rsid w:val="00D70257"/>
    <w:rsid w:val="00D70D47"/>
    <w:rsid w:val="00D70E73"/>
    <w:rsid w:val="00D714C2"/>
    <w:rsid w:val="00D7204D"/>
    <w:rsid w:val="00D757D6"/>
    <w:rsid w:val="00D76911"/>
    <w:rsid w:val="00D808E7"/>
    <w:rsid w:val="00D80EC8"/>
    <w:rsid w:val="00D82ABA"/>
    <w:rsid w:val="00D83471"/>
    <w:rsid w:val="00D84FC5"/>
    <w:rsid w:val="00D8584D"/>
    <w:rsid w:val="00D873C1"/>
    <w:rsid w:val="00D8750E"/>
    <w:rsid w:val="00D90461"/>
    <w:rsid w:val="00D9051C"/>
    <w:rsid w:val="00D92380"/>
    <w:rsid w:val="00D9396D"/>
    <w:rsid w:val="00D941CC"/>
    <w:rsid w:val="00D945FF"/>
    <w:rsid w:val="00D948C9"/>
    <w:rsid w:val="00D96937"/>
    <w:rsid w:val="00DA2AEB"/>
    <w:rsid w:val="00DA3628"/>
    <w:rsid w:val="00DA4856"/>
    <w:rsid w:val="00DA61DA"/>
    <w:rsid w:val="00DA698E"/>
    <w:rsid w:val="00DB252E"/>
    <w:rsid w:val="00DB2C1F"/>
    <w:rsid w:val="00DB314C"/>
    <w:rsid w:val="00DB32A7"/>
    <w:rsid w:val="00DB33CD"/>
    <w:rsid w:val="00DB3EFF"/>
    <w:rsid w:val="00DB688F"/>
    <w:rsid w:val="00DC09C3"/>
    <w:rsid w:val="00DC0FAC"/>
    <w:rsid w:val="00DC2A29"/>
    <w:rsid w:val="00DC382E"/>
    <w:rsid w:val="00DC4460"/>
    <w:rsid w:val="00DC6FFD"/>
    <w:rsid w:val="00DC7307"/>
    <w:rsid w:val="00DD08A2"/>
    <w:rsid w:val="00DD15E2"/>
    <w:rsid w:val="00DD1B07"/>
    <w:rsid w:val="00DD237B"/>
    <w:rsid w:val="00DD2E0B"/>
    <w:rsid w:val="00DD2F82"/>
    <w:rsid w:val="00DD3220"/>
    <w:rsid w:val="00DD3458"/>
    <w:rsid w:val="00DD4283"/>
    <w:rsid w:val="00DD7D57"/>
    <w:rsid w:val="00DD7FA4"/>
    <w:rsid w:val="00DE11D9"/>
    <w:rsid w:val="00DE218F"/>
    <w:rsid w:val="00DE295A"/>
    <w:rsid w:val="00DE463F"/>
    <w:rsid w:val="00DE50A6"/>
    <w:rsid w:val="00DE6332"/>
    <w:rsid w:val="00DF028E"/>
    <w:rsid w:val="00DF0FDC"/>
    <w:rsid w:val="00DF13E3"/>
    <w:rsid w:val="00DF4395"/>
    <w:rsid w:val="00DF53A6"/>
    <w:rsid w:val="00DF630C"/>
    <w:rsid w:val="00DF632A"/>
    <w:rsid w:val="00E0006B"/>
    <w:rsid w:val="00E002D7"/>
    <w:rsid w:val="00E02610"/>
    <w:rsid w:val="00E02D2F"/>
    <w:rsid w:val="00E052A6"/>
    <w:rsid w:val="00E06010"/>
    <w:rsid w:val="00E06331"/>
    <w:rsid w:val="00E06D1F"/>
    <w:rsid w:val="00E10737"/>
    <w:rsid w:val="00E1138D"/>
    <w:rsid w:val="00E1496D"/>
    <w:rsid w:val="00E15D8C"/>
    <w:rsid w:val="00E16C47"/>
    <w:rsid w:val="00E20238"/>
    <w:rsid w:val="00E20B4B"/>
    <w:rsid w:val="00E21C3A"/>
    <w:rsid w:val="00E21F46"/>
    <w:rsid w:val="00E22136"/>
    <w:rsid w:val="00E22BDF"/>
    <w:rsid w:val="00E23B15"/>
    <w:rsid w:val="00E24225"/>
    <w:rsid w:val="00E2513C"/>
    <w:rsid w:val="00E2681A"/>
    <w:rsid w:val="00E30E7B"/>
    <w:rsid w:val="00E331DB"/>
    <w:rsid w:val="00E36993"/>
    <w:rsid w:val="00E36E2B"/>
    <w:rsid w:val="00E37E84"/>
    <w:rsid w:val="00E40FBF"/>
    <w:rsid w:val="00E41D17"/>
    <w:rsid w:val="00E44775"/>
    <w:rsid w:val="00E47B61"/>
    <w:rsid w:val="00E5064C"/>
    <w:rsid w:val="00E51A4B"/>
    <w:rsid w:val="00E51B2B"/>
    <w:rsid w:val="00E521CA"/>
    <w:rsid w:val="00E53431"/>
    <w:rsid w:val="00E53DAE"/>
    <w:rsid w:val="00E56CA2"/>
    <w:rsid w:val="00E6036B"/>
    <w:rsid w:val="00E62752"/>
    <w:rsid w:val="00E6310D"/>
    <w:rsid w:val="00E63941"/>
    <w:rsid w:val="00E65305"/>
    <w:rsid w:val="00E653E4"/>
    <w:rsid w:val="00E66273"/>
    <w:rsid w:val="00E72213"/>
    <w:rsid w:val="00E733DD"/>
    <w:rsid w:val="00E73F28"/>
    <w:rsid w:val="00E7537F"/>
    <w:rsid w:val="00E76EF0"/>
    <w:rsid w:val="00E77404"/>
    <w:rsid w:val="00E81398"/>
    <w:rsid w:val="00E83D9E"/>
    <w:rsid w:val="00E83FF9"/>
    <w:rsid w:val="00E84521"/>
    <w:rsid w:val="00E85AD2"/>
    <w:rsid w:val="00E862ED"/>
    <w:rsid w:val="00E8659D"/>
    <w:rsid w:val="00E86651"/>
    <w:rsid w:val="00E875B0"/>
    <w:rsid w:val="00E87742"/>
    <w:rsid w:val="00E87DD8"/>
    <w:rsid w:val="00E87E7D"/>
    <w:rsid w:val="00E92409"/>
    <w:rsid w:val="00E92B08"/>
    <w:rsid w:val="00E933A4"/>
    <w:rsid w:val="00E949FD"/>
    <w:rsid w:val="00E950A7"/>
    <w:rsid w:val="00E967A3"/>
    <w:rsid w:val="00EA0C09"/>
    <w:rsid w:val="00EA28B0"/>
    <w:rsid w:val="00EA3B51"/>
    <w:rsid w:val="00EA440F"/>
    <w:rsid w:val="00EA6802"/>
    <w:rsid w:val="00EB0A4C"/>
    <w:rsid w:val="00EB19EE"/>
    <w:rsid w:val="00EB27B7"/>
    <w:rsid w:val="00EB2B2C"/>
    <w:rsid w:val="00EB2D5D"/>
    <w:rsid w:val="00EB46A7"/>
    <w:rsid w:val="00EB5CB1"/>
    <w:rsid w:val="00EB6D75"/>
    <w:rsid w:val="00EB6FDC"/>
    <w:rsid w:val="00EB70FE"/>
    <w:rsid w:val="00EB7202"/>
    <w:rsid w:val="00EC0AF5"/>
    <w:rsid w:val="00EC0C64"/>
    <w:rsid w:val="00EC1F0A"/>
    <w:rsid w:val="00EC24A8"/>
    <w:rsid w:val="00EC4D24"/>
    <w:rsid w:val="00EC4E26"/>
    <w:rsid w:val="00EC63B8"/>
    <w:rsid w:val="00EC6DC0"/>
    <w:rsid w:val="00EC7884"/>
    <w:rsid w:val="00EC7950"/>
    <w:rsid w:val="00EC7FB8"/>
    <w:rsid w:val="00ED3DD7"/>
    <w:rsid w:val="00ED417E"/>
    <w:rsid w:val="00ED4ED5"/>
    <w:rsid w:val="00ED501D"/>
    <w:rsid w:val="00ED57B9"/>
    <w:rsid w:val="00ED6319"/>
    <w:rsid w:val="00ED669C"/>
    <w:rsid w:val="00ED7812"/>
    <w:rsid w:val="00EE0B39"/>
    <w:rsid w:val="00EE1A98"/>
    <w:rsid w:val="00EE1BBC"/>
    <w:rsid w:val="00EE34D4"/>
    <w:rsid w:val="00EE5105"/>
    <w:rsid w:val="00EE566E"/>
    <w:rsid w:val="00EE7930"/>
    <w:rsid w:val="00EF04CF"/>
    <w:rsid w:val="00EF2D64"/>
    <w:rsid w:val="00EF321F"/>
    <w:rsid w:val="00EF34A7"/>
    <w:rsid w:val="00EF5A6E"/>
    <w:rsid w:val="00EF62F9"/>
    <w:rsid w:val="00EF7028"/>
    <w:rsid w:val="00EF7E9F"/>
    <w:rsid w:val="00F00C37"/>
    <w:rsid w:val="00F00D63"/>
    <w:rsid w:val="00F01236"/>
    <w:rsid w:val="00F012D4"/>
    <w:rsid w:val="00F043BE"/>
    <w:rsid w:val="00F053E5"/>
    <w:rsid w:val="00F055BA"/>
    <w:rsid w:val="00F068E9"/>
    <w:rsid w:val="00F075DF"/>
    <w:rsid w:val="00F07FC2"/>
    <w:rsid w:val="00F112CB"/>
    <w:rsid w:val="00F11FD2"/>
    <w:rsid w:val="00F123FB"/>
    <w:rsid w:val="00F1450C"/>
    <w:rsid w:val="00F168D4"/>
    <w:rsid w:val="00F20884"/>
    <w:rsid w:val="00F21886"/>
    <w:rsid w:val="00F2192D"/>
    <w:rsid w:val="00F2396A"/>
    <w:rsid w:val="00F242A1"/>
    <w:rsid w:val="00F25589"/>
    <w:rsid w:val="00F2684E"/>
    <w:rsid w:val="00F27140"/>
    <w:rsid w:val="00F316A9"/>
    <w:rsid w:val="00F3230D"/>
    <w:rsid w:val="00F32C42"/>
    <w:rsid w:val="00F32D0A"/>
    <w:rsid w:val="00F335EC"/>
    <w:rsid w:val="00F33EE7"/>
    <w:rsid w:val="00F35934"/>
    <w:rsid w:val="00F37248"/>
    <w:rsid w:val="00F3732B"/>
    <w:rsid w:val="00F40DC0"/>
    <w:rsid w:val="00F443B8"/>
    <w:rsid w:val="00F44598"/>
    <w:rsid w:val="00F446F2"/>
    <w:rsid w:val="00F47C5C"/>
    <w:rsid w:val="00F50C17"/>
    <w:rsid w:val="00F513C0"/>
    <w:rsid w:val="00F517C1"/>
    <w:rsid w:val="00F5304B"/>
    <w:rsid w:val="00F531F3"/>
    <w:rsid w:val="00F541A4"/>
    <w:rsid w:val="00F57D92"/>
    <w:rsid w:val="00F64830"/>
    <w:rsid w:val="00F649AD"/>
    <w:rsid w:val="00F649D5"/>
    <w:rsid w:val="00F65393"/>
    <w:rsid w:val="00F65AB6"/>
    <w:rsid w:val="00F66451"/>
    <w:rsid w:val="00F66949"/>
    <w:rsid w:val="00F67205"/>
    <w:rsid w:val="00F673CE"/>
    <w:rsid w:val="00F728D5"/>
    <w:rsid w:val="00F7358B"/>
    <w:rsid w:val="00F73617"/>
    <w:rsid w:val="00F7398F"/>
    <w:rsid w:val="00F7455A"/>
    <w:rsid w:val="00F77A4D"/>
    <w:rsid w:val="00F77D15"/>
    <w:rsid w:val="00F8095C"/>
    <w:rsid w:val="00F80E6A"/>
    <w:rsid w:val="00F8303B"/>
    <w:rsid w:val="00F832F7"/>
    <w:rsid w:val="00F8512A"/>
    <w:rsid w:val="00F91698"/>
    <w:rsid w:val="00F92265"/>
    <w:rsid w:val="00F936C3"/>
    <w:rsid w:val="00F93B34"/>
    <w:rsid w:val="00F94D27"/>
    <w:rsid w:val="00F962C8"/>
    <w:rsid w:val="00FA102F"/>
    <w:rsid w:val="00FA2D44"/>
    <w:rsid w:val="00FA44EC"/>
    <w:rsid w:val="00FA4E10"/>
    <w:rsid w:val="00FA4F5F"/>
    <w:rsid w:val="00FA729E"/>
    <w:rsid w:val="00FB0593"/>
    <w:rsid w:val="00FB05B6"/>
    <w:rsid w:val="00FB06F1"/>
    <w:rsid w:val="00FB0784"/>
    <w:rsid w:val="00FB48F5"/>
    <w:rsid w:val="00FB76DA"/>
    <w:rsid w:val="00FB7B7C"/>
    <w:rsid w:val="00FC1F96"/>
    <w:rsid w:val="00FC271F"/>
    <w:rsid w:val="00FC5942"/>
    <w:rsid w:val="00FC5E3C"/>
    <w:rsid w:val="00FC60EB"/>
    <w:rsid w:val="00FC705D"/>
    <w:rsid w:val="00FC720D"/>
    <w:rsid w:val="00FC76A3"/>
    <w:rsid w:val="00FC7D80"/>
    <w:rsid w:val="00FC7FD3"/>
    <w:rsid w:val="00FD1557"/>
    <w:rsid w:val="00FD5B38"/>
    <w:rsid w:val="00FD6888"/>
    <w:rsid w:val="00FE067A"/>
    <w:rsid w:val="00FE0F0B"/>
    <w:rsid w:val="00FE1E31"/>
    <w:rsid w:val="00FE1F28"/>
    <w:rsid w:val="00FE2410"/>
    <w:rsid w:val="00FE2C03"/>
    <w:rsid w:val="00FE3155"/>
    <w:rsid w:val="00FE3C35"/>
    <w:rsid w:val="00FE6E80"/>
    <w:rsid w:val="00FF0A6F"/>
    <w:rsid w:val="00FF104D"/>
    <w:rsid w:val="00FF2F24"/>
    <w:rsid w:val="00FF47B4"/>
    <w:rsid w:val="00FF4870"/>
    <w:rsid w:val="00FF5210"/>
    <w:rsid w:val="00FF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C2A7B4-C013-4BE1-99D5-C121F0776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2C79D6"/>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11"/>
    <w:next w:val="a"/>
    <w:link w:val="20"/>
    <w:uiPriority w:val="9"/>
    <w:unhideWhenUsed/>
    <w:qFormat/>
    <w:rsid w:val="002D7384"/>
    <w:pPr>
      <w:keepNext w:val="0"/>
      <w:tabs>
        <w:tab w:val="right" w:leader="dot" w:pos="10206"/>
      </w:tabs>
      <w:spacing w:afterLines="70" w:after="252" w:line="440" w:lineRule="exact"/>
      <w:ind w:right="-2"/>
      <w:jc w:val="both"/>
      <w:outlineLvl w:val="1"/>
    </w:pPr>
    <w:rPr>
      <w:bCs w:val="0"/>
      <w:noProof/>
      <w:kern w:val="2"/>
      <w:szCs w:val="28"/>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57FD"/>
    <w:pPr>
      <w:ind w:leftChars="200" w:left="480"/>
    </w:pPr>
  </w:style>
  <w:style w:type="paragraph" w:styleId="HTML">
    <w:name w:val="HTML Preformatted"/>
    <w:basedOn w:val="a"/>
    <w:link w:val="HTML0"/>
    <w:uiPriority w:val="99"/>
    <w:unhideWhenUsed/>
    <w:rsid w:val="009D5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 w:val="20"/>
      <w:szCs w:val="24"/>
      <w:lang w:val="x-none" w:eastAsia="x-none"/>
    </w:rPr>
  </w:style>
  <w:style w:type="character" w:customStyle="1" w:styleId="HTML0">
    <w:name w:val="HTML 預設格式 字元"/>
    <w:link w:val="HTML"/>
    <w:uiPriority w:val="99"/>
    <w:rsid w:val="009D57FD"/>
    <w:rPr>
      <w:rFonts w:ascii="細明體" w:eastAsia="細明體" w:hAnsi="細明體" w:cs="細明體"/>
      <w:color w:val="333333"/>
      <w:kern w:val="0"/>
      <w:szCs w:val="24"/>
    </w:rPr>
  </w:style>
  <w:style w:type="paragraph" w:styleId="a5">
    <w:name w:val="header"/>
    <w:basedOn w:val="a"/>
    <w:link w:val="a6"/>
    <w:unhideWhenUsed/>
    <w:rsid w:val="00C10973"/>
    <w:pPr>
      <w:tabs>
        <w:tab w:val="center" w:pos="4153"/>
        <w:tab w:val="right" w:pos="8306"/>
      </w:tabs>
      <w:snapToGrid w:val="0"/>
    </w:pPr>
    <w:rPr>
      <w:kern w:val="0"/>
      <w:sz w:val="20"/>
      <w:szCs w:val="20"/>
      <w:lang w:val="x-none" w:eastAsia="x-none"/>
    </w:rPr>
  </w:style>
  <w:style w:type="character" w:customStyle="1" w:styleId="a6">
    <w:name w:val="頁首 字元"/>
    <w:link w:val="a5"/>
    <w:rsid w:val="00C10973"/>
    <w:rPr>
      <w:sz w:val="20"/>
      <w:szCs w:val="20"/>
    </w:rPr>
  </w:style>
  <w:style w:type="paragraph" w:styleId="a7">
    <w:name w:val="footer"/>
    <w:basedOn w:val="a"/>
    <w:link w:val="a8"/>
    <w:unhideWhenUsed/>
    <w:rsid w:val="00C10973"/>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C10973"/>
    <w:rPr>
      <w:sz w:val="20"/>
      <w:szCs w:val="20"/>
    </w:rPr>
  </w:style>
  <w:style w:type="character" w:styleId="a9">
    <w:name w:val="annotation reference"/>
    <w:uiPriority w:val="99"/>
    <w:semiHidden/>
    <w:unhideWhenUsed/>
    <w:rsid w:val="00A00E51"/>
    <w:rPr>
      <w:sz w:val="18"/>
      <w:szCs w:val="18"/>
    </w:rPr>
  </w:style>
  <w:style w:type="paragraph" w:styleId="aa">
    <w:name w:val="annotation text"/>
    <w:basedOn w:val="a"/>
    <w:link w:val="ab"/>
    <w:uiPriority w:val="99"/>
    <w:semiHidden/>
    <w:unhideWhenUsed/>
    <w:rsid w:val="00A00E51"/>
  </w:style>
  <w:style w:type="character" w:customStyle="1" w:styleId="ab">
    <w:name w:val="註解文字 字元"/>
    <w:basedOn w:val="a0"/>
    <w:link w:val="aa"/>
    <w:uiPriority w:val="99"/>
    <w:semiHidden/>
    <w:rsid w:val="00A00E51"/>
  </w:style>
  <w:style w:type="paragraph" w:styleId="ac">
    <w:name w:val="annotation subject"/>
    <w:basedOn w:val="aa"/>
    <w:next w:val="aa"/>
    <w:link w:val="ad"/>
    <w:uiPriority w:val="99"/>
    <w:semiHidden/>
    <w:unhideWhenUsed/>
    <w:rsid w:val="00A00E51"/>
    <w:rPr>
      <w:b/>
      <w:bCs/>
      <w:kern w:val="0"/>
      <w:sz w:val="20"/>
      <w:szCs w:val="20"/>
      <w:lang w:val="x-none" w:eastAsia="x-none"/>
    </w:rPr>
  </w:style>
  <w:style w:type="character" w:customStyle="1" w:styleId="ad">
    <w:name w:val="註解主旨 字元"/>
    <w:link w:val="ac"/>
    <w:uiPriority w:val="99"/>
    <w:semiHidden/>
    <w:rsid w:val="00A00E51"/>
    <w:rPr>
      <w:b/>
      <w:bCs/>
    </w:rPr>
  </w:style>
  <w:style w:type="paragraph" w:styleId="ae">
    <w:name w:val="Balloon Text"/>
    <w:basedOn w:val="a"/>
    <w:link w:val="af"/>
    <w:uiPriority w:val="99"/>
    <w:semiHidden/>
    <w:unhideWhenUsed/>
    <w:rsid w:val="00A00E51"/>
    <w:rPr>
      <w:rFonts w:ascii="Cambria" w:hAnsi="Cambria"/>
      <w:kern w:val="0"/>
      <w:sz w:val="18"/>
      <w:szCs w:val="18"/>
      <w:lang w:val="x-none" w:eastAsia="x-none"/>
    </w:rPr>
  </w:style>
  <w:style w:type="character" w:customStyle="1" w:styleId="af">
    <w:name w:val="註解方塊文字 字元"/>
    <w:link w:val="ae"/>
    <w:uiPriority w:val="99"/>
    <w:semiHidden/>
    <w:rsid w:val="00A00E51"/>
    <w:rPr>
      <w:rFonts w:ascii="Cambria" w:eastAsia="新細明體" w:hAnsi="Cambria" w:cs="Times New Roman"/>
      <w:sz w:val="18"/>
      <w:szCs w:val="18"/>
    </w:rPr>
  </w:style>
  <w:style w:type="character" w:styleId="af0">
    <w:name w:val="Hyperlink"/>
    <w:uiPriority w:val="99"/>
    <w:unhideWhenUsed/>
    <w:rsid w:val="00FC76A3"/>
    <w:rPr>
      <w:color w:val="003366"/>
      <w:u w:val="single"/>
    </w:rPr>
  </w:style>
  <w:style w:type="paragraph" w:styleId="af1">
    <w:name w:val="No Spacing"/>
    <w:uiPriority w:val="1"/>
    <w:qFormat/>
    <w:rsid w:val="001B5EE9"/>
    <w:pPr>
      <w:widowControl w:val="0"/>
      <w:adjustRightInd w:val="0"/>
      <w:textAlignment w:val="baseline"/>
    </w:pPr>
    <w:rPr>
      <w:rFonts w:ascii="Times New Roman" w:hAnsi="Times New Roman"/>
      <w:sz w:val="24"/>
    </w:rPr>
  </w:style>
  <w:style w:type="character" w:customStyle="1" w:styleId="10">
    <w:name w:val="標題 1 字元"/>
    <w:link w:val="1"/>
    <w:rsid w:val="002C79D6"/>
    <w:rPr>
      <w:rFonts w:ascii="Cambria" w:eastAsia="新細明體" w:hAnsi="Cambria" w:cs="Times New Roman"/>
      <w:b/>
      <w:bCs/>
      <w:kern w:val="52"/>
      <w:sz w:val="52"/>
      <w:szCs w:val="52"/>
    </w:rPr>
  </w:style>
  <w:style w:type="paragraph" w:customStyle="1" w:styleId="11">
    <w:name w:val="樣式1"/>
    <w:basedOn w:val="1"/>
    <w:link w:val="12"/>
    <w:qFormat/>
    <w:rsid w:val="000C19BC"/>
    <w:pPr>
      <w:spacing w:before="0" w:after="0" w:line="400" w:lineRule="exact"/>
      <w:jc w:val="center"/>
    </w:pPr>
    <w:rPr>
      <w:rFonts w:ascii="標楷體" w:eastAsia="標楷體" w:hAnsi="標楷體"/>
      <w:sz w:val="32"/>
      <w:szCs w:val="32"/>
    </w:rPr>
  </w:style>
  <w:style w:type="paragraph" w:customStyle="1" w:styleId="13">
    <w:name w:val="標題1"/>
    <w:basedOn w:val="11"/>
    <w:link w:val="14"/>
    <w:qFormat/>
    <w:rsid w:val="000C19BC"/>
  </w:style>
  <w:style w:type="character" w:customStyle="1" w:styleId="12">
    <w:name w:val="樣式1 字元"/>
    <w:link w:val="11"/>
    <w:rsid w:val="000C19BC"/>
    <w:rPr>
      <w:rFonts w:ascii="標楷體" w:eastAsia="標楷體" w:hAnsi="標楷體" w:cs="Times New Roman"/>
      <w:b/>
      <w:bCs/>
      <w:kern w:val="52"/>
      <w:sz w:val="32"/>
      <w:szCs w:val="32"/>
    </w:rPr>
  </w:style>
  <w:style w:type="paragraph" w:styleId="af2">
    <w:name w:val="TOC Heading"/>
    <w:basedOn w:val="1"/>
    <w:next w:val="a"/>
    <w:uiPriority w:val="39"/>
    <w:unhideWhenUsed/>
    <w:qFormat/>
    <w:rsid w:val="000C19BC"/>
    <w:pPr>
      <w:keepLines/>
      <w:widowControl/>
      <w:spacing w:before="480" w:after="0" w:line="276" w:lineRule="auto"/>
      <w:outlineLvl w:val="9"/>
    </w:pPr>
    <w:rPr>
      <w:color w:val="365F91"/>
      <w:kern w:val="0"/>
      <w:sz w:val="28"/>
      <w:szCs w:val="28"/>
    </w:rPr>
  </w:style>
  <w:style w:type="character" w:customStyle="1" w:styleId="14">
    <w:name w:val="標題1 字元"/>
    <w:basedOn w:val="12"/>
    <w:link w:val="13"/>
    <w:rsid w:val="000C19BC"/>
    <w:rPr>
      <w:rFonts w:ascii="標楷體" w:eastAsia="標楷體" w:hAnsi="標楷體" w:cs="Times New Roman"/>
      <w:b/>
      <w:bCs/>
      <w:kern w:val="52"/>
      <w:sz w:val="32"/>
      <w:szCs w:val="32"/>
    </w:rPr>
  </w:style>
  <w:style w:type="paragraph" w:styleId="15">
    <w:name w:val="toc 1"/>
    <w:basedOn w:val="a"/>
    <w:next w:val="a"/>
    <w:link w:val="16"/>
    <w:autoRedefine/>
    <w:uiPriority w:val="39"/>
    <w:unhideWhenUsed/>
    <w:qFormat/>
    <w:rsid w:val="00476F13"/>
    <w:pPr>
      <w:tabs>
        <w:tab w:val="right" w:leader="dot" w:pos="9628"/>
      </w:tabs>
      <w:spacing w:line="480" w:lineRule="exact"/>
      <w:ind w:left="566" w:hangingChars="202" w:hanging="566"/>
    </w:pPr>
    <w:rPr>
      <w:rFonts w:ascii="標楷體" w:eastAsia="標楷體" w:hAnsi="標楷體" w:cs="Calibri"/>
      <w:b/>
      <w:bCs/>
      <w:noProof/>
      <w:sz w:val="28"/>
      <w:szCs w:val="28"/>
    </w:rPr>
  </w:style>
  <w:style w:type="paragraph" w:styleId="21">
    <w:name w:val="toc 2"/>
    <w:basedOn w:val="a"/>
    <w:next w:val="a"/>
    <w:autoRedefine/>
    <w:uiPriority w:val="39"/>
    <w:unhideWhenUsed/>
    <w:qFormat/>
    <w:rsid w:val="000465EA"/>
    <w:pPr>
      <w:ind w:left="240"/>
    </w:pPr>
    <w:rPr>
      <w:rFonts w:cs="Calibri"/>
      <w:smallCaps/>
      <w:sz w:val="20"/>
      <w:szCs w:val="20"/>
    </w:rPr>
  </w:style>
  <w:style w:type="paragraph" w:styleId="3">
    <w:name w:val="toc 3"/>
    <w:basedOn w:val="a"/>
    <w:next w:val="a"/>
    <w:autoRedefine/>
    <w:uiPriority w:val="39"/>
    <w:unhideWhenUsed/>
    <w:qFormat/>
    <w:rsid w:val="000465EA"/>
    <w:pPr>
      <w:ind w:left="480"/>
    </w:pPr>
    <w:rPr>
      <w:rFonts w:cs="Calibri"/>
      <w:i/>
      <w:iCs/>
      <w:sz w:val="20"/>
      <w:szCs w:val="20"/>
    </w:rPr>
  </w:style>
  <w:style w:type="paragraph" w:styleId="4">
    <w:name w:val="toc 4"/>
    <w:basedOn w:val="a"/>
    <w:next w:val="a"/>
    <w:autoRedefine/>
    <w:uiPriority w:val="39"/>
    <w:unhideWhenUsed/>
    <w:rsid w:val="004A496E"/>
    <w:pPr>
      <w:ind w:left="720"/>
    </w:pPr>
    <w:rPr>
      <w:rFonts w:cs="Calibri"/>
      <w:sz w:val="18"/>
      <w:szCs w:val="18"/>
    </w:rPr>
  </w:style>
  <w:style w:type="paragraph" w:styleId="5">
    <w:name w:val="toc 5"/>
    <w:basedOn w:val="a"/>
    <w:next w:val="a"/>
    <w:autoRedefine/>
    <w:uiPriority w:val="39"/>
    <w:unhideWhenUsed/>
    <w:rsid w:val="004A496E"/>
    <w:pPr>
      <w:ind w:left="960"/>
    </w:pPr>
    <w:rPr>
      <w:rFonts w:cs="Calibri"/>
      <w:sz w:val="18"/>
      <w:szCs w:val="18"/>
    </w:rPr>
  </w:style>
  <w:style w:type="paragraph" w:styleId="6">
    <w:name w:val="toc 6"/>
    <w:basedOn w:val="a"/>
    <w:next w:val="a"/>
    <w:autoRedefine/>
    <w:uiPriority w:val="39"/>
    <w:unhideWhenUsed/>
    <w:rsid w:val="004A496E"/>
    <w:pPr>
      <w:ind w:left="1200"/>
    </w:pPr>
    <w:rPr>
      <w:rFonts w:cs="Calibri"/>
      <w:sz w:val="18"/>
      <w:szCs w:val="18"/>
    </w:rPr>
  </w:style>
  <w:style w:type="paragraph" w:styleId="7">
    <w:name w:val="toc 7"/>
    <w:basedOn w:val="a"/>
    <w:next w:val="a"/>
    <w:autoRedefine/>
    <w:uiPriority w:val="39"/>
    <w:unhideWhenUsed/>
    <w:rsid w:val="004A496E"/>
    <w:pPr>
      <w:ind w:left="1440"/>
    </w:pPr>
    <w:rPr>
      <w:rFonts w:cs="Calibri"/>
      <w:sz w:val="18"/>
      <w:szCs w:val="18"/>
    </w:rPr>
  </w:style>
  <w:style w:type="paragraph" w:styleId="8">
    <w:name w:val="toc 8"/>
    <w:basedOn w:val="a"/>
    <w:next w:val="a"/>
    <w:autoRedefine/>
    <w:uiPriority w:val="39"/>
    <w:unhideWhenUsed/>
    <w:rsid w:val="004A496E"/>
    <w:pPr>
      <w:ind w:left="1680"/>
    </w:pPr>
    <w:rPr>
      <w:rFonts w:cs="Calibri"/>
      <w:sz w:val="18"/>
      <w:szCs w:val="18"/>
    </w:rPr>
  </w:style>
  <w:style w:type="paragraph" w:styleId="9">
    <w:name w:val="toc 9"/>
    <w:basedOn w:val="a"/>
    <w:next w:val="a"/>
    <w:autoRedefine/>
    <w:uiPriority w:val="39"/>
    <w:unhideWhenUsed/>
    <w:rsid w:val="004A496E"/>
    <w:pPr>
      <w:ind w:left="1920"/>
    </w:pPr>
    <w:rPr>
      <w:rFonts w:cs="Calibri"/>
      <w:sz w:val="18"/>
      <w:szCs w:val="18"/>
    </w:rPr>
  </w:style>
  <w:style w:type="paragraph" w:styleId="af3">
    <w:name w:val="Body Text"/>
    <w:basedOn w:val="a"/>
    <w:link w:val="af4"/>
    <w:uiPriority w:val="99"/>
    <w:rsid w:val="00646D6B"/>
    <w:pPr>
      <w:widowControl/>
      <w:jc w:val="both"/>
    </w:pPr>
    <w:rPr>
      <w:rFonts w:ascii="標楷體" w:eastAsia="標楷體" w:hAnsi="標楷體"/>
      <w:kern w:val="0"/>
      <w:sz w:val="20"/>
      <w:szCs w:val="24"/>
    </w:rPr>
  </w:style>
  <w:style w:type="character" w:customStyle="1" w:styleId="af4">
    <w:name w:val="本文 字元"/>
    <w:basedOn w:val="a0"/>
    <w:link w:val="af3"/>
    <w:uiPriority w:val="99"/>
    <w:rsid w:val="00646D6B"/>
    <w:rPr>
      <w:rFonts w:ascii="標楷體" w:eastAsia="標楷體" w:hAnsi="標楷體"/>
      <w:szCs w:val="24"/>
    </w:rPr>
  </w:style>
  <w:style w:type="paragraph" w:styleId="af5">
    <w:name w:val="Body Text Indent"/>
    <w:basedOn w:val="a"/>
    <w:link w:val="af6"/>
    <w:unhideWhenUsed/>
    <w:rsid w:val="00042F6C"/>
    <w:pPr>
      <w:spacing w:after="120"/>
      <w:ind w:leftChars="200" w:left="480"/>
    </w:pPr>
  </w:style>
  <w:style w:type="character" w:customStyle="1" w:styleId="af6">
    <w:name w:val="本文縮排 字元"/>
    <w:basedOn w:val="a0"/>
    <w:link w:val="af5"/>
    <w:rsid w:val="00042F6C"/>
    <w:rPr>
      <w:kern w:val="2"/>
      <w:sz w:val="24"/>
      <w:szCs w:val="22"/>
    </w:rPr>
  </w:style>
  <w:style w:type="paragraph" w:styleId="Web">
    <w:name w:val="Normal (Web)"/>
    <w:basedOn w:val="a"/>
    <w:rsid w:val="005368C6"/>
    <w:pPr>
      <w:widowControl/>
      <w:spacing w:before="100" w:beforeAutospacing="1" w:after="100" w:afterAutospacing="1"/>
    </w:pPr>
    <w:rPr>
      <w:rFonts w:ascii="新細明體" w:hAnsi="新細明體"/>
      <w:kern w:val="0"/>
      <w:szCs w:val="24"/>
    </w:rPr>
  </w:style>
  <w:style w:type="character" w:customStyle="1" w:styleId="20">
    <w:name w:val="標題 2 字元"/>
    <w:basedOn w:val="a0"/>
    <w:link w:val="2"/>
    <w:uiPriority w:val="9"/>
    <w:rsid w:val="002D7384"/>
    <w:rPr>
      <w:rFonts w:ascii="標楷體" w:eastAsia="標楷體" w:hAnsi="標楷體"/>
      <w:b/>
      <w:noProof/>
      <w:kern w:val="2"/>
      <w:sz w:val="32"/>
      <w:szCs w:val="28"/>
    </w:rPr>
  </w:style>
  <w:style w:type="paragraph" w:styleId="30">
    <w:name w:val="Body Text Indent 3"/>
    <w:basedOn w:val="a"/>
    <w:link w:val="31"/>
    <w:semiHidden/>
    <w:rsid w:val="002D7384"/>
    <w:pPr>
      <w:ind w:left="340" w:firstLine="1077"/>
    </w:pPr>
    <w:rPr>
      <w:rFonts w:ascii="標楷體" w:eastAsia="標楷體" w:hAnsi="標楷體"/>
      <w:szCs w:val="24"/>
    </w:rPr>
  </w:style>
  <w:style w:type="character" w:customStyle="1" w:styleId="31">
    <w:name w:val="本文縮排 3 字元"/>
    <w:basedOn w:val="a0"/>
    <w:link w:val="30"/>
    <w:semiHidden/>
    <w:rsid w:val="002D7384"/>
    <w:rPr>
      <w:rFonts w:ascii="標楷體" w:eastAsia="標楷體" w:hAnsi="標楷體"/>
      <w:kern w:val="2"/>
      <w:sz w:val="24"/>
      <w:szCs w:val="24"/>
    </w:rPr>
  </w:style>
  <w:style w:type="paragraph" w:styleId="22">
    <w:name w:val="Body Text 2"/>
    <w:basedOn w:val="a"/>
    <w:link w:val="23"/>
    <w:semiHidden/>
    <w:rsid w:val="002D7384"/>
    <w:rPr>
      <w:rFonts w:ascii="新細明體" w:hAnsi="Times New Roman"/>
      <w:b/>
      <w:color w:val="000000"/>
      <w:sz w:val="40"/>
      <w:szCs w:val="20"/>
    </w:rPr>
  </w:style>
  <w:style w:type="character" w:customStyle="1" w:styleId="23">
    <w:name w:val="本文 2 字元"/>
    <w:basedOn w:val="a0"/>
    <w:link w:val="22"/>
    <w:semiHidden/>
    <w:rsid w:val="002D7384"/>
    <w:rPr>
      <w:rFonts w:ascii="新細明體" w:hAnsi="Times New Roman"/>
      <w:b/>
      <w:color w:val="000000"/>
      <w:kern w:val="2"/>
      <w:sz w:val="40"/>
    </w:rPr>
  </w:style>
  <w:style w:type="paragraph" w:styleId="af7">
    <w:name w:val="endnote text"/>
    <w:basedOn w:val="a"/>
    <w:link w:val="af8"/>
    <w:uiPriority w:val="99"/>
    <w:semiHidden/>
    <w:unhideWhenUsed/>
    <w:rsid w:val="002D7384"/>
    <w:pPr>
      <w:snapToGrid w:val="0"/>
    </w:pPr>
  </w:style>
  <w:style w:type="character" w:customStyle="1" w:styleId="af8">
    <w:name w:val="章節附註文字 字元"/>
    <w:basedOn w:val="a0"/>
    <w:link w:val="af7"/>
    <w:uiPriority w:val="99"/>
    <w:semiHidden/>
    <w:rsid w:val="002D7384"/>
    <w:rPr>
      <w:kern w:val="2"/>
      <w:sz w:val="24"/>
      <w:szCs w:val="22"/>
    </w:rPr>
  </w:style>
  <w:style w:type="character" w:styleId="af9">
    <w:name w:val="endnote reference"/>
    <w:uiPriority w:val="99"/>
    <w:semiHidden/>
    <w:unhideWhenUsed/>
    <w:rsid w:val="002D7384"/>
    <w:rPr>
      <w:vertAlign w:val="superscript"/>
    </w:rPr>
  </w:style>
  <w:style w:type="paragraph" w:styleId="afa">
    <w:name w:val="Block Text"/>
    <w:basedOn w:val="a"/>
    <w:rsid w:val="002D7384"/>
    <w:pPr>
      <w:spacing w:line="360" w:lineRule="atLeast"/>
      <w:ind w:left="1140" w:right="57" w:hanging="480"/>
      <w:jc w:val="both"/>
      <w:textAlignment w:val="center"/>
    </w:pPr>
    <w:rPr>
      <w:rFonts w:ascii="Times New Roman" w:eastAsia="標楷體" w:hAnsi="Times New Roman"/>
      <w:bCs/>
      <w:szCs w:val="20"/>
    </w:rPr>
  </w:style>
  <w:style w:type="paragraph" w:styleId="24">
    <w:name w:val="Body Text Indent 2"/>
    <w:basedOn w:val="a"/>
    <w:link w:val="25"/>
    <w:semiHidden/>
    <w:unhideWhenUsed/>
    <w:rsid w:val="002D7384"/>
    <w:pPr>
      <w:spacing w:after="120" w:line="480" w:lineRule="auto"/>
      <w:ind w:leftChars="200" w:left="480"/>
    </w:pPr>
  </w:style>
  <w:style w:type="character" w:customStyle="1" w:styleId="25">
    <w:name w:val="本文縮排 2 字元"/>
    <w:basedOn w:val="a0"/>
    <w:link w:val="24"/>
    <w:semiHidden/>
    <w:rsid w:val="002D7384"/>
    <w:rPr>
      <w:kern w:val="2"/>
      <w:sz w:val="24"/>
      <w:szCs w:val="22"/>
    </w:rPr>
  </w:style>
  <w:style w:type="paragraph" w:customStyle="1" w:styleId="afb">
    <w:name w:val="條文二十一之一、"/>
    <w:basedOn w:val="a"/>
    <w:rsid w:val="002D7384"/>
    <w:pPr>
      <w:kinsoku w:val="0"/>
      <w:adjustRightInd w:val="0"/>
      <w:spacing w:line="500" w:lineRule="atLeast"/>
      <w:ind w:left="2552" w:hanging="567"/>
      <w:jc w:val="both"/>
      <w:textAlignment w:val="baseline"/>
    </w:pPr>
    <w:rPr>
      <w:rFonts w:ascii="Times New Roman" w:eastAsia="研澤楷書體" w:hAnsi="Times New Roman"/>
      <w:spacing w:val="20"/>
      <w:kern w:val="0"/>
      <w:sz w:val="28"/>
      <w:szCs w:val="20"/>
    </w:rPr>
  </w:style>
  <w:style w:type="paragraph" w:customStyle="1" w:styleId="Char">
    <w:name w:val="字元 字元 Char"/>
    <w:basedOn w:val="a"/>
    <w:rsid w:val="002D7384"/>
    <w:pPr>
      <w:widowControl/>
      <w:spacing w:after="160" w:line="240" w:lineRule="exact"/>
    </w:pPr>
    <w:rPr>
      <w:rFonts w:ascii="Arial" w:eastAsia="Times New Roman" w:hAnsi="Arial" w:cs="Arial"/>
      <w:kern w:val="0"/>
      <w:sz w:val="20"/>
      <w:szCs w:val="20"/>
      <w:lang w:eastAsia="en-US"/>
    </w:rPr>
  </w:style>
  <w:style w:type="character" w:styleId="afc">
    <w:name w:val="FollowedHyperlink"/>
    <w:uiPriority w:val="99"/>
    <w:semiHidden/>
    <w:unhideWhenUsed/>
    <w:rsid w:val="002D7384"/>
    <w:rPr>
      <w:color w:val="800080"/>
      <w:u w:val="single"/>
    </w:rPr>
  </w:style>
  <w:style w:type="character" w:customStyle="1" w:styleId="16">
    <w:name w:val="目錄 1 字元"/>
    <w:link w:val="15"/>
    <w:uiPriority w:val="39"/>
    <w:rsid w:val="002D7384"/>
    <w:rPr>
      <w:rFonts w:ascii="標楷體" w:eastAsia="標楷體" w:hAnsi="標楷體" w:cs="Calibri"/>
      <w:b/>
      <w:bCs/>
      <w:noProof/>
      <w:kern w:val="2"/>
      <w:sz w:val="28"/>
      <w:szCs w:val="28"/>
    </w:rPr>
  </w:style>
  <w:style w:type="paragraph" w:styleId="afd">
    <w:name w:val="Revision"/>
    <w:hidden/>
    <w:uiPriority w:val="99"/>
    <w:semiHidden/>
    <w:rsid w:val="002D7384"/>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6682">
      <w:bodyDiv w:val="1"/>
      <w:marLeft w:val="0"/>
      <w:marRight w:val="0"/>
      <w:marTop w:val="0"/>
      <w:marBottom w:val="0"/>
      <w:divBdr>
        <w:top w:val="none" w:sz="0" w:space="0" w:color="auto"/>
        <w:left w:val="none" w:sz="0" w:space="0" w:color="auto"/>
        <w:bottom w:val="none" w:sz="0" w:space="0" w:color="auto"/>
        <w:right w:val="none" w:sz="0" w:space="0" w:color="auto"/>
      </w:divBdr>
    </w:div>
    <w:div w:id="481771700">
      <w:bodyDiv w:val="1"/>
      <w:marLeft w:val="0"/>
      <w:marRight w:val="0"/>
      <w:marTop w:val="0"/>
      <w:marBottom w:val="0"/>
      <w:divBdr>
        <w:top w:val="none" w:sz="0" w:space="0" w:color="auto"/>
        <w:left w:val="none" w:sz="0" w:space="0" w:color="auto"/>
        <w:bottom w:val="none" w:sz="0" w:space="0" w:color="auto"/>
        <w:right w:val="none" w:sz="0" w:space="0" w:color="auto"/>
      </w:divBdr>
    </w:div>
    <w:div w:id="800195719">
      <w:bodyDiv w:val="1"/>
      <w:marLeft w:val="0"/>
      <w:marRight w:val="0"/>
      <w:marTop w:val="0"/>
      <w:marBottom w:val="0"/>
      <w:divBdr>
        <w:top w:val="none" w:sz="0" w:space="0" w:color="auto"/>
        <w:left w:val="none" w:sz="0" w:space="0" w:color="auto"/>
        <w:bottom w:val="none" w:sz="0" w:space="0" w:color="auto"/>
        <w:right w:val="none" w:sz="0" w:space="0" w:color="auto"/>
      </w:divBdr>
    </w:div>
    <w:div w:id="989401938">
      <w:bodyDiv w:val="1"/>
      <w:marLeft w:val="0"/>
      <w:marRight w:val="0"/>
      <w:marTop w:val="0"/>
      <w:marBottom w:val="0"/>
      <w:divBdr>
        <w:top w:val="none" w:sz="0" w:space="0" w:color="auto"/>
        <w:left w:val="none" w:sz="0" w:space="0" w:color="auto"/>
        <w:bottom w:val="none" w:sz="0" w:space="0" w:color="auto"/>
        <w:right w:val="none" w:sz="0" w:space="0" w:color="auto"/>
      </w:divBdr>
    </w:div>
    <w:div w:id="1248538405">
      <w:bodyDiv w:val="1"/>
      <w:marLeft w:val="0"/>
      <w:marRight w:val="0"/>
      <w:marTop w:val="0"/>
      <w:marBottom w:val="0"/>
      <w:divBdr>
        <w:top w:val="none" w:sz="0" w:space="0" w:color="auto"/>
        <w:left w:val="none" w:sz="0" w:space="0" w:color="auto"/>
        <w:bottom w:val="none" w:sz="0" w:space="0" w:color="auto"/>
        <w:right w:val="none" w:sz="0" w:space="0" w:color="auto"/>
      </w:divBdr>
    </w:div>
    <w:div w:id="1584796731">
      <w:bodyDiv w:val="1"/>
      <w:marLeft w:val="0"/>
      <w:marRight w:val="0"/>
      <w:marTop w:val="0"/>
      <w:marBottom w:val="0"/>
      <w:divBdr>
        <w:top w:val="none" w:sz="0" w:space="0" w:color="auto"/>
        <w:left w:val="none" w:sz="0" w:space="0" w:color="auto"/>
        <w:bottom w:val="none" w:sz="0" w:space="0" w:color="auto"/>
        <w:right w:val="none" w:sz="0" w:space="0" w:color="auto"/>
      </w:divBdr>
    </w:div>
    <w:div w:id="1891528174">
      <w:bodyDiv w:val="1"/>
      <w:marLeft w:val="0"/>
      <w:marRight w:val="0"/>
      <w:marTop w:val="0"/>
      <w:marBottom w:val="0"/>
      <w:divBdr>
        <w:top w:val="none" w:sz="0" w:space="0" w:color="auto"/>
        <w:left w:val="none" w:sz="0" w:space="0" w:color="auto"/>
        <w:bottom w:val="none" w:sz="0" w:space="0" w:color="auto"/>
        <w:right w:val="none" w:sz="0" w:space="0" w:color="auto"/>
      </w:divBdr>
    </w:div>
    <w:div w:id="21311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6D0B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A3BE-F38D-42B3-83F5-C2883D00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544</Words>
  <Characters>3103</Characters>
  <Application>Microsoft Office Word</Application>
  <DocSecurity>0</DocSecurity>
  <Lines>25</Lines>
  <Paragraphs>7</Paragraphs>
  <ScaleCrop>false</ScaleCrop>
  <Company>Hewlett-Packard Company</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柯馥甄</dc:creator>
  <cp:keywords/>
  <cp:lastModifiedBy>高婉容</cp:lastModifiedBy>
  <cp:revision>6</cp:revision>
  <cp:lastPrinted>2019-07-03T02:45:00Z</cp:lastPrinted>
  <dcterms:created xsi:type="dcterms:W3CDTF">2019-05-22T09:16:00Z</dcterms:created>
  <dcterms:modified xsi:type="dcterms:W3CDTF">2019-07-03T02:45:00Z</dcterms:modified>
</cp:coreProperties>
</file>