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50" w:rsidRDefault="00A97950" w:rsidP="00A97950">
      <w:pPr>
        <w:spacing w:line="0" w:lineRule="atLeast"/>
        <w:jc w:val="center"/>
        <w:rPr>
          <w:rFonts w:ascii="標楷體" w:eastAsia="標楷體" w:hAnsi="標楷體"/>
          <w:sz w:val="36"/>
          <w:szCs w:val="36"/>
        </w:rPr>
      </w:pPr>
      <w:r>
        <w:rPr>
          <w:rFonts w:ascii="標楷體" w:eastAsia="標楷體" w:hAnsi="標楷體" w:hint="eastAsia"/>
          <w:sz w:val="36"/>
          <w:szCs w:val="36"/>
        </w:rPr>
        <w:t>財團法人中華民國證券櫃檯買賣中心</w:t>
      </w:r>
    </w:p>
    <w:p w:rsidR="006D7120" w:rsidRPr="00A97950" w:rsidRDefault="00A97950" w:rsidP="00A97950">
      <w:pPr>
        <w:spacing w:line="0" w:lineRule="atLeast"/>
        <w:jc w:val="center"/>
        <w:rPr>
          <w:rFonts w:ascii="標楷體" w:eastAsia="標楷體" w:hAnsi="標楷體"/>
          <w:sz w:val="36"/>
          <w:szCs w:val="36"/>
        </w:rPr>
      </w:pPr>
      <w:r>
        <w:rPr>
          <w:rFonts w:ascii="標楷體" w:eastAsia="標楷體" w:hAnsi="標楷體" w:hint="eastAsia"/>
          <w:sz w:val="36"/>
          <w:szCs w:val="36"/>
        </w:rPr>
        <w:t>證券商營業處所買賣興櫃股票審查準則</w:t>
      </w:r>
      <w:r w:rsidR="009B72A4">
        <w:rPr>
          <w:rFonts w:ascii="標楷體" w:eastAsia="標楷體" w:hAnsi="標楷體" w:hint="eastAsia"/>
          <w:sz w:val="36"/>
          <w:szCs w:val="36"/>
        </w:rPr>
        <w:t>第三十三條</w:t>
      </w:r>
      <w:r>
        <w:rPr>
          <w:rFonts w:ascii="標楷體" w:eastAsia="標楷體" w:hAnsi="標楷體" w:hint="eastAsia"/>
          <w:sz w:val="36"/>
          <w:szCs w:val="36"/>
        </w:rPr>
        <w:t>修正</w:t>
      </w:r>
      <w:bookmarkStart w:id="0" w:name="_GoBack"/>
      <w:bookmarkEnd w:id="0"/>
      <w:r>
        <w:rPr>
          <w:rFonts w:ascii="標楷體" w:eastAsia="標楷體" w:hAnsi="標楷體" w:hint="eastAsia"/>
          <w:sz w:val="36"/>
          <w:szCs w:val="36"/>
        </w:rPr>
        <w:t>條文對照表</w:t>
      </w:r>
    </w:p>
    <w:tbl>
      <w:tblPr>
        <w:tblStyle w:val="a3"/>
        <w:tblW w:w="0" w:type="auto"/>
        <w:tblInd w:w="-5" w:type="dxa"/>
        <w:tblLook w:val="04A0" w:firstRow="1" w:lastRow="0" w:firstColumn="1" w:lastColumn="0" w:noHBand="0" w:noVBand="1"/>
      </w:tblPr>
      <w:tblGrid>
        <w:gridCol w:w="2765"/>
        <w:gridCol w:w="2765"/>
        <w:gridCol w:w="2766"/>
      </w:tblGrid>
      <w:tr w:rsidR="00A97950" w:rsidTr="00BF04D1">
        <w:trPr>
          <w:tblHeader/>
        </w:trPr>
        <w:tc>
          <w:tcPr>
            <w:tcW w:w="2765" w:type="dxa"/>
          </w:tcPr>
          <w:p w:rsidR="00A97950" w:rsidRPr="003F409A" w:rsidRDefault="00A97950" w:rsidP="00BF04D1">
            <w:pPr>
              <w:jc w:val="center"/>
              <w:rPr>
                <w:rFonts w:ascii="標楷體" w:eastAsia="標楷體" w:hAnsi="標楷體"/>
                <w:szCs w:val="24"/>
              </w:rPr>
            </w:pPr>
            <w:r w:rsidRPr="003F409A">
              <w:rPr>
                <w:rFonts w:ascii="標楷體" w:eastAsia="標楷體" w:hAnsi="標楷體" w:hint="eastAsia"/>
                <w:szCs w:val="24"/>
              </w:rPr>
              <w:t>修正條文</w:t>
            </w:r>
          </w:p>
        </w:tc>
        <w:tc>
          <w:tcPr>
            <w:tcW w:w="2765" w:type="dxa"/>
          </w:tcPr>
          <w:p w:rsidR="00A97950" w:rsidRPr="003F409A" w:rsidRDefault="00A97950" w:rsidP="00BF04D1">
            <w:pPr>
              <w:jc w:val="center"/>
              <w:rPr>
                <w:rFonts w:ascii="標楷體" w:eastAsia="標楷體" w:hAnsi="標楷體"/>
                <w:szCs w:val="24"/>
              </w:rPr>
            </w:pPr>
            <w:r w:rsidRPr="003F409A">
              <w:rPr>
                <w:rFonts w:ascii="標楷體" w:eastAsia="標楷體" w:hAnsi="標楷體" w:hint="eastAsia"/>
                <w:szCs w:val="24"/>
              </w:rPr>
              <w:t>現行條文</w:t>
            </w:r>
          </w:p>
        </w:tc>
        <w:tc>
          <w:tcPr>
            <w:tcW w:w="2766" w:type="dxa"/>
          </w:tcPr>
          <w:p w:rsidR="00A97950" w:rsidRPr="00F83D0D" w:rsidRDefault="00A97950" w:rsidP="00BF04D1">
            <w:pPr>
              <w:jc w:val="center"/>
              <w:rPr>
                <w:rFonts w:ascii="Times New Roman" w:eastAsia="標楷體" w:hAnsi="Times New Roman"/>
                <w:szCs w:val="24"/>
              </w:rPr>
            </w:pPr>
            <w:r w:rsidRPr="00F83D0D">
              <w:rPr>
                <w:rFonts w:ascii="Times New Roman" w:eastAsia="標楷體" w:hAnsi="Times New Roman"/>
                <w:szCs w:val="24"/>
              </w:rPr>
              <w:t>說明</w:t>
            </w:r>
          </w:p>
        </w:tc>
      </w:tr>
      <w:tr w:rsidR="00A97950" w:rsidTr="00BF04D1">
        <w:tc>
          <w:tcPr>
            <w:tcW w:w="2765" w:type="dxa"/>
          </w:tcPr>
          <w:p w:rsidR="00A97950" w:rsidRDefault="00A97950" w:rsidP="00BF04D1">
            <w:pPr>
              <w:rPr>
                <w:rFonts w:ascii="標楷體" w:eastAsia="標楷體" w:hAnsi="標楷體"/>
                <w:szCs w:val="24"/>
              </w:rPr>
            </w:pPr>
            <w:r>
              <w:rPr>
                <w:rFonts w:ascii="標楷體" w:eastAsia="標楷體" w:hAnsi="標楷體" w:hint="eastAsia"/>
                <w:szCs w:val="24"/>
              </w:rPr>
              <w:t>第三十三條</w:t>
            </w:r>
          </w:p>
          <w:p w:rsidR="00A97950" w:rsidRDefault="00A97950" w:rsidP="00BF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Pr>
                <w:rFonts w:ascii="Times New Roman" w:eastAsia="標楷體" w:hAnsi="Times New Roman" w:hint="eastAsia"/>
                <w:szCs w:val="24"/>
              </w:rPr>
              <w:t xml:space="preserve">    </w:t>
            </w:r>
            <w:r w:rsidRPr="009E3A59">
              <w:rPr>
                <w:rFonts w:ascii="Times New Roman" w:eastAsia="標楷體" w:hAnsi="Times New Roman" w:hint="eastAsia"/>
                <w:szCs w:val="24"/>
              </w:rPr>
              <w:t>發行人應將下列資訊依規定期限及格式輸入本中心指定之網際網路資訊申報系統：</w:t>
            </w:r>
          </w:p>
          <w:p w:rsidR="00A97950" w:rsidRPr="006D7120" w:rsidRDefault="00A97950" w:rsidP="00BF04D1">
            <w:pPr>
              <w:spacing w:beforeLines="100" w:before="360" w:afterLines="100" w:after="360"/>
              <w:rPr>
                <w:rFonts w:ascii="Times New Roman" w:eastAsia="標楷體" w:hAnsi="Times New Roman"/>
                <w:szCs w:val="24"/>
              </w:rPr>
            </w:pPr>
            <w:r w:rsidRPr="0017449B">
              <w:rPr>
                <w:rFonts w:ascii="Times New Roman" w:eastAsia="標楷體" w:hAnsi="Times New Roman"/>
                <w:szCs w:val="24"/>
              </w:rPr>
              <w:t>(</w:t>
            </w:r>
            <w:r w:rsidRPr="0017449B">
              <w:rPr>
                <w:rFonts w:ascii="Times New Roman" w:eastAsia="標楷體" w:hAnsi="Times New Roman"/>
                <w:szCs w:val="24"/>
              </w:rPr>
              <w:t>第一至</w:t>
            </w:r>
            <w:r>
              <w:rPr>
                <w:rFonts w:ascii="Times New Roman" w:eastAsia="標楷體" w:hAnsi="Times New Roman" w:hint="eastAsia"/>
                <w:szCs w:val="24"/>
              </w:rPr>
              <w:t>十一</w:t>
            </w:r>
            <w:r w:rsidRPr="0017449B">
              <w:rPr>
                <w:rFonts w:ascii="Times New Roman" w:eastAsia="標楷體" w:hAnsi="Times New Roman"/>
                <w:szCs w:val="24"/>
              </w:rPr>
              <w:t>款</w:t>
            </w:r>
            <w:r w:rsidR="00AB6929">
              <w:rPr>
                <w:rFonts w:ascii="Times New Roman" w:eastAsia="標楷體" w:hAnsi="Times New Roman" w:hint="eastAsia"/>
                <w:szCs w:val="24"/>
              </w:rPr>
              <w:t>，</w:t>
            </w:r>
            <w:r w:rsidRPr="0017449B">
              <w:rPr>
                <w:rFonts w:ascii="Times New Roman" w:eastAsia="標楷體" w:hAnsi="Times New Roman"/>
                <w:szCs w:val="24"/>
              </w:rPr>
              <w:t>略</w:t>
            </w:r>
            <w:r w:rsidRPr="0017449B">
              <w:rPr>
                <w:rFonts w:ascii="Times New Roman" w:eastAsia="標楷體" w:hAnsi="Times New Roman"/>
                <w:szCs w:val="24"/>
              </w:rPr>
              <w:t>)</w:t>
            </w:r>
          </w:p>
          <w:p w:rsidR="001E678D" w:rsidRDefault="00A97950">
            <w:pPr>
              <w:rPr>
                <w:rFonts w:ascii="標楷體" w:eastAsia="標楷體" w:hAnsi="標楷體"/>
                <w:szCs w:val="24"/>
                <w:u w:val="single"/>
              </w:rPr>
            </w:pPr>
            <w:r w:rsidRPr="006D7120">
              <w:rPr>
                <w:rFonts w:ascii="標楷體" w:eastAsia="標楷體" w:hAnsi="標楷體" w:hint="eastAsia"/>
                <w:szCs w:val="24"/>
              </w:rPr>
              <w:t>十二、僑外</w:t>
            </w:r>
            <w:r w:rsidRPr="00CE0DEC">
              <w:rPr>
                <w:rFonts w:ascii="標楷體" w:eastAsia="標楷體" w:hAnsi="標楷體" w:hint="eastAsia"/>
                <w:szCs w:val="24"/>
                <w:u w:val="single"/>
              </w:rPr>
              <w:t>及大陸地區投</w:t>
            </w:r>
          </w:p>
          <w:p w:rsidR="00664425" w:rsidRPr="00777664" w:rsidRDefault="00A97950">
            <w:pPr>
              <w:ind w:leftChars="250" w:left="600"/>
              <w:rPr>
                <w:rFonts w:ascii="標楷體" w:eastAsia="標楷體" w:hAnsi="標楷體"/>
                <w:u w:val="single"/>
              </w:rPr>
            </w:pPr>
            <w:r w:rsidRPr="00CE0DEC">
              <w:rPr>
                <w:rFonts w:ascii="標楷體" w:eastAsia="標楷體" w:hAnsi="標楷體" w:hint="eastAsia"/>
                <w:szCs w:val="24"/>
                <w:u w:val="single"/>
              </w:rPr>
              <w:t>資人</w:t>
            </w:r>
            <w:r w:rsidRPr="0027288A">
              <w:rPr>
                <w:rFonts w:ascii="標楷體" w:eastAsia="標楷體" w:hAnsi="標楷體" w:hint="eastAsia"/>
                <w:szCs w:val="24"/>
              </w:rPr>
              <w:t>投資</w:t>
            </w:r>
            <w:r w:rsidRPr="006D7120">
              <w:rPr>
                <w:rFonts w:ascii="標楷體" w:eastAsia="標楷體" w:hAnsi="標楷體" w:hint="eastAsia"/>
                <w:szCs w:val="24"/>
              </w:rPr>
              <w:t>持股情形統計表：</w:t>
            </w:r>
            <w:r w:rsidR="00BB43B2" w:rsidRPr="00BB43B2">
              <w:rPr>
                <w:rFonts w:ascii="標楷體" w:eastAsia="標楷體" w:hAnsi="標楷體" w:hint="eastAsia"/>
              </w:rPr>
              <w:t>應於</w:t>
            </w:r>
            <w:r w:rsidR="00BB43B2" w:rsidRPr="00BB43B2">
              <w:rPr>
                <w:rFonts w:ascii="標楷體" w:eastAsia="標楷體" w:hAnsi="標楷體" w:hint="eastAsia"/>
                <w:u w:val="single"/>
              </w:rPr>
              <w:t>下列時點</w:t>
            </w:r>
            <w:r w:rsidR="00BB43B2" w:rsidRPr="00BB43B2">
              <w:rPr>
                <w:rFonts w:ascii="標楷體" w:eastAsia="標楷體" w:hAnsi="標楷體" w:hint="eastAsia"/>
              </w:rPr>
              <w:t>輸入，</w:t>
            </w:r>
            <w:r w:rsidR="00BB43B2" w:rsidRPr="00BB43B2">
              <w:rPr>
                <w:rFonts w:ascii="標楷體" w:eastAsia="標楷體" w:hAnsi="標楷體" w:hint="eastAsia"/>
                <w:u w:val="single"/>
              </w:rPr>
              <w:t>並</w:t>
            </w:r>
            <w:r w:rsidR="00BB43B2" w:rsidRPr="00BB43B2">
              <w:rPr>
                <w:rFonts w:ascii="標楷體" w:eastAsia="標楷體" w:hAnsi="標楷體" w:hint="eastAsia"/>
              </w:rPr>
              <w:t>應依僑外</w:t>
            </w:r>
            <w:r w:rsidR="00BB43B2" w:rsidRPr="00BB43B2">
              <w:rPr>
                <w:rFonts w:ascii="標楷體" w:eastAsia="標楷體" w:hAnsi="標楷體" w:hint="eastAsia"/>
                <w:u w:val="single"/>
              </w:rPr>
              <w:t>及大陸地區投資人</w:t>
            </w:r>
            <w:r w:rsidR="00BB43B2" w:rsidRPr="00BB43B2">
              <w:rPr>
                <w:rFonts w:ascii="標楷體" w:eastAsia="標楷體" w:hAnsi="標楷體" w:hint="eastAsia"/>
              </w:rPr>
              <w:t>投資持股情形申報作業之申報時限辦理</w:t>
            </w:r>
            <w:r w:rsidR="00BB43B2" w:rsidRPr="00BB43B2">
              <w:rPr>
                <w:rFonts w:ascii="標楷體" w:eastAsia="標楷體" w:hAnsi="標楷體" w:hint="eastAsia"/>
                <w:u w:val="single"/>
              </w:rPr>
              <w:t>：</w:t>
            </w:r>
          </w:p>
          <w:p w:rsidR="00736CBA" w:rsidRDefault="00736CBA" w:rsidP="00736CBA">
            <w:pPr>
              <w:pStyle w:val="aa"/>
              <w:numPr>
                <w:ilvl w:val="0"/>
                <w:numId w:val="7"/>
              </w:numPr>
              <w:ind w:leftChars="0" w:left="601"/>
              <w:rPr>
                <w:rFonts w:ascii="標楷體" w:eastAsia="標楷體" w:hAnsi="標楷體"/>
                <w:u w:val="single"/>
              </w:rPr>
            </w:pPr>
            <w:r w:rsidRPr="00635427">
              <w:rPr>
                <w:rFonts w:ascii="標楷體" w:eastAsia="標楷體" w:hAnsi="標楷體" w:hint="eastAsia"/>
              </w:rPr>
              <w:t>增資</w:t>
            </w:r>
            <w:r>
              <w:rPr>
                <w:rFonts w:ascii="標楷體" w:eastAsia="標楷體" w:hAnsi="標楷體" w:hint="eastAsia"/>
                <w:u w:val="single"/>
              </w:rPr>
              <w:t>發行新</w:t>
            </w:r>
            <w:r w:rsidRPr="00635427">
              <w:rPr>
                <w:rFonts w:ascii="標楷體" w:eastAsia="標楷體" w:hAnsi="標楷體" w:hint="eastAsia"/>
              </w:rPr>
              <w:t>股</w:t>
            </w:r>
            <w:r>
              <w:rPr>
                <w:rFonts w:ascii="標楷體" w:eastAsia="標楷體" w:hAnsi="標楷體" w:hint="eastAsia"/>
                <w:u w:val="single"/>
              </w:rPr>
              <w:t>。</w:t>
            </w:r>
          </w:p>
          <w:p w:rsidR="001E678D" w:rsidRPr="00635427" w:rsidRDefault="00A97950" w:rsidP="00635427">
            <w:pPr>
              <w:pStyle w:val="aa"/>
              <w:numPr>
                <w:ilvl w:val="0"/>
                <w:numId w:val="7"/>
              </w:numPr>
              <w:ind w:leftChars="0" w:left="601"/>
              <w:rPr>
                <w:rFonts w:ascii="標楷體" w:eastAsia="標楷體" w:hAnsi="標楷體"/>
                <w:u w:val="single"/>
              </w:rPr>
            </w:pPr>
            <w:r w:rsidRPr="00635427">
              <w:rPr>
                <w:rFonts w:ascii="標楷體" w:eastAsia="標楷體" w:hAnsi="標楷體" w:hint="eastAsia"/>
                <w:szCs w:val="24"/>
                <w:u w:val="single"/>
              </w:rPr>
              <w:t>募集發行或</w:t>
            </w:r>
            <w:r w:rsidRPr="00635427">
              <w:rPr>
                <w:rFonts w:ascii="標楷體" w:eastAsia="標楷體" w:hAnsi="標楷體" w:hint="eastAsia"/>
                <w:szCs w:val="24"/>
              </w:rPr>
              <w:t>私募海</w:t>
            </w:r>
          </w:p>
          <w:p w:rsidR="00736CBA" w:rsidRPr="00635427" w:rsidRDefault="00A97950" w:rsidP="00635427">
            <w:pPr>
              <w:ind w:leftChars="250" w:left="600"/>
              <w:rPr>
                <w:rFonts w:ascii="標楷體" w:eastAsia="標楷體" w:hAnsi="標楷體"/>
                <w:szCs w:val="24"/>
                <w:u w:val="single"/>
              </w:rPr>
            </w:pPr>
            <w:r w:rsidRPr="006D7120">
              <w:rPr>
                <w:rFonts w:ascii="標楷體" w:eastAsia="標楷體" w:hAnsi="標楷體" w:hint="eastAsia"/>
                <w:szCs w:val="24"/>
              </w:rPr>
              <w:t>外存託憑證（含新股及老股）、海外可轉換公司債及附認股權有價證券或海外股票</w:t>
            </w:r>
            <w:r w:rsidR="00BC1D81" w:rsidRPr="00047A82">
              <w:rPr>
                <w:rFonts w:ascii="標楷體" w:eastAsia="標楷體" w:hAnsi="標楷體" w:hint="eastAsia"/>
                <w:szCs w:val="24"/>
                <w:u w:val="single"/>
              </w:rPr>
              <w:t>。</w:t>
            </w:r>
          </w:p>
          <w:p w:rsidR="00736CBA" w:rsidRPr="00047A82" w:rsidRDefault="00A97950" w:rsidP="00635427">
            <w:pPr>
              <w:pStyle w:val="aa"/>
              <w:numPr>
                <w:ilvl w:val="0"/>
                <w:numId w:val="7"/>
              </w:numPr>
              <w:ind w:leftChars="0" w:left="601"/>
              <w:rPr>
                <w:rFonts w:ascii="標楷體" w:eastAsia="標楷體" w:hAnsi="標楷體"/>
                <w:szCs w:val="24"/>
                <w:u w:val="single"/>
              </w:rPr>
            </w:pPr>
            <w:r w:rsidRPr="006D7120">
              <w:rPr>
                <w:rFonts w:ascii="標楷體" w:eastAsia="標楷體" w:hAnsi="標楷體" w:hint="eastAsia"/>
                <w:szCs w:val="24"/>
              </w:rPr>
              <w:t>減資</w:t>
            </w:r>
            <w:r w:rsidR="00BC1D81" w:rsidRPr="00047A82">
              <w:rPr>
                <w:rFonts w:ascii="標楷體" w:eastAsia="標楷體" w:hAnsi="標楷體" w:hint="eastAsia"/>
                <w:szCs w:val="24"/>
                <w:u w:val="single"/>
              </w:rPr>
              <w:t>。</w:t>
            </w:r>
          </w:p>
          <w:p w:rsidR="00736CBA" w:rsidRDefault="00A97950" w:rsidP="00635427">
            <w:pPr>
              <w:pStyle w:val="aa"/>
              <w:numPr>
                <w:ilvl w:val="0"/>
                <w:numId w:val="7"/>
              </w:numPr>
              <w:ind w:leftChars="0" w:left="601"/>
              <w:rPr>
                <w:rFonts w:ascii="標楷體" w:eastAsia="標楷體" w:hAnsi="標楷體"/>
                <w:szCs w:val="24"/>
              </w:rPr>
            </w:pPr>
            <w:r w:rsidRPr="00635427">
              <w:rPr>
                <w:rFonts w:ascii="標楷體" w:eastAsia="標楷體" w:hAnsi="標楷體" w:hint="eastAsia"/>
                <w:szCs w:val="24"/>
              </w:rPr>
              <w:t>合併</w:t>
            </w:r>
            <w:r w:rsidR="00BC1D81" w:rsidRPr="00635427">
              <w:rPr>
                <w:rFonts w:ascii="標楷體" w:eastAsia="標楷體" w:hAnsi="標楷體" w:hint="eastAsia"/>
                <w:szCs w:val="24"/>
                <w:u w:val="single"/>
              </w:rPr>
              <w:t>。</w:t>
            </w:r>
          </w:p>
          <w:p w:rsidR="00736CBA" w:rsidRPr="00635427" w:rsidRDefault="00A97950" w:rsidP="00635427">
            <w:pPr>
              <w:pStyle w:val="aa"/>
              <w:numPr>
                <w:ilvl w:val="0"/>
                <w:numId w:val="7"/>
              </w:numPr>
              <w:ind w:leftChars="0" w:left="601"/>
              <w:rPr>
                <w:rFonts w:ascii="標楷體" w:eastAsia="標楷體" w:hAnsi="標楷體"/>
                <w:szCs w:val="24"/>
              </w:rPr>
            </w:pPr>
            <w:r w:rsidRPr="00635427">
              <w:rPr>
                <w:rFonts w:ascii="標楷體" w:eastAsia="標楷體" w:hAnsi="標楷體" w:hint="eastAsia"/>
                <w:szCs w:val="24"/>
              </w:rPr>
              <w:t>公開收購</w:t>
            </w:r>
            <w:r w:rsidR="00BC1D81" w:rsidRPr="00635427">
              <w:rPr>
                <w:rFonts w:ascii="標楷體" w:eastAsia="標楷體" w:hAnsi="標楷體" w:hint="eastAsia"/>
                <w:szCs w:val="24"/>
                <w:u w:val="single"/>
              </w:rPr>
              <w:t>。</w:t>
            </w:r>
          </w:p>
          <w:p w:rsidR="00736CBA" w:rsidRDefault="00736CBA" w:rsidP="00736CBA">
            <w:pPr>
              <w:pStyle w:val="aa"/>
              <w:numPr>
                <w:ilvl w:val="0"/>
                <w:numId w:val="7"/>
              </w:numPr>
              <w:ind w:leftChars="0" w:left="601"/>
              <w:rPr>
                <w:rFonts w:ascii="標楷體" w:eastAsia="標楷體" w:hAnsi="標楷體"/>
                <w:szCs w:val="24"/>
              </w:rPr>
            </w:pPr>
            <w:r w:rsidRPr="00635427">
              <w:rPr>
                <w:rFonts w:ascii="標楷體" w:eastAsia="標楷體" w:hAnsi="標楷體" w:hint="eastAsia"/>
                <w:szCs w:val="24"/>
                <w:u w:val="single"/>
              </w:rPr>
              <w:t>分派員工酬勞</w:t>
            </w:r>
            <w:r w:rsidRPr="00736CBA">
              <w:rPr>
                <w:rFonts w:ascii="標楷體" w:eastAsia="標楷體" w:hAnsi="標楷體" w:hint="eastAsia"/>
                <w:szCs w:val="24"/>
              </w:rPr>
              <w:t>、庫藏股轉讓</w:t>
            </w:r>
            <w:r w:rsidRPr="00635427">
              <w:rPr>
                <w:rFonts w:ascii="標楷體" w:eastAsia="標楷體" w:hAnsi="標楷體" w:hint="eastAsia"/>
                <w:szCs w:val="24"/>
                <w:u w:val="single"/>
              </w:rPr>
              <w:t>、</w:t>
            </w:r>
            <w:r w:rsidRPr="00736CBA">
              <w:rPr>
                <w:rFonts w:ascii="標楷體" w:eastAsia="標楷體" w:hAnsi="標楷體" w:hint="eastAsia"/>
                <w:szCs w:val="24"/>
              </w:rPr>
              <w:t>發</w:t>
            </w:r>
            <w:r w:rsidRPr="00635427">
              <w:rPr>
                <w:rFonts w:ascii="標楷體" w:eastAsia="標楷體" w:hAnsi="標楷體" w:hint="eastAsia"/>
                <w:szCs w:val="24"/>
                <w:u w:val="single"/>
              </w:rPr>
              <w:t>行</w:t>
            </w:r>
            <w:r w:rsidRPr="00736CBA">
              <w:rPr>
                <w:rFonts w:ascii="標楷體" w:eastAsia="標楷體" w:hAnsi="標楷體" w:hint="eastAsia"/>
                <w:szCs w:val="24"/>
              </w:rPr>
              <w:t>認股權憑證</w:t>
            </w:r>
            <w:r w:rsidRPr="00635427">
              <w:rPr>
                <w:rFonts w:ascii="標楷體" w:eastAsia="標楷體" w:hAnsi="標楷體" w:hint="eastAsia"/>
                <w:szCs w:val="24"/>
                <w:u w:val="single"/>
              </w:rPr>
              <w:t>或限制員工權利新股</w:t>
            </w:r>
            <w:r w:rsidRPr="00736CBA">
              <w:rPr>
                <w:rFonts w:ascii="標楷體" w:eastAsia="標楷體" w:hAnsi="標楷體" w:hint="eastAsia"/>
                <w:szCs w:val="24"/>
              </w:rPr>
              <w:t>予外籍員工。</w:t>
            </w:r>
          </w:p>
          <w:p w:rsidR="00A1336E" w:rsidRPr="00635427" w:rsidRDefault="00736CBA" w:rsidP="00A1336E">
            <w:pPr>
              <w:pStyle w:val="aa"/>
              <w:numPr>
                <w:ilvl w:val="0"/>
                <w:numId w:val="7"/>
              </w:numPr>
              <w:ind w:leftChars="0" w:left="601"/>
              <w:rPr>
                <w:rFonts w:ascii="標楷體" w:eastAsia="標楷體" w:hAnsi="標楷體"/>
                <w:szCs w:val="24"/>
              </w:rPr>
            </w:pPr>
            <w:r w:rsidRPr="00635427">
              <w:rPr>
                <w:rFonts w:ascii="標楷體" w:eastAsia="標楷體" w:hAnsi="標楷體" w:hint="eastAsia"/>
                <w:szCs w:val="24"/>
              </w:rPr>
              <w:lastRenderedPageBreak/>
              <w:t>初次登錄興櫃或轉換新設公司登錄興櫃</w:t>
            </w:r>
            <w:r w:rsidRPr="00635427">
              <w:rPr>
                <w:rFonts w:ascii="標楷體" w:eastAsia="標楷體" w:hAnsi="標楷體" w:hint="eastAsia"/>
                <w:szCs w:val="24"/>
                <w:u w:val="single"/>
              </w:rPr>
              <w:t>。</w:t>
            </w:r>
          </w:p>
          <w:p w:rsidR="00A1336E" w:rsidRPr="00635427" w:rsidRDefault="00736CBA" w:rsidP="00A1336E">
            <w:pPr>
              <w:pStyle w:val="aa"/>
              <w:numPr>
                <w:ilvl w:val="0"/>
                <w:numId w:val="7"/>
              </w:numPr>
              <w:ind w:leftChars="0" w:left="601"/>
              <w:rPr>
                <w:rFonts w:ascii="標楷體" w:eastAsia="標楷體" w:hAnsi="標楷體"/>
                <w:szCs w:val="24"/>
              </w:rPr>
            </w:pPr>
            <w:r w:rsidRPr="00635427">
              <w:rPr>
                <w:rFonts w:ascii="標楷體" w:eastAsia="標楷體" w:hAnsi="標楷體" w:hint="eastAsia"/>
                <w:szCs w:val="24"/>
              </w:rPr>
              <w:t>召開股東常會</w:t>
            </w:r>
            <w:r w:rsidRPr="00635427">
              <w:rPr>
                <w:rFonts w:ascii="標楷體" w:eastAsia="標楷體" w:hAnsi="標楷體" w:hint="eastAsia"/>
                <w:szCs w:val="24"/>
                <w:u w:val="single"/>
              </w:rPr>
              <w:t>。</w:t>
            </w:r>
          </w:p>
          <w:p w:rsidR="00736CBA" w:rsidRPr="00635427" w:rsidRDefault="00736CBA" w:rsidP="00635427">
            <w:pPr>
              <w:pStyle w:val="aa"/>
              <w:numPr>
                <w:ilvl w:val="0"/>
                <w:numId w:val="7"/>
              </w:numPr>
              <w:ind w:leftChars="0" w:left="601"/>
              <w:rPr>
                <w:rFonts w:ascii="標楷體" w:eastAsia="標楷體" w:hAnsi="標楷體"/>
                <w:szCs w:val="24"/>
              </w:rPr>
            </w:pPr>
            <w:r w:rsidRPr="00635427">
              <w:rPr>
                <w:rFonts w:ascii="標楷體" w:eastAsia="標楷體" w:hAnsi="標楷體" w:hint="eastAsia"/>
                <w:szCs w:val="24"/>
              </w:rPr>
              <w:t>變更面額</w:t>
            </w:r>
            <w:r w:rsidRPr="00635427">
              <w:rPr>
                <w:rFonts w:ascii="標楷體" w:eastAsia="標楷體" w:hAnsi="標楷體" w:hint="eastAsia"/>
                <w:szCs w:val="24"/>
                <w:u w:val="single"/>
              </w:rPr>
              <w:t>。</w:t>
            </w:r>
          </w:p>
          <w:p w:rsidR="00736CBA" w:rsidRDefault="00736CBA">
            <w:pPr>
              <w:rPr>
                <w:rFonts w:ascii="標楷體" w:eastAsia="標楷體" w:hAnsi="標楷體"/>
                <w:szCs w:val="24"/>
              </w:rPr>
            </w:pPr>
          </w:p>
          <w:p w:rsidR="00A97950" w:rsidRPr="004654F4" w:rsidRDefault="00A97950" w:rsidP="00635427">
            <w:pPr>
              <w:rPr>
                <w:rFonts w:ascii="Times New Roman" w:eastAsia="標楷體" w:hAnsi="Times New Roman"/>
                <w:szCs w:val="24"/>
              </w:rPr>
            </w:pPr>
            <w:r w:rsidRPr="0017449B">
              <w:rPr>
                <w:rFonts w:ascii="Times New Roman" w:eastAsia="標楷體" w:hAnsi="Times New Roman"/>
                <w:szCs w:val="24"/>
              </w:rPr>
              <w:t>(</w:t>
            </w:r>
            <w:r w:rsidRPr="0017449B">
              <w:rPr>
                <w:rFonts w:ascii="Times New Roman" w:eastAsia="標楷體" w:hAnsi="Times New Roman"/>
                <w:szCs w:val="24"/>
              </w:rPr>
              <w:t>第</w:t>
            </w:r>
            <w:r>
              <w:rPr>
                <w:rFonts w:ascii="Times New Roman" w:eastAsia="標楷體" w:hAnsi="Times New Roman" w:hint="eastAsia"/>
                <w:szCs w:val="24"/>
              </w:rPr>
              <w:t>十三</w:t>
            </w:r>
            <w:r w:rsidRPr="0017449B">
              <w:rPr>
                <w:rFonts w:ascii="Times New Roman" w:eastAsia="標楷體" w:hAnsi="Times New Roman"/>
                <w:szCs w:val="24"/>
              </w:rPr>
              <w:t>至</w:t>
            </w:r>
            <w:r>
              <w:rPr>
                <w:rFonts w:ascii="Times New Roman" w:eastAsia="標楷體" w:hAnsi="Times New Roman" w:hint="eastAsia"/>
                <w:szCs w:val="24"/>
              </w:rPr>
              <w:t>三十六</w:t>
            </w:r>
            <w:r w:rsidRPr="0017449B">
              <w:rPr>
                <w:rFonts w:ascii="Times New Roman" w:eastAsia="標楷體" w:hAnsi="Times New Roman"/>
                <w:szCs w:val="24"/>
              </w:rPr>
              <w:t>款</w:t>
            </w:r>
            <w:r w:rsidR="00AB6929">
              <w:rPr>
                <w:rFonts w:ascii="Times New Roman" w:eastAsia="標楷體" w:hAnsi="Times New Roman" w:hint="eastAsia"/>
                <w:szCs w:val="24"/>
              </w:rPr>
              <w:t>，</w:t>
            </w:r>
            <w:r w:rsidRPr="0017449B">
              <w:rPr>
                <w:rFonts w:ascii="Times New Roman" w:eastAsia="標楷體" w:hAnsi="Times New Roman"/>
                <w:szCs w:val="24"/>
              </w:rPr>
              <w:t>略</w:t>
            </w:r>
            <w:r w:rsidRPr="0017449B">
              <w:rPr>
                <w:rFonts w:ascii="Times New Roman" w:eastAsia="標楷體" w:hAnsi="Times New Roman"/>
                <w:szCs w:val="24"/>
              </w:rPr>
              <w:t>)</w:t>
            </w:r>
          </w:p>
          <w:p w:rsidR="00736CBA" w:rsidRDefault="00736CBA" w:rsidP="00BF04D1">
            <w:pPr>
              <w:rPr>
                <w:rFonts w:ascii="標楷體" w:eastAsia="標楷體" w:hAnsi="標楷體"/>
                <w:szCs w:val="24"/>
                <w:u w:val="single"/>
              </w:rPr>
            </w:pPr>
          </w:p>
          <w:p w:rsidR="00A97950" w:rsidRPr="00AB2D5D" w:rsidRDefault="00A97950" w:rsidP="00BF04D1">
            <w:pPr>
              <w:rPr>
                <w:rFonts w:ascii="標楷體" w:eastAsia="標楷體" w:hAnsi="標楷體"/>
                <w:szCs w:val="24"/>
                <w:u w:val="single"/>
              </w:rPr>
            </w:pPr>
            <w:r w:rsidRPr="00AB2D5D">
              <w:rPr>
                <w:rFonts w:ascii="標楷體" w:eastAsia="標楷體" w:hAnsi="標楷體" w:hint="eastAsia"/>
                <w:szCs w:val="24"/>
                <w:u w:val="single"/>
              </w:rPr>
              <w:t>三十七、依證券交易法第</w:t>
            </w:r>
          </w:p>
          <w:p w:rsidR="00A97950" w:rsidRPr="00AB2D5D" w:rsidRDefault="00A97950" w:rsidP="00BF04D1">
            <w:pPr>
              <w:ind w:leftChars="400" w:left="960"/>
              <w:rPr>
                <w:rFonts w:ascii="標楷體" w:eastAsia="標楷體" w:hAnsi="標楷體"/>
                <w:szCs w:val="24"/>
                <w:u w:val="single"/>
              </w:rPr>
            </w:pPr>
            <w:r w:rsidRPr="00AB2D5D">
              <w:rPr>
                <w:rFonts w:ascii="標楷體" w:eastAsia="標楷體" w:hAnsi="標楷體" w:hint="eastAsia"/>
                <w:szCs w:val="24"/>
                <w:u w:val="single"/>
              </w:rPr>
              <w:t>四十三條之一第一項取得股份申報辦法規定公告申報之事項</w:t>
            </w:r>
            <w:r w:rsidR="00BD2BCE">
              <w:rPr>
                <w:rFonts w:ascii="標楷體" w:eastAsia="標楷體" w:hAnsi="標楷體" w:hint="eastAsia"/>
                <w:szCs w:val="24"/>
                <w:u w:val="single"/>
              </w:rPr>
              <w:t>：</w:t>
            </w:r>
          </w:p>
          <w:p w:rsidR="00760B75" w:rsidRDefault="00BD2BCE" w:rsidP="00760B75">
            <w:pPr>
              <w:ind w:leftChars="100" w:left="240"/>
              <w:rPr>
                <w:rFonts w:ascii="標楷體" w:eastAsia="標楷體" w:hAnsi="標楷體"/>
                <w:szCs w:val="24"/>
                <w:u w:val="single"/>
              </w:rPr>
            </w:pPr>
            <w:r>
              <w:rPr>
                <w:rFonts w:ascii="標楷體" w:eastAsia="標楷體" w:hAnsi="標楷體" w:hint="eastAsia"/>
                <w:szCs w:val="24"/>
                <w:u w:val="single"/>
              </w:rPr>
              <w:t>（一）</w:t>
            </w:r>
            <w:r w:rsidR="00A97950" w:rsidRPr="00AB2D5D">
              <w:rPr>
                <w:rFonts w:ascii="標楷體" w:eastAsia="標楷體" w:hAnsi="標楷體" w:hint="eastAsia"/>
                <w:szCs w:val="24"/>
                <w:u w:val="single"/>
              </w:rPr>
              <w:t>初次申報：</w:t>
            </w:r>
            <w:r w:rsidR="00834911">
              <w:rPr>
                <w:rFonts w:ascii="標楷體" w:eastAsia="標楷體" w:hAnsi="標楷體" w:hint="eastAsia"/>
                <w:szCs w:val="24"/>
                <w:u w:val="single"/>
              </w:rPr>
              <w:t>發行</w:t>
            </w:r>
          </w:p>
          <w:p w:rsidR="00A97950" w:rsidRPr="00AB2D5D" w:rsidRDefault="00834911" w:rsidP="00635427">
            <w:pPr>
              <w:ind w:leftChars="368" w:left="883"/>
              <w:rPr>
                <w:rFonts w:ascii="標楷體" w:eastAsia="標楷體" w:hAnsi="標楷體"/>
                <w:szCs w:val="24"/>
                <w:u w:val="single"/>
              </w:rPr>
            </w:pPr>
            <w:r>
              <w:rPr>
                <w:rFonts w:ascii="標楷體" w:eastAsia="標楷體" w:hAnsi="標楷體" w:hint="eastAsia"/>
                <w:szCs w:val="24"/>
                <w:u w:val="single"/>
              </w:rPr>
              <w:t>人為</w:t>
            </w:r>
            <w:r w:rsidR="00A97950" w:rsidRPr="00AB2D5D">
              <w:rPr>
                <w:rFonts w:ascii="標楷體" w:eastAsia="標楷體" w:hAnsi="標楷體" w:hint="eastAsia"/>
                <w:szCs w:val="24"/>
                <w:u w:val="single"/>
              </w:rPr>
              <w:t>取得人</w:t>
            </w:r>
            <w:r>
              <w:rPr>
                <w:rFonts w:ascii="標楷體" w:eastAsia="標楷體" w:hAnsi="標楷體" w:hint="eastAsia"/>
                <w:szCs w:val="24"/>
                <w:u w:val="single"/>
              </w:rPr>
              <w:t>時</w:t>
            </w:r>
            <w:r w:rsidR="00A97950" w:rsidRPr="00AB2D5D">
              <w:rPr>
                <w:rFonts w:ascii="標楷體" w:eastAsia="標楷體" w:hAnsi="標楷體" w:hint="eastAsia"/>
                <w:szCs w:val="24"/>
                <w:u w:val="single"/>
              </w:rPr>
              <w:t>，</w:t>
            </w:r>
            <w:r>
              <w:rPr>
                <w:rFonts w:ascii="標楷體" w:eastAsia="標楷體" w:hAnsi="標楷體" w:hint="eastAsia"/>
                <w:szCs w:val="24"/>
                <w:u w:val="single"/>
              </w:rPr>
              <w:t>應</w:t>
            </w:r>
            <w:r w:rsidR="00A97950" w:rsidRPr="00AB2D5D">
              <w:rPr>
                <w:rFonts w:ascii="標楷體" w:eastAsia="標楷體" w:hAnsi="標楷體" w:hint="eastAsia"/>
                <w:szCs w:val="24"/>
                <w:u w:val="single"/>
              </w:rPr>
              <w:t>於取得日起十日內自行輸入；</w:t>
            </w:r>
            <w:r>
              <w:rPr>
                <w:rFonts w:ascii="標楷體" w:eastAsia="標楷體" w:hAnsi="標楷體" w:hint="eastAsia"/>
                <w:szCs w:val="24"/>
                <w:u w:val="single"/>
              </w:rPr>
              <w:t>發行人為被取得股份之公司，且取得人</w:t>
            </w:r>
            <w:r w:rsidR="00A97950" w:rsidRPr="00AB2D5D">
              <w:rPr>
                <w:rFonts w:ascii="標楷體" w:eastAsia="標楷體" w:hAnsi="標楷體" w:hint="eastAsia"/>
                <w:szCs w:val="24"/>
                <w:u w:val="single"/>
              </w:rPr>
              <w:t>非屬</w:t>
            </w:r>
            <w:r w:rsidR="002B59FD" w:rsidRPr="00AB2D5D">
              <w:rPr>
                <w:rFonts w:ascii="標楷體" w:eastAsia="標楷體" w:hAnsi="標楷體" w:hint="eastAsia"/>
                <w:szCs w:val="24"/>
                <w:u w:val="single"/>
              </w:rPr>
              <w:t>公開發行公司</w:t>
            </w:r>
            <w:r w:rsidR="00A97950" w:rsidRPr="00AB2D5D">
              <w:rPr>
                <w:rFonts w:ascii="標楷體" w:eastAsia="標楷體" w:hAnsi="標楷體" w:hint="eastAsia"/>
                <w:szCs w:val="24"/>
                <w:u w:val="single"/>
              </w:rPr>
              <w:t>者，</w:t>
            </w:r>
            <w:r>
              <w:rPr>
                <w:rFonts w:ascii="標楷體" w:eastAsia="標楷體" w:hAnsi="標楷體" w:hint="eastAsia"/>
                <w:szCs w:val="24"/>
                <w:u w:val="single"/>
              </w:rPr>
              <w:t>取得人</w:t>
            </w:r>
            <w:r w:rsidR="00A97950" w:rsidRPr="00AB2D5D">
              <w:rPr>
                <w:rFonts w:ascii="標楷體" w:eastAsia="標楷體" w:hAnsi="標楷體" w:hint="eastAsia"/>
                <w:szCs w:val="24"/>
                <w:u w:val="single"/>
              </w:rPr>
              <w:t>應於取得日起八日內將應</w:t>
            </w:r>
            <w:r w:rsidR="00D7050C">
              <w:rPr>
                <w:rFonts w:ascii="標楷體" w:eastAsia="標楷體" w:hAnsi="標楷體" w:hint="eastAsia"/>
                <w:szCs w:val="24"/>
                <w:u w:val="single"/>
              </w:rPr>
              <w:t>行</w:t>
            </w:r>
            <w:r w:rsidR="00A97950" w:rsidRPr="00AB2D5D">
              <w:rPr>
                <w:rFonts w:ascii="標楷體" w:eastAsia="標楷體" w:hAnsi="標楷體" w:hint="eastAsia"/>
                <w:szCs w:val="24"/>
                <w:u w:val="single"/>
              </w:rPr>
              <w:t>申報事項送達</w:t>
            </w:r>
            <w:r>
              <w:rPr>
                <w:rFonts w:ascii="標楷體" w:eastAsia="標楷體" w:hAnsi="標楷體" w:hint="eastAsia"/>
                <w:szCs w:val="24"/>
                <w:u w:val="single"/>
              </w:rPr>
              <w:t>發行人</w:t>
            </w:r>
            <w:r w:rsidR="00A97950" w:rsidRPr="00AB2D5D">
              <w:rPr>
                <w:rFonts w:ascii="標楷體" w:eastAsia="標楷體" w:hAnsi="標楷體" w:hint="eastAsia"/>
                <w:szCs w:val="24"/>
                <w:u w:val="single"/>
              </w:rPr>
              <w:t>，</w:t>
            </w:r>
            <w:r w:rsidR="0027581C">
              <w:rPr>
                <w:rFonts w:ascii="標楷體" w:eastAsia="標楷體" w:hAnsi="標楷體" w:hint="eastAsia"/>
                <w:szCs w:val="24"/>
                <w:u w:val="single"/>
              </w:rPr>
              <w:t>發行人並應於</w:t>
            </w:r>
            <w:r w:rsidR="00A97950" w:rsidRPr="00AB2D5D">
              <w:rPr>
                <w:rFonts w:ascii="標楷體" w:eastAsia="標楷體" w:hAnsi="標楷體" w:hint="eastAsia"/>
                <w:szCs w:val="24"/>
                <w:u w:val="single"/>
              </w:rPr>
              <w:t>送達日起二日內代為輸入。</w:t>
            </w:r>
          </w:p>
          <w:p w:rsidR="00760B75" w:rsidRDefault="00BD2BCE" w:rsidP="00635427">
            <w:pPr>
              <w:ind w:leftChars="100" w:left="240"/>
              <w:jc w:val="distribute"/>
              <w:rPr>
                <w:rFonts w:ascii="標楷體" w:eastAsia="標楷體" w:hAnsi="標楷體"/>
                <w:szCs w:val="24"/>
                <w:u w:val="single"/>
              </w:rPr>
            </w:pPr>
            <w:r>
              <w:rPr>
                <w:rFonts w:ascii="標楷體" w:eastAsia="標楷體" w:hAnsi="標楷體" w:hint="eastAsia"/>
                <w:szCs w:val="24"/>
                <w:u w:val="single"/>
              </w:rPr>
              <w:t>（二）</w:t>
            </w:r>
            <w:r w:rsidR="00A97950" w:rsidRPr="00AB2D5D">
              <w:rPr>
                <w:rFonts w:ascii="標楷體" w:eastAsia="標楷體" w:hAnsi="標楷體" w:hint="eastAsia"/>
                <w:szCs w:val="24"/>
                <w:u w:val="single"/>
              </w:rPr>
              <w:t>變動申報：</w:t>
            </w:r>
            <w:r w:rsidR="00834911">
              <w:rPr>
                <w:rFonts w:ascii="標楷體" w:eastAsia="標楷體" w:hAnsi="標楷體" w:hint="eastAsia"/>
                <w:szCs w:val="24"/>
                <w:u w:val="single"/>
              </w:rPr>
              <w:t>發行</w:t>
            </w:r>
          </w:p>
          <w:p w:rsidR="00760B75" w:rsidRDefault="00834911" w:rsidP="00635427">
            <w:pPr>
              <w:ind w:leftChars="100" w:left="240" w:firstLineChars="268" w:firstLine="643"/>
              <w:jc w:val="distribute"/>
              <w:rPr>
                <w:rFonts w:ascii="標楷體" w:eastAsia="標楷體" w:hAnsi="標楷體"/>
                <w:szCs w:val="24"/>
                <w:u w:val="single"/>
              </w:rPr>
            </w:pPr>
            <w:r>
              <w:rPr>
                <w:rFonts w:ascii="標楷體" w:eastAsia="標楷體" w:hAnsi="標楷體" w:hint="eastAsia"/>
                <w:szCs w:val="24"/>
                <w:u w:val="single"/>
              </w:rPr>
              <w:t>人為</w:t>
            </w:r>
            <w:r w:rsidR="00A97950" w:rsidRPr="00AB2D5D">
              <w:rPr>
                <w:rFonts w:ascii="標楷體" w:eastAsia="標楷體" w:hAnsi="標楷體" w:hint="eastAsia"/>
                <w:szCs w:val="24"/>
                <w:u w:val="single"/>
              </w:rPr>
              <w:t>取得人</w:t>
            </w:r>
            <w:r>
              <w:rPr>
                <w:rFonts w:ascii="標楷體" w:eastAsia="標楷體" w:hAnsi="標楷體" w:hint="eastAsia"/>
                <w:szCs w:val="24"/>
                <w:u w:val="single"/>
              </w:rPr>
              <w:t>時</w:t>
            </w:r>
            <w:r w:rsidR="00A97950" w:rsidRPr="00AB2D5D">
              <w:rPr>
                <w:rFonts w:ascii="標楷體" w:eastAsia="標楷體" w:hAnsi="標楷體" w:hint="eastAsia"/>
                <w:szCs w:val="24"/>
                <w:u w:val="single"/>
              </w:rPr>
              <w:t>，</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應於事實發生</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之日起二日內</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自行輸入；</w:t>
            </w:r>
            <w:r w:rsidR="00834911">
              <w:rPr>
                <w:rFonts w:ascii="標楷體" w:eastAsia="標楷體" w:hAnsi="標楷體" w:hint="eastAsia"/>
                <w:szCs w:val="24"/>
                <w:u w:val="single"/>
              </w:rPr>
              <w:t>發行</w:t>
            </w:r>
          </w:p>
          <w:p w:rsidR="00760B75" w:rsidRDefault="00834911" w:rsidP="00635427">
            <w:pPr>
              <w:ind w:leftChars="100" w:left="240" w:firstLineChars="268" w:firstLine="643"/>
              <w:jc w:val="distribute"/>
              <w:rPr>
                <w:rFonts w:ascii="標楷體" w:eastAsia="標楷體" w:hAnsi="標楷體"/>
                <w:szCs w:val="24"/>
                <w:u w:val="single"/>
              </w:rPr>
            </w:pPr>
            <w:r>
              <w:rPr>
                <w:rFonts w:ascii="標楷體" w:eastAsia="標楷體" w:hAnsi="標楷體" w:hint="eastAsia"/>
                <w:szCs w:val="24"/>
                <w:u w:val="single"/>
              </w:rPr>
              <w:t>人為被取得股</w:t>
            </w:r>
          </w:p>
          <w:p w:rsidR="00760B75" w:rsidRDefault="00834911" w:rsidP="00635427">
            <w:pPr>
              <w:ind w:leftChars="100" w:left="240" w:firstLineChars="268" w:firstLine="643"/>
              <w:jc w:val="distribute"/>
              <w:rPr>
                <w:rFonts w:ascii="標楷體" w:eastAsia="標楷體" w:hAnsi="標楷體"/>
                <w:szCs w:val="24"/>
                <w:u w:val="single"/>
              </w:rPr>
            </w:pPr>
            <w:r>
              <w:rPr>
                <w:rFonts w:ascii="標楷體" w:eastAsia="標楷體" w:hAnsi="標楷體" w:hint="eastAsia"/>
                <w:szCs w:val="24"/>
                <w:u w:val="single"/>
              </w:rPr>
              <w:t>份之公司，且取</w:t>
            </w:r>
          </w:p>
          <w:p w:rsidR="00760B75" w:rsidRDefault="00834911" w:rsidP="00635427">
            <w:pPr>
              <w:ind w:leftChars="100" w:left="240" w:firstLineChars="268" w:firstLine="643"/>
              <w:jc w:val="distribute"/>
              <w:rPr>
                <w:rFonts w:ascii="標楷體" w:eastAsia="標楷體" w:hAnsi="標楷體"/>
                <w:szCs w:val="24"/>
                <w:u w:val="single"/>
              </w:rPr>
            </w:pPr>
            <w:r>
              <w:rPr>
                <w:rFonts w:ascii="標楷體" w:eastAsia="標楷體" w:hAnsi="標楷體" w:hint="eastAsia"/>
                <w:szCs w:val="24"/>
                <w:u w:val="single"/>
              </w:rPr>
              <w:lastRenderedPageBreak/>
              <w:t>得人</w:t>
            </w:r>
            <w:r w:rsidR="00A97950" w:rsidRPr="00AB2D5D">
              <w:rPr>
                <w:rFonts w:ascii="標楷體" w:eastAsia="標楷體" w:hAnsi="標楷體" w:hint="eastAsia"/>
                <w:szCs w:val="24"/>
                <w:u w:val="single"/>
              </w:rPr>
              <w:t>非屬公開</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發行公司者，</w:t>
            </w:r>
            <w:r w:rsidR="00834911">
              <w:rPr>
                <w:rFonts w:ascii="標楷體" w:eastAsia="標楷體" w:hAnsi="標楷體" w:hint="eastAsia"/>
                <w:szCs w:val="24"/>
                <w:u w:val="single"/>
              </w:rPr>
              <w:t>取</w:t>
            </w:r>
          </w:p>
          <w:p w:rsidR="00760B75" w:rsidRDefault="00834911" w:rsidP="00635427">
            <w:pPr>
              <w:ind w:leftChars="100" w:left="240" w:firstLineChars="268" w:firstLine="643"/>
              <w:jc w:val="distribute"/>
              <w:rPr>
                <w:rFonts w:ascii="標楷體" w:eastAsia="標楷體" w:hAnsi="標楷體"/>
                <w:szCs w:val="24"/>
                <w:u w:val="single"/>
              </w:rPr>
            </w:pPr>
            <w:r>
              <w:rPr>
                <w:rFonts w:ascii="標楷體" w:eastAsia="標楷體" w:hAnsi="標楷體" w:hint="eastAsia"/>
                <w:szCs w:val="24"/>
                <w:u w:val="single"/>
              </w:rPr>
              <w:t>得人</w:t>
            </w:r>
            <w:r w:rsidR="00A97950" w:rsidRPr="00AB2D5D">
              <w:rPr>
                <w:rFonts w:ascii="標楷體" w:eastAsia="標楷體" w:hAnsi="標楷體" w:hint="eastAsia"/>
                <w:szCs w:val="24"/>
                <w:u w:val="single"/>
              </w:rPr>
              <w:t>應於事實</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發生之日起二</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日內將應行申</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報事項送達</w:t>
            </w:r>
            <w:r w:rsidR="00834911">
              <w:rPr>
                <w:rFonts w:ascii="標楷體" w:eastAsia="標楷體" w:hAnsi="標楷體" w:hint="eastAsia"/>
                <w:szCs w:val="24"/>
                <w:u w:val="single"/>
              </w:rPr>
              <w:t>發</w:t>
            </w:r>
          </w:p>
          <w:p w:rsidR="00760B75" w:rsidRDefault="00834911" w:rsidP="00635427">
            <w:pPr>
              <w:ind w:leftChars="100" w:left="240" w:firstLineChars="268" w:firstLine="643"/>
              <w:jc w:val="distribute"/>
              <w:rPr>
                <w:rFonts w:ascii="標楷體" w:eastAsia="標楷體" w:hAnsi="標楷體"/>
                <w:szCs w:val="24"/>
                <w:u w:val="single"/>
              </w:rPr>
            </w:pPr>
            <w:r>
              <w:rPr>
                <w:rFonts w:ascii="標楷體" w:eastAsia="標楷體" w:hAnsi="標楷體" w:hint="eastAsia"/>
                <w:szCs w:val="24"/>
                <w:u w:val="single"/>
              </w:rPr>
              <w:t>行人</w:t>
            </w:r>
            <w:r w:rsidR="00A97950" w:rsidRPr="00AB2D5D">
              <w:rPr>
                <w:rFonts w:ascii="標楷體" w:eastAsia="標楷體" w:hAnsi="標楷體" w:hint="eastAsia"/>
                <w:szCs w:val="24"/>
                <w:u w:val="single"/>
              </w:rPr>
              <w:t>，</w:t>
            </w:r>
            <w:r w:rsidR="0027581C">
              <w:rPr>
                <w:rFonts w:ascii="標楷體" w:eastAsia="標楷體" w:hAnsi="標楷體" w:hint="eastAsia"/>
                <w:szCs w:val="24"/>
                <w:u w:val="single"/>
              </w:rPr>
              <w:t>發行人並</w:t>
            </w:r>
          </w:p>
          <w:p w:rsidR="00760B75" w:rsidRDefault="0027581C" w:rsidP="00635427">
            <w:pPr>
              <w:ind w:leftChars="100" w:left="240" w:firstLineChars="268" w:firstLine="643"/>
              <w:jc w:val="distribute"/>
              <w:rPr>
                <w:rFonts w:ascii="標楷體" w:eastAsia="標楷體" w:hAnsi="標楷體"/>
                <w:szCs w:val="24"/>
                <w:u w:val="single"/>
              </w:rPr>
            </w:pPr>
            <w:r>
              <w:rPr>
                <w:rFonts w:ascii="標楷體" w:eastAsia="標楷體" w:hAnsi="標楷體" w:hint="eastAsia"/>
                <w:szCs w:val="24"/>
                <w:u w:val="single"/>
              </w:rPr>
              <w:t>應於</w:t>
            </w:r>
            <w:r w:rsidR="00A97950" w:rsidRPr="00AB2D5D">
              <w:rPr>
                <w:rFonts w:ascii="標楷體" w:eastAsia="標楷體" w:hAnsi="標楷體" w:hint="eastAsia"/>
                <w:szCs w:val="24"/>
                <w:u w:val="single"/>
              </w:rPr>
              <w:t>送達當日</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之次一營業日</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交易時間開始</w:t>
            </w:r>
          </w:p>
          <w:p w:rsidR="00760B75" w:rsidRDefault="00A97950" w:rsidP="00635427">
            <w:pPr>
              <w:ind w:leftChars="100" w:left="240" w:firstLineChars="268" w:firstLine="643"/>
              <w:jc w:val="distribute"/>
              <w:rPr>
                <w:rFonts w:ascii="標楷體" w:eastAsia="標楷體" w:hAnsi="標楷體"/>
                <w:szCs w:val="24"/>
                <w:u w:val="single"/>
              </w:rPr>
            </w:pPr>
            <w:r w:rsidRPr="00AB2D5D">
              <w:rPr>
                <w:rFonts w:ascii="標楷體" w:eastAsia="標楷體" w:hAnsi="標楷體" w:hint="eastAsia"/>
                <w:szCs w:val="24"/>
                <w:u w:val="single"/>
              </w:rPr>
              <w:t>二小時前代為</w:t>
            </w:r>
          </w:p>
          <w:p w:rsidR="00A97950" w:rsidRPr="00AB2D5D" w:rsidRDefault="00A97950" w:rsidP="00635427">
            <w:pPr>
              <w:ind w:leftChars="100" w:left="240" w:firstLineChars="268" w:firstLine="643"/>
              <w:rPr>
                <w:rFonts w:ascii="標楷體" w:eastAsia="標楷體" w:hAnsi="標楷體"/>
                <w:szCs w:val="24"/>
                <w:u w:val="single"/>
              </w:rPr>
            </w:pPr>
            <w:r w:rsidRPr="00AB2D5D">
              <w:rPr>
                <w:rFonts w:ascii="標楷體" w:eastAsia="標楷體" w:hAnsi="標楷體" w:hint="eastAsia"/>
                <w:szCs w:val="24"/>
                <w:u w:val="single"/>
              </w:rPr>
              <w:t>輸入。</w:t>
            </w:r>
          </w:p>
          <w:p w:rsidR="00A97950" w:rsidRDefault="00A97950" w:rsidP="00BF04D1">
            <w:pPr>
              <w:rPr>
                <w:rFonts w:ascii="標楷體" w:eastAsia="標楷體" w:hAnsi="標楷體" w:cs="細明體"/>
                <w:color w:val="000000"/>
              </w:rPr>
            </w:pPr>
            <w:r w:rsidRPr="00635427">
              <w:rPr>
                <w:rFonts w:ascii="標楷體" w:eastAsia="標楷體" w:hAnsi="標楷體" w:hint="eastAsia"/>
                <w:szCs w:val="24"/>
                <w:u w:val="single"/>
              </w:rPr>
              <w:t>三十</w:t>
            </w:r>
            <w:r w:rsidRPr="00E56106">
              <w:rPr>
                <w:rFonts w:ascii="標楷體" w:eastAsia="標楷體" w:hAnsi="標楷體" w:hint="eastAsia"/>
                <w:szCs w:val="24"/>
                <w:u w:val="single"/>
              </w:rPr>
              <w:t>八</w:t>
            </w:r>
            <w:r w:rsidRPr="00004485">
              <w:rPr>
                <w:rFonts w:ascii="標楷體" w:eastAsia="標楷體" w:hAnsi="標楷體" w:hint="eastAsia"/>
                <w:szCs w:val="24"/>
              </w:rPr>
              <w:t>、</w:t>
            </w:r>
            <w:r w:rsidRPr="00004485">
              <w:rPr>
                <w:rFonts w:ascii="標楷體" w:eastAsia="標楷體" w:hAnsi="標楷體" w:cs="細明體" w:hint="eastAsia"/>
                <w:color w:val="000000"/>
              </w:rPr>
              <w:t>其他經本中心公</w:t>
            </w:r>
          </w:p>
          <w:p w:rsidR="00AB6929" w:rsidRPr="00AB6929" w:rsidRDefault="00A97950">
            <w:pPr>
              <w:ind w:leftChars="400" w:left="960"/>
              <w:rPr>
                <w:rFonts w:ascii="標楷體" w:eastAsia="標楷體" w:hAnsi="標楷體" w:cs="細明體"/>
                <w:color w:val="000000"/>
              </w:rPr>
            </w:pPr>
            <w:r w:rsidRPr="00004485">
              <w:rPr>
                <w:rFonts w:ascii="標楷體" w:eastAsia="標楷體" w:hAnsi="標楷體" w:cs="細明體" w:hint="eastAsia"/>
                <w:color w:val="000000"/>
              </w:rPr>
              <w:t>告或通知事項之資訊，依規定期限申報之。</w:t>
            </w:r>
          </w:p>
          <w:p w:rsidR="00AB6929" w:rsidRPr="00AB6929" w:rsidRDefault="00AB6929" w:rsidP="00D7050C">
            <w:pPr>
              <w:spacing w:beforeLines="100" w:before="360"/>
              <w:rPr>
                <w:rFonts w:ascii="Times New Roman" w:eastAsia="標楷體" w:hAnsi="Times New Roman"/>
                <w:szCs w:val="24"/>
              </w:rPr>
            </w:pPr>
            <w:r w:rsidRPr="0017449B">
              <w:rPr>
                <w:rFonts w:ascii="Times New Roman" w:eastAsia="標楷體" w:hAnsi="Times New Roman"/>
                <w:szCs w:val="24"/>
              </w:rPr>
              <w:t>(</w:t>
            </w:r>
            <w:r w:rsidRPr="0017449B">
              <w:rPr>
                <w:rFonts w:ascii="Times New Roman" w:eastAsia="標楷體" w:hAnsi="Times New Roman"/>
                <w:szCs w:val="24"/>
              </w:rPr>
              <w:t>第</w:t>
            </w:r>
            <w:r>
              <w:rPr>
                <w:rFonts w:ascii="Times New Roman" w:eastAsia="標楷體" w:hAnsi="Times New Roman" w:hint="eastAsia"/>
                <w:szCs w:val="24"/>
              </w:rPr>
              <w:t>二及第三項，</w:t>
            </w:r>
            <w:r w:rsidRPr="0017449B">
              <w:rPr>
                <w:rFonts w:ascii="Times New Roman" w:eastAsia="標楷體" w:hAnsi="Times New Roman"/>
                <w:szCs w:val="24"/>
              </w:rPr>
              <w:t>略</w:t>
            </w:r>
            <w:r w:rsidRPr="0017449B">
              <w:rPr>
                <w:rFonts w:ascii="Times New Roman" w:eastAsia="標楷體" w:hAnsi="Times New Roman"/>
                <w:szCs w:val="24"/>
              </w:rPr>
              <w:t>)</w:t>
            </w:r>
          </w:p>
        </w:tc>
        <w:tc>
          <w:tcPr>
            <w:tcW w:w="2765" w:type="dxa"/>
          </w:tcPr>
          <w:p w:rsidR="00A97950" w:rsidRDefault="00A97950" w:rsidP="00BF04D1">
            <w:pPr>
              <w:rPr>
                <w:rFonts w:ascii="標楷體" w:eastAsia="標楷體" w:hAnsi="標楷體"/>
                <w:szCs w:val="24"/>
              </w:rPr>
            </w:pPr>
            <w:r>
              <w:rPr>
                <w:rFonts w:ascii="標楷體" w:eastAsia="標楷體" w:hAnsi="標楷體" w:hint="eastAsia"/>
                <w:szCs w:val="24"/>
              </w:rPr>
              <w:lastRenderedPageBreak/>
              <w:t>第三十三條</w:t>
            </w:r>
          </w:p>
          <w:p w:rsidR="00A97950" w:rsidRDefault="00A97950" w:rsidP="00BF0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szCs w:val="24"/>
              </w:rPr>
            </w:pPr>
            <w:r>
              <w:rPr>
                <w:rFonts w:ascii="Times New Roman" w:eastAsia="標楷體" w:hAnsi="Times New Roman" w:hint="eastAsia"/>
                <w:szCs w:val="24"/>
              </w:rPr>
              <w:t xml:space="preserve">    </w:t>
            </w:r>
            <w:r w:rsidRPr="009E3A59">
              <w:rPr>
                <w:rFonts w:ascii="Times New Roman" w:eastAsia="標楷體" w:hAnsi="Times New Roman" w:hint="eastAsia"/>
                <w:szCs w:val="24"/>
              </w:rPr>
              <w:t>發行人應將下列資訊依規定期限及格式輸入本中心指定之網際網路資訊申報系統：</w:t>
            </w:r>
          </w:p>
          <w:p w:rsidR="00A97950" w:rsidRPr="006D7120" w:rsidRDefault="00A97950" w:rsidP="00BF04D1">
            <w:pPr>
              <w:spacing w:beforeLines="100" w:before="360" w:afterLines="100" w:after="360"/>
              <w:rPr>
                <w:rFonts w:ascii="Times New Roman" w:eastAsia="標楷體" w:hAnsi="Times New Roman"/>
                <w:szCs w:val="24"/>
              </w:rPr>
            </w:pPr>
            <w:r w:rsidRPr="0017449B">
              <w:rPr>
                <w:rFonts w:ascii="Times New Roman" w:eastAsia="標楷體" w:hAnsi="Times New Roman"/>
                <w:szCs w:val="24"/>
              </w:rPr>
              <w:t>(</w:t>
            </w:r>
            <w:r w:rsidRPr="0017449B">
              <w:rPr>
                <w:rFonts w:ascii="Times New Roman" w:eastAsia="標楷體" w:hAnsi="Times New Roman"/>
                <w:szCs w:val="24"/>
              </w:rPr>
              <w:t>第一至</w:t>
            </w:r>
            <w:r>
              <w:rPr>
                <w:rFonts w:ascii="Times New Roman" w:eastAsia="標楷體" w:hAnsi="Times New Roman" w:hint="eastAsia"/>
                <w:szCs w:val="24"/>
              </w:rPr>
              <w:t>十一</w:t>
            </w:r>
            <w:r w:rsidRPr="0017449B">
              <w:rPr>
                <w:rFonts w:ascii="Times New Roman" w:eastAsia="標楷體" w:hAnsi="Times New Roman"/>
                <w:szCs w:val="24"/>
              </w:rPr>
              <w:t>款</w:t>
            </w:r>
            <w:r w:rsidR="00AB6929">
              <w:rPr>
                <w:rFonts w:ascii="Times New Roman" w:eastAsia="標楷體" w:hAnsi="Times New Roman" w:hint="eastAsia"/>
                <w:szCs w:val="24"/>
              </w:rPr>
              <w:t>，</w:t>
            </w:r>
            <w:r w:rsidRPr="0017449B">
              <w:rPr>
                <w:rFonts w:ascii="Times New Roman" w:eastAsia="標楷體" w:hAnsi="Times New Roman"/>
                <w:szCs w:val="24"/>
              </w:rPr>
              <w:t>略</w:t>
            </w:r>
            <w:r w:rsidRPr="0017449B">
              <w:rPr>
                <w:rFonts w:ascii="Times New Roman" w:eastAsia="標楷體" w:hAnsi="Times New Roman"/>
                <w:szCs w:val="24"/>
              </w:rPr>
              <w:t>)</w:t>
            </w:r>
          </w:p>
          <w:p w:rsidR="00A97950" w:rsidRDefault="00A97950" w:rsidP="00BF04D1">
            <w:pPr>
              <w:rPr>
                <w:rFonts w:ascii="標楷體" w:eastAsia="標楷體" w:hAnsi="標楷體"/>
                <w:szCs w:val="24"/>
              </w:rPr>
            </w:pPr>
            <w:r w:rsidRPr="006D7120">
              <w:rPr>
                <w:rFonts w:ascii="標楷體" w:eastAsia="標楷體" w:hAnsi="標楷體" w:hint="eastAsia"/>
                <w:szCs w:val="24"/>
              </w:rPr>
              <w:t>十二、</w:t>
            </w:r>
            <w:r w:rsidRPr="00635427">
              <w:rPr>
                <w:rFonts w:ascii="標楷體" w:eastAsia="標楷體" w:hAnsi="標楷體" w:hint="eastAsia"/>
                <w:szCs w:val="24"/>
                <w:u w:val="single"/>
              </w:rPr>
              <w:t>興櫃公司</w:t>
            </w:r>
            <w:r w:rsidRPr="006D7120">
              <w:rPr>
                <w:rFonts w:ascii="標楷體" w:eastAsia="標楷體" w:hAnsi="標楷體" w:hint="eastAsia"/>
                <w:szCs w:val="24"/>
              </w:rPr>
              <w:t>僑外投資</w:t>
            </w:r>
          </w:p>
          <w:p w:rsidR="00A97950" w:rsidRDefault="00A97950" w:rsidP="00635427">
            <w:pPr>
              <w:ind w:leftChars="281" w:left="674"/>
              <w:rPr>
                <w:rFonts w:ascii="標楷體" w:eastAsia="標楷體" w:hAnsi="標楷體"/>
                <w:szCs w:val="24"/>
              </w:rPr>
            </w:pPr>
            <w:r w:rsidRPr="006D7120">
              <w:rPr>
                <w:rFonts w:ascii="標楷體" w:eastAsia="標楷體" w:hAnsi="標楷體" w:hint="eastAsia"/>
                <w:szCs w:val="24"/>
              </w:rPr>
              <w:t>持股情形統計表：應於（一）增資</w:t>
            </w:r>
            <w:r w:rsidRPr="002C2B44">
              <w:rPr>
                <w:rFonts w:ascii="標楷體" w:eastAsia="標楷體" w:hAnsi="標楷體" w:hint="eastAsia"/>
                <w:szCs w:val="24"/>
                <w:u w:val="single"/>
              </w:rPr>
              <w:t>配</w:t>
            </w:r>
            <w:r w:rsidRPr="006D7120">
              <w:rPr>
                <w:rFonts w:ascii="標楷體" w:eastAsia="標楷體" w:hAnsi="標楷體" w:hint="eastAsia"/>
                <w:szCs w:val="24"/>
              </w:rPr>
              <w:t>股（二）私募</w:t>
            </w:r>
            <w:r w:rsidRPr="00E56106">
              <w:rPr>
                <w:rFonts w:ascii="標楷體" w:eastAsia="標楷體" w:hAnsi="標楷體" w:hint="eastAsia"/>
                <w:szCs w:val="24"/>
                <w:u w:val="single"/>
              </w:rPr>
              <w:t>或公開發行</w:t>
            </w:r>
            <w:r w:rsidRPr="006D7120">
              <w:rPr>
                <w:rFonts w:ascii="標楷體" w:eastAsia="標楷體" w:hAnsi="標楷體" w:hint="eastAsia"/>
                <w:szCs w:val="24"/>
              </w:rPr>
              <w:t>海外存託憑證（含新股及老股）、海外可轉換公司債及附認股權有價證券或海外股票（三）減資（四）合併（五）公開收購（六）</w:t>
            </w:r>
            <w:r w:rsidRPr="00E56106">
              <w:rPr>
                <w:rFonts w:ascii="標楷體" w:eastAsia="標楷體" w:hAnsi="標楷體" w:hint="eastAsia"/>
                <w:szCs w:val="24"/>
                <w:u w:val="single"/>
              </w:rPr>
              <w:t>興櫃公司</w:t>
            </w:r>
            <w:r w:rsidRPr="002C2B44">
              <w:rPr>
                <w:rFonts w:ascii="標楷體" w:eastAsia="標楷體" w:hAnsi="標楷體" w:hint="eastAsia"/>
                <w:szCs w:val="24"/>
                <w:u w:val="single"/>
              </w:rPr>
              <w:t>紅利配股</w:t>
            </w:r>
            <w:r w:rsidRPr="006D7120">
              <w:rPr>
                <w:rFonts w:ascii="標楷體" w:eastAsia="標楷體" w:hAnsi="標楷體" w:hint="eastAsia"/>
                <w:szCs w:val="24"/>
              </w:rPr>
              <w:t>、庫藏股轉讓</w:t>
            </w:r>
            <w:r w:rsidRPr="002C2B44">
              <w:rPr>
                <w:rFonts w:ascii="標楷體" w:eastAsia="標楷體" w:hAnsi="標楷體" w:hint="eastAsia"/>
                <w:szCs w:val="24"/>
                <w:u w:val="single"/>
              </w:rPr>
              <w:t>或</w:t>
            </w:r>
            <w:r w:rsidRPr="006D7120">
              <w:rPr>
                <w:rFonts w:ascii="標楷體" w:eastAsia="標楷體" w:hAnsi="標楷體" w:hint="eastAsia"/>
                <w:szCs w:val="24"/>
              </w:rPr>
              <w:t>發認股權憑證予外籍員工（七）初次登錄興櫃或轉換新設公司登錄興櫃（八）召開股東常會</w:t>
            </w:r>
            <w:r w:rsidRPr="00BB43B2">
              <w:rPr>
                <w:rFonts w:ascii="標楷體" w:eastAsia="標楷體" w:hAnsi="標楷體" w:hint="eastAsia"/>
                <w:szCs w:val="24"/>
                <w:u w:val="single"/>
              </w:rPr>
              <w:t>時</w:t>
            </w:r>
            <w:r w:rsidRPr="006D7120">
              <w:rPr>
                <w:rFonts w:ascii="標楷體" w:eastAsia="標楷體" w:hAnsi="標楷體" w:hint="eastAsia"/>
                <w:szCs w:val="24"/>
              </w:rPr>
              <w:t>輸入，</w:t>
            </w:r>
            <w:r w:rsidRPr="00BB43B2">
              <w:rPr>
                <w:rFonts w:ascii="標楷體" w:eastAsia="標楷體" w:hAnsi="標楷體" w:hint="eastAsia"/>
                <w:szCs w:val="24"/>
                <w:u w:val="single"/>
              </w:rPr>
              <w:t>各項申報時限</w:t>
            </w:r>
            <w:r w:rsidRPr="006D7120">
              <w:rPr>
                <w:rFonts w:ascii="標楷體" w:eastAsia="標楷體" w:hAnsi="標楷體" w:hint="eastAsia"/>
                <w:szCs w:val="24"/>
              </w:rPr>
              <w:t>應依僑外投資持股情形申報作業之申報時限辦理。</w:t>
            </w:r>
          </w:p>
          <w:p w:rsidR="00736CBA" w:rsidRDefault="00736CBA" w:rsidP="00635427">
            <w:pPr>
              <w:spacing w:afterLines="100" w:after="360"/>
              <w:rPr>
                <w:rFonts w:ascii="Times New Roman" w:eastAsia="標楷體" w:hAnsi="Times New Roman"/>
                <w:szCs w:val="24"/>
              </w:rPr>
            </w:pPr>
          </w:p>
          <w:p w:rsidR="00736CBA" w:rsidRDefault="00736CBA" w:rsidP="00635427">
            <w:pPr>
              <w:spacing w:afterLines="100" w:after="360"/>
              <w:rPr>
                <w:rFonts w:ascii="Times New Roman" w:eastAsia="標楷體" w:hAnsi="Times New Roman"/>
                <w:szCs w:val="24"/>
              </w:rPr>
            </w:pPr>
          </w:p>
          <w:p w:rsidR="00E56106" w:rsidRDefault="00E56106" w:rsidP="00635427">
            <w:pPr>
              <w:spacing w:afterLines="100" w:after="360"/>
              <w:rPr>
                <w:rFonts w:ascii="Times New Roman" w:eastAsia="標楷體" w:hAnsi="Times New Roman"/>
                <w:szCs w:val="24"/>
              </w:rPr>
            </w:pPr>
          </w:p>
          <w:p w:rsidR="00A97950" w:rsidRDefault="00A97950" w:rsidP="00AB6929">
            <w:pPr>
              <w:rPr>
                <w:rFonts w:ascii="Times New Roman" w:eastAsia="標楷體" w:hAnsi="Times New Roman"/>
                <w:szCs w:val="24"/>
              </w:rPr>
            </w:pPr>
            <w:r w:rsidRPr="0017449B">
              <w:rPr>
                <w:rFonts w:ascii="Times New Roman" w:eastAsia="標楷體" w:hAnsi="Times New Roman"/>
                <w:szCs w:val="24"/>
              </w:rPr>
              <w:t>(</w:t>
            </w:r>
            <w:r w:rsidRPr="0017449B">
              <w:rPr>
                <w:rFonts w:ascii="Times New Roman" w:eastAsia="標楷體" w:hAnsi="Times New Roman"/>
                <w:szCs w:val="24"/>
              </w:rPr>
              <w:t>第</w:t>
            </w:r>
            <w:r>
              <w:rPr>
                <w:rFonts w:ascii="Times New Roman" w:eastAsia="標楷體" w:hAnsi="Times New Roman" w:hint="eastAsia"/>
                <w:szCs w:val="24"/>
              </w:rPr>
              <w:t>十三</w:t>
            </w:r>
            <w:r w:rsidRPr="0017449B">
              <w:rPr>
                <w:rFonts w:ascii="Times New Roman" w:eastAsia="標楷體" w:hAnsi="Times New Roman"/>
                <w:szCs w:val="24"/>
              </w:rPr>
              <w:t>至</w:t>
            </w:r>
            <w:r>
              <w:rPr>
                <w:rFonts w:ascii="Times New Roman" w:eastAsia="標楷體" w:hAnsi="Times New Roman" w:hint="eastAsia"/>
                <w:szCs w:val="24"/>
              </w:rPr>
              <w:t>三十六</w:t>
            </w:r>
            <w:r w:rsidRPr="0017449B">
              <w:rPr>
                <w:rFonts w:ascii="Times New Roman" w:eastAsia="標楷體" w:hAnsi="Times New Roman"/>
                <w:szCs w:val="24"/>
              </w:rPr>
              <w:t>款</w:t>
            </w:r>
            <w:r w:rsidR="00AB6929">
              <w:rPr>
                <w:rFonts w:ascii="Times New Roman" w:eastAsia="標楷體" w:hAnsi="Times New Roman" w:hint="eastAsia"/>
                <w:szCs w:val="24"/>
              </w:rPr>
              <w:t>，</w:t>
            </w:r>
            <w:r w:rsidRPr="0017449B">
              <w:rPr>
                <w:rFonts w:ascii="Times New Roman" w:eastAsia="標楷體" w:hAnsi="Times New Roman"/>
                <w:szCs w:val="24"/>
              </w:rPr>
              <w:t>略</w:t>
            </w:r>
            <w:r w:rsidRPr="0017449B">
              <w:rPr>
                <w:rFonts w:ascii="Times New Roman" w:eastAsia="標楷體" w:hAnsi="Times New Roman"/>
                <w:szCs w:val="24"/>
              </w:rPr>
              <w:t>)</w:t>
            </w: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33FAC" w:rsidRDefault="00E33FAC" w:rsidP="00BF04D1">
            <w:pPr>
              <w:spacing w:beforeLines="100" w:before="360" w:afterLines="100" w:after="360"/>
              <w:rPr>
                <w:rFonts w:ascii="Times New Roman" w:eastAsia="標楷體" w:hAnsi="Times New Roman"/>
                <w:szCs w:val="24"/>
              </w:rPr>
            </w:pPr>
          </w:p>
          <w:p w:rsidR="00E56106" w:rsidRDefault="00E56106" w:rsidP="00BF04D1">
            <w:pPr>
              <w:rPr>
                <w:rFonts w:ascii="Times New Roman" w:eastAsia="標楷體" w:hAnsi="Times New Roman"/>
                <w:szCs w:val="24"/>
              </w:rPr>
            </w:pPr>
          </w:p>
          <w:p w:rsidR="00834911" w:rsidRDefault="00834911" w:rsidP="00BF04D1">
            <w:pPr>
              <w:rPr>
                <w:rFonts w:ascii="Times New Roman" w:eastAsia="標楷體" w:hAnsi="Times New Roman"/>
                <w:szCs w:val="24"/>
              </w:rPr>
            </w:pPr>
          </w:p>
          <w:p w:rsidR="00834911" w:rsidRDefault="00834911" w:rsidP="00BF04D1">
            <w:pPr>
              <w:rPr>
                <w:rFonts w:ascii="Times New Roman" w:eastAsia="標楷體" w:hAnsi="Times New Roman"/>
                <w:szCs w:val="24"/>
              </w:rPr>
            </w:pPr>
          </w:p>
          <w:p w:rsidR="00834911" w:rsidRDefault="00834911" w:rsidP="00BF04D1">
            <w:pPr>
              <w:rPr>
                <w:rFonts w:ascii="Times New Roman" w:eastAsia="標楷體" w:hAnsi="Times New Roman"/>
                <w:szCs w:val="24"/>
              </w:rPr>
            </w:pPr>
          </w:p>
          <w:p w:rsidR="003D5027" w:rsidRDefault="003D5027" w:rsidP="00BF04D1">
            <w:pPr>
              <w:rPr>
                <w:rFonts w:ascii="Times New Roman" w:eastAsia="標楷體" w:hAnsi="Times New Roman"/>
                <w:szCs w:val="24"/>
              </w:rPr>
            </w:pPr>
          </w:p>
          <w:p w:rsidR="00E56106" w:rsidRDefault="00E56106" w:rsidP="00BF04D1">
            <w:pPr>
              <w:rPr>
                <w:rFonts w:ascii="Times New Roman" w:eastAsia="標楷體" w:hAnsi="Times New Roman"/>
                <w:szCs w:val="24"/>
              </w:rPr>
            </w:pPr>
          </w:p>
          <w:p w:rsidR="000111F7" w:rsidRDefault="000111F7" w:rsidP="00BF04D1">
            <w:pPr>
              <w:rPr>
                <w:rFonts w:ascii="Times New Roman" w:eastAsia="標楷體" w:hAnsi="Times New Roman"/>
                <w:szCs w:val="24"/>
              </w:rPr>
            </w:pPr>
          </w:p>
          <w:p w:rsidR="000111F7" w:rsidRDefault="000111F7" w:rsidP="00BF04D1">
            <w:pPr>
              <w:rPr>
                <w:rFonts w:ascii="Times New Roman" w:eastAsia="標楷體" w:hAnsi="Times New Roman"/>
                <w:szCs w:val="24"/>
              </w:rPr>
            </w:pPr>
          </w:p>
          <w:p w:rsidR="00A97950" w:rsidRDefault="00A97950" w:rsidP="00635427">
            <w:pPr>
              <w:jc w:val="distribute"/>
              <w:rPr>
                <w:rFonts w:ascii="標楷體" w:eastAsia="標楷體" w:hAnsi="標楷體" w:cs="細明體"/>
                <w:color w:val="000000"/>
              </w:rPr>
            </w:pPr>
            <w:r w:rsidRPr="00635427">
              <w:rPr>
                <w:rFonts w:ascii="標楷體" w:eastAsia="標楷體" w:hAnsi="標楷體" w:hint="eastAsia"/>
                <w:szCs w:val="24"/>
                <w:u w:val="single"/>
              </w:rPr>
              <w:t>三十</w:t>
            </w:r>
            <w:r w:rsidRPr="00E56106">
              <w:rPr>
                <w:rFonts w:ascii="標楷體" w:eastAsia="標楷體" w:hAnsi="標楷體" w:hint="eastAsia"/>
                <w:szCs w:val="24"/>
                <w:u w:val="single"/>
              </w:rPr>
              <w:t>七</w:t>
            </w:r>
            <w:r w:rsidRPr="00004485">
              <w:rPr>
                <w:rFonts w:ascii="標楷體" w:eastAsia="標楷體" w:hAnsi="標楷體" w:hint="eastAsia"/>
                <w:szCs w:val="24"/>
              </w:rPr>
              <w:t>、</w:t>
            </w:r>
            <w:r w:rsidRPr="00004485">
              <w:rPr>
                <w:rFonts w:ascii="標楷體" w:eastAsia="標楷體" w:hAnsi="標楷體" w:cs="細明體" w:hint="eastAsia"/>
                <w:color w:val="000000"/>
              </w:rPr>
              <w:t>其他經本中心公</w:t>
            </w:r>
          </w:p>
          <w:p w:rsidR="00AB6929" w:rsidRDefault="00A97950" w:rsidP="00635427">
            <w:pPr>
              <w:ind w:leftChars="400" w:left="960"/>
              <w:jc w:val="distribute"/>
              <w:rPr>
                <w:rFonts w:ascii="Times New Roman" w:eastAsia="標楷體" w:hAnsi="Times New Roman"/>
                <w:szCs w:val="24"/>
              </w:rPr>
            </w:pPr>
            <w:r w:rsidRPr="00004485">
              <w:rPr>
                <w:rFonts w:ascii="標楷體" w:eastAsia="標楷體" w:hAnsi="標楷體" w:cs="細明體" w:hint="eastAsia"/>
                <w:color w:val="000000"/>
              </w:rPr>
              <w:t>告或通知事項之資</w:t>
            </w:r>
            <w:r w:rsidR="00695D3C">
              <w:rPr>
                <w:rFonts w:ascii="標楷體" w:eastAsia="標楷體" w:hAnsi="標楷體" w:cs="細明體" w:hint="eastAsia"/>
                <w:color w:val="000000"/>
              </w:rPr>
              <w:t>訊</w:t>
            </w:r>
            <w:r w:rsidRPr="00004485">
              <w:rPr>
                <w:rFonts w:ascii="標楷體" w:eastAsia="標楷體" w:hAnsi="標楷體" w:cs="細明體" w:hint="eastAsia"/>
                <w:color w:val="000000"/>
              </w:rPr>
              <w:t>，依規定期限申報之。</w:t>
            </w:r>
          </w:p>
          <w:p w:rsidR="00AB6929" w:rsidRPr="00004485" w:rsidRDefault="00AB6929" w:rsidP="00D7050C">
            <w:pPr>
              <w:spacing w:beforeLines="100" w:before="360" w:afterLines="100" w:after="360"/>
              <w:rPr>
                <w:rFonts w:ascii="標楷體" w:eastAsia="標楷體" w:hAnsi="標楷體"/>
                <w:szCs w:val="24"/>
              </w:rPr>
            </w:pPr>
            <w:r w:rsidRPr="0017449B">
              <w:rPr>
                <w:rFonts w:ascii="Times New Roman" w:eastAsia="標楷體" w:hAnsi="Times New Roman"/>
                <w:szCs w:val="24"/>
              </w:rPr>
              <w:t>(</w:t>
            </w:r>
            <w:r w:rsidRPr="0017449B">
              <w:rPr>
                <w:rFonts w:ascii="Times New Roman" w:eastAsia="標楷體" w:hAnsi="Times New Roman"/>
                <w:szCs w:val="24"/>
              </w:rPr>
              <w:t>第</w:t>
            </w:r>
            <w:r>
              <w:rPr>
                <w:rFonts w:ascii="Times New Roman" w:eastAsia="標楷體" w:hAnsi="Times New Roman" w:hint="eastAsia"/>
                <w:szCs w:val="24"/>
              </w:rPr>
              <w:t>二及第三項，</w:t>
            </w:r>
            <w:r w:rsidRPr="0017449B">
              <w:rPr>
                <w:rFonts w:ascii="Times New Roman" w:eastAsia="標楷體" w:hAnsi="Times New Roman"/>
                <w:szCs w:val="24"/>
              </w:rPr>
              <w:t>略</w:t>
            </w:r>
            <w:r w:rsidRPr="0017449B">
              <w:rPr>
                <w:rFonts w:ascii="Times New Roman" w:eastAsia="標楷體" w:hAnsi="Times New Roman"/>
                <w:szCs w:val="24"/>
              </w:rPr>
              <w:t>)</w:t>
            </w:r>
          </w:p>
        </w:tc>
        <w:tc>
          <w:tcPr>
            <w:tcW w:w="2766" w:type="dxa"/>
          </w:tcPr>
          <w:p w:rsidR="005C5FD5" w:rsidRDefault="00A97950" w:rsidP="00D7050C">
            <w:pPr>
              <w:ind w:left="360" w:hangingChars="150" w:hanging="360"/>
              <w:rPr>
                <w:rFonts w:ascii="Times New Roman" w:eastAsia="標楷體" w:hAnsi="Times New Roman"/>
                <w:szCs w:val="24"/>
              </w:rPr>
            </w:pPr>
            <w:r>
              <w:rPr>
                <w:rFonts w:ascii="Times New Roman" w:eastAsia="標楷體" w:hAnsi="Times New Roman" w:hint="eastAsia"/>
                <w:szCs w:val="24"/>
              </w:rPr>
              <w:lastRenderedPageBreak/>
              <w:t>一、</w:t>
            </w:r>
            <w:r w:rsidR="005C5FD5">
              <w:rPr>
                <w:rFonts w:ascii="Times New Roman" w:eastAsia="標楷體" w:hAnsi="Times New Roman" w:hint="eastAsia"/>
                <w:szCs w:val="24"/>
              </w:rPr>
              <w:t>參照上櫃公司</w:t>
            </w:r>
            <w:r w:rsidR="005C5FD5" w:rsidRPr="005C5FD5">
              <w:rPr>
                <w:rFonts w:ascii="Times New Roman" w:eastAsia="標楷體" w:hAnsi="Times New Roman"/>
                <w:szCs w:val="24"/>
              </w:rPr>
              <w:t>資訊申報</w:t>
            </w:r>
            <w:r w:rsidR="005C5FD5">
              <w:rPr>
                <w:rFonts w:ascii="Times New Roman" w:eastAsia="標楷體" w:hAnsi="Times New Roman" w:hint="eastAsia"/>
                <w:szCs w:val="24"/>
              </w:rPr>
              <w:t>相關規</w:t>
            </w:r>
            <w:r w:rsidR="00AB2D5D">
              <w:rPr>
                <w:rFonts w:ascii="Times New Roman" w:eastAsia="標楷體" w:hAnsi="Times New Roman" w:hint="eastAsia"/>
                <w:szCs w:val="24"/>
              </w:rPr>
              <w:t>定</w:t>
            </w:r>
            <w:r w:rsidR="005C5FD5" w:rsidRPr="005C5FD5">
              <w:rPr>
                <w:rFonts w:ascii="Times New Roman" w:eastAsia="標楷體" w:hAnsi="Times New Roman" w:hint="eastAsia"/>
                <w:szCs w:val="24"/>
              </w:rPr>
              <w:t>，修正</w:t>
            </w:r>
            <w:r w:rsidR="00BD2BCE">
              <w:rPr>
                <w:rFonts w:ascii="Times New Roman" w:eastAsia="標楷體" w:hAnsi="Times New Roman" w:hint="eastAsia"/>
                <w:szCs w:val="24"/>
              </w:rPr>
              <w:t>第</w:t>
            </w:r>
            <w:r w:rsidR="00BD2BCE">
              <w:rPr>
                <w:rFonts w:ascii="Times New Roman" w:eastAsia="標楷體" w:hAnsi="Times New Roman" w:hint="eastAsia"/>
                <w:szCs w:val="24"/>
              </w:rPr>
              <w:t>1</w:t>
            </w:r>
            <w:r w:rsidR="00BD2BCE">
              <w:rPr>
                <w:rFonts w:ascii="Times New Roman" w:eastAsia="標楷體" w:hAnsi="Times New Roman" w:hint="eastAsia"/>
                <w:szCs w:val="24"/>
              </w:rPr>
              <w:t>項</w:t>
            </w:r>
            <w:r w:rsidR="005C5FD5" w:rsidRPr="005C5FD5">
              <w:rPr>
                <w:rFonts w:ascii="Times New Roman" w:eastAsia="標楷體" w:hAnsi="Times New Roman" w:hint="eastAsia"/>
                <w:szCs w:val="24"/>
              </w:rPr>
              <w:t>第</w:t>
            </w:r>
            <w:r w:rsidR="00BD2BCE">
              <w:rPr>
                <w:rFonts w:ascii="Times New Roman" w:eastAsia="標楷體" w:hAnsi="Times New Roman" w:hint="eastAsia"/>
                <w:szCs w:val="24"/>
              </w:rPr>
              <w:t>12</w:t>
            </w:r>
            <w:r w:rsidR="005C5FD5" w:rsidRPr="005C5FD5">
              <w:rPr>
                <w:rFonts w:ascii="Times New Roman" w:eastAsia="標楷體" w:hAnsi="Times New Roman" w:hint="eastAsia"/>
                <w:szCs w:val="24"/>
              </w:rPr>
              <w:t>款</w:t>
            </w:r>
            <w:r w:rsidR="00BD2BCE">
              <w:rPr>
                <w:rFonts w:ascii="Times New Roman" w:eastAsia="標楷體" w:hAnsi="Times New Roman" w:hint="eastAsia"/>
                <w:szCs w:val="24"/>
              </w:rPr>
              <w:t>規定，主要修正內容說明如下</w:t>
            </w:r>
            <w:r w:rsidR="005C5FD5" w:rsidRPr="005C5FD5">
              <w:rPr>
                <w:rFonts w:ascii="Times New Roman" w:eastAsia="標楷體" w:hAnsi="Times New Roman" w:hint="eastAsia"/>
                <w:szCs w:val="24"/>
              </w:rPr>
              <w:t>：</w:t>
            </w:r>
          </w:p>
          <w:p w:rsidR="005C5FD5" w:rsidRDefault="005C5FD5" w:rsidP="005C5FD5">
            <w:pPr>
              <w:rPr>
                <w:rFonts w:ascii="Times New Roman" w:eastAsia="標楷體" w:hAnsi="Times New Roman"/>
                <w:szCs w:val="24"/>
              </w:rPr>
            </w:pPr>
            <w:r>
              <w:rPr>
                <w:rFonts w:ascii="Times New Roman" w:eastAsia="標楷體" w:hAnsi="Times New Roman" w:hint="eastAsia"/>
                <w:szCs w:val="24"/>
              </w:rPr>
              <w:t>（一）</w:t>
            </w:r>
            <w:r w:rsidR="00A97950">
              <w:rPr>
                <w:rFonts w:ascii="Times New Roman" w:eastAsia="標楷體" w:hAnsi="Times New Roman" w:hint="eastAsia"/>
                <w:szCs w:val="24"/>
              </w:rPr>
              <w:t>原僑外投資持股情</w:t>
            </w:r>
          </w:p>
          <w:p w:rsidR="005C5FD5" w:rsidRDefault="00A97950" w:rsidP="005C5FD5">
            <w:pPr>
              <w:ind w:leftChars="300" w:left="720"/>
              <w:rPr>
                <w:rFonts w:ascii="Times New Roman" w:eastAsia="標楷體" w:hAnsi="Times New Roman"/>
                <w:szCs w:val="24"/>
              </w:rPr>
            </w:pPr>
            <w:r>
              <w:rPr>
                <w:rFonts w:ascii="Times New Roman" w:eastAsia="標楷體" w:hAnsi="Times New Roman" w:hint="eastAsia"/>
                <w:szCs w:val="24"/>
              </w:rPr>
              <w:t>形</w:t>
            </w:r>
            <w:r w:rsidRPr="00BC3AB4">
              <w:rPr>
                <w:rFonts w:ascii="Times New Roman" w:eastAsia="標楷體" w:hAnsi="Times New Roman" w:hint="eastAsia"/>
                <w:szCs w:val="24"/>
              </w:rPr>
              <w:t>統計表之申報對象即涵蓋</w:t>
            </w:r>
            <w:r w:rsidR="00B36EA4" w:rsidRPr="00BC3AB4">
              <w:rPr>
                <w:rFonts w:ascii="Times New Roman" w:eastAsia="標楷體" w:hAnsi="Times New Roman" w:hint="eastAsia"/>
                <w:szCs w:val="24"/>
              </w:rPr>
              <w:t>向經濟部投資審議委員會申請許可直接投資之</w:t>
            </w:r>
            <w:r w:rsidRPr="00BC3AB4">
              <w:rPr>
                <w:rFonts w:ascii="Times New Roman" w:eastAsia="標楷體" w:hAnsi="Times New Roman" w:hint="eastAsia"/>
                <w:szCs w:val="24"/>
              </w:rPr>
              <w:t>大陸地</w:t>
            </w:r>
            <w:r w:rsidRPr="005C5FD5">
              <w:rPr>
                <w:rFonts w:ascii="Times New Roman" w:eastAsia="標楷體" w:hAnsi="Times New Roman" w:hint="eastAsia"/>
                <w:szCs w:val="24"/>
              </w:rPr>
              <w:t>區投資人，配合實際申報內容，修正</w:t>
            </w:r>
            <w:r w:rsidR="00BD2BCE">
              <w:rPr>
                <w:rFonts w:ascii="Times New Roman" w:eastAsia="標楷體" w:hAnsi="Times New Roman" w:hint="eastAsia"/>
                <w:szCs w:val="24"/>
              </w:rPr>
              <w:t>本</w:t>
            </w:r>
            <w:r w:rsidR="005C5FD5">
              <w:rPr>
                <w:rFonts w:ascii="Times New Roman" w:eastAsia="標楷體" w:hAnsi="Times New Roman" w:hint="eastAsia"/>
                <w:szCs w:val="24"/>
              </w:rPr>
              <w:t>款相關</w:t>
            </w:r>
            <w:r w:rsidRPr="005C5FD5">
              <w:rPr>
                <w:rFonts w:ascii="Times New Roman" w:eastAsia="標楷體" w:hAnsi="Times New Roman" w:hint="eastAsia"/>
                <w:szCs w:val="24"/>
              </w:rPr>
              <w:t>持股情形統計表名稱。</w:t>
            </w:r>
          </w:p>
          <w:p w:rsidR="00BD2BCE" w:rsidRDefault="005C5FD5" w:rsidP="00BD2BCE">
            <w:pPr>
              <w:rPr>
                <w:rFonts w:ascii="Times New Roman" w:eastAsia="標楷體" w:hAnsi="Times New Roman"/>
                <w:szCs w:val="24"/>
              </w:rPr>
            </w:pPr>
            <w:r>
              <w:rPr>
                <w:rFonts w:ascii="Times New Roman" w:eastAsia="標楷體" w:hAnsi="Times New Roman" w:hint="eastAsia"/>
                <w:szCs w:val="24"/>
              </w:rPr>
              <w:t>（二）</w:t>
            </w:r>
            <w:r w:rsidR="00A97950" w:rsidRPr="00810892">
              <w:rPr>
                <w:rFonts w:ascii="Times New Roman" w:eastAsia="標楷體" w:hAnsi="Times New Roman" w:hint="eastAsia"/>
                <w:szCs w:val="24"/>
              </w:rPr>
              <w:t>配合公司法第</w:t>
            </w:r>
            <w:r w:rsidR="00BD2BCE">
              <w:rPr>
                <w:rFonts w:ascii="Times New Roman" w:eastAsia="標楷體" w:hAnsi="Times New Roman" w:hint="eastAsia"/>
                <w:szCs w:val="24"/>
              </w:rPr>
              <w:t>235</w:t>
            </w:r>
          </w:p>
          <w:p w:rsidR="00BD2BCE" w:rsidRPr="00BD2BCE" w:rsidRDefault="00A97950" w:rsidP="00BD2BCE">
            <w:pPr>
              <w:ind w:leftChars="300" w:left="720"/>
              <w:rPr>
                <w:rFonts w:ascii="Times New Roman" w:eastAsia="標楷體" w:hAnsi="Times New Roman"/>
                <w:szCs w:val="24"/>
              </w:rPr>
            </w:pPr>
            <w:r w:rsidRPr="00810892">
              <w:rPr>
                <w:rFonts w:ascii="Times New Roman" w:eastAsia="標楷體" w:hAnsi="Times New Roman" w:hint="eastAsia"/>
                <w:szCs w:val="24"/>
              </w:rPr>
              <w:t>條之</w:t>
            </w:r>
            <w:r w:rsidR="00BD2BCE">
              <w:rPr>
                <w:rFonts w:ascii="Times New Roman" w:eastAsia="標楷體" w:hAnsi="Times New Roman" w:hint="eastAsia"/>
                <w:szCs w:val="24"/>
              </w:rPr>
              <w:t>1</w:t>
            </w:r>
            <w:r w:rsidR="00BD2BCE">
              <w:rPr>
                <w:rFonts w:ascii="Times New Roman" w:eastAsia="標楷體" w:hAnsi="Times New Roman" w:hint="eastAsia"/>
                <w:szCs w:val="24"/>
              </w:rPr>
              <w:t>及公開發行股票公</w:t>
            </w:r>
            <w:r w:rsidR="00BD2BCE" w:rsidRPr="00F205F5">
              <w:rPr>
                <w:rFonts w:ascii="Times New Roman" w:eastAsia="標楷體" w:hAnsi="Times New Roman" w:hint="eastAsia"/>
                <w:szCs w:val="24"/>
              </w:rPr>
              <w:t>司股務處理準則第</w:t>
            </w:r>
            <w:r w:rsidR="00BB43B2">
              <w:rPr>
                <w:rFonts w:ascii="Times New Roman" w:eastAsia="標楷體" w:hAnsi="Times New Roman" w:hint="eastAsia"/>
                <w:szCs w:val="24"/>
              </w:rPr>
              <w:t>14</w:t>
            </w:r>
            <w:r w:rsidR="00BD2BCE" w:rsidRPr="00F205F5">
              <w:rPr>
                <w:rFonts w:ascii="Times New Roman" w:eastAsia="標楷體" w:hAnsi="Times New Roman" w:hint="eastAsia"/>
                <w:szCs w:val="24"/>
              </w:rPr>
              <w:t>條規定，</w:t>
            </w:r>
            <w:r w:rsidR="00BB43B2">
              <w:rPr>
                <w:rFonts w:ascii="Times New Roman" w:eastAsia="標楷體" w:hAnsi="Times New Roman" w:hint="eastAsia"/>
                <w:szCs w:val="24"/>
              </w:rPr>
              <w:t>將</w:t>
            </w:r>
            <w:r w:rsidR="00BD2BCE">
              <w:rPr>
                <w:rFonts w:ascii="Times New Roman" w:eastAsia="標楷體" w:hAnsi="Times New Roman" w:hint="eastAsia"/>
                <w:szCs w:val="24"/>
              </w:rPr>
              <w:t>興櫃公司發行限制員工權利新股</w:t>
            </w:r>
            <w:r w:rsidR="00BB43B2">
              <w:rPr>
                <w:rFonts w:ascii="Times New Roman" w:eastAsia="標楷體" w:hAnsi="Times New Roman" w:hint="eastAsia"/>
                <w:szCs w:val="24"/>
              </w:rPr>
              <w:t>或</w:t>
            </w:r>
            <w:r w:rsidR="00BD2BCE">
              <w:rPr>
                <w:rFonts w:ascii="Times New Roman" w:eastAsia="標楷體" w:hAnsi="Times New Roman" w:hint="eastAsia"/>
                <w:szCs w:val="24"/>
              </w:rPr>
              <w:t>變更面額</w:t>
            </w:r>
            <w:r w:rsidR="00BB43B2">
              <w:rPr>
                <w:rFonts w:ascii="Times New Roman" w:eastAsia="標楷體" w:hAnsi="Times New Roman" w:hint="eastAsia"/>
                <w:szCs w:val="24"/>
              </w:rPr>
              <w:t>者，</w:t>
            </w:r>
            <w:r w:rsidR="00BD2BCE">
              <w:rPr>
                <w:rFonts w:ascii="Times New Roman" w:eastAsia="標楷體" w:hAnsi="Times New Roman" w:hint="eastAsia"/>
                <w:szCs w:val="24"/>
              </w:rPr>
              <w:t>亦</w:t>
            </w:r>
            <w:r w:rsidR="00BB43B2">
              <w:rPr>
                <w:rFonts w:ascii="Times New Roman" w:eastAsia="標楷體" w:hAnsi="Times New Roman" w:hint="eastAsia"/>
                <w:szCs w:val="24"/>
              </w:rPr>
              <w:t>增列</w:t>
            </w:r>
            <w:r w:rsidR="00BD2BCE">
              <w:rPr>
                <w:rFonts w:ascii="Times New Roman" w:eastAsia="標楷體" w:hAnsi="Times New Roman" w:hint="eastAsia"/>
                <w:szCs w:val="24"/>
              </w:rPr>
              <w:t>為本款</w:t>
            </w:r>
            <w:r w:rsidR="00BB43B2">
              <w:rPr>
                <w:rFonts w:ascii="Times New Roman" w:eastAsia="標楷體" w:hAnsi="Times New Roman" w:hint="eastAsia"/>
                <w:szCs w:val="24"/>
              </w:rPr>
              <w:t>持股情形</w:t>
            </w:r>
            <w:r w:rsidR="00BD2BCE">
              <w:rPr>
                <w:rFonts w:ascii="Times New Roman" w:eastAsia="標楷體" w:hAnsi="Times New Roman" w:hint="eastAsia"/>
                <w:szCs w:val="24"/>
              </w:rPr>
              <w:t>統計表之</w:t>
            </w:r>
            <w:r w:rsidR="00BB43B2">
              <w:rPr>
                <w:rFonts w:ascii="Times New Roman" w:eastAsia="標楷體" w:hAnsi="Times New Roman" w:hint="eastAsia"/>
                <w:szCs w:val="24"/>
              </w:rPr>
              <w:t>應申報</w:t>
            </w:r>
            <w:r w:rsidR="00BD2BCE">
              <w:rPr>
                <w:rFonts w:ascii="Times New Roman" w:eastAsia="標楷體" w:hAnsi="Times New Roman" w:hint="eastAsia"/>
                <w:szCs w:val="24"/>
              </w:rPr>
              <w:t>時點</w:t>
            </w:r>
            <w:r w:rsidR="00D13E4B">
              <w:rPr>
                <w:rFonts w:ascii="Times New Roman" w:eastAsia="標楷體" w:hAnsi="Times New Roman" w:hint="eastAsia"/>
                <w:szCs w:val="24"/>
              </w:rPr>
              <w:t>，並</w:t>
            </w:r>
            <w:r w:rsidR="00D13E4B">
              <w:rPr>
                <w:rFonts w:ascii="標楷體" w:eastAsia="標楷體" w:hAnsi="標楷體" w:hint="eastAsia"/>
                <w:szCs w:val="24"/>
              </w:rPr>
              <w:t>配合</w:t>
            </w:r>
            <w:r w:rsidR="00D13E4B" w:rsidRPr="00810892">
              <w:rPr>
                <w:rFonts w:ascii="Times New Roman" w:eastAsia="標楷體" w:hAnsi="Times New Roman" w:hint="eastAsia"/>
                <w:szCs w:val="24"/>
              </w:rPr>
              <w:t>公司法第</w:t>
            </w:r>
            <w:r w:rsidR="00D13E4B">
              <w:rPr>
                <w:rFonts w:ascii="Times New Roman" w:eastAsia="標楷體" w:hAnsi="Times New Roman" w:hint="eastAsia"/>
                <w:szCs w:val="24"/>
              </w:rPr>
              <w:t>235</w:t>
            </w:r>
            <w:r w:rsidR="00D13E4B" w:rsidRPr="00810892">
              <w:rPr>
                <w:rFonts w:ascii="Times New Roman" w:eastAsia="標楷體" w:hAnsi="Times New Roman" w:hint="eastAsia"/>
                <w:szCs w:val="24"/>
              </w:rPr>
              <w:t>條之</w:t>
            </w:r>
            <w:r w:rsidR="00D13E4B">
              <w:rPr>
                <w:rFonts w:ascii="Times New Roman" w:eastAsia="標楷體" w:hAnsi="Times New Roman" w:hint="eastAsia"/>
                <w:szCs w:val="24"/>
              </w:rPr>
              <w:t>1</w:t>
            </w:r>
            <w:r w:rsidR="00191BE3">
              <w:rPr>
                <w:rFonts w:ascii="Times New Roman" w:eastAsia="標楷體" w:hAnsi="Times New Roman" w:hint="eastAsia"/>
                <w:szCs w:val="24"/>
              </w:rPr>
              <w:t>規定，將原申報時點之一興櫃公司</w:t>
            </w:r>
            <w:r w:rsidR="00191BE3" w:rsidRPr="00D13E4B">
              <w:rPr>
                <w:rFonts w:ascii="標楷體" w:eastAsia="標楷體" w:hAnsi="標楷體" w:hint="eastAsia"/>
                <w:szCs w:val="24"/>
              </w:rPr>
              <w:t>紅利配股</w:t>
            </w:r>
            <w:r w:rsidR="00191BE3">
              <w:rPr>
                <w:rFonts w:ascii="標楷體" w:eastAsia="標楷體" w:hAnsi="標楷體" w:hint="eastAsia"/>
                <w:szCs w:val="24"/>
              </w:rPr>
              <w:t>，酌修文字為分派員工酬勞，該等員工酬勞以股票為之者亦為</w:t>
            </w:r>
            <w:r w:rsidR="006869DE">
              <w:rPr>
                <w:rFonts w:ascii="標楷體" w:eastAsia="標楷體" w:hAnsi="標楷體" w:hint="eastAsia"/>
                <w:szCs w:val="24"/>
              </w:rPr>
              <w:t>應</w:t>
            </w:r>
            <w:r w:rsidR="00191BE3">
              <w:rPr>
                <w:rFonts w:ascii="標楷體" w:eastAsia="標楷體" w:hAnsi="標楷體" w:hint="eastAsia"/>
                <w:szCs w:val="24"/>
              </w:rPr>
              <w:t>申報時點</w:t>
            </w:r>
            <w:r w:rsidR="00BD2BCE">
              <w:rPr>
                <w:rFonts w:ascii="Times New Roman" w:eastAsia="標楷體" w:hAnsi="Times New Roman" w:hint="eastAsia"/>
                <w:szCs w:val="24"/>
              </w:rPr>
              <w:t>。</w:t>
            </w:r>
          </w:p>
          <w:p w:rsidR="00037070" w:rsidRDefault="005C5FD5" w:rsidP="00D7050C">
            <w:pPr>
              <w:ind w:left="360" w:hangingChars="150" w:hanging="360"/>
              <w:rPr>
                <w:rFonts w:ascii="Times New Roman" w:eastAsia="標楷體" w:hAnsi="Times New Roman"/>
                <w:szCs w:val="24"/>
              </w:rPr>
            </w:pPr>
            <w:bookmarkStart w:id="1" w:name="_Hlk14448057"/>
            <w:r>
              <w:rPr>
                <w:rFonts w:ascii="Times New Roman" w:eastAsia="標楷體" w:hAnsi="Times New Roman" w:hint="eastAsia"/>
                <w:szCs w:val="24"/>
              </w:rPr>
              <w:lastRenderedPageBreak/>
              <w:t>二</w:t>
            </w:r>
            <w:r w:rsidR="00A97950" w:rsidRPr="005A7093">
              <w:rPr>
                <w:rFonts w:ascii="Times New Roman" w:eastAsia="標楷體" w:hAnsi="Times New Roman" w:hint="eastAsia"/>
                <w:szCs w:val="24"/>
              </w:rPr>
              <w:t>、</w:t>
            </w:r>
            <w:r w:rsidR="00037070" w:rsidRPr="00037070">
              <w:rPr>
                <w:rFonts w:ascii="Times New Roman" w:eastAsia="標楷體" w:hAnsi="Times New Roman" w:hint="eastAsia"/>
                <w:szCs w:val="24"/>
              </w:rPr>
              <w:t>配合主管機關訂定證券交易法第</w:t>
            </w:r>
            <w:r w:rsidR="00037070" w:rsidRPr="00037070">
              <w:rPr>
                <w:rFonts w:ascii="Times New Roman" w:eastAsia="標楷體" w:hAnsi="Times New Roman" w:hint="eastAsia"/>
                <w:szCs w:val="24"/>
              </w:rPr>
              <w:t>43</w:t>
            </w:r>
            <w:r w:rsidR="00037070" w:rsidRPr="00037070">
              <w:rPr>
                <w:rFonts w:ascii="Times New Roman" w:eastAsia="標楷體" w:hAnsi="Times New Roman" w:hint="eastAsia"/>
                <w:szCs w:val="24"/>
              </w:rPr>
              <w:t>條之</w:t>
            </w:r>
            <w:r w:rsidR="00037070" w:rsidRPr="00037070">
              <w:rPr>
                <w:rFonts w:ascii="Times New Roman" w:eastAsia="標楷體" w:hAnsi="Times New Roman" w:hint="eastAsia"/>
                <w:szCs w:val="24"/>
              </w:rPr>
              <w:t>1</w:t>
            </w:r>
            <w:r w:rsidR="00037070" w:rsidRPr="00037070">
              <w:rPr>
                <w:rFonts w:ascii="Times New Roman" w:eastAsia="標楷體" w:hAnsi="Times New Roman" w:hint="eastAsia"/>
                <w:szCs w:val="24"/>
              </w:rPr>
              <w:t>第</w:t>
            </w:r>
            <w:r w:rsidR="00037070" w:rsidRPr="00037070">
              <w:rPr>
                <w:rFonts w:ascii="Times New Roman" w:eastAsia="標楷體" w:hAnsi="Times New Roman" w:hint="eastAsia"/>
                <w:szCs w:val="24"/>
              </w:rPr>
              <w:t>1</w:t>
            </w:r>
            <w:r w:rsidR="00037070" w:rsidRPr="00037070">
              <w:rPr>
                <w:rFonts w:ascii="Times New Roman" w:eastAsia="標楷體" w:hAnsi="Times New Roman" w:hint="eastAsia"/>
                <w:szCs w:val="24"/>
              </w:rPr>
              <w:t>項取得股份申報辦法</w:t>
            </w:r>
            <w:r w:rsidR="00AB6929">
              <w:rPr>
                <w:rFonts w:ascii="Times New Roman" w:eastAsia="標楷體" w:hAnsi="Times New Roman" w:hint="eastAsia"/>
                <w:szCs w:val="24"/>
              </w:rPr>
              <w:t>（下稱</w:t>
            </w:r>
            <w:r w:rsidR="00AB6929">
              <w:rPr>
                <w:rFonts w:ascii="標楷體" w:eastAsia="標楷體" w:hAnsi="標楷體" w:hint="eastAsia"/>
                <w:szCs w:val="24"/>
              </w:rPr>
              <w:t>「申報辦法」</w:t>
            </w:r>
            <w:r w:rsidR="00AB6929">
              <w:rPr>
                <w:rFonts w:ascii="Times New Roman" w:eastAsia="標楷體" w:hAnsi="Times New Roman" w:hint="eastAsia"/>
                <w:szCs w:val="24"/>
              </w:rPr>
              <w:t>）</w:t>
            </w:r>
            <w:r w:rsidR="00037070" w:rsidRPr="00037070">
              <w:rPr>
                <w:rFonts w:ascii="Times New Roman" w:eastAsia="標楷體" w:hAnsi="Times New Roman" w:hint="eastAsia"/>
                <w:szCs w:val="24"/>
              </w:rPr>
              <w:t>，規範大量取得股份時</w:t>
            </w:r>
            <w:r w:rsidR="00123C22">
              <w:rPr>
                <w:rFonts w:ascii="Times New Roman" w:eastAsia="標楷體" w:hAnsi="Times New Roman" w:hint="eastAsia"/>
                <w:szCs w:val="24"/>
              </w:rPr>
              <w:t>之申報及公告</w:t>
            </w:r>
            <w:r w:rsidR="00037070" w:rsidRPr="00037070">
              <w:rPr>
                <w:rFonts w:ascii="Times New Roman" w:eastAsia="標楷體" w:hAnsi="Times New Roman" w:hint="eastAsia"/>
                <w:szCs w:val="24"/>
              </w:rPr>
              <w:t>，</w:t>
            </w:r>
            <w:r w:rsidR="00123C22">
              <w:rPr>
                <w:rFonts w:ascii="Times New Roman" w:eastAsia="標楷體" w:hAnsi="Times New Roman" w:hint="eastAsia"/>
                <w:szCs w:val="24"/>
              </w:rPr>
              <w:t>其中</w:t>
            </w:r>
            <w:r w:rsidR="00037070" w:rsidRPr="00037070">
              <w:rPr>
                <w:rFonts w:ascii="Times New Roman" w:eastAsia="標楷體" w:hAnsi="Times New Roman" w:hint="eastAsia"/>
                <w:szCs w:val="24"/>
              </w:rPr>
              <w:t>相關申報事項之公告</w:t>
            </w:r>
            <w:r w:rsidR="006D7F14">
              <w:rPr>
                <w:rFonts w:ascii="Times New Roman" w:eastAsia="標楷體" w:hAnsi="Times New Roman" w:hint="eastAsia"/>
                <w:szCs w:val="24"/>
              </w:rPr>
              <w:t>方式</w:t>
            </w:r>
            <w:r w:rsidR="00037070" w:rsidRPr="00037070">
              <w:rPr>
                <w:rFonts w:ascii="Times New Roman" w:eastAsia="標楷體" w:hAnsi="Times New Roman" w:hint="eastAsia"/>
                <w:szCs w:val="24"/>
              </w:rPr>
              <w:t>，</w:t>
            </w:r>
            <w:r w:rsidR="00CD7E6E">
              <w:rPr>
                <w:rFonts w:ascii="Times New Roman" w:eastAsia="標楷體" w:hAnsi="Times New Roman" w:hint="eastAsia"/>
                <w:szCs w:val="24"/>
              </w:rPr>
              <w:t>自現行依</w:t>
            </w:r>
            <w:r w:rsidR="00BD2BCE">
              <w:rPr>
                <w:rFonts w:ascii="標楷體" w:eastAsia="標楷體" w:hAnsi="標楷體" w:hint="eastAsia"/>
                <w:szCs w:val="24"/>
              </w:rPr>
              <w:t>「</w:t>
            </w:r>
            <w:r w:rsidR="00BD2BCE" w:rsidRPr="00037070">
              <w:rPr>
                <w:rFonts w:ascii="Times New Roman" w:eastAsia="標楷體" w:hAnsi="Times New Roman" w:hint="eastAsia"/>
                <w:szCs w:val="24"/>
              </w:rPr>
              <w:t>證券交易法第</w:t>
            </w:r>
            <w:r w:rsidR="00BD2BCE" w:rsidRPr="00037070">
              <w:rPr>
                <w:rFonts w:ascii="Times New Roman" w:eastAsia="標楷體" w:hAnsi="Times New Roman" w:hint="eastAsia"/>
                <w:szCs w:val="24"/>
              </w:rPr>
              <w:t>43</w:t>
            </w:r>
            <w:r w:rsidR="00BD2BCE" w:rsidRPr="00037070">
              <w:rPr>
                <w:rFonts w:ascii="Times New Roman" w:eastAsia="標楷體" w:hAnsi="Times New Roman" w:hint="eastAsia"/>
                <w:szCs w:val="24"/>
              </w:rPr>
              <w:t>條之</w:t>
            </w:r>
            <w:r w:rsidR="00BD2BCE" w:rsidRPr="00037070">
              <w:rPr>
                <w:rFonts w:ascii="Times New Roman" w:eastAsia="標楷體" w:hAnsi="Times New Roman" w:hint="eastAsia"/>
                <w:szCs w:val="24"/>
              </w:rPr>
              <w:t>1</w:t>
            </w:r>
            <w:r w:rsidR="00BD2BCE" w:rsidRPr="00037070">
              <w:rPr>
                <w:rFonts w:ascii="Times New Roman" w:eastAsia="標楷體" w:hAnsi="Times New Roman" w:hint="eastAsia"/>
                <w:szCs w:val="24"/>
              </w:rPr>
              <w:t>第</w:t>
            </w:r>
            <w:r w:rsidR="00BD2BCE" w:rsidRPr="00037070">
              <w:rPr>
                <w:rFonts w:ascii="Times New Roman" w:eastAsia="標楷體" w:hAnsi="Times New Roman" w:hint="eastAsia"/>
                <w:szCs w:val="24"/>
              </w:rPr>
              <w:t>1</w:t>
            </w:r>
            <w:r w:rsidR="00BD2BCE" w:rsidRPr="00037070">
              <w:rPr>
                <w:rFonts w:ascii="Times New Roman" w:eastAsia="標楷體" w:hAnsi="Times New Roman" w:hint="eastAsia"/>
                <w:szCs w:val="24"/>
              </w:rPr>
              <w:t>項取得股份申報</w:t>
            </w:r>
            <w:r w:rsidR="00BD2BCE">
              <w:rPr>
                <w:rFonts w:ascii="Times New Roman" w:eastAsia="標楷體" w:hAnsi="Times New Roman" w:hint="eastAsia"/>
                <w:szCs w:val="24"/>
              </w:rPr>
              <w:t>事項要點</w:t>
            </w:r>
            <w:r w:rsidR="00BD2BCE">
              <w:rPr>
                <w:rFonts w:ascii="標楷體" w:eastAsia="標楷體" w:hAnsi="標楷體" w:hint="eastAsia"/>
                <w:szCs w:val="24"/>
              </w:rPr>
              <w:t>」</w:t>
            </w:r>
            <w:r w:rsidR="00AB6929">
              <w:rPr>
                <w:rFonts w:ascii="標楷體" w:eastAsia="標楷體" w:hAnsi="標楷體" w:hint="eastAsia"/>
                <w:szCs w:val="24"/>
              </w:rPr>
              <w:t>（於前開「申報辦法」公告施行後廢止）</w:t>
            </w:r>
            <w:r w:rsidR="00BD2BCE">
              <w:rPr>
                <w:rFonts w:ascii="標楷體" w:eastAsia="標楷體" w:hAnsi="標楷體" w:hint="eastAsia"/>
                <w:szCs w:val="24"/>
              </w:rPr>
              <w:t>得</w:t>
            </w:r>
            <w:r w:rsidR="006A1089">
              <w:rPr>
                <w:rFonts w:ascii="標楷體" w:eastAsia="標楷體" w:hAnsi="標楷體" w:hint="eastAsia"/>
                <w:szCs w:val="24"/>
              </w:rPr>
              <w:t>經由</w:t>
            </w:r>
            <w:r w:rsidR="00BD2BCE">
              <w:rPr>
                <w:rFonts w:ascii="標楷體" w:eastAsia="標楷體" w:hAnsi="標楷體" w:hint="eastAsia"/>
                <w:szCs w:val="24"/>
              </w:rPr>
              <w:t>報紙或公開資訊觀測站</w:t>
            </w:r>
            <w:r w:rsidR="006D7F14">
              <w:rPr>
                <w:rFonts w:ascii="標楷體" w:eastAsia="標楷體" w:hAnsi="標楷體" w:hint="eastAsia"/>
                <w:szCs w:val="24"/>
              </w:rPr>
              <w:t>為之</w:t>
            </w:r>
            <w:r w:rsidR="00BD2BCE">
              <w:rPr>
                <w:rFonts w:ascii="標楷體" w:eastAsia="標楷體" w:hAnsi="標楷體" w:hint="eastAsia"/>
                <w:szCs w:val="24"/>
              </w:rPr>
              <w:t>，</w:t>
            </w:r>
            <w:r w:rsidR="00037070" w:rsidRPr="00037070">
              <w:rPr>
                <w:rFonts w:ascii="Times New Roman" w:eastAsia="標楷體" w:hAnsi="Times New Roman" w:hint="eastAsia"/>
                <w:szCs w:val="24"/>
              </w:rPr>
              <w:t>改為僅得經由公開資訊觀測站</w:t>
            </w:r>
            <w:r w:rsidR="006D7F14">
              <w:rPr>
                <w:rFonts w:ascii="Times New Roman" w:eastAsia="標楷體" w:hAnsi="Times New Roman" w:hint="eastAsia"/>
                <w:szCs w:val="24"/>
              </w:rPr>
              <w:t>公告</w:t>
            </w:r>
            <w:r w:rsidR="00037070" w:rsidRPr="00037070">
              <w:rPr>
                <w:rFonts w:ascii="Times New Roman" w:eastAsia="標楷體" w:hAnsi="Times New Roman" w:hint="eastAsia"/>
                <w:szCs w:val="24"/>
              </w:rPr>
              <w:t>，爰增訂</w:t>
            </w:r>
            <w:r w:rsidR="00AB6929">
              <w:rPr>
                <w:rFonts w:ascii="Times New Roman" w:eastAsia="標楷體" w:hAnsi="Times New Roman" w:hint="eastAsia"/>
                <w:szCs w:val="24"/>
              </w:rPr>
              <w:t>第</w:t>
            </w:r>
            <w:r w:rsidR="00AB6929">
              <w:rPr>
                <w:rFonts w:ascii="Times New Roman" w:eastAsia="標楷體" w:hAnsi="Times New Roman" w:hint="eastAsia"/>
                <w:szCs w:val="24"/>
              </w:rPr>
              <w:t>1</w:t>
            </w:r>
            <w:r w:rsidR="00AB6929">
              <w:rPr>
                <w:rFonts w:ascii="Times New Roman" w:eastAsia="標楷體" w:hAnsi="Times New Roman" w:hint="eastAsia"/>
                <w:szCs w:val="24"/>
              </w:rPr>
              <w:t>項</w:t>
            </w:r>
            <w:r w:rsidR="00037070" w:rsidRPr="00037070">
              <w:rPr>
                <w:rFonts w:ascii="Times New Roman" w:eastAsia="標楷體" w:hAnsi="Times New Roman" w:hint="eastAsia"/>
                <w:szCs w:val="24"/>
              </w:rPr>
              <w:t>第</w:t>
            </w:r>
            <w:r w:rsidR="00037070" w:rsidRPr="00037070">
              <w:rPr>
                <w:rFonts w:ascii="Times New Roman" w:eastAsia="標楷體" w:hAnsi="Times New Roman" w:hint="eastAsia"/>
                <w:szCs w:val="24"/>
              </w:rPr>
              <w:t>3</w:t>
            </w:r>
            <w:r w:rsidR="00037070">
              <w:rPr>
                <w:rFonts w:ascii="Times New Roman" w:eastAsia="標楷體" w:hAnsi="Times New Roman" w:hint="eastAsia"/>
                <w:szCs w:val="24"/>
              </w:rPr>
              <w:t>7</w:t>
            </w:r>
            <w:r w:rsidR="00037070" w:rsidRPr="00037070">
              <w:rPr>
                <w:rFonts w:ascii="Times New Roman" w:eastAsia="標楷體" w:hAnsi="Times New Roman" w:hint="eastAsia"/>
                <w:szCs w:val="24"/>
              </w:rPr>
              <w:t>款，明定</w:t>
            </w:r>
            <w:r w:rsidR="00BD2BCE">
              <w:rPr>
                <w:rFonts w:ascii="Times New Roman" w:eastAsia="標楷體" w:hAnsi="Times New Roman" w:hint="eastAsia"/>
                <w:szCs w:val="24"/>
              </w:rPr>
              <w:t>前揭</w:t>
            </w:r>
            <w:r w:rsidR="00037070" w:rsidRPr="00037070">
              <w:rPr>
                <w:rFonts w:ascii="Times New Roman" w:eastAsia="標楷體" w:hAnsi="Times New Roman" w:hint="eastAsia"/>
                <w:szCs w:val="24"/>
              </w:rPr>
              <w:t>申報事項之申報義務人、初次申報及後續變動</w:t>
            </w:r>
            <w:r w:rsidR="00BB43B2">
              <w:rPr>
                <w:rFonts w:ascii="Times New Roman" w:eastAsia="標楷體" w:hAnsi="Times New Roman" w:hint="eastAsia"/>
                <w:szCs w:val="24"/>
              </w:rPr>
              <w:t>之</w:t>
            </w:r>
            <w:r w:rsidR="00037070" w:rsidRPr="00037070">
              <w:rPr>
                <w:rFonts w:ascii="Times New Roman" w:eastAsia="標楷體" w:hAnsi="Times New Roman" w:hint="eastAsia"/>
                <w:szCs w:val="24"/>
              </w:rPr>
              <w:t>申報期限</w:t>
            </w:r>
            <w:r w:rsidR="00AB6929">
              <w:rPr>
                <w:rFonts w:ascii="Times New Roman" w:eastAsia="標楷體" w:hAnsi="Times New Roman" w:hint="eastAsia"/>
                <w:szCs w:val="24"/>
              </w:rPr>
              <w:t>。</w:t>
            </w:r>
          </w:p>
          <w:bookmarkEnd w:id="1"/>
          <w:p w:rsidR="00A97950" w:rsidRPr="005C5FD5" w:rsidRDefault="005C5FD5" w:rsidP="00D7050C">
            <w:pPr>
              <w:ind w:left="360" w:hangingChars="150" w:hanging="360"/>
              <w:rPr>
                <w:rFonts w:ascii="Times New Roman" w:eastAsia="標楷體" w:hAnsi="Times New Roman"/>
                <w:szCs w:val="24"/>
              </w:rPr>
            </w:pPr>
            <w:r>
              <w:rPr>
                <w:rFonts w:ascii="Times New Roman" w:eastAsia="標楷體" w:hAnsi="Times New Roman" w:hint="eastAsia"/>
                <w:szCs w:val="24"/>
              </w:rPr>
              <w:t>三</w:t>
            </w:r>
            <w:r w:rsidR="00A97950" w:rsidRPr="005C5FD5">
              <w:rPr>
                <w:rFonts w:ascii="Times New Roman" w:eastAsia="標楷體" w:hAnsi="Times New Roman" w:hint="eastAsia"/>
                <w:szCs w:val="24"/>
              </w:rPr>
              <w:t>、</w:t>
            </w:r>
            <w:r w:rsidR="00037070" w:rsidRPr="00BB43B2">
              <w:rPr>
                <w:rFonts w:ascii="Times New Roman" w:eastAsia="標楷體" w:hAnsi="Times New Roman" w:hint="eastAsia"/>
                <w:szCs w:val="24"/>
              </w:rPr>
              <w:t>配合增訂第</w:t>
            </w:r>
            <w:r w:rsidR="00AB6929" w:rsidRPr="00BB43B2">
              <w:rPr>
                <w:rFonts w:ascii="Times New Roman" w:eastAsia="標楷體" w:hAnsi="Times New Roman" w:hint="eastAsia"/>
                <w:szCs w:val="24"/>
              </w:rPr>
              <w:t>1</w:t>
            </w:r>
            <w:r w:rsidR="00037070" w:rsidRPr="00BB43B2">
              <w:rPr>
                <w:rFonts w:ascii="Times New Roman" w:eastAsia="標楷體" w:hAnsi="Times New Roman" w:hint="eastAsia"/>
                <w:szCs w:val="24"/>
              </w:rPr>
              <w:t>項第</w:t>
            </w:r>
            <w:r w:rsidR="00AB6929" w:rsidRPr="00BB43B2">
              <w:rPr>
                <w:rFonts w:ascii="Times New Roman" w:eastAsia="標楷體" w:hAnsi="Times New Roman" w:hint="eastAsia"/>
                <w:szCs w:val="24"/>
              </w:rPr>
              <w:t>37</w:t>
            </w:r>
            <w:r w:rsidR="00037070" w:rsidRPr="00BB43B2">
              <w:rPr>
                <w:rFonts w:ascii="Times New Roman" w:eastAsia="標楷體" w:hAnsi="Times New Roman" w:hint="eastAsia"/>
                <w:szCs w:val="24"/>
              </w:rPr>
              <w:t>款，現行第</w:t>
            </w:r>
            <w:r w:rsidR="00037070" w:rsidRPr="00BB43B2">
              <w:rPr>
                <w:rFonts w:ascii="Times New Roman" w:eastAsia="標楷體" w:hAnsi="Times New Roman" w:hint="eastAsia"/>
                <w:szCs w:val="24"/>
              </w:rPr>
              <w:t>3</w:t>
            </w:r>
            <w:r w:rsidR="00AB6929" w:rsidRPr="00BB43B2">
              <w:rPr>
                <w:rFonts w:ascii="Times New Roman" w:eastAsia="標楷體" w:hAnsi="Times New Roman" w:hint="eastAsia"/>
                <w:szCs w:val="24"/>
              </w:rPr>
              <w:t>7</w:t>
            </w:r>
            <w:r w:rsidR="00037070" w:rsidRPr="00BB43B2">
              <w:rPr>
                <w:rFonts w:ascii="Times New Roman" w:eastAsia="標楷體" w:hAnsi="Times New Roman" w:hint="eastAsia"/>
                <w:szCs w:val="24"/>
              </w:rPr>
              <w:t>款款次順延為同項第</w:t>
            </w:r>
            <w:r w:rsidR="00037070" w:rsidRPr="00BB43B2">
              <w:rPr>
                <w:rFonts w:ascii="Times New Roman" w:eastAsia="標楷體" w:hAnsi="Times New Roman" w:hint="eastAsia"/>
                <w:szCs w:val="24"/>
              </w:rPr>
              <w:t>3</w:t>
            </w:r>
            <w:r w:rsidR="00AB6929" w:rsidRPr="00BB43B2">
              <w:rPr>
                <w:rFonts w:ascii="Times New Roman" w:eastAsia="標楷體" w:hAnsi="Times New Roman" w:hint="eastAsia"/>
                <w:szCs w:val="24"/>
              </w:rPr>
              <w:t>8</w:t>
            </w:r>
            <w:r w:rsidR="00037070" w:rsidRPr="00BB43B2">
              <w:rPr>
                <w:rFonts w:ascii="Times New Roman" w:eastAsia="標楷體" w:hAnsi="Times New Roman" w:hint="eastAsia"/>
                <w:szCs w:val="24"/>
              </w:rPr>
              <w:t>款</w:t>
            </w:r>
            <w:r w:rsidR="00E56106">
              <w:rPr>
                <w:rFonts w:ascii="Times New Roman" w:eastAsia="標楷體" w:hAnsi="Times New Roman" w:hint="eastAsia"/>
                <w:szCs w:val="24"/>
              </w:rPr>
              <w:t>，內容未修正</w:t>
            </w:r>
            <w:r w:rsidR="00037070" w:rsidRPr="00BB43B2">
              <w:rPr>
                <w:rFonts w:ascii="Times New Roman" w:eastAsia="標楷體" w:hAnsi="Times New Roman" w:hint="eastAsia"/>
                <w:szCs w:val="24"/>
              </w:rPr>
              <w:t>。</w:t>
            </w:r>
          </w:p>
        </w:tc>
      </w:tr>
    </w:tbl>
    <w:p w:rsidR="00A97950" w:rsidRPr="00A97950" w:rsidRDefault="00A97950" w:rsidP="006D7120">
      <w:pPr>
        <w:spacing w:line="0" w:lineRule="atLeast"/>
        <w:jc w:val="center"/>
        <w:rPr>
          <w:rFonts w:ascii="標楷體" w:eastAsia="標楷體" w:hAnsi="標楷體"/>
          <w:sz w:val="36"/>
          <w:szCs w:val="36"/>
        </w:rPr>
      </w:pPr>
    </w:p>
    <w:p w:rsidR="006D7120" w:rsidRPr="006D7120" w:rsidRDefault="006D7120"/>
    <w:sectPr w:rsidR="006D7120" w:rsidRPr="006D712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E1E" w:rsidRDefault="00A30E1E" w:rsidP="00004485">
      <w:r>
        <w:separator/>
      </w:r>
    </w:p>
  </w:endnote>
  <w:endnote w:type="continuationSeparator" w:id="0">
    <w:p w:rsidR="00A30E1E" w:rsidRDefault="00A30E1E" w:rsidP="00004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566"/>
      <w:docPartObj>
        <w:docPartGallery w:val="Page Numbers (Bottom of Page)"/>
        <w:docPartUnique/>
      </w:docPartObj>
    </w:sdtPr>
    <w:sdtEndPr/>
    <w:sdtContent>
      <w:p w:rsidR="0027288A" w:rsidRDefault="0027288A">
        <w:pPr>
          <w:pStyle w:val="a6"/>
          <w:jc w:val="center"/>
        </w:pPr>
        <w:r>
          <w:fldChar w:fldCharType="begin"/>
        </w:r>
        <w:r>
          <w:instrText>PAGE   \* MERGEFORMAT</w:instrText>
        </w:r>
        <w:r>
          <w:fldChar w:fldCharType="separate"/>
        </w:r>
        <w:r w:rsidR="00A83926" w:rsidRPr="00A83926">
          <w:rPr>
            <w:noProof/>
            <w:lang w:val="zh-TW"/>
          </w:rPr>
          <w:t>1</w:t>
        </w:r>
        <w:r>
          <w:fldChar w:fldCharType="end"/>
        </w:r>
      </w:p>
    </w:sdtContent>
  </w:sdt>
  <w:p w:rsidR="0027288A" w:rsidRDefault="002728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E1E" w:rsidRDefault="00A30E1E" w:rsidP="00004485">
      <w:r>
        <w:separator/>
      </w:r>
    </w:p>
  </w:footnote>
  <w:footnote w:type="continuationSeparator" w:id="0">
    <w:p w:rsidR="00A30E1E" w:rsidRDefault="00A30E1E" w:rsidP="00004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02F5"/>
    <w:multiLevelType w:val="hybridMultilevel"/>
    <w:tmpl w:val="C966ECBE"/>
    <w:lvl w:ilvl="0" w:tplc="6BC0421E">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D2D1DAF"/>
    <w:multiLevelType w:val="hybridMultilevel"/>
    <w:tmpl w:val="0994F1C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B2D3109"/>
    <w:multiLevelType w:val="hybridMultilevel"/>
    <w:tmpl w:val="C4CC4E98"/>
    <w:lvl w:ilvl="0" w:tplc="6BC0421E">
      <w:start w:val="1"/>
      <w:numFmt w:val="taiwaneseCountingThousand"/>
      <w:lvlText w:val="(%1)"/>
      <w:lvlJc w:val="left"/>
      <w:pPr>
        <w:ind w:left="1152" w:hanging="480"/>
      </w:pPr>
      <w:rPr>
        <w:rFonts w:hint="eastAsia"/>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abstractNum w:abstractNumId="3" w15:restartNumberingAfterBreak="0">
    <w:nsid w:val="224C69FF"/>
    <w:multiLevelType w:val="hybridMultilevel"/>
    <w:tmpl w:val="73FCF004"/>
    <w:lvl w:ilvl="0" w:tplc="6BC042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0E352C6"/>
    <w:multiLevelType w:val="hybridMultilevel"/>
    <w:tmpl w:val="60E6D978"/>
    <w:lvl w:ilvl="0" w:tplc="6BC0421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46534B1"/>
    <w:multiLevelType w:val="hybridMultilevel"/>
    <w:tmpl w:val="6A6AEF58"/>
    <w:lvl w:ilvl="0" w:tplc="6BC0421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F221E5C"/>
    <w:multiLevelType w:val="hybridMultilevel"/>
    <w:tmpl w:val="CB2A89EE"/>
    <w:lvl w:ilvl="0" w:tplc="6BC0421E">
      <w:start w:val="1"/>
      <w:numFmt w:val="taiwaneseCountingThousand"/>
      <w:lvlText w:val="(%1)"/>
      <w:lvlJc w:val="left"/>
      <w:pPr>
        <w:ind w:left="1152" w:hanging="480"/>
      </w:pPr>
      <w:rPr>
        <w:rFonts w:hint="eastAsia"/>
      </w:rPr>
    </w:lvl>
    <w:lvl w:ilvl="1" w:tplc="04090019" w:tentative="1">
      <w:start w:val="1"/>
      <w:numFmt w:val="ideographTraditional"/>
      <w:lvlText w:val="%2、"/>
      <w:lvlJc w:val="left"/>
      <w:pPr>
        <w:ind w:left="1632" w:hanging="480"/>
      </w:pPr>
    </w:lvl>
    <w:lvl w:ilvl="2" w:tplc="0409001B" w:tentative="1">
      <w:start w:val="1"/>
      <w:numFmt w:val="lowerRoman"/>
      <w:lvlText w:val="%3."/>
      <w:lvlJc w:val="right"/>
      <w:pPr>
        <w:ind w:left="2112" w:hanging="480"/>
      </w:pPr>
    </w:lvl>
    <w:lvl w:ilvl="3" w:tplc="0409000F" w:tentative="1">
      <w:start w:val="1"/>
      <w:numFmt w:val="decimal"/>
      <w:lvlText w:val="%4."/>
      <w:lvlJc w:val="left"/>
      <w:pPr>
        <w:ind w:left="2592" w:hanging="480"/>
      </w:pPr>
    </w:lvl>
    <w:lvl w:ilvl="4" w:tplc="04090019" w:tentative="1">
      <w:start w:val="1"/>
      <w:numFmt w:val="ideographTraditional"/>
      <w:lvlText w:val="%5、"/>
      <w:lvlJc w:val="left"/>
      <w:pPr>
        <w:ind w:left="3072" w:hanging="480"/>
      </w:pPr>
    </w:lvl>
    <w:lvl w:ilvl="5" w:tplc="0409001B" w:tentative="1">
      <w:start w:val="1"/>
      <w:numFmt w:val="lowerRoman"/>
      <w:lvlText w:val="%6."/>
      <w:lvlJc w:val="right"/>
      <w:pPr>
        <w:ind w:left="3552" w:hanging="480"/>
      </w:pPr>
    </w:lvl>
    <w:lvl w:ilvl="6" w:tplc="0409000F" w:tentative="1">
      <w:start w:val="1"/>
      <w:numFmt w:val="decimal"/>
      <w:lvlText w:val="%7."/>
      <w:lvlJc w:val="left"/>
      <w:pPr>
        <w:ind w:left="4032" w:hanging="480"/>
      </w:pPr>
    </w:lvl>
    <w:lvl w:ilvl="7" w:tplc="04090019" w:tentative="1">
      <w:start w:val="1"/>
      <w:numFmt w:val="ideographTraditional"/>
      <w:lvlText w:val="%8、"/>
      <w:lvlJc w:val="left"/>
      <w:pPr>
        <w:ind w:left="4512" w:hanging="480"/>
      </w:pPr>
    </w:lvl>
    <w:lvl w:ilvl="8" w:tplc="0409001B" w:tentative="1">
      <w:start w:val="1"/>
      <w:numFmt w:val="lowerRoman"/>
      <w:lvlText w:val="%9."/>
      <w:lvlJc w:val="right"/>
      <w:pPr>
        <w:ind w:left="4992" w:hanging="480"/>
      </w:pPr>
    </w:lvl>
  </w:abstractNum>
  <w:num w:numId="1">
    <w:abstractNumId w:val="3"/>
  </w:num>
  <w:num w:numId="2">
    <w:abstractNumId w:val="6"/>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120"/>
    <w:rsid w:val="00004485"/>
    <w:rsid w:val="000111F7"/>
    <w:rsid w:val="00037070"/>
    <w:rsid w:val="000410FD"/>
    <w:rsid w:val="00047A82"/>
    <w:rsid w:val="000D09DF"/>
    <w:rsid w:val="00122B68"/>
    <w:rsid w:val="00123C22"/>
    <w:rsid w:val="00135000"/>
    <w:rsid w:val="00137955"/>
    <w:rsid w:val="00191BE3"/>
    <w:rsid w:val="001E678D"/>
    <w:rsid w:val="0021256E"/>
    <w:rsid w:val="002165B3"/>
    <w:rsid w:val="002204FF"/>
    <w:rsid w:val="002536C8"/>
    <w:rsid w:val="0027288A"/>
    <w:rsid w:val="0027581C"/>
    <w:rsid w:val="0029622B"/>
    <w:rsid w:val="002B59FD"/>
    <w:rsid w:val="002C2B44"/>
    <w:rsid w:val="002D4662"/>
    <w:rsid w:val="0030437C"/>
    <w:rsid w:val="003242E9"/>
    <w:rsid w:val="003568FA"/>
    <w:rsid w:val="00362238"/>
    <w:rsid w:val="003937E2"/>
    <w:rsid w:val="003C57A4"/>
    <w:rsid w:val="003D5027"/>
    <w:rsid w:val="0041457C"/>
    <w:rsid w:val="004654F4"/>
    <w:rsid w:val="004B2327"/>
    <w:rsid w:val="004F3F6B"/>
    <w:rsid w:val="00510B5E"/>
    <w:rsid w:val="00517F0A"/>
    <w:rsid w:val="00536211"/>
    <w:rsid w:val="00561415"/>
    <w:rsid w:val="00582EBB"/>
    <w:rsid w:val="005A7093"/>
    <w:rsid w:val="005C5FD5"/>
    <w:rsid w:val="005E39A4"/>
    <w:rsid w:val="006229D8"/>
    <w:rsid w:val="00635427"/>
    <w:rsid w:val="006602BB"/>
    <w:rsid w:val="0066210B"/>
    <w:rsid w:val="00664425"/>
    <w:rsid w:val="006869DE"/>
    <w:rsid w:val="00695D3C"/>
    <w:rsid w:val="006A07AA"/>
    <w:rsid w:val="006A1089"/>
    <w:rsid w:val="006B54CD"/>
    <w:rsid w:val="006D7120"/>
    <w:rsid w:val="006D7F14"/>
    <w:rsid w:val="00736CBA"/>
    <w:rsid w:val="00741604"/>
    <w:rsid w:val="00760B75"/>
    <w:rsid w:val="007723DB"/>
    <w:rsid w:val="00777664"/>
    <w:rsid w:val="00793109"/>
    <w:rsid w:val="007B26A5"/>
    <w:rsid w:val="007F6C7A"/>
    <w:rsid w:val="00810892"/>
    <w:rsid w:val="00812B29"/>
    <w:rsid w:val="00812D6E"/>
    <w:rsid w:val="00815B51"/>
    <w:rsid w:val="00823331"/>
    <w:rsid w:val="00834911"/>
    <w:rsid w:val="00856549"/>
    <w:rsid w:val="008A1EE1"/>
    <w:rsid w:val="0092021E"/>
    <w:rsid w:val="00991EA2"/>
    <w:rsid w:val="009B72A4"/>
    <w:rsid w:val="00A10582"/>
    <w:rsid w:val="00A1336E"/>
    <w:rsid w:val="00A30E1E"/>
    <w:rsid w:val="00A3215C"/>
    <w:rsid w:val="00A33D8A"/>
    <w:rsid w:val="00A83926"/>
    <w:rsid w:val="00A8604D"/>
    <w:rsid w:val="00A97950"/>
    <w:rsid w:val="00AB2D5D"/>
    <w:rsid w:val="00AB6929"/>
    <w:rsid w:val="00AD33C5"/>
    <w:rsid w:val="00B36EA4"/>
    <w:rsid w:val="00B778A9"/>
    <w:rsid w:val="00BA0B04"/>
    <w:rsid w:val="00BB351F"/>
    <w:rsid w:val="00BB43B2"/>
    <w:rsid w:val="00BC1D81"/>
    <w:rsid w:val="00BC3AB4"/>
    <w:rsid w:val="00BD2BCE"/>
    <w:rsid w:val="00BD7A80"/>
    <w:rsid w:val="00C44AB0"/>
    <w:rsid w:val="00CD7E6E"/>
    <w:rsid w:val="00CE0DEC"/>
    <w:rsid w:val="00D12E25"/>
    <w:rsid w:val="00D13E4B"/>
    <w:rsid w:val="00D7050C"/>
    <w:rsid w:val="00DB1DD9"/>
    <w:rsid w:val="00E16302"/>
    <w:rsid w:val="00E33FAC"/>
    <w:rsid w:val="00E56106"/>
    <w:rsid w:val="00E67F52"/>
    <w:rsid w:val="00EB731E"/>
    <w:rsid w:val="00ED7E32"/>
    <w:rsid w:val="00F13ECE"/>
    <w:rsid w:val="00F205F5"/>
    <w:rsid w:val="00F254AD"/>
    <w:rsid w:val="00F36758"/>
    <w:rsid w:val="00FE0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04D6E7-7C89-45A0-A194-2174BA02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120"/>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4485"/>
    <w:pPr>
      <w:tabs>
        <w:tab w:val="center" w:pos="4153"/>
        <w:tab w:val="right" w:pos="8306"/>
      </w:tabs>
      <w:snapToGrid w:val="0"/>
    </w:pPr>
    <w:rPr>
      <w:sz w:val="20"/>
      <w:szCs w:val="20"/>
    </w:rPr>
  </w:style>
  <w:style w:type="character" w:customStyle="1" w:styleId="a5">
    <w:name w:val="頁首 字元"/>
    <w:basedOn w:val="a0"/>
    <w:link w:val="a4"/>
    <w:uiPriority w:val="99"/>
    <w:rsid w:val="00004485"/>
    <w:rPr>
      <w:rFonts w:ascii="Calibri" w:eastAsia="新細明體" w:hAnsi="Calibri" w:cs="Times New Roman"/>
      <w:sz w:val="20"/>
      <w:szCs w:val="20"/>
    </w:rPr>
  </w:style>
  <w:style w:type="paragraph" w:styleId="a6">
    <w:name w:val="footer"/>
    <w:basedOn w:val="a"/>
    <w:link w:val="a7"/>
    <w:uiPriority w:val="99"/>
    <w:unhideWhenUsed/>
    <w:rsid w:val="00004485"/>
    <w:pPr>
      <w:tabs>
        <w:tab w:val="center" w:pos="4153"/>
        <w:tab w:val="right" w:pos="8306"/>
      </w:tabs>
      <w:snapToGrid w:val="0"/>
    </w:pPr>
    <w:rPr>
      <w:sz w:val="20"/>
      <w:szCs w:val="20"/>
    </w:rPr>
  </w:style>
  <w:style w:type="character" w:customStyle="1" w:styleId="a7">
    <w:name w:val="頁尾 字元"/>
    <w:basedOn w:val="a0"/>
    <w:link w:val="a6"/>
    <w:uiPriority w:val="99"/>
    <w:rsid w:val="00004485"/>
    <w:rPr>
      <w:rFonts w:ascii="Calibri" w:eastAsia="新細明體" w:hAnsi="Calibri" w:cs="Times New Roman"/>
      <w:sz w:val="20"/>
      <w:szCs w:val="20"/>
    </w:rPr>
  </w:style>
  <w:style w:type="paragraph" w:styleId="a8">
    <w:name w:val="Balloon Text"/>
    <w:basedOn w:val="a"/>
    <w:link w:val="a9"/>
    <w:uiPriority w:val="99"/>
    <w:semiHidden/>
    <w:unhideWhenUsed/>
    <w:rsid w:val="002B59F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B59FD"/>
    <w:rPr>
      <w:rFonts w:asciiTheme="majorHAnsi" w:eastAsiaTheme="majorEastAsia" w:hAnsiTheme="majorHAnsi" w:cstheme="majorBidi"/>
      <w:sz w:val="18"/>
      <w:szCs w:val="18"/>
    </w:rPr>
  </w:style>
  <w:style w:type="paragraph" w:styleId="aa">
    <w:name w:val="List Paragraph"/>
    <w:basedOn w:val="a"/>
    <w:uiPriority w:val="34"/>
    <w:qFormat/>
    <w:rsid w:val="00736CB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6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BE9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11B4-396A-4C61-B92C-18E660A1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LingHui</dc:creator>
  <cp:keywords/>
  <dc:description/>
  <cp:lastModifiedBy>徐佩鈺</cp:lastModifiedBy>
  <cp:revision>2</cp:revision>
  <cp:lastPrinted>2019-08-22T02:54:00Z</cp:lastPrinted>
  <dcterms:created xsi:type="dcterms:W3CDTF">2019-09-17T06:14:00Z</dcterms:created>
  <dcterms:modified xsi:type="dcterms:W3CDTF">2019-09-17T06:14:00Z</dcterms:modified>
</cp:coreProperties>
</file>