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761" w:rsidRPr="00A64542" w:rsidRDefault="00853761" w:rsidP="00853761">
      <w:pPr>
        <w:jc w:val="center"/>
        <w:rPr>
          <w:rFonts w:ascii="標楷體" w:eastAsia="標楷體" w:hAnsi="標楷體"/>
          <w:b/>
          <w:sz w:val="28"/>
          <w:szCs w:val="28"/>
        </w:rPr>
      </w:pPr>
      <w:r w:rsidRPr="00A64542">
        <w:rPr>
          <w:rFonts w:ascii="標楷體" w:eastAsia="標楷體" w:hAnsi="標楷體" w:hint="eastAsia"/>
          <w:b/>
          <w:sz w:val="28"/>
          <w:szCs w:val="28"/>
        </w:rPr>
        <w:t>財團法人中華民國證券櫃檯買賣中心</w:t>
      </w:r>
    </w:p>
    <w:p w:rsidR="00853761" w:rsidRPr="00A64542" w:rsidRDefault="00853761" w:rsidP="00853761">
      <w:pPr>
        <w:jc w:val="center"/>
        <w:rPr>
          <w:rFonts w:ascii="標楷體" w:eastAsia="標楷體" w:hAnsi="標楷體"/>
          <w:b/>
          <w:sz w:val="28"/>
          <w:szCs w:val="28"/>
        </w:rPr>
      </w:pPr>
      <w:r w:rsidRPr="00A64542">
        <w:rPr>
          <w:rFonts w:ascii="標楷體" w:eastAsia="標楷體" w:hAnsi="標楷體" w:hint="eastAsia"/>
          <w:b/>
          <w:sz w:val="28"/>
          <w:szCs w:val="28"/>
        </w:rPr>
        <w:t>「上櫃公司編製與申報企業社會責任報告書作業辦法」</w:t>
      </w:r>
    </w:p>
    <w:p w:rsidR="00853761" w:rsidRPr="00A64542" w:rsidRDefault="007A7DB0" w:rsidP="00853761">
      <w:pPr>
        <w:jc w:val="center"/>
        <w:rPr>
          <w:rFonts w:ascii="標楷體" w:eastAsia="標楷體" w:hAnsi="標楷體"/>
          <w:b/>
          <w:sz w:val="28"/>
          <w:szCs w:val="28"/>
        </w:rPr>
      </w:pPr>
      <w:r w:rsidRPr="00240E22">
        <w:rPr>
          <w:rFonts w:ascii="標楷體" w:eastAsia="標楷體" w:hAnsi="標楷體" w:hint="eastAsia"/>
          <w:b/>
          <w:sz w:val="28"/>
          <w:szCs w:val="24"/>
        </w:rPr>
        <w:t>部分</w:t>
      </w:r>
      <w:r w:rsidR="00853761" w:rsidRPr="00240E22">
        <w:rPr>
          <w:rFonts w:ascii="標楷體" w:eastAsia="標楷體" w:hAnsi="標楷體" w:hint="eastAsia"/>
          <w:b/>
          <w:sz w:val="28"/>
          <w:szCs w:val="24"/>
        </w:rPr>
        <w:t>條</w:t>
      </w:r>
      <w:r w:rsidRPr="00240E22">
        <w:rPr>
          <w:rFonts w:ascii="標楷體" w:eastAsia="標楷體" w:hAnsi="標楷體" w:hint="eastAsia"/>
          <w:b/>
          <w:sz w:val="28"/>
          <w:szCs w:val="24"/>
        </w:rPr>
        <w:t>文</w:t>
      </w:r>
      <w:r w:rsidR="00853761" w:rsidRPr="00A64542">
        <w:rPr>
          <w:rFonts w:ascii="標楷體" w:eastAsia="標楷體" w:hAnsi="標楷體" w:hint="eastAsia"/>
          <w:b/>
          <w:sz w:val="28"/>
          <w:szCs w:val="28"/>
        </w:rPr>
        <w:t>修正總說明</w:t>
      </w:r>
    </w:p>
    <w:p w:rsidR="0057369F" w:rsidRDefault="00853761" w:rsidP="00853761">
      <w:pPr>
        <w:ind w:firstLineChars="202" w:firstLine="566"/>
        <w:rPr>
          <w:rFonts w:ascii="標楷體" w:eastAsia="標楷體" w:hAnsi="標楷體"/>
          <w:color w:val="FF0000"/>
          <w:sz w:val="28"/>
          <w:szCs w:val="24"/>
          <w:u w:val="single"/>
        </w:rPr>
      </w:pPr>
      <w:r>
        <w:rPr>
          <w:rFonts w:ascii="標楷體" w:eastAsia="標楷體" w:hAnsi="標楷體" w:hint="eastAsia"/>
          <w:kern w:val="0"/>
          <w:sz w:val="28"/>
          <w:szCs w:val="24"/>
        </w:rPr>
        <w:t>上櫃</w:t>
      </w:r>
      <w:r w:rsidRPr="00400859">
        <w:rPr>
          <w:rFonts w:ascii="標楷體" w:eastAsia="標楷體" w:hAnsi="標楷體" w:hint="eastAsia"/>
          <w:sz w:val="28"/>
          <w:szCs w:val="24"/>
        </w:rPr>
        <w:t>公司編製與申報企業社會責任報告書作業辦法自103年12月4日公告施行以來，其間經</w:t>
      </w:r>
      <w:r>
        <w:rPr>
          <w:rFonts w:ascii="標楷體" w:eastAsia="標楷體" w:hAnsi="標楷體" w:hint="eastAsia"/>
          <w:sz w:val="28"/>
          <w:szCs w:val="24"/>
        </w:rPr>
        <w:t>3</w:t>
      </w:r>
      <w:r w:rsidRPr="00400859">
        <w:rPr>
          <w:rFonts w:ascii="標楷體" w:eastAsia="標楷體" w:hAnsi="標楷體" w:hint="eastAsia"/>
          <w:sz w:val="28"/>
          <w:szCs w:val="24"/>
        </w:rPr>
        <w:t>次修正。本次修正係</w:t>
      </w:r>
      <w:r>
        <w:rPr>
          <w:rFonts w:ascii="標楷體" w:eastAsia="標楷體" w:hAnsi="標楷體" w:hint="eastAsia"/>
          <w:sz w:val="28"/>
          <w:szCs w:val="24"/>
        </w:rPr>
        <w:t>參考</w:t>
      </w:r>
      <w:r w:rsidR="00510C5C" w:rsidRPr="00240E22">
        <w:rPr>
          <w:rFonts w:ascii="標楷體" w:eastAsia="標楷體" w:hAnsi="標楷體" w:hint="eastAsia"/>
          <w:sz w:val="28"/>
          <w:szCs w:val="24"/>
        </w:rPr>
        <w:t>國際非財務資訊揭露趨勢，並強化風險評估與氣候變遷之相關揭露</w:t>
      </w:r>
      <w:r w:rsidRPr="00240E22">
        <w:rPr>
          <w:rFonts w:ascii="標楷體" w:eastAsia="標楷體" w:hAnsi="標楷體" w:hint="eastAsia"/>
          <w:sz w:val="28"/>
          <w:szCs w:val="24"/>
        </w:rPr>
        <w:t>內容，</w:t>
      </w:r>
      <w:r w:rsidR="00510C5C" w:rsidRPr="00240E22">
        <w:rPr>
          <w:rFonts w:ascii="標楷體" w:eastAsia="標楷體" w:hAnsi="標楷體" w:hint="eastAsia"/>
          <w:sz w:val="28"/>
          <w:szCs w:val="24"/>
        </w:rPr>
        <w:t>以提升</w:t>
      </w:r>
      <w:r w:rsidRPr="00240E22">
        <w:rPr>
          <w:rFonts w:ascii="標楷體" w:eastAsia="標楷體" w:hAnsi="標楷體" w:hint="eastAsia"/>
          <w:sz w:val="28"/>
          <w:szCs w:val="24"/>
        </w:rPr>
        <w:t>我國</w:t>
      </w:r>
      <w:r w:rsidR="0057369F" w:rsidRPr="00240E22">
        <w:rPr>
          <w:rFonts w:ascii="標楷體" w:eastAsia="標楷體" w:hAnsi="標楷體" w:hint="eastAsia"/>
          <w:sz w:val="28"/>
          <w:szCs w:val="24"/>
        </w:rPr>
        <w:t>非財務資訊品質與落實永續發展。</w:t>
      </w:r>
    </w:p>
    <w:p w:rsidR="00510C5C" w:rsidRPr="00240E22" w:rsidRDefault="00510C5C" w:rsidP="00853761">
      <w:pPr>
        <w:ind w:firstLineChars="202" w:firstLine="566"/>
        <w:rPr>
          <w:rFonts w:ascii="標楷體" w:eastAsia="標楷體" w:hAnsi="標楷體"/>
          <w:sz w:val="28"/>
          <w:szCs w:val="24"/>
        </w:rPr>
      </w:pPr>
      <w:r w:rsidRPr="00240E22">
        <w:rPr>
          <w:rFonts w:ascii="標楷體" w:eastAsia="標楷體" w:hAnsi="標楷體" w:hint="eastAsia"/>
          <w:sz w:val="28"/>
          <w:szCs w:val="24"/>
        </w:rPr>
        <w:t>茲將修正重點擇要分述如下：</w:t>
      </w:r>
    </w:p>
    <w:p w:rsidR="00853761" w:rsidRPr="00240E22" w:rsidRDefault="004313F8" w:rsidP="004313F8">
      <w:pPr>
        <w:ind w:leftChars="236" w:left="1132" w:hangingChars="202" w:hanging="566"/>
        <w:rPr>
          <w:rFonts w:ascii="標楷體" w:eastAsia="標楷體" w:hAnsi="標楷體"/>
          <w:sz w:val="28"/>
          <w:szCs w:val="24"/>
        </w:rPr>
      </w:pPr>
      <w:r w:rsidRPr="00240E22">
        <w:rPr>
          <w:rFonts w:ascii="標楷體" w:eastAsia="標楷體" w:hAnsi="標楷體" w:hint="eastAsia"/>
          <w:sz w:val="28"/>
          <w:szCs w:val="24"/>
        </w:rPr>
        <w:t>一、</w:t>
      </w:r>
      <w:r w:rsidR="00510C5C" w:rsidRPr="00240E22">
        <w:rPr>
          <w:rFonts w:ascii="標楷體" w:eastAsia="標楷體" w:hAnsi="標楷體" w:hint="eastAsia"/>
          <w:sz w:val="28"/>
          <w:szCs w:val="24"/>
        </w:rPr>
        <w:t>參考亞洲各國之非財務資訊揭露內容，將環境、社會及公司治理風險評估納入現行揭露規範中，並強化我國非財務資訊關鍵績效指標與管理之連結，</w:t>
      </w:r>
      <w:proofErr w:type="gramStart"/>
      <w:r w:rsidR="00510C5C" w:rsidRPr="00240E22">
        <w:rPr>
          <w:rFonts w:ascii="標楷體" w:eastAsia="標楷體" w:hAnsi="標楷體" w:hint="eastAsia"/>
          <w:sz w:val="28"/>
          <w:szCs w:val="24"/>
        </w:rPr>
        <w:t>爰</w:t>
      </w:r>
      <w:proofErr w:type="gramEnd"/>
      <w:r w:rsidR="00853761" w:rsidRPr="00240E22">
        <w:rPr>
          <w:rFonts w:ascii="標楷體" w:eastAsia="標楷體" w:hAnsi="標楷體" w:hint="eastAsia"/>
          <w:sz w:val="28"/>
          <w:szCs w:val="24"/>
        </w:rPr>
        <w:t>增訂第3條第2項之規定。</w:t>
      </w:r>
    </w:p>
    <w:p w:rsidR="004313F8" w:rsidRPr="00240E22" w:rsidRDefault="004313F8" w:rsidP="004313F8">
      <w:pPr>
        <w:ind w:leftChars="236" w:left="1132" w:hangingChars="202" w:hanging="566"/>
        <w:rPr>
          <w:rFonts w:ascii="標楷體" w:eastAsia="標楷體" w:hAnsi="標楷體"/>
          <w:sz w:val="28"/>
          <w:szCs w:val="28"/>
        </w:rPr>
      </w:pPr>
      <w:r w:rsidRPr="00240E22">
        <w:rPr>
          <w:rFonts w:ascii="標楷體" w:eastAsia="標楷體" w:hAnsi="標楷體" w:hint="eastAsia"/>
          <w:sz w:val="28"/>
          <w:szCs w:val="28"/>
        </w:rPr>
        <w:t>二、</w:t>
      </w:r>
      <w:r w:rsidRPr="00240E22">
        <w:rPr>
          <w:rFonts w:ascii="標楷體" w:eastAsia="標楷體" w:hAnsi="標楷體" w:hint="eastAsia"/>
          <w:sz w:val="28"/>
          <w:szCs w:val="28"/>
        </w:rPr>
        <w:tab/>
        <w:t>為引導上櫃公司重視氣候變遷議題，並增進企業因應氣候風險之能力，</w:t>
      </w:r>
      <w:proofErr w:type="gramStart"/>
      <w:r w:rsidR="000B1085" w:rsidRPr="00240E22">
        <w:rPr>
          <w:rFonts w:ascii="標楷體" w:eastAsia="標楷體" w:hAnsi="標楷體" w:hint="eastAsia"/>
          <w:sz w:val="28"/>
          <w:szCs w:val="28"/>
        </w:rPr>
        <w:t>爰</w:t>
      </w:r>
      <w:proofErr w:type="gramEnd"/>
      <w:r w:rsidRPr="00240E22">
        <w:rPr>
          <w:rFonts w:ascii="標楷體" w:eastAsia="標楷體" w:hAnsi="標楷體" w:hint="eastAsia"/>
          <w:sz w:val="28"/>
          <w:szCs w:val="28"/>
        </w:rPr>
        <w:t>增訂第4條第1項第4款第2目之規定。</w:t>
      </w:r>
    </w:p>
    <w:p w:rsidR="007042CF" w:rsidRDefault="007042CF" w:rsidP="00BE72CD">
      <w:pPr>
        <w:jc w:val="center"/>
        <w:rPr>
          <w:rFonts w:ascii="標楷體" w:eastAsia="標楷體" w:hAnsi="標楷體"/>
          <w:b/>
          <w:sz w:val="28"/>
          <w:szCs w:val="24"/>
        </w:rPr>
        <w:sectPr w:rsidR="007042CF" w:rsidSect="007042CF">
          <w:footerReference w:type="default" r:id="rId8"/>
          <w:pgSz w:w="11906" w:h="16838" w:code="9"/>
          <w:pgMar w:top="720" w:right="1418" w:bottom="720" w:left="1418" w:header="567" w:footer="567" w:gutter="0"/>
          <w:cols w:space="425"/>
          <w:docGrid w:type="lines" w:linePitch="360"/>
        </w:sectPr>
      </w:pPr>
    </w:p>
    <w:p w:rsidR="00BE72CD" w:rsidRPr="00BE72CD" w:rsidRDefault="00BE72CD" w:rsidP="00BE72CD">
      <w:pPr>
        <w:jc w:val="center"/>
        <w:rPr>
          <w:rFonts w:ascii="標楷體" w:eastAsia="標楷體" w:hAnsi="標楷體"/>
          <w:b/>
          <w:sz w:val="28"/>
          <w:szCs w:val="24"/>
        </w:rPr>
      </w:pPr>
      <w:r w:rsidRPr="00BE72CD">
        <w:rPr>
          <w:rFonts w:ascii="標楷體" w:eastAsia="標楷體" w:hAnsi="標楷體" w:hint="eastAsia"/>
          <w:b/>
          <w:sz w:val="28"/>
          <w:szCs w:val="24"/>
        </w:rPr>
        <w:lastRenderedPageBreak/>
        <w:t>財團法人中華民國證券櫃檯買賣中心</w:t>
      </w:r>
    </w:p>
    <w:p w:rsidR="00510C5C" w:rsidRDefault="00BE72CD" w:rsidP="00BE72CD">
      <w:pPr>
        <w:jc w:val="center"/>
        <w:rPr>
          <w:rFonts w:ascii="標楷體" w:eastAsia="標楷體" w:hAnsi="標楷體"/>
          <w:b/>
          <w:sz w:val="28"/>
          <w:szCs w:val="24"/>
        </w:rPr>
      </w:pPr>
      <w:r w:rsidRPr="00BE72CD">
        <w:rPr>
          <w:rFonts w:ascii="標楷體" w:eastAsia="標楷體" w:hAnsi="標楷體" w:hint="eastAsia"/>
          <w:b/>
          <w:sz w:val="28"/>
          <w:szCs w:val="24"/>
        </w:rPr>
        <w:t>「上櫃公司編製</w:t>
      </w:r>
      <w:r w:rsidR="0012525B" w:rsidRPr="0012525B">
        <w:rPr>
          <w:rFonts w:ascii="標楷體" w:eastAsia="標楷體" w:hAnsi="標楷體" w:hint="eastAsia"/>
          <w:b/>
          <w:sz w:val="28"/>
          <w:szCs w:val="24"/>
        </w:rPr>
        <w:t>與</w:t>
      </w:r>
      <w:r w:rsidRPr="00BE72CD">
        <w:rPr>
          <w:rFonts w:ascii="標楷體" w:eastAsia="標楷體" w:hAnsi="標楷體" w:hint="eastAsia"/>
          <w:b/>
          <w:sz w:val="28"/>
          <w:szCs w:val="24"/>
        </w:rPr>
        <w:t>申報企業社會責任報告書作業辦法」</w:t>
      </w:r>
    </w:p>
    <w:p w:rsidR="00E870A9" w:rsidRDefault="00510C5C" w:rsidP="00BE72CD">
      <w:pPr>
        <w:jc w:val="center"/>
        <w:rPr>
          <w:rFonts w:ascii="標楷體" w:eastAsia="標楷體" w:hAnsi="標楷體"/>
          <w:b/>
          <w:sz w:val="28"/>
          <w:szCs w:val="24"/>
        </w:rPr>
      </w:pPr>
      <w:r>
        <w:rPr>
          <w:rFonts w:ascii="標楷體" w:eastAsia="標楷體" w:hAnsi="標楷體" w:hint="eastAsia"/>
          <w:b/>
          <w:sz w:val="28"/>
          <w:szCs w:val="24"/>
        </w:rPr>
        <w:t>部分</w:t>
      </w:r>
      <w:r w:rsidR="004628BD">
        <w:rPr>
          <w:rFonts w:ascii="標楷體" w:eastAsia="標楷體" w:hAnsi="標楷體" w:hint="eastAsia"/>
          <w:b/>
          <w:sz w:val="28"/>
          <w:szCs w:val="24"/>
        </w:rPr>
        <w:t>條</w:t>
      </w:r>
      <w:r>
        <w:rPr>
          <w:rFonts w:ascii="標楷體" w:eastAsia="標楷體" w:hAnsi="標楷體" w:hint="eastAsia"/>
          <w:b/>
          <w:sz w:val="28"/>
          <w:szCs w:val="24"/>
        </w:rPr>
        <w:t>文</w:t>
      </w:r>
      <w:r w:rsidR="00BE72CD" w:rsidRPr="00BE72CD">
        <w:rPr>
          <w:rFonts w:ascii="標楷體" w:eastAsia="標楷體" w:hAnsi="標楷體" w:hint="eastAsia"/>
          <w:b/>
          <w:sz w:val="28"/>
          <w:szCs w:val="24"/>
        </w:rPr>
        <w:t>修正</w:t>
      </w:r>
      <w:r w:rsidR="00A67BF5">
        <w:rPr>
          <w:rFonts w:ascii="標楷體" w:eastAsia="標楷體" w:hAnsi="標楷體" w:hint="eastAsia"/>
          <w:b/>
          <w:sz w:val="28"/>
          <w:szCs w:val="24"/>
        </w:rPr>
        <w:t>條文</w:t>
      </w:r>
      <w:r w:rsidR="00BE72CD" w:rsidRPr="00BE72CD">
        <w:rPr>
          <w:rFonts w:ascii="標楷體" w:eastAsia="標楷體" w:hAnsi="標楷體" w:hint="eastAsia"/>
          <w:b/>
          <w:sz w:val="28"/>
          <w:szCs w:val="24"/>
        </w:rPr>
        <w:t>對照表</w:t>
      </w:r>
    </w:p>
    <w:tbl>
      <w:tblPr>
        <w:tblW w:w="98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3709"/>
        <w:gridCol w:w="3709"/>
        <w:gridCol w:w="2400"/>
      </w:tblGrid>
      <w:tr w:rsidR="005E0354" w:rsidRPr="00D33E6B" w:rsidTr="007042CF">
        <w:trPr>
          <w:trHeight w:val="485"/>
          <w:tblHeader/>
        </w:trPr>
        <w:tc>
          <w:tcPr>
            <w:tcW w:w="3709" w:type="dxa"/>
            <w:shd w:val="clear" w:color="auto" w:fill="auto"/>
          </w:tcPr>
          <w:p w:rsidR="005E0354" w:rsidRPr="00696822" w:rsidRDefault="005E0354" w:rsidP="007F0C4B">
            <w:pPr>
              <w:widowControl/>
              <w:spacing w:line="480" w:lineRule="exact"/>
              <w:jc w:val="center"/>
              <w:rPr>
                <w:rFonts w:ascii="標楷體" w:eastAsia="標楷體" w:hAnsi="標楷體" w:cs="新細明體"/>
                <w:kern w:val="0"/>
                <w:szCs w:val="24"/>
              </w:rPr>
            </w:pPr>
            <w:r w:rsidRPr="00696822">
              <w:rPr>
                <w:rFonts w:ascii="標楷體" w:eastAsia="標楷體" w:hAnsi="標楷體" w:cs="新細明體" w:hint="eastAsia"/>
                <w:kern w:val="0"/>
                <w:szCs w:val="24"/>
              </w:rPr>
              <w:t>修正條文</w:t>
            </w:r>
          </w:p>
        </w:tc>
        <w:tc>
          <w:tcPr>
            <w:tcW w:w="3709" w:type="dxa"/>
            <w:shd w:val="clear" w:color="auto" w:fill="auto"/>
          </w:tcPr>
          <w:p w:rsidR="005E0354" w:rsidRPr="00696822" w:rsidRDefault="005E0354" w:rsidP="007F0C4B">
            <w:pPr>
              <w:widowControl/>
              <w:spacing w:line="480" w:lineRule="exact"/>
              <w:jc w:val="center"/>
              <w:rPr>
                <w:rFonts w:ascii="標楷體" w:eastAsia="標楷體" w:hAnsi="標楷體" w:cs="新細明體"/>
                <w:kern w:val="0"/>
                <w:szCs w:val="24"/>
              </w:rPr>
            </w:pPr>
            <w:r w:rsidRPr="00696822">
              <w:rPr>
                <w:rFonts w:ascii="標楷體" w:eastAsia="標楷體" w:hAnsi="標楷體" w:cs="新細明體" w:hint="eastAsia"/>
                <w:kern w:val="0"/>
                <w:szCs w:val="24"/>
              </w:rPr>
              <w:t>現行條文</w:t>
            </w:r>
          </w:p>
        </w:tc>
        <w:tc>
          <w:tcPr>
            <w:tcW w:w="2400" w:type="dxa"/>
            <w:shd w:val="clear" w:color="auto" w:fill="auto"/>
            <w:noWrap/>
          </w:tcPr>
          <w:p w:rsidR="005E0354" w:rsidRPr="00F9789A" w:rsidRDefault="005E0354" w:rsidP="007F0C4B">
            <w:pPr>
              <w:widowControl/>
              <w:spacing w:line="480" w:lineRule="exact"/>
              <w:jc w:val="center"/>
              <w:rPr>
                <w:rFonts w:ascii="標楷體" w:eastAsia="標楷體" w:hAnsi="標楷體" w:cs="新細明體"/>
                <w:kern w:val="0"/>
                <w:szCs w:val="24"/>
              </w:rPr>
            </w:pPr>
            <w:r w:rsidRPr="00F9789A">
              <w:rPr>
                <w:rFonts w:ascii="標楷體" w:eastAsia="標楷體" w:hAnsi="標楷體" w:hint="eastAsia"/>
                <w:bCs/>
                <w:szCs w:val="24"/>
              </w:rPr>
              <w:t>說        明</w:t>
            </w:r>
          </w:p>
        </w:tc>
      </w:tr>
      <w:tr w:rsidR="00FB65FD" w:rsidRPr="00D33E6B" w:rsidTr="007042CF">
        <w:trPr>
          <w:trHeight w:val="488"/>
        </w:trPr>
        <w:tc>
          <w:tcPr>
            <w:tcW w:w="3709" w:type="dxa"/>
            <w:shd w:val="clear" w:color="auto" w:fill="FFFFFF" w:themeFill="background1"/>
          </w:tcPr>
          <w:p w:rsidR="00FB65FD" w:rsidRPr="00696822" w:rsidRDefault="00FB65FD" w:rsidP="00FB65FD">
            <w:pPr>
              <w:widowControl/>
              <w:spacing w:line="480" w:lineRule="exact"/>
              <w:rPr>
                <w:rFonts w:ascii="標楷體" w:eastAsia="標楷體" w:hAnsi="標楷體" w:cs="新細明體"/>
                <w:kern w:val="0"/>
                <w:szCs w:val="24"/>
              </w:rPr>
            </w:pPr>
            <w:r w:rsidRPr="00696822">
              <w:rPr>
                <w:rFonts w:ascii="標楷體" w:eastAsia="標楷體" w:hAnsi="標楷體" w:cs="新細明體" w:hint="eastAsia"/>
                <w:kern w:val="0"/>
                <w:szCs w:val="24"/>
              </w:rPr>
              <w:t>第三條</w:t>
            </w:r>
            <w:r w:rsidRPr="00696822">
              <w:rPr>
                <w:rFonts w:ascii="標楷體" w:eastAsia="標楷體" w:hAnsi="標楷體" w:cs="新細明體" w:hint="eastAsia"/>
                <w:kern w:val="0"/>
                <w:szCs w:val="24"/>
              </w:rPr>
              <w:tab/>
              <w:t xml:space="preserve">  </w:t>
            </w:r>
          </w:p>
          <w:p w:rsidR="00490877" w:rsidRDefault="00490877" w:rsidP="00490877">
            <w:pPr>
              <w:spacing w:line="480" w:lineRule="exact"/>
              <w:rPr>
                <w:rFonts w:ascii="標楷體" w:eastAsia="標楷體" w:hAnsi="標楷體"/>
                <w:szCs w:val="24"/>
              </w:rPr>
            </w:pPr>
            <w:r w:rsidRPr="00FB65FD">
              <w:rPr>
                <w:rFonts w:ascii="標楷體" w:eastAsia="標楷體" w:hAnsi="標楷體" w:hint="eastAsia"/>
                <w:szCs w:val="24"/>
              </w:rPr>
              <w:t>符合第二條規定之上櫃公司應每年參考全球永續性報告協會（Global Reporting Initiatives， GRI）發布之</w:t>
            </w:r>
            <w:r w:rsidRPr="00FB65FD">
              <w:rPr>
                <w:rFonts w:ascii="標楷體" w:eastAsia="標楷體" w:hAnsi="標楷體" w:hint="eastAsia"/>
                <w:bCs/>
                <w:szCs w:val="24"/>
              </w:rPr>
              <w:t>GRI準則</w:t>
            </w:r>
            <w:r w:rsidRPr="00FB65FD">
              <w:rPr>
                <w:rFonts w:ascii="標楷體" w:eastAsia="標楷體" w:hAnsi="標楷體" w:hint="eastAsia"/>
                <w:szCs w:val="24"/>
              </w:rPr>
              <w:t>、行業</w:t>
            </w:r>
            <w:r w:rsidRPr="00FB65FD">
              <w:rPr>
                <w:rFonts w:ascii="標楷體" w:eastAsia="標楷體" w:hAnsi="標楷體" w:hint="eastAsia"/>
                <w:bCs/>
                <w:szCs w:val="24"/>
              </w:rPr>
              <w:t>揭露</w:t>
            </w:r>
            <w:r w:rsidRPr="00FB65FD">
              <w:rPr>
                <w:rFonts w:ascii="標楷體" w:eastAsia="標楷體" w:hAnsi="標楷體" w:hint="eastAsia"/>
                <w:szCs w:val="24"/>
              </w:rPr>
              <w:t>及依行業特性參</w:t>
            </w:r>
            <w:proofErr w:type="gramStart"/>
            <w:r w:rsidRPr="00FB65FD">
              <w:rPr>
                <w:rFonts w:ascii="標楷體" w:eastAsia="標楷體" w:hAnsi="標楷體" w:hint="eastAsia"/>
                <w:szCs w:val="24"/>
              </w:rPr>
              <w:t>採</w:t>
            </w:r>
            <w:proofErr w:type="gramEnd"/>
            <w:r w:rsidRPr="00FB65FD">
              <w:rPr>
                <w:rFonts w:ascii="標楷體" w:eastAsia="標楷體" w:hAnsi="標楷體" w:hint="eastAsia"/>
                <w:szCs w:val="24"/>
              </w:rPr>
              <w:t>其他適用之準則編製前一年度之企業社會責任報告書，揭露公司所</w:t>
            </w:r>
            <w:r w:rsidRPr="00FB65FD">
              <w:rPr>
                <w:rFonts w:ascii="標楷體" w:eastAsia="標楷體" w:hAnsi="標楷體" w:hint="eastAsia"/>
                <w:bCs/>
                <w:szCs w:val="24"/>
              </w:rPr>
              <w:t>鑑別</w:t>
            </w:r>
            <w:r w:rsidRPr="00FB65FD">
              <w:rPr>
                <w:rFonts w:ascii="標楷體" w:eastAsia="標楷體" w:hAnsi="標楷體" w:hint="eastAsia"/>
                <w:szCs w:val="24"/>
              </w:rPr>
              <w:t>之經濟、環境及社會</w:t>
            </w:r>
            <w:r w:rsidRPr="00FB65FD">
              <w:rPr>
                <w:rFonts w:ascii="標楷體" w:eastAsia="標楷體" w:hAnsi="標楷體" w:hint="eastAsia"/>
                <w:bCs/>
                <w:szCs w:val="24"/>
              </w:rPr>
              <w:t>重大主題</w:t>
            </w:r>
            <w:r w:rsidRPr="00FB65FD">
              <w:rPr>
                <w:rFonts w:ascii="標楷體" w:eastAsia="標楷體" w:hAnsi="標楷體" w:hint="eastAsia"/>
                <w:szCs w:val="24"/>
              </w:rPr>
              <w:t>、管理方針、</w:t>
            </w:r>
            <w:r w:rsidRPr="00FB65FD">
              <w:rPr>
                <w:rFonts w:ascii="標楷體" w:eastAsia="標楷體" w:hAnsi="標楷體" w:hint="eastAsia"/>
                <w:bCs/>
                <w:szCs w:val="24"/>
              </w:rPr>
              <w:t>揭露項目及其報導要求</w:t>
            </w:r>
            <w:r w:rsidRPr="00FB65FD">
              <w:rPr>
                <w:rFonts w:ascii="標楷體" w:eastAsia="標楷體" w:hAnsi="標楷體" w:hint="eastAsia"/>
                <w:szCs w:val="24"/>
              </w:rPr>
              <w:t>，且至少應符合</w:t>
            </w:r>
            <w:proofErr w:type="spellStart"/>
            <w:r w:rsidRPr="00FB65FD">
              <w:rPr>
                <w:rFonts w:ascii="標楷體" w:eastAsia="標楷體" w:hAnsi="標楷體" w:hint="eastAsia"/>
                <w:bCs/>
                <w:szCs w:val="24"/>
              </w:rPr>
              <w:t>GRI</w:t>
            </w:r>
            <w:proofErr w:type="spellEnd"/>
            <w:r w:rsidRPr="00FB65FD">
              <w:rPr>
                <w:rFonts w:ascii="標楷體" w:eastAsia="標楷體" w:hAnsi="標楷體" w:hint="eastAsia"/>
                <w:bCs/>
                <w:szCs w:val="24"/>
              </w:rPr>
              <w:t>準則</w:t>
            </w:r>
            <w:r w:rsidRPr="00FB65FD">
              <w:rPr>
                <w:rFonts w:ascii="標楷體" w:eastAsia="標楷體" w:hAnsi="標楷體" w:hint="eastAsia"/>
                <w:szCs w:val="24"/>
              </w:rPr>
              <w:t>之</w:t>
            </w:r>
            <w:r w:rsidRPr="00FB65FD">
              <w:rPr>
                <w:rFonts w:ascii="標楷體" w:eastAsia="標楷體" w:hAnsi="標楷體" w:hint="eastAsia"/>
                <w:bCs/>
                <w:szCs w:val="24"/>
              </w:rPr>
              <w:t>核心選項</w:t>
            </w:r>
            <w:r w:rsidRPr="00FB65FD">
              <w:rPr>
                <w:rFonts w:ascii="標楷體" w:eastAsia="標楷體" w:hAnsi="標楷體" w:hint="eastAsia"/>
                <w:szCs w:val="24"/>
              </w:rPr>
              <w:t>。</w:t>
            </w:r>
          </w:p>
          <w:p w:rsidR="009F73B8" w:rsidRPr="009F73B8" w:rsidRDefault="009F73B8" w:rsidP="00490877">
            <w:pPr>
              <w:spacing w:line="480" w:lineRule="exact"/>
              <w:rPr>
                <w:rFonts w:ascii="標楷體" w:eastAsia="標楷體" w:hAnsi="標楷體"/>
                <w:szCs w:val="24"/>
              </w:rPr>
            </w:pPr>
            <w:r>
              <w:rPr>
                <w:rFonts w:ascii="標楷體" w:eastAsia="標楷體" w:hAnsi="標楷體" w:hint="eastAsia"/>
                <w:szCs w:val="24"/>
                <w:u w:val="single"/>
              </w:rPr>
              <w:t>前項所述之企業社會責任報告書內容</w:t>
            </w:r>
            <w:r w:rsidRPr="00303713">
              <w:rPr>
                <w:rFonts w:ascii="標楷體" w:eastAsia="標楷體" w:hAnsi="標楷體" w:hint="eastAsia"/>
                <w:szCs w:val="24"/>
                <w:u w:val="single"/>
              </w:rPr>
              <w:t>應涵蓋相關環境、社會及公司治理</w:t>
            </w:r>
            <w:r>
              <w:rPr>
                <w:rFonts w:ascii="標楷體" w:eastAsia="標楷體" w:hAnsi="標楷體" w:hint="eastAsia"/>
                <w:szCs w:val="24"/>
                <w:u w:val="single"/>
              </w:rPr>
              <w:t>之</w:t>
            </w:r>
            <w:r w:rsidRPr="00303713">
              <w:rPr>
                <w:rFonts w:ascii="標楷體" w:eastAsia="標楷體" w:hAnsi="標楷體" w:hint="eastAsia"/>
                <w:szCs w:val="24"/>
                <w:u w:val="single"/>
              </w:rPr>
              <w:t>風險評估</w:t>
            </w:r>
            <w:r w:rsidRPr="005237F2">
              <w:rPr>
                <w:rFonts w:ascii="標楷體" w:eastAsia="標楷體" w:hAnsi="標楷體" w:hint="eastAsia"/>
                <w:szCs w:val="24"/>
                <w:u w:val="single"/>
              </w:rPr>
              <w:t>，並</w:t>
            </w:r>
            <w:r w:rsidRPr="00213BBC">
              <w:rPr>
                <w:rFonts w:ascii="標楷體" w:eastAsia="標楷體" w:hAnsi="標楷體" w:hint="eastAsia"/>
                <w:szCs w:val="24"/>
                <w:u w:val="single"/>
              </w:rPr>
              <w:t>訂定</w:t>
            </w:r>
            <w:r>
              <w:rPr>
                <w:rFonts w:ascii="標楷體" w:eastAsia="標楷體" w:hAnsi="標楷體" w:hint="eastAsia"/>
                <w:szCs w:val="24"/>
                <w:u w:val="single"/>
              </w:rPr>
              <w:t>相關</w:t>
            </w:r>
            <w:r w:rsidRPr="00213BBC">
              <w:rPr>
                <w:rFonts w:ascii="標楷體" w:eastAsia="標楷體" w:hAnsi="標楷體" w:hint="eastAsia"/>
                <w:szCs w:val="24"/>
                <w:u w:val="single"/>
              </w:rPr>
              <w:t>績效指標</w:t>
            </w:r>
            <w:r>
              <w:rPr>
                <w:rFonts w:ascii="標楷體" w:eastAsia="標楷體" w:hAnsi="標楷體" w:hint="eastAsia"/>
                <w:szCs w:val="24"/>
                <w:u w:val="single"/>
              </w:rPr>
              <w:t>以</w:t>
            </w:r>
            <w:r w:rsidRPr="00211E74">
              <w:rPr>
                <w:rFonts w:ascii="標楷體" w:eastAsia="標楷體" w:hAnsi="標楷體" w:hint="eastAsia"/>
                <w:szCs w:val="24"/>
                <w:u w:val="single"/>
              </w:rPr>
              <w:t>管理所鑑別之</w:t>
            </w:r>
            <w:r>
              <w:rPr>
                <w:rFonts w:ascii="標楷體" w:eastAsia="標楷體" w:hAnsi="標楷體" w:hint="eastAsia"/>
                <w:szCs w:val="24"/>
                <w:u w:val="single"/>
              </w:rPr>
              <w:t>重大主題。</w:t>
            </w:r>
          </w:p>
          <w:p w:rsidR="00FB65FD" w:rsidRPr="00FB65FD" w:rsidRDefault="00FB65FD" w:rsidP="00FB65FD">
            <w:pPr>
              <w:spacing w:line="480" w:lineRule="exact"/>
              <w:rPr>
                <w:rFonts w:ascii="標楷體" w:eastAsia="標楷體" w:hAnsi="標楷體"/>
                <w:szCs w:val="24"/>
              </w:rPr>
            </w:pPr>
            <w:r w:rsidRPr="00FB65FD">
              <w:rPr>
                <w:rFonts w:ascii="標楷體" w:eastAsia="標楷體" w:hAnsi="標楷體" w:hint="eastAsia"/>
                <w:szCs w:val="24"/>
              </w:rPr>
              <w:t>上櫃公司應於企業社會責任報告書內揭露報告書內容對應</w:t>
            </w:r>
            <w:r w:rsidRPr="00FB65FD">
              <w:rPr>
                <w:rFonts w:ascii="標楷體" w:eastAsia="標楷體" w:hAnsi="標楷體" w:hint="eastAsia"/>
                <w:bCs/>
                <w:szCs w:val="24"/>
              </w:rPr>
              <w:t>GRI準則</w:t>
            </w:r>
            <w:r w:rsidRPr="00FB65FD">
              <w:rPr>
                <w:rFonts w:ascii="標楷體" w:eastAsia="標楷體" w:hAnsi="標楷體" w:hint="eastAsia"/>
                <w:szCs w:val="24"/>
              </w:rPr>
              <w:t>之</w:t>
            </w:r>
            <w:r w:rsidRPr="00FB65FD">
              <w:rPr>
                <w:rFonts w:ascii="標楷體" w:eastAsia="標楷體" w:hAnsi="標楷體" w:hint="eastAsia"/>
                <w:bCs/>
                <w:szCs w:val="24"/>
              </w:rPr>
              <w:t>內容</w:t>
            </w:r>
            <w:r w:rsidRPr="00FB65FD">
              <w:rPr>
                <w:rFonts w:ascii="標楷體" w:eastAsia="標楷體" w:hAnsi="標楷體" w:hint="eastAsia"/>
                <w:szCs w:val="24"/>
              </w:rPr>
              <w:t>索引，並於</w:t>
            </w:r>
            <w:r w:rsidRPr="00FB65FD">
              <w:rPr>
                <w:rFonts w:ascii="標楷體" w:eastAsia="標楷體" w:hAnsi="標楷體" w:hint="eastAsia"/>
                <w:bCs/>
                <w:szCs w:val="24"/>
              </w:rPr>
              <w:t>報告書內</w:t>
            </w:r>
            <w:r w:rsidRPr="00FB65FD">
              <w:rPr>
                <w:rFonts w:ascii="標楷體" w:eastAsia="標楷體" w:hAnsi="標楷體" w:hint="eastAsia"/>
                <w:szCs w:val="24"/>
              </w:rPr>
              <w:t>註明各揭露項目是否取得第三方確信或保證。</w:t>
            </w:r>
          </w:p>
          <w:p w:rsidR="00FB65FD" w:rsidRPr="00696822" w:rsidRDefault="00FB65FD" w:rsidP="00FB65FD">
            <w:pPr>
              <w:spacing w:line="480" w:lineRule="exact"/>
              <w:jc w:val="both"/>
              <w:rPr>
                <w:rFonts w:ascii="標楷體" w:eastAsia="標楷體" w:hAnsi="標楷體"/>
                <w:szCs w:val="24"/>
              </w:rPr>
            </w:pPr>
            <w:r w:rsidRPr="00FB65FD">
              <w:rPr>
                <w:rFonts w:ascii="標楷體" w:eastAsia="標楷體" w:hAnsi="標楷體" w:hint="eastAsia"/>
                <w:szCs w:val="24"/>
              </w:rPr>
              <w:t>第一項所述之</w:t>
            </w:r>
            <w:r w:rsidRPr="00FB65FD">
              <w:rPr>
                <w:rFonts w:ascii="標楷體" w:eastAsia="標楷體" w:hAnsi="標楷體" w:hint="eastAsia"/>
                <w:bCs/>
                <w:szCs w:val="24"/>
              </w:rPr>
              <w:t>揭露項目</w:t>
            </w:r>
            <w:r w:rsidRPr="00FB65FD">
              <w:rPr>
                <w:rFonts w:ascii="標楷體" w:eastAsia="標楷體" w:hAnsi="標楷體" w:hint="eastAsia"/>
                <w:szCs w:val="24"/>
              </w:rPr>
              <w:t>，應採用符合目的事業主管機關規定之標準進行衡量與揭露，如目的事業主管機關未發布適用之標準，則應採用實務慣用之衡量方法。</w:t>
            </w:r>
          </w:p>
        </w:tc>
        <w:tc>
          <w:tcPr>
            <w:tcW w:w="3709" w:type="dxa"/>
            <w:shd w:val="clear" w:color="auto" w:fill="FFFFFF" w:themeFill="background1"/>
          </w:tcPr>
          <w:p w:rsidR="00FB65FD" w:rsidRPr="00FB65FD" w:rsidRDefault="00FB65FD" w:rsidP="00FB65FD">
            <w:pPr>
              <w:widowControl/>
              <w:spacing w:line="480" w:lineRule="exact"/>
              <w:rPr>
                <w:rFonts w:ascii="標楷體" w:eastAsia="標楷體" w:hAnsi="標楷體" w:cs="新細明體"/>
                <w:kern w:val="0"/>
                <w:szCs w:val="24"/>
              </w:rPr>
            </w:pPr>
            <w:r w:rsidRPr="00FB65FD">
              <w:rPr>
                <w:rFonts w:ascii="標楷體" w:eastAsia="標楷體" w:hAnsi="標楷體" w:cs="新細明體" w:hint="eastAsia"/>
                <w:kern w:val="0"/>
                <w:szCs w:val="24"/>
              </w:rPr>
              <w:t>第三條</w:t>
            </w:r>
            <w:r w:rsidRPr="00FB65FD">
              <w:rPr>
                <w:rFonts w:ascii="標楷體" w:eastAsia="標楷體" w:hAnsi="標楷體" w:cs="新細明體" w:hint="eastAsia"/>
                <w:kern w:val="0"/>
                <w:szCs w:val="24"/>
              </w:rPr>
              <w:tab/>
              <w:t xml:space="preserve">  </w:t>
            </w:r>
          </w:p>
          <w:p w:rsidR="00FB65FD" w:rsidRDefault="00FB65FD" w:rsidP="00FB65FD">
            <w:pPr>
              <w:spacing w:line="480" w:lineRule="exact"/>
              <w:rPr>
                <w:rFonts w:ascii="標楷體" w:eastAsia="標楷體" w:hAnsi="標楷體"/>
                <w:szCs w:val="24"/>
              </w:rPr>
            </w:pPr>
            <w:r w:rsidRPr="00FB65FD">
              <w:rPr>
                <w:rFonts w:ascii="標楷體" w:eastAsia="標楷體" w:hAnsi="標楷體" w:hint="eastAsia"/>
                <w:szCs w:val="24"/>
              </w:rPr>
              <w:t>符合第二條規定之上櫃公司應每年參考全球永續性報告協會（Global Reporting Initiatives， GRI）發布之</w:t>
            </w:r>
            <w:r w:rsidRPr="00FB65FD">
              <w:rPr>
                <w:rFonts w:ascii="標楷體" w:eastAsia="標楷體" w:hAnsi="標楷體" w:hint="eastAsia"/>
                <w:bCs/>
                <w:szCs w:val="24"/>
              </w:rPr>
              <w:t>GRI準則</w:t>
            </w:r>
            <w:r w:rsidRPr="00FB65FD">
              <w:rPr>
                <w:rFonts w:ascii="標楷體" w:eastAsia="標楷體" w:hAnsi="標楷體" w:hint="eastAsia"/>
                <w:szCs w:val="24"/>
              </w:rPr>
              <w:t>、行業</w:t>
            </w:r>
            <w:r w:rsidRPr="00FB65FD">
              <w:rPr>
                <w:rFonts w:ascii="標楷體" w:eastAsia="標楷體" w:hAnsi="標楷體" w:hint="eastAsia"/>
                <w:bCs/>
                <w:szCs w:val="24"/>
              </w:rPr>
              <w:t>揭露</w:t>
            </w:r>
            <w:r w:rsidRPr="00FB65FD">
              <w:rPr>
                <w:rFonts w:ascii="標楷體" w:eastAsia="標楷體" w:hAnsi="標楷體" w:hint="eastAsia"/>
                <w:szCs w:val="24"/>
              </w:rPr>
              <w:t>及依行業特性參</w:t>
            </w:r>
            <w:proofErr w:type="gramStart"/>
            <w:r w:rsidRPr="00FB65FD">
              <w:rPr>
                <w:rFonts w:ascii="標楷體" w:eastAsia="標楷體" w:hAnsi="標楷體" w:hint="eastAsia"/>
                <w:szCs w:val="24"/>
              </w:rPr>
              <w:t>採</w:t>
            </w:r>
            <w:proofErr w:type="gramEnd"/>
            <w:r w:rsidRPr="00FB65FD">
              <w:rPr>
                <w:rFonts w:ascii="標楷體" w:eastAsia="標楷體" w:hAnsi="標楷體" w:hint="eastAsia"/>
                <w:szCs w:val="24"/>
              </w:rPr>
              <w:t>其他適用之準則編製前一年度之企業社會責任報告書，揭露公司所</w:t>
            </w:r>
            <w:r w:rsidRPr="00FB65FD">
              <w:rPr>
                <w:rFonts w:ascii="標楷體" w:eastAsia="標楷體" w:hAnsi="標楷體" w:hint="eastAsia"/>
                <w:bCs/>
                <w:szCs w:val="24"/>
              </w:rPr>
              <w:t>鑑別</w:t>
            </w:r>
            <w:r w:rsidRPr="00FB65FD">
              <w:rPr>
                <w:rFonts w:ascii="標楷體" w:eastAsia="標楷體" w:hAnsi="標楷體" w:hint="eastAsia"/>
                <w:szCs w:val="24"/>
              </w:rPr>
              <w:t>之經濟、環境及社會</w:t>
            </w:r>
            <w:r w:rsidRPr="00FB65FD">
              <w:rPr>
                <w:rFonts w:ascii="標楷體" w:eastAsia="標楷體" w:hAnsi="標楷體" w:hint="eastAsia"/>
                <w:bCs/>
                <w:szCs w:val="24"/>
              </w:rPr>
              <w:t>重大主題</w:t>
            </w:r>
            <w:r w:rsidRPr="00FB65FD">
              <w:rPr>
                <w:rFonts w:ascii="標楷體" w:eastAsia="標楷體" w:hAnsi="標楷體" w:hint="eastAsia"/>
                <w:szCs w:val="24"/>
              </w:rPr>
              <w:t>、管理方針、</w:t>
            </w:r>
            <w:r w:rsidRPr="00FB65FD">
              <w:rPr>
                <w:rFonts w:ascii="標楷體" w:eastAsia="標楷體" w:hAnsi="標楷體" w:hint="eastAsia"/>
                <w:bCs/>
                <w:szCs w:val="24"/>
              </w:rPr>
              <w:t>揭露項目及其報導要求</w:t>
            </w:r>
            <w:r w:rsidRPr="00FB65FD">
              <w:rPr>
                <w:rFonts w:ascii="標楷體" w:eastAsia="標楷體" w:hAnsi="標楷體" w:hint="eastAsia"/>
                <w:szCs w:val="24"/>
              </w:rPr>
              <w:t>，且至少應符合</w:t>
            </w:r>
            <w:proofErr w:type="spellStart"/>
            <w:r w:rsidRPr="00FB65FD">
              <w:rPr>
                <w:rFonts w:ascii="標楷體" w:eastAsia="標楷體" w:hAnsi="標楷體" w:hint="eastAsia"/>
                <w:bCs/>
                <w:szCs w:val="24"/>
              </w:rPr>
              <w:t>GRI</w:t>
            </w:r>
            <w:proofErr w:type="spellEnd"/>
            <w:r w:rsidRPr="00FB65FD">
              <w:rPr>
                <w:rFonts w:ascii="標楷體" w:eastAsia="標楷體" w:hAnsi="標楷體" w:hint="eastAsia"/>
                <w:bCs/>
                <w:szCs w:val="24"/>
              </w:rPr>
              <w:t>準則</w:t>
            </w:r>
            <w:r w:rsidRPr="00FB65FD">
              <w:rPr>
                <w:rFonts w:ascii="標楷體" w:eastAsia="標楷體" w:hAnsi="標楷體" w:hint="eastAsia"/>
                <w:szCs w:val="24"/>
              </w:rPr>
              <w:t>之</w:t>
            </w:r>
            <w:r w:rsidRPr="00FB65FD">
              <w:rPr>
                <w:rFonts w:ascii="標楷體" w:eastAsia="標楷體" w:hAnsi="標楷體" w:hint="eastAsia"/>
                <w:bCs/>
                <w:szCs w:val="24"/>
              </w:rPr>
              <w:t>核心選項</w:t>
            </w:r>
            <w:r w:rsidRPr="00FB65FD">
              <w:rPr>
                <w:rFonts w:ascii="標楷體" w:eastAsia="標楷體" w:hAnsi="標楷體" w:hint="eastAsia"/>
                <w:szCs w:val="24"/>
              </w:rPr>
              <w:t>。</w:t>
            </w:r>
          </w:p>
          <w:p w:rsidR="00FB65FD" w:rsidRDefault="00FB65FD" w:rsidP="00FB65FD">
            <w:pPr>
              <w:spacing w:line="480" w:lineRule="exact"/>
              <w:rPr>
                <w:rFonts w:ascii="標楷體" w:eastAsia="標楷體" w:hAnsi="標楷體"/>
                <w:szCs w:val="24"/>
              </w:rPr>
            </w:pPr>
          </w:p>
          <w:p w:rsidR="00FB65FD" w:rsidRDefault="00FB65FD" w:rsidP="00FB65FD">
            <w:pPr>
              <w:spacing w:line="480" w:lineRule="exact"/>
              <w:rPr>
                <w:rFonts w:ascii="標楷體" w:eastAsia="標楷體" w:hAnsi="標楷體"/>
                <w:szCs w:val="24"/>
              </w:rPr>
            </w:pPr>
          </w:p>
          <w:p w:rsidR="00FB65FD" w:rsidRPr="00FB65FD" w:rsidRDefault="00FB65FD" w:rsidP="00FB65FD">
            <w:pPr>
              <w:spacing w:line="480" w:lineRule="exact"/>
              <w:rPr>
                <w:rFonts w:ascii="標楷體" w:eastAsia="標楷體" w:hAnsi="標楷體"/>
                <w:szCs w:val="24"/>
              </w:rPr>
            </w:pPr>
          </w:p>
          <w:p w:rsidR="00FB65FD" w:rsidRPr="00FB65FD" w:rsidRDefault="00FB65FD" w:rsidP="00FB65FD">
            <w:pPr>
              <w:spacing w:line="480" w:lineRule="exact"/>
              <w:rPr>
                <w:rFonts w:ascii="標楷體" w:eastAsia="標楷體" w:hAnsi="標楷體"/>
                <w:szCs w:val="24"/>
              </w:rPr>
            </w:pPr>
            <w:bookmarkStart w:id="0" w:name="_GoBack"/>
            <w:bookmarkEnd w:id="0"/>
          </w:p>
          <w:p w:rsidR="00FB65FD" w:rsidRPr="00FB65FD" w:rsidRDefault="00FB65FD" w:rsidP="00FB65FD">
            <w:pPr>
              <w:spacing w:line="480" w:lineRule="exact"/>
              <w:rPr>
                <w:rFonts w:ascii="標楷體" w:eastAsia="標楷體" w:hAnsi="標楷體"/>
                <w:szCs w:val="24"/>
              </w:rPr>
            </w:pPr>
            <w:r w:rsidRPr="00FB65FD">
              <w:rPr>
                <w:rFonts w:ascii="標楷體" w:eastAsia="標楷體" w:hAnsi="標楷體" w:hint="eastAsia"/>
                <w:szCs w:val="24"/>
              </w:rPr>
              <w:t>上櫃公司應於企業社會責任報告書內揭露報告書內容對應</w:t>
            </w:r>
            <w:r w:rsidRPr="00FB65FD">
              <w:rPr>
                <w:rFonts w:ascii="標楷體" w:eastAsia="標楷體" w:hAnsi="標楷體" w:hint="eastAsia"/>
                <w:bCs/>
                <w:szCs w:val="24"/>
              </w:rPr>
              <w:t>GRI準則</w:t>
            </w:r>
            <w:r w:rsidRPr="00FB65FD">
              <w:rPr>
                <w:rFonts w:ascii="標楷體" w:eastAsia="標楷體" w:hAnsi="標楷體" w:hint="eastAsia"/>
                <w:szCs w:val="24"/>
              </w:rPr>
              <w:t>之</w:t>
            </w:r>
            <w:r w:rsidRPr="00FB65FD">
              <w:rPr>
                <w:rFonts w:ascii="標楷體" w:eastAsia="標楷體" w:hAnsi="標楷體" w:hint="eastAsia"/>
                <w:bCs/>
                <w:szCs w:val="24"/>
              </w:rPr>
              <w:t>內容</w:t>
            </w:r>
            <w:r w:rsidRPr="00FB65FD">
              <w:rPr>
                <w:rFonts w:ascii="標楷體" w:eastAsia="標楷體" w:hAnsi="標楷體" w:hint="eastAsia"/>
                <w:szCs w:val="24"/>
              </w:rPr>
              <w:t>索引，並於</w:t>
            </w:r>
            <w:r w:rsidRPr="00FB65FD">
              <w:rPr>
                <w:rFonts w:ascii="標楷體" w:eastAsia="標楷體" w:hAnsi="標楷體" w:hint="eastAsia"/>
                <w:bCs/>
                <w:szCs w:val="24"/>
              </w:rPr>
              <w:t>報告書內</w:t>
            </w:r>
            <w:r w:rsidRPr="00FB65FD">
              <w:rPr>
                <w:rFonts w:ascii="標楷體" w:eastAsia="標楷體" w:hAnsi="標楷體" w:hint="eastAsia"/>
                <w:szCs w:val="24"/>
              </w:rPr>
              <w:t>註明各揭露項目是否取得第三方</w:t>
            </w:r>
            <w:r w:rsidRPr="002F4F6C">
              <w:rPr>
                <w:rFonts w:ascii="標楷體" w:eastAsia="標楷體" w:hAnsi="標楷體" w:hint="eastAsia"/>
                <w:szCs w:val="24"/>
                <w:u w:val="single"/>
              </w:rPr>
              <w:t>確認、</w:t>
            </w:r>
            <w:r w:rsidRPr="00FB65FD">
              <w:rPr>
                <w:rFonts w:ascii="標楷體" w:eastAsia="標楷體" w:hAnsi="標楷體" w:hint="eastAsia"/>
                <w:szCs w:val="24"/>
              </w:rPr>
              <w:t>確信或保證。</w:t>
            </w:r>
          </w:p>
          <w:p w:rsidR="00FB65FD" w:rsidRPr="00FB65FD" w:rsidRDefault="00FB65FD" w:rsidP="00FB65FD">
            <w:pPr>
              <w:spacing w:line="480" w:lineRule="exact"/>
              <w:jc w:val="both"/>
              <w:rPr>
                <w:rFonts w:ascii="標楷體" w:eastAsia="標楷體" w:hAnsi="標楷體"/>
                <w:szCs w:val="24"/>
              </w:rPr>
            </w:pPr>
            <w:r w:rsidRPr="00FB65FD">
              <w:rPr>
                <w:rFonts w:ascii="標楷體" w:eastAsia="標楷體" w:hAnsi="標楷體" w:hint="eastAsia"/>
                <w:szCs w:val="24"/>
              </w:rPr>
              <w:t>第一項所述之</w:t>
            </w:r>
            <w:r w:rsidRPr="00FB65FD">
              <w:rPr>
                <w:rFonts w:ascii="標楷體" w:eastAsia="標楷體" w:hAnsi="標楷體" w:hint="eastAsia"/>
                <w:bCs/>
                <w:szCs w:val="24"/>
              </w:rPr>
              <w:t>揭露項目</w:t>
            </w:r>
            <w:r w:rsidRPr="00FB65FD">
              <w:rPr>
                <w:rFonts w:ascii="標楷體" w:eastAsia="標楷體" w:hAnsi="標楷體" w:hint="eastAsia"/>
                <w:szCs w:val="24"/>
              </w:rPr>
              <w:t>，應採用符合目的事業主管機關規定之標準進行衡量與揭露，如目的事業主管機關未發布適用之標準，則應採用實務慣用之衡量方法。</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rsidR="00FB65FD" w:rsidRPr="007F1CF0" w:rsidRDefault="00FB65FD" w:rsidP="00FB65FD">
            <w:pPr>
              <w:rPr>
                <w:rFonts w:ascii="標楷體" w:eastAsia="標楷體" w:hAnsi="標楷體"/>
                <w:color w:val="FF0000"/>
                <w:szCs w:val="24"/>
              </w:rPr>
            </w:pPr>
          </w:p>
          <w:p w:rsidR="00FB65FD" w:rsidRPr="007F1CF0" w:rsidRDefault="00FB65FD" w:rsidP="00FB65FD">
            <w:pPr>
              <w:rPr>
                <w:rFonts w:ascii="標楷體" w:eastAsia="標楷體" w:hAnsi="標楷體"/>
                <w:color w:val="FF0000"/>
                <w:szCs w:val="24"/>
              </w:rPr>
            </w:pPr>
          </w:p>
          <w:p w:rsidR="009F73B8" w:rsidRPr="007F1CF0" w:rsidRDefault="007F1CF0" w:rsidP="007F1CF0">
            <w:pPr>
              <w:pStyle w:val="a7"/>
              <w:numPr>
                <w:ilvl w:val="0"/>
                <w:numId w:val="14"/>
              </w:numPr>
              <w:ind w:leftChars="0"/>
              <w:rPr>
                <w:rFonts w:ascii="標楷體" w:eastAsia="標楷體" w:hAnsi="標楷體"/>
                <w:color w:val="FF0000"/>
                <w:szCs w:val="24"/>
              </w:rPr>
            </w:pPr>
            <w:r w:rsidRPr="00240E22">
              <w:rPr>
                <w:rFonts w:ascii="標楷體" w:eastAsia="標楷體" w:hAnsi="標楷體" w:hint="eastAsia"/>
                <w:szCs w:val="24"/>
              </w:rPr>
              <w:t>為使企業社會責任之實踐能與時俱進，符合國際發展趨勢，參考香港、新加坡及馬來西亞之規定</w:t>
            </w:r>
            <w:r w:rsidR="009F73B8" w:rsidRPr="007F1CF0">
              <w:rPr>
                <w:rFonts w:ascii="標楷體" w:eastAsia="標楷體" w:hAnsi="標楷體" w:hint="eastAsia"/>
                <w:szCs w:val="24"/>
              </w:rPr>
              <w:t>將ESG風險評估(risk assessment)納入非財務資訊揭露之規範中，並強化我國企業揭露相關績效指標與管理之連結，</w:t>
            </w:r>
            <w:proofErr w:type="gramStart"/>
            <w:r w:rsidR="009F73B8" w:rsidRPr="007F1CF0">
              <w:rPr>
                <w:rFonts w:ascii="標楷體" w:eastAsia="標楷體" w:hAnsi="標楷體" w:hint="eastAsia"/>
                <w:szCs w:val="24"/>
              </w:rPr>
              <w:t>爰</w:t>
            </w:r>
            <w:proofErr w:type="gramEnd"/>
            <w:r w:rsidR="009F73B8" w:rsidRPr="007F1CF0">
              <w:rPr>
                <w:rFonts w:ascii="標楷體" w:eastAsia="標楷體" w:hAnsi="標楷體" w:hint="eastAsia"/>
                <w:szCs w:val="24"/>
              </w:rPr>
              <w:t>修訂本條內容。</w:t>
            </w:r>
          </w:p>
          <w:p w:rsidR="007F1CF0" w:rsidRPr="00240E22" w:rsidRDefault="007F1CF0" w:rsidP="0049105A">
            <w:pPr>
              <w:pStyle w:val="a7"/>
              <w:numPr>
                <w:ilvl w:val="0"/>
                <w:numId w:val="14"/>
              </w:numPr>
              <w:ind w:leftChars="0"/>
              <w:rPr>
                <w:rFonts w:ascii="標楷體" w:eastAsia="標楷體" w:hAnsi="標楷體"/>
                <w:szCs w:val="24"/>
              </w:rPr>
            </w:pPr>
            <w:r w:rsidRPr="00240E22">
              <w:rPr>
                <w:rFonts w:ascii="標楷體" w:eastAsia="標楷體" w:hAnsi="標楷體" w:hint="eastAsia"/>
                <w:szCs w:val="24"/>
              </w:rPr>
              <w:t>考量非財務資訊第三方驗證已有完整之規範，配合會計研究發展基金會發布之確信準則公報，</w:t>
            </w:r>
            <w:proofErr w:type="gramStart"/>
            <w:r w:rsidRPr="00240E22">
              <w:rPr>
                <w:rFonts w:ascii="標楷體" w:eastAsia="標楷體" w:hAnsi="標楷體" w:hint="eastAsia"/>
                <w:szCs w:val="24"/>
              </w:rPr>
              <w:t>爰</w:t>
            </w:r>
            <w:proofErr w:type="gramEnd"/>
            <w:r w:rsidRPr="00240E22">
              <w:rPr>
                <w:rFonts w:ascii="標楷體" w:eastAsia="標楷體" w:hAnsi="標楷體" w:hint="eastAsia"/>
                <w:szCs w:val="24"/>
              </w:rPr>
              <w:t>刪除「確認」用字。</w:t>
            </w:r>
          </w:p>
          <w:p w:rsidR="00FB65FD" w:rsidRPr="007F1CF0" w:rsidRDefault="00FB65FD" w:rsidP="00FB65FD">
            <w:pPr>
              <w:spacing w:line="480" w:lineRule="exact"/>
              <w:rPr>
                <w:rFonts w:ascii="標楷體" w:eastAsia="標楷體" w:hAnsi="標楷體"/>
                <w:color w:val="FF0000"/>
                <w:szCs w:val="24"/>
              </w:rPr>
            </w:pPr>
          </w:p>
        </w:tc>
      </w:tr>
      <w:tr w:rsidR="007C721E" w:rsidRPr="00D33E6B" w:rsidTr="00217ABD">
        <w:trPr>
          <w:trHeight w:val="488"/>
        </w:trPr>
        <w:tc>
          <w:tcPr>
            <w:tcW w:w="3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721E" w:rsidRDefault="007C721E" w:rsidP="007C721E">
            <w:pPr>
              <w:widowControl/>
              <w:spacing w:line="480" w:lineRule="exact"/>
              <w:rPr>
                <w:rFonts w:ascii="標楷體" w:eastAsia="標楷體" w:hAnsi="標楷體" w:cs="新細明體"/>
                <w:kern w:val="0"/>
                <w:szCs w:val="24"/>
              </w:rPr>
            </w:pPr>
            <w:r>
              <w:rPr>
                <w:rFonts w:ascii="標楷體" w:eastAsia="標楷體" w:hAnsi="標楷體" w:cs="新細明體" w:hint="eastAsia"/>
                <w:kern w:val="0"/>
                <w:szCs w:val="24"/>
              </w:rPr>
              <w:lastRenderedPageBreak/>
              <w:t>第四條</w:t>
            </w:r>
          </w:p>
          <w:p w:rsidR="007C721E" w:rsidRDefault="007C721E" w:rsidP="007C721E">
            <w:pPr>
              <w:widowControl/>
              <w:spacing w:line="480" w:lineRule="exact"/>
              <w:rPr>
                <w:rFonts w:ascii="標楷體" w:eastAsia="標楷體" w:hAnsi="標楷體" w:cs="新細明體"/>
                <w:kern w:val="0"/>
                <w:szCs w:val="24"/>
              </w:rPr>
            </w:pPr>
            <w:r>
              <w:rPr>
                <w:rFonts w:ascii="標楷體" w:eastAsia="標楷體" w:hAnsi="標楷體" w:cs="新細明體" w:hint="eastAsia"/>
                <w:kern w:val="0"/>
                <w:szCs w:val="24"/>
              </w:rPr>
              <w:t>上</w:t>
            </w:r>
            <w:r w:rsidR="0065349C">
              <w:rPr>
                <w:rFonts w:ascii="標楷體" w:eastAsia="標楷體" w:hAnsi="標楷體" w:cs="新細明體" w:hint="eastAsia"/>
                <w:kern w:val="0"/>
                <w:szCs w:val="24"/>
              </w:rPr>
              <w:t>櫃</w:t>
            </w:r>
            <w:r>
              <w:rPr>
                <w:rFonts w:ascii="標楷體" w:eastAsia="標楷體" w:hAnsi="標楷體" w:cs="新細明體" w:hint="eastAsia"/>
                <w:kern w:val="0"/>
                <w:szCs w:val="24"/>
              </w:rPr>
              <w:t>公司所編製之企業社會責任報告書除前條所述內容外，應加強揭露下列事項：</w:t>
            </w:r>
          </w:p>
          <w:p w:rsidR="007C721E" w:rsidRDefault="007C721E" w:rsidP="007C721E">
            <w:pPr>
              <w:pStyle w:val="a7"/>
              <w:spacing w:line="480" w:lineRule="exact"/>
              <w:ind w:leftChars="0" w:hanging="480"/>
              <w:rPr>
                <w:rFonts w:ascii="標楷體" w:eastAsia="標楷體" w:hAnsi="標楷體"/>
                <w:szCs w:val="24"/>
              </w:rPr>
            </w:pPr>
            <w:r>
              <w:rPr>
                <w:rFonts w:ascii="標楷體" w:eastAsia="標楷體" w:hAnsi="標楷體" w:hint="eastAsia"/>
                <w:szCs w:val="24"/>
              </w:rPr>
              <w:t>一、食品工業及第二條第一項第二款之</w:t>
            </w:r>
            <w:r w:rsidR="0065349C">
              <w:rPr>
                <w:rFonts w:ascii="標楷體" w:eastAsia="標楷體" w:hAnsi="標楷體" w:hint="eastAsia"/>
                <w:szCs w:val="24"/>
              </w:rPr>
              <w:t>上櫃</w:t>
            </w:r>
            <w:r>
              <w:rPr>
                <w:rFonts w:ascii="標楷體" w:eastAsia="標楷體" w:hAnsi="標楷體" w:hint="eastAsia"/>
                <w:szCs w:val="24"/>
              </w:rPr>
              <w:t>公司，應揭露企業在供應商對環境或社會衝擊之評估、顧客健康與安全及行銷與標示重大主題之管理方針、揭露項目及其報導要求。其報導要求至少應包含下列項目：</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（一）為改善食品衛生、安全與品質，而針對其從業人員、作業場所、設施衛生管理及其品保制度等方面進行之評估與改進及所影響之主要產品與服務類別與百分比。</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（二）違反有關產品與服務之健康與安全法規及未遵循產品與服務之資訊與標示法規之事件類別與次數。</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（三）採購符合國際認可之產品責任標準者占整體採購之百分比，並依標準區分。</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（四）經獨立第三方驗證符合國際認證之食品安全管理系統標準之廠房所生產產品之百分比。</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（五）對供應商進行稽核之家數</w:t>
            </w:r>
            <w:r>
              <w:rPr>
                <w:rFonts w:ascii="標楷體" w:eastAsia="標楷體" w:hAnsi="標楷體" w:hint="eastAsia"/>
                <w:bCs/>
                <w:szCs w:val="24"/>
              </w:rPr>
              <w:lastRenderedPageBreak/>
              <w:t>及百分比、稽核項目及結果。</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（六）依法規要求或自願進行產品追溯與追蹤管理之情形及相關產品占所有產品之百分比。</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（七）依法規要求或自願設置食品安全實驗室之情形、測試項目、測試結果、相關支出及其占營業收入淨額之百分比。</w:t>
            </w:r>
          </w:p>
          <w:p w:rsidR="007C721E" w:rsidRDefault="007C721E" w:rsidP="007C721E">
            <w:pPr>
              <w:pStyle w:val="a7"/>
              <w:spacing w:line="480" w:lineRule="exact"/>
              <w:ind w:leftChars="0" w:hanging="480"/>
              <w:rPr>
                <w:rFonts w:ascii="標楷體" w:eastAsia="標楷體" w:hAnsi="標楷體"/>
                <w:szCs w:val="24"/>
              </w:rPr>
            </w:pPr>
            <w:r>
              <w:rPr>
                <w:rFonts w:ascii="標楷體" w:eastAsia="標楷體" w:hAnsi="標楷體" w:hint="eastAsia"/>
                <w:szCs w:val="24"/>
              </w:rPr>
              <w:t>二、化學工業應揭露保障職業安全與衛生、對當地社區之影響及企業本身及其供應商對環境或社會衝擊之評估等重大主題之管理方針、揭露項目及其報導要求。其報導要求至少應包含下列項目：</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（一）說明員工受傷害類別，計算傷害率、職業病率、</w:t>
            </w:r>
            <w:proofErr w:type="gramStart"/>
            <w:r>
              <w:rPr>
                <w:rFonts w:ascii="標楷體" w:eastAsia="標楷體" w:hAnsi="標楷體" w:hint="eastAsia"/>
                <w:bCs/>
                <w:szCs w:val="24"/>
              </w:rPr>
              <w:t>損工日數率</w:t>
            </w:r>
            <w:proofErr w:type="gramEnd"/>
            <w:r>
              <w:rPr>
                <w:rFonts w:ascii="標楷體" w:eastAsia="標楷體" w:hAnsi="標楷體" w:hint="eastAsia"/>
                <w:bCs/>
                <w:szCs w:val="24"/>
              </w:rPr>
              <w:t>、缺勤率以及因公死亡件數。</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（二）對當地社區具有顯著實際或潛在負面衝擊之營運活動。</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（三）企業本身及其供應商為降低對環境或社會之負面衝擊所採取之具體、有效機制及作為。</w:t>
            </w:r>
          </w:p>
          <w:p w:rsidR="007C721E" w:rsidRDefault="007C721E" w:rsidP="007C721E">
            <w:pPr>
              <w:pStyle w:val="a7"/>
              <w:spacing w:line="480" w:lineRule="exact"/>
              <w:ind w:leftChars="0" w:hanging="480"/>
              <w:rPr>
                <w:rFonts w:ascii="標楷體" w:eastAsia="標楷體" w:hAnsi="標楷體"/>
                <w:szCs w:val="24"/>
              </w:rPr>
            </w:pPr>
            <w:r>
              <w:rPr>
                <w:rFonts w:ascii="標楷體" w:eastAsia="標楷體" w:hAnsi="標楷體" w:hint="eastAsia"/>
                <w:szCs w:val="24"/>
              </w:rPr>
              <w:t>三、金融業應揭露企業在永續金融</w:t>
            </w:r>
            <w:r>
              <w:rPr>
                <w:rFonts w:ascii="標楷體" w:eastAsia="標楷體" w:hAnsi="標楷體" w:hint="eastAsia"/>
                <w:szCs w:val="24"/>
              </w:rPr>
              <w:lastRenderedPageBreak/>
              <w:t>重大主題之管理方針、揭露項目及其報導要求。其報導要求至少應包含各經營業務為創造社會效益或環境效益所設計之產品與服務。</w:t>
            </w:r>
          </w:p>
          <w:p w:rsidR="007C721E" w:rsidRDefault="007C721E" w:rsidP="007C721E">
            <w:pPr>
              <w:pStyle w:val="a7"/>
              <w:spacing w:line="480" w:lineRule="exact"/>
              <w:ind w:leftChars="0" w:hanging="480"/>
              <w:rPr>
                <w:rFonts w:ascii="標楷體" w:eastAsia="標楷體" w:hAnsi="標楷體"/>
                <w:szCs w:val="24"/>
              </w:rPr>
            </w:pPr>
            <w:r>
              <w:rPr>
                <w:rFonts w:ascii="標楷體" w:eastAsia="標楷體" w:hAnsi="標楷體" w:hint="eastAsia"/>
                <w:szCs w:val="24"/>
              </w:rPr>
              <w:t>四、第二條規定之</w:t>
            </w:r>
            <w:r w:rsidR="0065349C">
              <w:rPr>
                <w:rFonts w:ascii="標楷體" w:eastAsia="標楷體" w:hAnsi="標楷體" w:hint="eastAsia"/>
                <w:szCs w:val="24"/>
              </w:rPr>
              <w:t>上櫃</w:t>
            </w:r>
            <w:r>
              <w:rPr>
                <w:rFonts w:ascii="標楷體" w:eastAsia="標楷體" w:hAnsi="標楷體" w:hint="eastAsia"/>
                <w:szCs w:val="24"/>
              </w:rPr>
              <w:t>公司應揭露:</w:t>
            </w:r>
          </w:p>
          <w:p w:rsidR="007C721E" w:rsidRDefault="007C721E" w:rsidP="007C721E">
            <w:pPr>
              <w:pStyle w:val="a7"/>
              <w:spacing w:line="480" w:lineRule="exact"/>
              <w:ind w:leftChars="0" w:left="957" w:hanging="717"/>
              <w:rPr>
                <w:rFonts w:ascii="標楷體" w:eastAsia="標楷體" w:hAnsi="標楷體"/>
                <w:bCs/>
                <w:szCs w:val="24"/>
                <w:u w:val="single"/>
              </w:rPr>
            </w:pPr>
            <w:r>
              <w:rPr>
                <w:rFonts w:ascii="標楷體" w:eastAsia="標楷體" w:hAnsi="標楷體" w:hint="eastAsia"/>
                <w:bCs/>
                <w:szCs w:val="24"/>
                <w:u w:val="single"/>
              </w:rPr>
              <w:t>（一）</w:t>
            </w:r>
            <w:r w:rsidRPr="00FA3609">
              <w:rPr>
                <w:rFonts w:ascii="標楷體" w:eastAsia="標楷體" w:hAnsi="標楷體" w:hint="eastAsia"/>
                <w:bCs/>
                <w:szCs w:val="24"/>
              </w:rPr>
              <w:t>企業非擔任主管職務之全時員工人數、非擔任主管職務之全時員工薪資平均數及中位數，及前三者與前一年度之差異。</w:t>
            </w:r>
          </w:p>
          <w:p w:rsidR="007C721E" w:rsidRDefault="007C721E" w:rsidP="007C721E">
            <w:pPr>
              <w:pStyle w:val="a7"/>
              <w:spacing w:line="480" w:lineRule="exact"/>
              <w:ind w:leftChars="0" w:left="957" w:hanging="717"/>
              <w:rPr>
                <w:rFonts w:ascii="標楷體" w:eastAsia="標楷體" w:hAnsi="標楷體"/>
                <w:bCs/>
                <w:szCs w:val="24"/>
                <w:u w:val="single"/>
              </w:rPr>
            </w:pPr>
            <w:r>
              <w:rPr>
                <w:rFonts w:ascii="標楷體" w:eastAsia="標楷體" w:hAnsi="標楷體" w:hint="eastAsia"/>
                <w:bCs/>
                <w:szCs w:val="24"/>
                <w:u w:val="single"/>
              </w:rPr>
              <w:t>（二）企業</w:t>
            </w:r>
            <w:r w:rsidR="002A38BE">
              <w:rPr>
                <w:rFonts w:ascii="標楷體" w:eastAsia="標楷體" w:hAnsi="標楷體" w:hint="eastAsia"/>
                <w:bCs/>
                <w:szCs w:val="24"/>
                <w:u w:val="single"/>
              </w:rPr>
              <w:t>對</w:t>
            </w:r>
            <w:r>
              <w:rPr>
                <w:rFonts w:ascii="標楷體" w:eastAsia="標楷體" w:hAnsi="標楷體" w:hint="eastAsia"/>
                <w:bCs/>
                <w:szCs w:val="24"/>
                <w:u w:val="single"/>
              </w:rPr>
              <w:t>氣候相關風險與機會之治理情況、實際及潛在與氣候相關之衝擊、如何鑑別、評估與管理氣候相關風險及用於評估與管理氣候相關議題之指標與目標。</w:t>
            </w:r>
          </w:p>
        </w:tc>
        <w:tc>
          <w:tcPr>
            <w:tcW w:w="3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721E" w:rsidRDefault="007C721E" w:rsidP="007C721E">
            <w:pPr>
              <w:widowControl/>
              <w:spacing w:line="480" w:lineRule="exact"/>
              <w:rPr>
                <w:rFonts w:ascii="標楷體" w:eastAsia="標楷體" w:hAnsi="標楷體" w:cs="新細明體"/>
                <w:kern w:val="0"/>
                <w:szCs w:val="24"/>
              </w:rPr>
            </w:pPr>
            <w:r>
              <w:rPr>
                <w:rFonts w:ascii="標楷體" w:eastAsia="標楷體" w:hAnsi="標楷體" w:cs="新細明體" w:hint="eastAsia"/>
                <w:kern w:val="0"/>
                <w:szCs w:val="24"/>
              </w:rPr>
              <w:lastRenderedPageBreak/>
              <w:t>第四條</w:t>
            </w:r>
          </w:p>
          <w:p w:rsidR="007C721E" w:rsidRDefault="007C721E" w:rsidP="007C721E">
            <w:pPr>
              <w:widowControl/>
              <w:spacing w:line="480" w:lineRule="exact"/>
              <w:rPr>
                <w:rFonts w:ascii="標楷體" w:eastAsia="標楷體" w:hAnsi="標楷體" w:cs="新細明體"/>
                <w:kern w:val="0"/>
                <w:szCs w:val="24"/>
              </w:rPr>
            </w:pPr>
            <w:r>
              <w:rPr>
                <w:rFonts w:ascii="標楷體" w:eastAsia="標楷體" w:hAnsi="標楷體" w:cs="新細明體" w:hint="eastAsia"/>
                <w:kern w:val="0"/>
                <w:szCs w:val="24"/>
              </w:rPr>
              <w:t>上</w:t>
            </w:r>
            <w:r w:rsidR="0065349C">
              <w:rPr>
                <w:rFonts w:ascii="標楷體" w:eastAsia="標楷體" w:hAnsi="標楷體" w:cs="新細明體" w:hint="eastAsia"/>
                <w:kern w:val="0"/>
                <w:szCs w:val="24"/>
              </w:rPr>
              <w:t>櫃</w:t>
            </w:r>
            <w:r>
              <w:rPr>
                <w:rFonts w:ascii="標楷體" w:eastAsia="標楷體" w:hAnsi="標楷體" w:cs="新細明體" w:hint="eastAsia"/>
                <w:kern w:val="0"/>
                <w:szCs w:val="24"/>
              </w:rPr>
              <w:t>公司所編製之企業社會責任報告書除前條所述內容外，應加強揭露下列事項：</w:t>
            </w:r>
          </w:p>
          <w:p w:rsidR="007C721E" w:rsidRDefault="007C721E" w:rsidP="007C721E">
            <w:pPr>
              <w:pStyle w:val="a7"/>
              <w:spacing w:line="480" w:lineRule="exact"/>
              <w:ind w:leftChars="0" w:hanging="480"/>
              <w:rPr>
                <w:rFonts w:ascii="標楷體" w:eastAsia="標楷體" w:hAnsi="標楷體"/>
                <w:szCs w:val="24"/>
              </w:rPr>
            </w:pPr>
            <w:r>
              <w:rPr>
                <w:rFonts w:ascii="標楷體" w:eastAsia="標楷體" w:hAnsi="標楷體" w:hint="eastAsia"/>
                <w:szCs w:val="24"/>
              </w:rPr>
              <w:t>一、食品工業及第二條第一項第二款之</w:t>
            </w:r>
            <w:r w:rsidR="0065349C">
              <w:rPr>
                <w:rFonts w:ascii="標楷體" w:eastAsia="標楷體" w:hAnsi="標楷體" w:hint="eastAsia"/>
                <w:szCs w:val="24"/>
              </w:rPr>
              <w:t>上櫃</w:t>
            </w:r>
            <w:r>
              <w:rPr>
                <w:rFonts w:ascii="標楷體" w:eastAsia="標楷體" w:hAnsi="標楷體" w:hint="eastAsia"/>
                <w:szCs w:val="24"/>
              </w:rPr>
              <w:t>公司，應揭露企業在供應商對環境或社會衝擊之評估、顧客健康與安全及行銷與標示重大主題之管理方針、揭露項目及其報導要求。其報導要求至少應包含下列項目：</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（一）為改善食品衛生、安全與品質，而針對其從業人員、作業場所、設施衛生管理及其品保制度等方面進行之評估與改進及所影響之主要產品與服務類別與百分比。</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（二）違反有關產品與服務之健康與安全法規及未遵循產品與服務之資訊與標示法規之事件類別與次數。</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（三）採購符合國際認可之產品責任標準者占整體採購之百分比，並依標準區分。</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（四）經獨立第三方驗證符合國際認證之食品安全管理系統標準之廠房所生產產品之百分比。</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（五）對供應商進行稽核之家數</w:t>
            </w:r>
            <w:r>
              <w:rPr>
                <w:rFonts w:ascii="標楷體" w:eastAsia="標楷體" w:hAnsi="標楷體" w:hint="eastAsia"/>
                <w:bCs/>
                <w:szCs w:val="24"/>
              </w:rPr>
              <w:lastRenderedPageBreak/>
              <w:t>及百分比、稽核項目及結果。</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（六）依法規要求或自願進行產品追溯與追蹤管理之情形及相關產品占所有產品之百分比。</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（七）依法規要求或自願設置食品安全實驗室之情形、測試項目、測試結果、相關支出及其占營業收入淨額之百分比。</w:t>
            </w:r>
          </w:p>
          <w:p w:rsidR="007C721E" w:rsidRDefault="007C721E" w:rsidP="007C721E">
            <w:pPr>
              <w:pStyle w:val="a7"/>
              <w:spacing w:line="480" w:lineRule="exact"/>
              <w:ind w:leftChars="0" w:hanging="480"/>
              <w:rPr>
                <w:rFonts w:ascii="標楷體" w:eastAsia="標楷體" w:hAnsi="標楷體"/>
                <w:szCs w:val="24"/>
              </w:rPr>
            </w:pPr>
            <w:r>
              <w:rPr>
                <w:rFonts w:ascii="標楷體" w:eastAsia="標楷體" w:hAnsi="標楷體" w:hint="eastAsia"/>
                <w:szCs w:val="24"/>
              </w:rPr>
              <w:t>二、化學工業應揭露保障職業安全與衛生、對當地社區之影響及企業本身及其供應商對環境或社會衝擊之評估等重大主題之管理方針、揭露項目及其報導要求。其報導要求至少應包含下列項目：</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（一）說明員工受傷害類別，計算傷害率、職業病率、</w:t>
            </w:r>
            <w:proofErr w:type="gramStart"/>
            <w:r>
              <w:rPr>
                <w:rFonts w:ascii="標楷體" w:eastAsia="標楷體" w:hAnsi="標楷體" w:hint="eastAsia"/>
                <w:bCs/>
                <w:szCs w:val="24"/>
              </w:rPr>
              <w:t>損工日數率</w:t>
            </w:r>
            <w:proofErr w:type="gramEnd"/>
            <w:r>
              <w:rPr>
                <w:rFonts w:ascii="標楷體" w:eastAsia="標楷體" w:hAnsi="標楷體" w:hint="eastAsia"/>
                <w:bCs/>
                <w:szCs w:val="24"/>
              </w:rPr>
              <w:t>、缺勤率以及因公死亡件數。</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（二）對當地社區具有顯著實際或潛在負面衝擊之營運活動。</w:t>
            </w:r>
          </w:p>
          <w:p w:rsidR="007C721E" w:rsidRDefault="007C721E" w:rsidP="007C721E">
            <w:pPr>
              <w:pStyle w:val="a7"/>
              <w:spacing w:line="480" w:lineRule="exact"/>
              <w:ind w:leftChars="0" w:left="957" w:hanging="717"/>
              <w:rPr>
                <w:rFonts w:ascii="標楷體" w:eastAsia="標楷體" w:hAnsi="標楷體"/>
                <w:bCs/>
                <w:szCs w:val="24"/>
              </w:rPr>
            </w:pPr>
            <w:r>
              <w:rPr>
                <w:rFonts w:ascii="標楷體" w:eastAsia="標楷體" w:hAnsi="標楷體" w:hint="eastAsia"/>
                <w:bCs/>
                <w:szCs w:val="24"/>
              </w:rPr>
              <w:t>（三）企業本身及其供應商為降低對環境或社會之負面衝擊所採取之具體、有效機制及作為。</w:t>
            </w:r>
          </w:p>
          <w:p w:rsidR="007C721E" w:rsidRDefault="007C721E" w:rsidP="007C721E">
            <w:pPr>
              <w:pStyle w:val="a7"/>
              <w:spacing w:line="480" w:lineRule="exact"/>
              <w:ind w:leftChars="0" w:hanging="480"/>
              <w:rPr>
                <w:rFonts w:ascii="標楷體" w:eastAsia="標楷體" w:hAnsi="標楷體"/>
                <w:szCs w:val="24"/>
              </w:rPr>
            </w:pPr>
            <w:r>
              <w:rPr>
                <w:rFonts w:ascii="標楷體" w:eastAsia="標楷體" w:hAnsi="標楷體" w:hint="eastAsia"/>
                <w:szCs w:val="24"/>
              </w:rPr>
              <w:t>三、金融業應揭露企業在永續金融</w:t>
            </w:r>
            <w:r>
              <w:rPr>
                <w:rFonts w:ascii="標楷體" w:eastAsia="標楷體" w:hAnsi="標楷體" w:hint="eastAsia"/>
                <w:szCs w:val="24"/>
              </w:rPr>
              <w:lastRenderedPageBreak/>
              <w:t>重大主題之管理方針、揭露項目及其報導要求。其報導要求至少應包含各經營業務為創造社會效益或環境效益所設計之產品與服務。</w:t>
            </w:r>
          </w:p>
          <w:p w:rsidR="007C721E" w:rsidRDefault="007C721E" w:rsidP="00FA3609">
            <w:pPr>
              <w:widowControl/>
              <w:spacing w:line="480" w:lineRule="exact"/>
              <w:ind w:left="509" w:hangingChars="212" w:hanging="509"/>
              <w:rPr>
                <w:rFonts w:ascii="標楷體" w:eastAsia="標楷體" w:hAnsi="標楷體" w:cs="新細明體"/>
                <w:kern w:val="0"/>
                <w:szCs w:val="24"/>
              </w:rPr>
            </w:pPr>
            <w:r>
              <w:rPr>
                <w:rFonts w:ascii="標楷體" w:eastAsia="標楷體" w:hAnsi="標楷體" w:hint="eastAsia"/>
                <w:szCs w:val="24"/>
              </w:rPr>
              <w:t>四、第二條規定之</w:t>
            </w:r>
            <w:r w:rsidR="0065349C">
              <w:rPr>
                <w:rFonts w:ascii="標楷體" w:eastAsia="標楷體" w:hAnsi="標楷體" w:hint="eastAsia"/>
                <w:szCs w:val="24"/>
              </w:rPr>
              <w:t>上櫃</w:t>
            </w:r>
            <w:r>
              <w:rPr>
                <w:rFonts w:ascii="標楷體" w:eastAsia="標楷體" w:hAnsi="標楷體" w:hint="eastAsia"/>
                <w:szCs w:val="24"/>
              </w:rPr>
              <w:t>公司應揭露</w:t>
            </w:r>
            <w:r w:rsidRPr="00FA3609">
              <w:rPr>
                <w:rFonts w:ascii="標楷體" w:eastAsia="標楷體" w:hAnsi="標楷體" w:hint="eastAsia"/>
                <w:szCs w:val="24"/>
              </w:rPr>
              <w:t>企業非擔任主管職務之全時員工人數、非擔任主管職務之全時員工薪資平均數及中位數，及前三者與前一年度之差異。</w:t>
            </w:r>
          </w:p>
          <w:p w:rsidR="007C721E" w:rsidRDefault="007C721E" w:rsidP="007C721E">
            <w:pPr>
              <w:widowControl/>
              <w:spacing w:line="480" w:lineRule="exact"/>
              <w:rPr>
                <w:rFonts w:ascii="標楷體" w:eastAsia="標楷體" w:hAnsi="標楷體" w:cs="新細明體"/>
                <w:kern w:val="0"/>
                <w:szCs w:val="24"/>
              </w:rPr>
            </w:pP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rsidR="007C721E" w:rsidRPr="00FA3609" w:rsidRDefault="007C721E" w:rsidP="007C721E">
            <w:pPr>
              <w:rPr>
                <w:rFonts w:ascii="標楷體" w:eastAsia="標楷體" w:hAnsi="標楷體"/>
                <w:szCs w:val="24"/>
              </w:rPr>
            </w:pPr>
          </w:p>
          <w:p w:rsidR="007C721E" w:rsidRPr="00FA3609" w:rsidRDefault="007C721E" w:rsidP="007C721E">
            <w:pPr>
              <w:rPr>
                <w:rFonts w:ascii="標楷體" w:eastAsia="標楷體" w:hAnsi="標楷體"/>
                <w:szCs w:val="24"/>
              </w:rPr>
            </w:pPr>
            <w:r w:rsidRPr="00FA3609">
              <w:rPr>
                <w:rFonts w:ascii="標楷體" w:eastAsia="標楷體" w:hAnsi="標楷體" w:hint="eastAsia"/>
                <w:szCs w:val="24"/>
              </w:rPr>
              <w:t>為引導企業重視氣候變遷議題，並增進企業因應氣候變遷之能力，參考國際金融穩定委員會(Financial Stability Board, FSB)於 2017 年 6 月發布「TCFD 氣候相關財務揭露建議書」(Task Force on Climate-related Financial Disclosures)，</w:t>
            </w:r>
            <w:proofErr w:type="gramStart"/>
            <w:r w:rsidRPr="00FA3609">
              <w:rPr>
                <w:rFonts w:ascii="標楷體" w:eastAsia="標楷體" w:hAnsi="標楷體" w:hint="eastAsia"/>
                <w:szCs w:val="24"/>
              </w:rPr>
              <w:t>增列本條</w:t>
            </w:r>
            <w:proofErr w:type="gramEnd"/>
            <w:r w:rsidRPr="00FA3609">
              <w:rPr>
                <w:rFonts w:ascii="標楷體" w:eastAsia="標楷體" w:hAnsi="標楷體" w:hint="eastAsia"/>
                <w:szCs w:val="24"/>
              </w:rPr>
              <w:t>第一項第四款第二目，</w:t>
            </w:r>
            <w:r w:rsidRPr="00240E22">
              <w:rPr>
                <w:rFonts w:ascii="標楷體" w:eastAsia="標楷體" w:hAnsi="標楷體" w:hint="eastAsia"/>
                <w:szCs w:val="24"/>
              </w:rPr>
              <w:t>強化</w:t>
            </w:r>
            <w:r w:rsidR="0065349C" w:rsidRPr="00240E22">
              <w:rPr>
                <w:rFonts w:ascii="標楷體" w:eastAsia="標楷體" w:hAnsi="標楷體" w:hint="eastAsia"/>
                <w:szCs w:val="24"/>
              </w:rPr>
              <w:t>上櫃</w:t>
            </w:r>
            <w:r w:rsidRPr="00240E22">
              <w:rPr>
                <w:rFonts w:ascii="標楷體" w:eastAsia="標楷體" w:hAnsi="標楷體" w:hint="eastAsia"/>
                <w:szCs w:val="24"/>
              </w:rPr>
              <w:t>公司揭露氣候相關風險與機會之治理情況(包括董事會對相關風險與機會之監督情形、管理階層評估及管理氣候相關風險與機會之作為等)、</w:t>
            </w:r>
            <w:r w:rsidRPr="00240E22">
              <w:rPr>
                <w:rFonts w:ascii="標楷體" w:eastAsia="標楷體" w:hAnsi="標楷體" w:hint="eastAsia"/>
                <w:bCs/>
                <w:szCs w:val="24"/>
              </w:rPr>
              <w:t>實際及潛在與氣候相關之衝擊(包括</w:t>
            </w:r>
            <w:r w:rsidRPr="00240E22">
              <w:rPr>
                <w:rFonts w:ascii="標楷體" w:eastAsia="標楷體" w:hAnsi="標楷體" w:hint="eastAsia"/>
                <w:szCs w:val="24"/>
              </w:rPr>
              <w:t>所鑑別的短、中、長期氣候相關風險與機會及對公司業務、策略、財務規劃等之衝擊)，並說明鑑別、評估與管理氣候相關風險之流程，以及用於評估與管理氣候相關議題之指標與目標暨落實目標情形(包括揭露溫室氣體排放及相關風險等資訊)，並配合將第一項第四款</w:t>
            </w:r>
            <w:r w:rsidRPr="00240E22">
              <w:rPr>
                <w:rFonts w:ascii="標楷體" w:eastAsia="標楷體" w:hAnsi="標楷體" w:hint="eastAsia"/>
                <w:kern w:val="0"/>
                <w:szCs w:val="24"/>
              </w:rPr>
              <w:t>移列第一項第四款第一目。</w:t>
            </w:r>
          </w:p>
        </w:tc>
      </w:tr>
    </w:tbl>
    <w:p w:rsidR="006B6C6D" w:rsidRPr="00D33E6B" w:rsidRDefault="006B6C6D">
      <w:pPr>
        <w:rPr>
          <w:rFonts w:ascii="標楷體" w:eastAsia="標楷體" w:hAnsi="標楷體"/>
          <w:szCs w:val="24"/>
        </w:rPr>
      </w:pPr>
    </w:p>
    <w:sectPr w:rsidR="006B6C6D" w:rsidRPr="00D33E6B" w:rsidSect="007042CF">
      <w:pgSz w:w="11906" w:h="16838" w:code="9"/>
      <w:pgMar w:top="720" w:right="1021" w:bottom="720" w:left="102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25" w:rsidRDefault="006A2425" w:rsidP="00D80A15">
      <w:r>
        <w:separator/>
      </w:r>
    </w:p>
  </w:endnote>
  <w:endnote w:type="continuationSeparator" w:id="0">
    <w:p w:rsidR="006A2425" w:rsidRDefault="006A2425" w:rsidP="00D8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 NewHeiB5 Bold">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Gill Sans Nova SemiBold">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112358"/>
      <w:docPartObj>
        <w:docPartGallery w:val="Page Numbers (Bottom of Page)"/>
        <w:docPartUnique/>
      </w:docPartObj>
    </w:sdtPr>
    <w:sdtEndPr/>
    <w:sdtContent>
      <w:p w:rsidR="00370075" w:rsidRDefault="00370075">
        <w:pPr>
          <w:pStyle w:val="a5"/>
          <w:jc w:val="right"/>
        </w:pPr>
        <w:r>
          <w:fldChar w:fldCharType="begin"/>
        </w:r>
        <w:r>
          <w:instrText>PAGE   \* MERGEFORMAT</w:instrText>
        </w:r>
        <w:r>
          <w:fldChar w:fldCharType="separate"/>
        </w:r>
        <w:r w:rsidR="00747289" w:rsidRPr="00747289">
          <w:rPr>
            <w:noProof/>
            <w:lang w:val="zh-TW"/>
          </w:rPr>
          <w:t>1</w:t>
        </w:r>
        <w:r>
          <w:fldChar w:fldCharType="end"/>
        </w:r>
      </w:p>
    </w:sdtContent>
  </w:sdt>
  <w:p w:rsidR="00370075" w:rsidRDefault="003700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25" w:rsidRDefault="006A2425" w:rsidP="00D80A15">
      <w:r>
        <w:separator/>
      </w:r>
    </w:p>
  </w:footnote>
  <w:footnote w:type="continuationSeparator" w:id="0">
    <w:p w:rsidR="006A2425" w:rsidRDefault="006A2425" w:rsidP="00D80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7AA"/>
    <w:multiLevelType w:val="hybridMultilevel"/>
    <w:tmpl w:val="76749A9C"/>
    <w:lvl w:ilvl="0" w:tplc="E2242F7C">
      <w:start w:val="1"/>
      <w:numFmt w:val="taiwaneseCountingThousand"/>
      <w:lvlText w:val="%1、"/>
      <w:lvlJc w:val="left"/>
      <w:pPr>
        <w:ind w:left="480" w:hanging="480"/>
      </w:pPr>
      <w:rPr>
        <w:rFonts w:ascii="Times New Roman" w:eastAsia="標楷體" w:hAnsi="標楷體" w:cs="Times New Roman"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4530D"/>
    <w:multiLevelType w:val="hybridMultilevel"/>
    <w:tmpl w:val="D5325BF2"/>
    <w:lvl w:ilvl="0" w:tplc="0BC4BFD4">
      <w:start w:val="1"/>
      <w:numFmt w:val="taiwaneseCountingThousand"/>
      <w:lvlText w:val="(%1)"/>
      <w:lvlJc w:val="left"/>
      <w:pPr>
        <w:ind w:left="480" w:hanging="480"/>
      </w:pPr>
      <w:rPr>
        <w:rFonts w:hint="eastAsia"/>
      </w:rPr>
    </w:lvl>
    <w:lvl w:ilvl="1" w:tplc="0BC4BFD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66B58"/>
    <w:multiLevelType w:val="hybridMultilevel"/>
    <w:tmpl w:val="AF2A67AE"/>
    <w:lvl w:ilvl="0" w:tplc="070A67FE">
      <w:start w:val="1"/>
      <w:numFmt w:val="taiwaneseCountingThousand"/>
      <w:lvlText w:val="%1、"/>
      <w:lvlJc w:val="left"/>
      <w:pPr>
        <w:ind w:left="480" w:hanging="480"/>
      </w:pPr>
      <w:rPr>
        <w:rFonts w:ascii="Times New Roman" w:eastAsia="標楷體" w:hAnsi="標楷體" w:cs="Times New Roman"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A7C67"/>
    <w:multiLevelType w:val="hybridMultilevel"/>
    <w:tmpl w:val="9B4652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F20303"/>
    <w:multiLevelType w:val="hybridMultilevel"/>
    <w:tmpl w:val="AAA633C8"/>
    <w:lvl w:ilvl="0" w:tplc="3E7A1B56">
      <w:start w:val="1"/>
      <w:numFmt w:val="taiwaneseCountingThousand"/>
      <w:lvlText w:val="%1、"/>
      <w:lvlJc w:val="left"/>
      <w:pPr>
        <w:ind w:left="480" w:hanging="480"/>
      </w:pPr>
      <w:rPr>
        <w:rFonts w:ascii="Times New Roman" w:eastAsia="標楷體" w:hAnsi="標楷體" w:cs="Times New Roman"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1634C0"/>
    <w:multiLevelType w:val="hybridMultilevel"/>
    <w:tmpl w:val="A0C2D9F0"/>
    <w:lvl w:ilvl="0" w:tplc="0BC4BFD4">
      <w:start w:val="1"/>
      <w:numFmt w:val="taiwaneseCountingThousand"/>
      <w:lvlText w:val="(%1)"/>
      <w:lvlJc w:val="left"/>
      <w:pPr>
        <w:ind w:left="720" w:hanging="480"/>
      </w:pPr>
      <w:rPr>
        <w:rFonts w:hint="eastAsia"/>
      </w:rPr>
    </w:lvl>
    <w:lvl w:ilvl="1" w:tplc="0BC4BFD4">
      <w:start w:val="1"/>
      <w:numFmt w:val="taiwaneseCountingThousand"/>
      <w:lvlText w:val="(%2)"/>
      <w:lvlJc w:val="left"/>
      <w:pPr>
        <w:ind w:left="1200" w:hanging="480"/>
      </w:pPr>
      <w:rPr>
        <w:rFonts w:hint="eastAsia"/>
      </w:rPr>
    </w:lvl>
    <w:lvl w:ilvl="2" w:tplc="465ED81C">
      <w:start w:val="1"/>
      <w:numFmt w:val="taiwaneseCountingThousand"/>
      <w:lvlText w:val="%3、"/>
      <w:lvlJc w:val="left"/>
      <w:pPr>
        <w:ind w:left="1660" w:hanging="4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0F43BC2"/>
    <w:multiLevelType w:val="hybridMultilevel"/>
    <w:tmpl w:val="1CA8CE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EF707D"/>
    <w:multiLevelType w:val="hybridMultilevel"/>
    <w:tmpl w:val="5C86E4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29775B"/>
    <w:multiLevelType w:val="hybridMultilevel"/>
    <w:tmpl w:val="06485D86"/>
    <w:lvl w:ilvl="0" w:tplc="392A6EE6">
      <w:start w:val="1"/>
      <w:numFmt w:val="taiwaneseCountingThousand"/>
      <w:lvlText w:val="%1、"/>
      <w:lvlJc w:val="left"/>
      <w:pPr>
        <w:ind w:left="1706" w:hanging="114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56216A6C"/>
    <w:multiLevelType w:val="hybridMultilevel"/>
    <w:tmpl w:val="6C52DF44"/>
    <w:lvl w:ilvl="0" w:tplc="B3541C42">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123DD2"/>
    <w:multiLevelType w:val="hybridMultilevel"/>
    <w:tmpl w:val="D654E8C6"/>
    <w:lvl w:ilvl="0" w:tplc="0BC4BFD4">
      <w:start w:val="1"/>
      <w:numFmt w:val="taiwaneseCountingThousand"/>
      <w:lvlText w:val="(%1)"/>
      <w:lvlJc w:val="left"/>
      <w:pPr>
        <w:ind w:left="720" w:hanging="480"/>
      </w:pPr>
      <w:rPr>
        <w:rFonts w:hint="eastAsia"/>
      </w:rPr>
    </w:lvl>
    <w:lvl w:ilvl="1" w:tplc="A790D2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2515E1E"/>
    <w:multiLevelType w:val="hybridMultilevel"/>
    <w:tmpl w:val="FB360A58"/>
    <w:lvl w:ilvl="0" w:tplc="0BC4BFD4">
      <w:start w:val="1"/>
      <w:numFmt w:val="taiwaneseCountingThousand"/>
      <w:lvlText w:val="(%1)"/>
      <w:lvlJc w:val="left"/>
      <w:pPr>
        <w:ind w:left="960" w:hanging="480"/>
      </w:pPr>
      <w:rPr>
        <w:rFonts w:hint="eastAsia"/>
      </w:rPr>
    </w:lvl>
    <w:lvl w:ilvl="1" w:tplc="0BC4BFD4">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2B01DD5"/>
    <w:multiLevelType w:val="hybridMultilevel"/>
    <w:tmpl w:val="4E3A62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112476"/>
    <w:multiLevelType w:val="hybridMultilevel"/>
    <w:tmpl w:val="068CA84A"/>
    <w:lvl w:ilvl="0" w:tplc="0BC4BFD4">
      <w:start w:val="1"/>
      <w:numFmt w:val="taiwaneseCountingThousand"/>
      <w:lvlText w:val="(%1)"/>
      <w:lvlJc w:val="left"/>
      <w:pPr>
        <w:ind w:left="720" w:hanging="480"/>
      </w:pPr>
      <w:rPr>
        <w:rFonts w:hint="eastAsia"/>
      </w:rPr>
    </w:lvl>
    <w:lvl w:ilvl="1" w:tplc="0BC4BFD4">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2"/>
  </w:num>
  <w:num w:numId="3">
    <w:abstractNumId w:val="0"/>
  </w:num>
  <w:num w:numId="4">
    <w:abstractNumId w:val="12"/>
  </w:num>
  <w:num w:numId="5">
    <w:abstractNumId w:val="7"/>
  </w:num>
  <w:num w:numId="6">
    <w:abstractNumId w:val="10"/>
  </w:num>
  <w:num w:numId="7">
    <w:abstractNumId w:val="13"/>
  </w:num>
  <w:num w:numId="8">
    <w:abstractNumId w:val="5"/>
  </w:num>
  <w:num w:numId="9">
    <w:abstractNumId w:val="3"/>
  </w:num>
  <w:num w:numId="10">
    <w:abstractNumId w:val="6"/>
  </w:num>
  <w:num w:numId="11">
    <w:abstractNumId w:val="1"/>
  </w:num>
  <w:num w:numId="12">
    <w:abstractNumId w:val="11"/>
  </w:num>
  <w:num w:numId="13">
    <w:abstractNumId w:val="8"/>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49"/>
    <w:rsid w:val="0000071C"/>
    <w:rsid w:val="00002044"/>
    <w:rsid w:val="000045D8"/>
    <w:rsid w:val="000113F0"/>
    <w:rsid w:val="00016476"/>
    <w:rsid w:val="0001742A"/>
    <w:rsid w:val="00020959"/>
    <w:rsid w:val="00026A44"/>
    <w:rsid w:val="000311DC"/>
    <w:rsid w:val="00032AA2"/>
    <w:rsid w:val="00033DF7"/>
    <w:rsid w:val="00036EBC"/>
    <w:rsid w:val="000435DB"/>
    <w:rsid w:val="000439F7"/>
    <w:rsid w:val="000443BF"/>
    <w:rsid w:val="00045DA0"/>
    <w:rsid w:val="00046A28"/>
    <w:rsid w:val="00051542"/>
    <w:rsid w:val="000544E5"/>
    <w:rsid w:val="000603E5"/>
    <w:rsid w:val="0006140F"/>
    <w:rsid w:val="000625C5"/>
    <w:rsid w:val="0006538F"/>
    <w:rsid w:val="00067740"/>
    <w:rsid w:val="00070E94"/>
    <w:rsid w:val="00071CB9"/>
    <w:rsid w:val="000727AB"/>
    <w:rsid w:val="00073D6B"/>
    <w:rsid w:val="00075081"/>
    <w:rsid w:val="00076A8E"/>
    <w:rsid w:val="00081245"/>
    <w:rsid w:val="00081932"/>
    <w:rsid w:val="00083655"/>
    <w:rsid w:val="000865C6"/>
    <w:rsid w:val="00087DDB"/>
    <w:rsid w:val="000911EF"/>
    <w:rsid w:val="00093E08"/>
    <w:rsid w:val="00094EDE"/>
    <w:rsid w:val="000A3CB6"/>
    <w:rsid w:val="000A47E0"/>
    <w:rsid w:val="000A4A91"/>
    <w:rsid w:val="000A4D89"/>
    <w:rsid w:val="000A6521"/>
    <w:rsid w:val="000A6948"/>
    <w:rsid w:val="000A7FA3"/>
    <w:rsid w:val="000B1085"/>
    <w:rsid w:val="000B2531"/>
    <w:rsid w:val="000B285B"/>
    <w:rsid w:val="000C1115"/>
    <w:rsid w:val="000C345D"/>
    <w:rsid w:val="000D098E"/>
    <w:rsid w:val="000D12E9"/>
    <w:rsid w:val="000D4DA8"/>
    <w:rsid w:val="000D508B"/>
    <w:rsid w:val="000D52F1"/>
    <w:rsid w:val="000D6697"/>
    <w:rsid w:val="000D6A1D"/>
    <w:rsid w:val="000E0EB1"/>
    <w:rsid w:val="000E4241"/>
    <w:rsid w:val="000E445D"/>
    <w:rsid w:val="000E4DA3"/>
    <w:rsid w:val="000E5A46"/>
    <w:rsid w:val="000E6937"/>
    <w:rsid w:val="001015F9"/>
    <w:rsid w:val="001068A5"/>
    <w:rsid w:val="00115120"/>
    <w:rsid w:val="00116EDA"/>
    <w:rsid w:val="00121E99"/>
    <w:rsid w:val="0012525B"/>
    <w:rsid w:val="00125D4E"/>
    <w:rsid w:val="001278D4"/>
    <w:rsid w:val="00130D21"/>
    <w:rsid w:val="00133E0A"/>
    <w:rsid w:val="00137AAA"/>
    <w:rsid w:val="001401DE"/>
    <w:rsid w:val="00142065"/>
    <w:rsid w:val="00142254"/>
    <w:rsid w:val="00144CBD"/>
    <w:rsid w:val="00145FC0"/>
    <w:rsid w:val="0014680B"/>
    <w:rsid w:val="00147094"/>
    <w:rsid w:val="001470E1"/>
    <w:rsid w:val="00153A61"/>
    <w:rsid w:val="00154BAB"/>
    <w:rsid w:val="0015678F"/>
    <w:rsid w:val="00156902"/>
    <w:rsid w:val="0015778C"/>
    <w:rsid w:val="0016143D"/>
    <w:rsid w:val="00167331"/>
    <w:rsid w:val="00170171"/>
    <w:rsid w:val="00172CBD"/>
    <w:rsid w:val="00172EEF"/>
    <w:rsid w:val="001812F7"/>
    <w:rsid w:val="00192C24"/>
    <w:rsid w:val="00192D5E"/>
    <w:rsid w:val="0019599F"/>
    <w:rsid w:val="00195FF2"/>
    <w:rsid w:val="00196360"/>
    <w:rsid w:val="001965B9"/>
    <w:rsid w:val="001967A8"/>
    <w:rsid w:val="001B4274"/>
    <w:rsid w:val="001B5743"/>
    <w:rsid w:val="001B77D2"/>
    <w:rsid w:val="001C2253"/>
    <w:rsid w:val="001C71D2"/>
    <w:rsid w:val="001C7DF6"/>
    <w:rsid w:val="001D2202"/>
    <w:rsid w:val="001D3F30"/>
    <w:rsid w:val="001E1B3E"/>
    <w:rsid w:val="001E2AAC"/>
    <w:rsid w:val="001E4B13"/>
    <w:rsid w:val="001F46DD"/>
    <w:rsid w:val="001F5EC5"/>
    <w:rsid w:val="001F6279"/>
    <w:rsid w:val="00200E38"/>
    <w:rsid w:val="00200FD6"/>
    <w:rsid w:val="002022C9"/>
    <w:rsid w:val="002026FF"/>
    <w:rsid w:val="00207466"/>
    <w:rsid w:val="00207785"/>
    <w:rsid w:val="0021237F"/>
    <w:rsid w:val="00216DBA"/>
    <w:rsid w:val="002246ED"/>
    <w:rsid w:val="00224974"/>
    <w:rsid w:val="00227435"/>
    <w:rsid w:val="00227976"/>
    <w:rsid w:val="00227CF2"/>
    <w:rsid w:val="00231CB3"/>
    <w:rsid w:val="0023216D"/>
    <w:rsid w:val="0023352A"/>
    <w:rsid w:val="00234D87"/>
    <w:rsid w:val="00240E22"/>
    <w:rsid w:val="00242113"/>
    <w:rsid w:val="00242230"/>
    <w:rsid w:val="002442EE"/>
    <w:rsid w:val="00246B68"/>
    <w:rsid w:val="00250853"/>
    <w:rsid w:val="00251C87"/>
    <w:rsid w:val="002522BB"/>
    <w:rsid w:val="0025669B"/>
    <w:rsid w:val="002569DC"/>
    <w:rsid w:val="0026048A"/>
    <w:rsid w:val="002606E6"/>
    <w:rsid w:val="002646D3"/>
    <w:rsid w:val="00264985"/>
    <w:rsid w:val="00264D88"/>
    <w:rsid w:val="002651F0"/>
    <w:rsid w:val="00266DE7"/>
    <w:rsid w:val="00267FCA"/>
    <w:rsid w:val="0027056B"/>
    <w:rsid w:val="002724D8"/>
    <w:rsid w:val="00274165"/>
    <w:rsid w:val="00274CF3"/>
    <w:rsid w:val="002760C6"/>
    <w:rsid w:val="0028081C"/>
    <w:rsid w:val="00282EC9"/>
    <w:rsid w:val="00284FFC"/>
    <w:rsid w:val="002877EC"/>
    <w:rsid w:val="002917FC"/>
    <w:rsid w:val="00293E06"/>
    <w:rsid w:val="00295B7D"/>
    <w:rsid w:val="002976BD"/>
    <w:rsid w:val="002A38BE"/>
    <w:rsid w:val="002A759E"/>
    <w:rsid w:val="002A7BDC"/>
    <w:rsid w:val="002B0DB1"/>
    <w:rsid w:val="002B22CA"/>
    <w:rsid w:val="002B37F3"/>
    <w:rsid w:val="002B5E8D"/>
    <w:rsid w:val="002B7D53"/>
    <w:rsid w:val="002C0200"/>
    <w:rsid w:val="002C250E"/>
    <w:rsid w:val="002C2B62"/>
    <w:rsid w:val="002C3662"/>
    <w:rsid w:val="002C37B2"/>
    <w:rsid w:val="002C5390"/>
    <w:rsid w:val="002D04A8"/>
    <w:rsid w:val="002D184F"/>
    <w:rsid w:val="002D206B"/>
    <w:rsid w:val="002D4E5A"/>
    <w:rsid w:val="002D51CC"/>
    <w:rsid w:val="002D75A9"/>
    <w:rsid w:val="002E178E"/>
    <w:rsid w:val="002E17C7"/>
    <w:rsid w:val="002E1AE8"/>
    <w:rsid w:val="002E4D63"/>
    <w:rsid w:val="002E519D"/>
    <w:rsid w:val="002E5972"/>
    <w:rsid w:val="002E624C"/>
    <w:rsid w:val="002F1EC0"/>
    <w:rsid w:val="002F2240"/>
    <w:rsid w:val="002F24EF"/>
    <w:rsid w:val="002F47B3"/>
    <w:rsid w:val="002F4F6C"/>
    <w:rsid w:val="003012FE"/>
    <w:rsid w:val="003018D6"/>
    <w:rsid w:val="00302B1C"/>
    <w:rsid w:val="00303690"/>
    <w:rsid w:val="003077C7"/>
    <w:rsid w:val="00313C17"/>
    <w:rsid w:val="00314C27"/>
    <w:rsid w:val="00316164"/>
    <w:rsid w:val="00320765"/>
    <w:rsid w:val="00334840"/>
    <w:rsid w:val="00336F89"/>
    <w:rsid w:val="0034159D"/>
    <w:rsid w:val="003441B9"/>
    <w:rsid w:val="00345B7E"/>
    <w:rsid w:val="00346154"/>
    <w:rsid w:val="00346655"/>
    <w:rsid w:val="00346753"/>
    <w:rsid w:val="0034678D"/>
    <w:rsid w:val="003473BB"/>
    <w:rsid w:val="0035506A"/>
    <w:rsid w:val="00356BCA"/>
    <w:rsid w:val="00360065"/>
    <w:rsid w:val="0036329B"/>
    <w:rsid w:val="00363A89"/>
    <w:rsid w:val="00366476"/>
    <w:rsid w:val="00370075"/>
    <w:rsid w:val="00371628"/>
    <w:rsid w:val="00373F1F"/>
    <w:rsid w:val="003750D8"/>
    <w:rsid w:val="00375206"/>
    <w:rsid w:val="0038154F"/>
    <w:rsid w:val="003821FC"/>
    <w:rsid w:val="00385EDD"/>
    <w:rsid w:val="003862A8"/>
    <w:rsid w:val="00387A76"/>
    <w:rsid w:val="00391296"/>
    <w:rsid w:val="00391D6C"/>
    <w:rsid w:val="00392076"/>
    <w:rsid w:val="003937F1"/>
    <w:rsid w:val="003A0011"/>
    <w:rsid w:val="003A0910"/>
    <w:rsid w:val="003A3850"/>
    <w:rsid w:val="003A3DAA"/>
    <w:rsid w:val="003A58E4"/>
    <w:rsid w:val="003A6005"/>
    <w:rsid w:val="003A74E0"/>
    <w:rsid w:val="003A7717"/>
    <w:rsid w:val="003B0205"/>
    <w:rsid w:val="003B0ED5"/>
    <w:rsid w:val="003B0F67"/>
    <w:rsid w:val="003B26CF"/>
    <w:rsid w:val="003B4F28"/>
    <w:rsid w:val="003C17DF"/>
    <w:rsid w:val="003C3B40"/>
    <w:rsid w:val="003C4495"/>
    <w:rsid w:val="003C44B7"/>
    <w:rsid w:val="003C49C2"/>
    <w:rsid w:val="003C4EB6"/>
    <w:rsid w:val="003C6241"/>
    <w:rsid w:val="003C6D75"/>
    <w:rsid w:val="003D038D"/>
    <w:rsid w:val="003D1D8B"/>
    <w:rsid w:val="003E31F1"/>
    <w:rsid w:val="003E4E84"/>
    <w:rsid w:val="003E56C0"/>
    <w:rsid w:val="003F0D3A"/>
    <w:rsid w:val="003F1B07"/>
    <w:rsid w:val="003F1C87"/>
    <w:rsid w:val="003F25D1"/>
    <w:rsid w:val="003F49F8"/>
    <w:rsid w:val="00403EAD"/>
    <w:rsid w:val="00405175"/>
    <w:rsid w:val="00405B9D"/>
    <w:rsid w:val="004074E3"/>
    <w:rsid w:val="004104BE"/>
    <w:rsid w:val="00413B76"/>
    <w:rsid w:val="00414296"/>
    <w:rsid w:val="0042244F"/>
    <w:rsid w:val="00425CA0"/>
    <w:rsid w:val="004262D5"/>
    <w:rsid w:val="00427F75"/>
    <w:rsid w:val="004313F8"/>
    <w:rsid w:val="00431495"/>
    <w:rsid w:val="004347B1"/>
    <w:rsid w:val="00434F07"/>
    <w:rsid w:val="00437EFB"/>
    <w:rsid w:val="00437F62"/>
    <w:rsid w:val="004420F8"/>
    <w:rsid w:val="0044716A"/>
    <w:rsid w:val="00451A38"/>
    <w:rsid w:val="0045273A"/>
    <w:rsid w:val="004528C8"/>
    <w:rsid w:val="004534D0"/>
    <w:rsid w:val="00457495"/>
    <w:rsid w:val="00457D40"/>
    <w:rsid w:val="004628BD"/>
    <w:rsid w:val="00467017"/>
    <w:rsid w:val="00467623"/>
    <w:rsid w:val="004721A1"/>
    <w:rsid w:val="00476252"/>
    <w:rsid w:val="00476682"/>
    <w:rsid w:val="00477146"/>
    <w:rsid w:val="00480596"/>
    <w:rsid w:val="0048354F"/>
    <w:rsid w:val="004843E7"/>
    <w:rsid w:val="004844F5"/>
    <w:rsid w:val="00484512"/>
    <w:rsid w:val="00485C0A"/>
    <w:rsid w:val="00485D31"/>
    <w:rsid w:val="00485EC5"/>
    <w:rsid w:val="00490877"/>
    <w:rsid w:val="00490D6A"/>
    <w:rsid w:val="004911A9"/>
    <w:rsid w:val="00491A64"/>
    <w:rsid w:val="00494C0F"/>
    <w:rsid w:val="0049529D"/>
    <w:rsid w:val="00495377"/>
    <w:rsid w:val="00496023"/>
    <w:rsid w:val="004A3BCC"/>
    <w:rsid w:val="004A4D53"/>
    <w:rsid w:val="004A4FFD"/>
    <w:rsid w:val="004A641B"/>
    <w:rsid w:val="004A6785"/>
    <w:rsid w:val="004B1E20"/>
    <w:rsid w:val="004B2190"/>
    <w:rsid w:val="004B2AC6"/>
    <w:rsid w:val="004B3128"/>
    <w:rsid w:val="004B5DC2"/>
    <w:rsid w:val="004B663C"/>
    <w:rsid w:val="004B6F2C"/>
    <w:rsid w:val="004C025A"/>
    <w:rsid w:val="004C06AB"/>
    <w:rsid w:val="004C25C0"/>
    <w:rsid w:val="004C33AA"/>
    <w:rsid w:val="004C4530"/>
    <w:rsid w:val="004C51A3"/>
    <w:rsid w:val="004C696E"/>
    <w:rsid w:val="004C7DD6"/>
    <w:rsid w:val="004D2759"/>
    <w:rsid w:val="004D746B"/>
    <w:rsid w:val="004D7C4E"/>
    <w:rsid w:val="004E0CEE"/>
    <w:rsid w:val="004E111F"/>
    <w:rsid w:val="004E1683"/>
    <w:rsid w:val="004E27B0"/>
    <w:rsid w:val="004E3845"/>
    <w:rsid w:val="004E6831"/>
    <w:rsid w:val="004E7B77"/>
    <w:rsid w:val="004F021D"/>
    <w:rsid w:val="004F6628"/>
    <w:rsid w:val="004F6751"/>
    <w:rsid w:val="004F70D8"/>
    <w:rsid w:val="00501AD2"/>
    <w:rsid w:val="00501E3D"/>
    <w:rsid w:val="00504F16"/>
    <w:rsid w:val="00505005"/>
    <w:rsid w:val="00505275"/>
    <w:rsid w:val="0050726D"/>
    <w:rsid w:val="00507325"/>
    <w:rsid w:val="0051084C"/>
    <w:rsid w:val="00510C5C"/>
    <w:rsid w:val="00511E59"/>
    <w:rsid w:val="0051200F"/>
    <w:rsid w:val="0051295B"/>
    <w:rsid w:val="00513D91"/>
    <w:rsid w:val="005142BD"/>
    <w:rsid w:val="00515B2F"/>
    <w:rsid w:val="00516406"/>
    <w:rsid w:val="00520581"/>
    <w:rsid w:val="0052455A"/>
    <w:rsid w:val="005251C8"/>
    <w:rsid w:val="005256AD"/>
    <w:rsid w:val="00527185"/>
    <w:rsid w:val="005308C5"/>
    <w:rsid w:val="00530BCE"/>
    <w:rsid w:val="005312F2"/>
    <w:rsid w:val="00532DE6"/>
    <w:rsid w:val="0053641E"/>
    <w:rsid w:val="00536D6C"/>
    <w:rsid w:val="00537A58"/>
    <w:rsid w:val="00540DB5"/>
    <w:rsid w:val="0054229B"/>
    <w:rsid w:val="00542BFD"/>
    <w:rsid w:val="0054325E"/>
    <w:rsid w:val="00550425"/>
    <w:rsid w:val="00550517"/>
    <w:rsid w:val="00550B87"/>
    <w:rsid w:val="00551320"/>
    <w:rsid w:val="005520B7"/>
    <w:rsid w:val="00553729"/>
    <w:rsid w:val="005564AA"/>
    <w:rsid w:val="00556A9C"/>
    <w:rsid w:val="0056246D"/>
    <w:rsid w:val="00563DAC"/>
    <w:rsid w:val="0056501A"/>
    <w:rsid w:val="0057310F"/>
    <w:rsid w:val="0057332B"/>
    <w:rsid w:val="0057369F"/>
    <w:rsid w:val="0057633B"/>
    <w:rsid w:val="00577642"/>
    <w:rsid w:val="00583C0B"/>
    <w:rsid w:val="00583E10"/>
    <w:rsid w:val="0058509F"/>
    <w:rsid w:val="00585702"/>
    <w:rsid w:val="00585979"/>
    <w:rsid w:val="00586C31"/>
    <w:rsid w:val="00592279"/>
    <w:rsid w:val="005930B8"/>
    <w:rsid w:val="00593A92"/>
    <w:rsid w:val="00594999"/>
    <w:rsid w:val="00594A9D"/>
    <w:rsid w:val="00594CDC"/>
    <w:rsid w:val="005A1AB5"/>
    <w:rsid w:val="005A2F4D"/>
    <w:rsid w:val="005A355D"/>
    <w:rsid w:val="005A3B53"/>
    <w:rsid w:val="005A3D1E"/>
    <w:rsid w:val="005A3F4E"/>
    <w:rsid w:val="005B15B2"/>
    <w:rsid w:val="005B3E4B"/>
    <w:rsid w:val="005B41C9"/>
    <w:rsid w:val="005B47E9"/>
    <w:rsid w:val="005C0AB8"/>
    <w:rsid w:val="005C2945"/>
    <w:rsid w:val="005C4B01"/>
    <w:rsid w:val="005D2469"/>
    <w:rsid w:val="005D3402"/>
    <w:rsid w:val="005D45C5"/>
    <w:rsid w:val="005D4BA9"/>
    <w:rsid w:val="005D509E"/>
    <w:rsid w:val="005D717E"/>
    <w:rsid w:val="005D7430"/>
    <w:rsid w:val="005E0354"/>
    <w:rsid w:val="005E1119"/>
    <w:rsid w:val="005E1B80"/>
    <w:rsid w:val="005E2435"/>
    <w:rsid w:val="005E4B6F"/>
    <w:rsid w:val="005E4C36"/>
    <w:rsid w:val="005E6EA1"/>
    <w:rsid w:val="005F0376"/>
    <w:rsid w:val="005F1DDF"/>
    <w:rsid w:val="005F2974"/>
    <w:rsid w:val="005F5C30"/>
    <w:rsid w:val="005F786A"/>
    <w:rsid w:val="00603390"/>
    <w:rsid w:val="006047E1"/>
    <w:rsid w:val="00607808"/>
    <w:rsid w:val="00611384"/>
    <w:rsid w:val="00613C88"/>
    <w:rsid w:val="006146CB"/>
    <w:rsid w:val="00614D2C"/>
    <w:rsid w:val="00616563"/>
    <w:rsid w:val="00616AC7"/>
    <w:rsid w:val="00617043"/>
    <w:rsid w:val="006175BF"/>
    <w:rsid w:val="00617C2B"/>
    <w:rsid w:val="00620ECB"/>
    <w:rsid w:val="006216C5"/>
    <w:rsid w:val="0062200E"/>
    <w:rsid w:val="006227F0"/>
    <w:rsid w:val="00626059"/>
    <w:rsid w:val="006306C9"/>
    <w:rsid w:val="0063222F"/>
    <w:rsid w:val="00637BEA"/>
    <w:rsid w:val="00640105"/>
    <w:rsid w:val="00640572"/>
    <w:rsid w:val="00641B50"/>
    <w:rsid w:val="006421B9"/>
    <w:rsid w:val="0064530B"/>
    <w:rsid w:val="0064788E"/>
    <w:rsid w:val="0065349C"/>
    <w:rsid w:val="00653F5D"/>
    <w:rsid w:val="00654682"/>
    <w:rsid w:val="00654AA8"/>
    <w:rsid w:val="00662804"/>
    <w:rsid w:val="00664757"/>
    <w:rsid w:val="00664B0C"/>
    <w:rsid w:val="00665235"/>
    <w:rsid w:val="00665DEC"/>
    <w:rsid w:val="00666A75"/>
    <w:rsid w:val="00670CF9"/>
    <w:rsid w:val="006713EF"/>
    <w:rsid w:val="00673836"/>
    <w:rsid w:val="00673B77"/>
    <w:rsid w:val="0067499C"/>
    <w:rsid w:val="00675D7D"/>
    <w:rsid w:val="00677ED6"/>
    <w:rsid w:val="006830F8"/>
    <w:rsid w:val="0068466F"/>
    <w:rsid w:val="00687701"/>
    <w:rsid w:val="00687937"/>
    <w:rsid w:val="00692F58"/>
    <w:rsid w:val="0069312F"/>
    <w:rsid w:val="006957A0"/>
    <w:rsid w:val="0069668D"/>
    <w:rsid w:val="00696822"/>
    <w:rsid w:val="006A11C2"/>
    <w:rsid w:val="006A1548"/>
    <w:rsid w:val="006A2425"/>
    <w:rsid w:val="006A7CC0"/>
    <w:rsid w:val="006B6C6D"/>
    <w:rsid w:val="006C40F8"/>
    <w:rsid w:val="006C4BDA"/>
    <w:rsid w:val="006C4F65"/>
    <w:rsid w:val="006C5672"/>
    <w:rsid w:val="006C5B68"/>
    <w:rsid w:val="006D0337"/>
    <w:rsid w:val="006D0709"/>
    <w:rsid w:val="006D0E3D"/>
    <w:rsid w:val="006D389D"/>
    <w:rsid w:val="006D3E57"/>
    <w:rsid w:val="006D6281"/>
    <w:rsid w:val="006D7953"/>
    <w:rsid w:val="006D7EBA"/>
    <w:rsid w:val="006D7EF3"/>
    <w:rsid w:val="006E0C64"/>
    <w:rsid w:val="006E77F6"/>
    <w:rsid w:val="006F1E52"/>
    <w:rsid w:val="006F4AF1"/>
    <w:rsid w:val="006F60F8"/>
    <w:rsid w:val="006F7A5C"/>
    <w:rsid w:val="007001DB"/>
    <w:rsid w:val="007032CF"/>
    <w:rsid w:val="007042CF"/>
    <w:rsid w:val="007115C3"/>
    <w:rsid w:val="00712CB1"/>
    <w:rsid w:val="00713020"/>
    <w:rsid w:val="00715DAF"/>
    <w:rsid w:val="007169FE"/>
    <w:rsid w:val="0071713B"/>
    <w:rsid w:val="00717509"/>
    <w:rsid w:val="0072173A"/>
    <w:rsid w:val="0072233F"/>
    <w:rsid w:val="007224EC"/>
    <w:rsid w:val="00722D44"/>
    <w:rsid w:val="0072461B"/>
    <w:rsid w:val="00726397"/>
    <w:rsid w:val="00727434"/>
    <w:rsid w:val="00727FDD"/>
    <w:rsid w:val="00731E6A"/>
    <w:rsid w:val="0073230C"/>
    <w:rsid w:val="00733850"/>
    <w:rsid w:val="00734E19"/>
    <w:rsid w:val="00735563"/>
    <w:rsid w:val="00736E7F"/>
    <w:rsid w:val="00736FB6"/>
    <w:rsid w:val="00742849"/>
    <w:rsid w:val="00745CE5"/>
    <w:rsid w:val="00746857"/>
    <w:rsid w:val="00747289"/>
    <w:rsid w:val="00750311"/>
    <w:rsid w:val="00753D72"/>
    <w:rsid w:val="007551D8"/>
    <w:rsid w:val="0075553E"/>
    <w:rsid w:val="00762220"/>
    <w:rsid w:val="007674B3"/>
    <w:rsid w:val="00770EFB"/>
    <w:rsid w:val="00772283"/>
    <w:rsid w:val="00777280"/>
    <w:rsid w:val="00781119"/>
    <w:rsid w:val="00782867"/>
    <w:rsid w:val="00782D55"/>
    <w:rsid w:val="0078460B"/>
    <w:rsid w:val="007848B2"/>
    <w:rsid w:val="00790FB1"/>
    <w:rsid w:val="0079194D"/>
    <w:rsid w:val="00791A73"/>
    <w:rsid w:val="00791E1B"/>
    <w:rsid w:val="007956A7"/>
    <w:rsid w:val="00796E76"/>
    <w:rsid w:val="007A3141"/>
    <w:rsid w:val="007A7800"/>
    <w:rsid w:val="007A7DB0"/>
    <w:rsid w:val="007B21FC"/>
    <w:rsid w:val="007B2BB6"/>
    <w:rsid w:val="007B3024"/>
    <w:rsid w:val="007C0D39"/>
    <w:rsid w:val="007C1219"/>
    <w:rsid w:val="007C1B02"/>
    <w:rsid w:val="007C2701"/>
    <w:rsid w:val="007C3298"/>
    <w:rsid w:val="007C3515"/>
    <w:rsid w:val="007C3B22"/>
    <w:rsid w:val="007C4D58"/>
    <w:rsid w:val="007C721E"/>
    <w:rsid w:val="007D080C"/>
    <w:rsid w:val="007D08AB"/>
    <w:rsid w:val="007D2D88"/>
    <w:rsid w:val="007D58BC"/>
    <w:rsid w:val="007D65DA"/>
    <w:rsid w:val="007D6BA6"/>
    <w:rsid w:val="007D7533"/>
    <w:rsid w:val="007E1E76"/>
    <w:rsid w:val="007E27C9"/>
    <w:rsid w:val="007E2E83"/>
    <w:rsid w:val="007E3DDB"/>
    <w:rsid w:val="007E5329"/>
    <w:rsid w:val="007E5B61"/>
    <w:rsid w:val="007E78D7"/>
    <w:rsid w:val="007F00C7"/>
    <w:rsid w:val="007F0C4B"/>
    <w:rsid w:val="007F1193"/>
    <w:rsid w:val="007F1BE4"/>
    <w:rsid w:val="007F1CF0"/>
    <w:rsid w:val="007F66FA"/>
    <w:rsid w:val="008040D6"/>
    <w:rsid w:val="00804400"/>
    <w:rsid w:val="00806C28"/>
    <w:rsid w:val="00806DBB"/>
    <w:rsid w:val="00812BD7"/>
    <w:rsid w:val="008166CA"/>
    <w:rsid w:val="00817375"/>
    <w:rsid w:val="00817B8F"/>
    <w:rsid w:val="00823A99"/>
    <w:rsid w:val="0082747E"/>
    <w:rsid w:val="0083085C"/>
    <w:rsid w:val="00830C02"/>
    <w:rsid w:val="00831559"/>
    <w:rsid w:val="008324AA"/>
    <w:rsid w:val="00832C70"/>
    <w:rsid w:val="00834E18"/>
    <w:rsid w:val="00835ABA"/>
    <w:rsid w:val="00836DDE"/>
    <w:rsid w:val="00842D82"/>
    <w:rsid w:val="008449BF"/>
    <w:rsid w:val="008451CC"/>
    <w:rsid w:val="00846404"/>
    <w:rsid w:val="00847511"/>
    <w:rsid w:val="00847C48"/>
    <w:rsid w:val="0085114A"/>
    <w:rsid w:val="00853761"/>
    <w:rsid w:val="00853CE4"/>
    <w:rsid w:val="008551FF"/>
    <w:rsid w:val="00855B85"/>
    <w:rsid w:val="00855CC3"/>
    <w:rsid w:val="008561F0"/>
    <w:rsid w:val="00857907"/>
    <w:rsid w:val="00857D5A"/>
    <w:rsid w:val="00857DA5"/>
    <w:rsid w:val="008600FC"/>
    <w:rsid w:val="00862815"/>
    <w:rsid w:val="0086324D"/>
    <w:rsid w:val="00863A5A"/>
    <w:rsid w:val="00864651"/>
    <w:rsid w:val="00865322"/>
    <w:rsid w:val="00866116"/>
    <w:rsid w:val="00870F79"/>
    <w:rsid w:val="00872B83"/>
    <w:rsid w:val="00887D53"/>
    <w:rsid w:val="008973BB"/>
    <w:rsid w:val="008A0DA8"/>
    <w:rsid w:val="008A4EAA"/>
    <w:rsid w:val="008B0C64"/>
    <w:rsid w:val="008B40BE"/>
    <w:rsid w:val="008B4E96"/>
    <w:rsid w:val="008B4F9B"/>
    <w:rsid w:val="008B6D09"/>
    <w:rsid w:val="008B71F0"/>
    <w:rsid w:val="008B7990"/>
    <w:rsid w:val="008C0FF3"/>
    <w:rsid w:val="008C1F2E"/>
    <w:rsid w:val="008C3473"/>
    <w:rsid w:val="008C46AB"/>
    <w:rsid w:val="008C4AB9"/>
    <w:rsid w:val="008C4C4A"/>
    <w:rsid w:val="008C534F"/>
    <w:rsid w:val="008C7AA8"/>
    <w:rsid w:val="008D280F"/>
    <w:rsid w:val="008D3D20"/>
    <w:rsid w:val="008D775F"/>
    <w:rsid w:val="008E1449"/>
    <w:rsid w:val="008E2972"/>
    <w:rsid w:val="008E3050"/>
    <w:rsid w:val="008E4D46"/>
    <w:rsid w:val="008E562D"/>
    <w:rsid w:val="008F1D39"/>
    <w:rsid w:val="008F2960"/>
    <w:rsid w:val="008F2C1A"/>
    <w:rsid w:val="008F5FC8"/>
    <w:rsid w:val="008F7C81"/>
    <w:rsid w:val="00900A55"/>
    <w:rsid w:val="0090109A"/>
    <w:rsid w:val="009018D8"/>
    <w:rsid w:val="00902F90"/>
    <w:rsid w:val="0091027A"/>
    <w:rsid w:val="00913E5C"/>
    <w:rsid w:val="00916EB7"/>
    <w:rsid w:val="00917CBA"/>
    <w:rsid w:val="00920441"/>
    <w:rsid w:val="00921492"/>
    <w:rsid w:val="0092389B"/>
    <w:rsid w:val="00926A27"/>
    <w:rsid w:val="00926E18"/>
    <w:rsid w:val="00931087"/>
    <w:rsid w:val="009341C7"/>
    <w:rsid w:val="00937FAE"/>
    <w:rsid w:val="009405CB"/>
    <w:rsid w:val="00942222"/>
    <w:rsid w:val="00942725"/>
    <w:rsid w:val="00942D50"/>
    <w:rsid w:val="00942FD9"/>
    <w:rsid w:val="00946FE1"/>
    <w:rsid w:val="00947387"/>
    <w:rsid w:val="00950050"/>
    <w:rsid w:val="009548BB"/>
    <w:rsid w:val="00961836"/>
    <w:rsid w:val="00962108"/>
    <w:rsid w:val="00964C47"/>
    <w:rsid w:val="009677E6"/>
    <w:rsid w:val="0097008A"/>
    <w:rsid w:val="00972349"/>
    <w:rsid w:val="00972714"/>
    <w:rsid w:val="00973301"/>
    <w:rsid w:val="0097695C"/>
    <w:rsid w:val="00980B8F"/>
    <w:rsid w:val="0098228E"/>
    <w:rsid w:val="0098345A"/>
    <w:rsid w:val="0098520E"/>
    <w:rsid w:val="00986D61"/>
    <w:rsid w:val="00987073"/>
    <w:rsid w:val="0098731B"/>
    <w:rsid w:val="009940D6"/>
    <w:rsid w:val="0099518C"/>
    <w:rsid w:val="00996C15"/>
    <w:rsid w:val="00997510"/>
    <w:rsid w:val="009A04D3"/>
    <w:rsid w:val="009A253D"/>
    <w:rsid w:val="009A2A48"/>
    <w:rsid w:val="009A2F3D"/>
    <w:rsid w:val="009A53BC"/>
    <w:rsid w:val="009A773A"/>
    <w:rsid w:val="009B04C4"/>
    <w:rsid w:val="009B0E5B"/>
    <w:rsid w:val="009B251C"/>
    <w:rsid w:val="009B2557"/>
    <w:rsid w:val="009B2BEF"/>
    <w:rsid w:val="009B5577"/>
    <w:rsid w:val="009B69F4"/>
    <w:rsid w:val="009C02F0"/>
    <w:rsid w:val="009C2072"/>
    <w:rsid w:val="009C4A69"/>
    <w:rsid w:val="009D01B2"/>
    <w:rsid w:val="009D4D9E"/>
    <w:rsid w:val="009D5F6E"/>
    <w:rsid w:val="009D67AB"/>
    <w:rsid w:val="009D77E3"/>
    <w:rsid w:val="009E1088"/>
    <w:rsid w:val="009E1D38"/>
    <w:rsid w:val="009E21C9"/>
    <w:rsid w:val="009E4947"/>
    <w:rsid w:val="009E5884"/>
    <w:rsid w:val="009F061A"/>
    <w:rsid w:val="009F153C"/>
    <w:rsid w:val="009F1F03"/>
    <w:rsid w:val="009F486A"/>
    <w:rsid w:val="009F4874"/>
    <w:rsid w:val="009F54BB"/>
    <w:rsid w:val="009F73B8"/>
    <w:rsid w:val="00A00468"/>
    <w:rsid w:val="00A00AF6"/>
    <w:rsid w:val="00A0199A"/>
    <w:rsid w:val="00A02F83"/>
    <w:rsid w:val="00A07809"/>
    <w:rsid w:val="00A1089E"/>
    <w:rsid w:val="00A11762"/>
    <w:rsid w:val="00A137C0"/>
    <w:rsid w:val="00A13ACC"/>
    <w:rsid w:val="00A171E9"/>
    <w:rsid w:val="00A174A7"/>
    <w:rsid w:val="00A234F0"/>
    <w:rsid w:val="00A236CF"/>
    <w:rsid w:val="00A26BC3"/>
    <w:rsid w:val="00A310D3"/>
    <w:rsid w:val="00A3249A"/>
    <w:rsid w:val="00A37660"/>
    <w:rsid w:val="00A3792D"/>
    <w:rsid w:val="00A42DB2"/>
    <w:rsid w:val="00A51D26"/>
    <w:rsid w:val="00A56CF5"/>
    <w:rsid w:val="00A6017E"/>
    <w:rsid w:val="00A6234C"/>
    <w:rsid w:val="00A6483D"/>
    <w:rsid w:val="00A65BFA"/>
    <w:rsid w:val="00A66F3C"/>
    <w:rsid w:val="00A67BF5"/>
    <w:rsid w:val="00A73542"/>
    <w:rsid w:val="00A7406D"/>
    <w:rsid w:val="00A74F2B"/>
    <w:rsid w:val="00A75D9C"/>
    <w:rsid w:val="00A77918"/>
    <w:rsid w:val="00A80E7B"/>
    <w:rsid w:val="00A82002"/>
    <w:rsid w:val="00A86DD2"/>
    <w:rsid w:val="00A87BAC"/>
    <w:rsid w:val="00A904FB"/>
    <w:rsid w:val="00A95E0F"/>
    <w:rsid w:val="00A97E00"/>
    <w:rsid w:val="00AA20BF"/>
    <w:rsid w:val="00AA3157"/>
    <w:rsid w:val="00AA4D3A"/>
    <w:rsid w:val="00AA55EC"/>
    <w:rsid w:val="00AA586C"/>
    <w:rsid w:val="00AA5BD0"/>
    <w:rsid w:val="00AA6438"/>
    <w:rsid w:val="00AB1DDC"/>
    <w:rsid w:val="00AB24B0"/>
    <w:rsid w:val="00AB3A99"/>
    <w:rsid w:val="00AB68CE"/>
    <w:rsid w:val="00AB6B6B"/>
    <w:rsid w:val="00AC000F"/>
    <w:rsid w:val="00AC1591"/>
    <w:rsid w:val="00AC3329"/>
    <w:rsid w:val="00AE0CCC"/>
    <w:rsid w:val="00AE1063"/>
    <w:rsid w:val="00AE2B59"/>
    <w:rsid w:val="00AE396B"/>
    <w:rsid w:val="00AE3D0E"/>
    <w:rsid w:val="00AE5FF5"/>
    <w:rsid w:val="00AE75B4"/>
    <w:rsid w:val="00AE78B4"/>
    <w:rsid w:val="00AF1572"/>
    <w:rsid w:val="00AF3EE7"/>
    <w:rsid w:val="00AF45F1"/>
    <w:rsid w:val="00AF6482"/>
    <w:rsid w:val="00B1113F"/>
    <w:rsid w:val="00B11BA0"/>
    <w:rsid w:val="00B11EF8"/>
    <w:rsid w:val="00B14416"/>
    <w:rsid w:val="00B15206"/>
    <w:rsid w:val="00B163BB"/>
    <w:rsid w:val="00B23321"/>
    <w:rsid w:val="00B23525"/>
    <w:rsid w:val="00B32926"/>
    <w:rsid w:val="00B3326D"/>
    <w:rsid w:val="00B33585"/>
    <w:rsid w:val="00B346F0"/>
    <w:rsid w:val="00B35215"/>
    <w:rsid w:val="00B35E35"/>
    <w:rsid w:val="00B36E61"/>
    <w:rsid w:val="00B402DE"/>
    <w:rsid w:val="00B4291D"/>
    <w:rsid w:val="00B445E3"/>
    <w:rsid w:val="00B52F09"/>
    <w:rsid w:val="00B56E99"/>
    <w:rsid w:val="00B620D5"/>
    <w:rsid w:val="00B62345"/>
    <w:rsid w:val="00B63EF5"/>
    <w:rsid w:val="00B649C1"/>
    <w:rsid w:val="00B70329"/>
    <w:rsid w:val="00B7661B"/>
    <w:rsid w:val="00B84A78"/>
    <w:rsid w:val="00B86141"/>
    <w:rsid w:val="00B87205"/>
    <w:rsid w:val="00B947A5"/>
    <w:rsid w:val="00B96DED"/>
    <w:rsid w:val="00B97A85"/>
    <w:rsid w:val="00B97C07"/>
    <w:rsid w:val="00BA0D49"/>
    <w:rsid w:val="00BA2284"/>
    <w:rsid w:val="00BA26F8"/>
    <w:rsid w:val="00BA7D65"/>
    <w:rsid w:val="00BB13B7"/>
    <w:rsid w:val="00BB1811"/>
    <w:rsid w:val="00BB2E13"/>
    <w:rsid w:val="00BB3C91"/>
    <w:rsid w:val="00BB5A86"/>
    <w:rsid w:val="00BB70CE"/>
    <w:rsid w:val="00BC15A8"/>
    <w:rsid w:val="00BC1BF5"/>
    <w:rsid w:val="00BC28FE"/>
    <w:rsid w:val="00BC4E99"/>
    <w:rsid w:val="00BC525E"/>
    <w:rsid w:val="00BC555D"/>
    <w:rsid w:val="00BD0E11"/>
    <w:rsid w:val="00BD199C"/>
    <w:rsid w:val="00BD3B5F"/>
    <w:rsid w:val="00BD485E"/>
    <w:rsid w:val="00BD4F1C"/>
    <w:rsid w:val="00BD6359"/>
    <w:rsid w:val="00BE0BB0"/>
    <w:rsid w:val="00BE12BB"/>
    <w:rsid w:val="00BE2472"/>
    <w:rsid w:val="00BE302B"/>
    <w:rsid w:val="00BE3AFD"/>
    <w:rsid w:val="00BE5091"/>
    <w:rsid w:val="00BE6ED5"/>
    <w:rsid w:val="00BE72CD"/>
    <w:rsid w:val="00BF1AD2"/>
    <w:rsid w:val="00BF2344"/>
    <w:rsid w:val="00BF46C7"/>
    <w:rsid w:val="00BF4990"/>
    <w:rsid w:val="00BF599D"/>
    <w:rsid w:val="00C02803"/>
    <w:rsid w:val="00C06B3E"/>
    <w:rsid w:val="00C070B7"/>
    <w:rsid w:val="00C072BF"/>
    <w:rsid w:val="00C074BF"/>
    <w:rsid w:val="00C212EC"/>
    <w:rsid w:val="00C225B1"/>
    <w:rsid w:val="00C22E6E"/>
    <w:rsid w:val="00C30AF0"/>
    <w:rsid w:val="00C320F5"/>
    <w:rsid w:val="00C367D1"/>
    <w:rsid w:val="00C4144D"/>
    <w:rsid w:val="00C435D9"/>
    <w:rsid w:val="00C4773D"/>
    <w:rsid w:val="00C520BA"/>
    <w:rsid w:val="00C52137"/>
    <w:rsid w:val="00C52CB6"/>
    <w:rsid w:val="00C53025"/>
    <w:rsid w:val="00C530C7"/>
    <w:rsid w:val="00C54075"/>
    <w:rsid w:val="00C56188"/>
    <w:rsid w:val="00C569E0"/>
    <w:rsid w:val="00C62E44"/>
    <w:rsid w:val="00C62E63"/>
    <w:rsid w:val="00C649F0"/>
    <w:rsid w:val="00C71198"/>
    <w:rsid w:val="00C73084"/>
    <w:rsid w:val="00C7365A"/>
    <w:rsid w:val="00C73BA7"/>
    <w:rsid w:val="00C74F22"/>
    <w:rsid w:val="00C77234"/>
    <w:rsid w:val="00C8071A"/>
    <w:rsid w:val="00C8148C"/>
    <w:rsid w:val="00C83AA4"/>
    <w:rsid w:val="00C8481C"/>
    <w:rsid w:val="00C84880"/>
    <w:rsid w:val="00C8538C"/>
    <w:rsid w:val="00C85614"/>
    <w:rsid w:val="00C90569"/>
    <w:rsid w:val="00C9113C"/>
    <w:rsid w:val="00C94923"/>
    <w:rsid w:val="00CA030E"/>
    <w:rsid w:val="00CA12F5"/>
    <w:rsid w:val="00CA141C"/>
    <w:rsid w:val="00CA284E"/>
    <w:rsid w:val="00CA4AC2"/>
    <w:rsid w:val="00CA73B4"/>
    <w:rsid w:val="00CA7CAA"/>
    <w:rsid w:val="00CB18B4"/>
    <w:rsid w:val="00CB3841"/>
    <w:rsid w:val="00CB6859"/>
    <w:rsid w:val="00CB73B5"/>
    <w:rsid w:val="00CC4A5F"/>
    <w:rsid w:val="00CD3542"/>
    <w:rsid w:val="00CD4023"/>
    <w:rsid w:val="00CD4603"/>
    <w:rsid w:val="00CD7A44"/>
    <w:rsid w:val="00CE0C25"/>
    <w:rsid w:val="00CE1DDD"/>
    <w:rsid w:val="00CE3024"/>
    <w:rsid w:val="00CE6CDD"/>
    <w:rsid w:val="00CE6F54"/>
    <w:rsid w:val="00CE71EA"/>
    <w:rsid w:val="00CF2D4F"/>
    <w:rsid w:val="00CF3F51"/>
    <w:rsid w:val="00CF6CA2"/>
    <w:rsid w:val="00D01BDF"/>
    <w:rsid w:val="00D0205E"/>
    <w:rsid w:val="00D03537"/>
    <w:rsid w:val="00D04212"/>
    <w:rsid w:val="00D0541D"/>
    <w:rsid w:val="00D06807"/>
    <w:rsid w:val="00D07EA4"/>
    <w:rsid w:val="00D12369"/>
    <w:rsid w:val="00D124A7"/>
    <w:rsid w:val="00D150FE"/>
    <w:rsid w:val="00D155B6"/>
    <w:rsid w:val="00D21AC6"/>
    <w:rsid w:val="00D23479"/>
    <w:rsid w:val="00D2608A"/>
    <w:rsid w:val="00D30625"/>
    <w:rsid w:val="00D33E6B"/>
    <w:rsid w:val="00D367F2"/>
    <w:rsid w:val="00D37022"/>
    <w:rsid w:val="00D37619"/>
    <w:rsid w:val="00D402F0"/>
    <w:rsid w:val="00D41967"/>
    <w:rsid w:val="00D42159"/>
    <w:rsid w:val="00D424C0"/>
    <w:rsid w:val="00D42674"/>
    <w:rsid w:val="00D447DF"/>
    <w:rsid w:val="00D453EE"/>
    <w:rsid w:val="00D50F6A"/>
    <w:rsid w:val="00D55CA6"/>
    <w:rsid w:val="00D618D4"/>
    <w:rsid w:val="00D645CA"/>
    <w:rsid w:val="00D71DA2"/>
    <w:rsid w:val="00D72296"/>
    <w:rsid w:val="00D72A30"/>
    <w:rsid w:val="00D73095"/>
    <w:rsid w:val="00D73ED8"/>
    <w:rsid w:val="00D803B7"/>
    <w:rsid w:val="00D80A15"/>
    <w:rsid w:val="00D864D0"/>
    <w:rsid w:val="00D87505"/>
    <w:rsid w:val="00D87632"/>
    <w:rsid w:val="00D90835"/>
    <w:rsid w:val="00D915AA"/>
    <w:rsid w:val="00D928BE"/>
    <w:rsid w:val="00D9411D"/>
    <w:rsid w:val="00DA0250"/>
    <w:rsid w:val="00DA0776"/>
    <w:rsid w:val="00DA096C"/>
    <w:rsid w:val="00DA1D8C"/>
    <w:rsid w:val="00DA27DC"/>
    <w:rsid w:val="00DA4A18"/>
    <w:rsid w:val="00DA4B71"/>
    <w:rsid w:val="00DA5558"/>
    <w:rsid w:val="00DA6899"/>
    <w:rsid w:val="00DA6FC2"/>
    <w:rsid w:val="00DA765D"/>
    <w:rsid w:val="00DB09E4"/>
    <w:rsid w:val="00DB1D64"/>
    <w:rsid w:val="00DB2421"/>
    <w:rsid w:val="00DB7141"/>
    <w:rsid w:val="00DB73F1"/>
    <w:rsid w:val="00DC155E"/>
    <w:rsid w:val="00DC1AD4"/>
    <w:rsid w:val="00DC2BA9"/>
    <w:rsid w:val="00DC3947"/>
    <w:rsid w:val="00DC5FEE"/>
    <w:rsid w:val="00DC65F8"/>
    <w:rsid w:val="00DC6C5A"/>
    <w:rsid w:val="00DD25C8"/>
    <w:rsid w:val="00DD2A8E"/>
    <w:rsid w:val="00DD33FA"/>
    <w:rsid w:val="00DD60E3"/>
    <w:rsid w:val="00DD649F"/>
    <w:rsid w:val="00DE0F42"/>
    <w:rsid w:val="00DE2DA2"/>
    <w:rsid w:val="00DE5844"/>
    <w:rsid w:val="00DF29C0"/>
    <w:rsid w:val="00DF3C89"/>
    <w:rsid w:val="00DF6E85"/>
    <w:rsid w:val="00E01A0F"/>
    <w:rsid w:val="00E01E6C"/>
    <w:rsid w:val="00E0290D"/>
    <w:rsid w:val="00E02D6D"/>
    <w:rsid w:val="00E12172"/>
    <w:rsid w:val="00E137D8"/>
    <w:rsid w:val="00E13BEC"/>
    <w:rsid w:val="00E149BC"/>
    <w:rsid w:val="00E16454"/>
    <w:rsid w:val="00E16C1B"/>
    <w:rsid w:val="00E2514C"/>
    <w:rsid w:val="00E2544E"/>
    <w:rsid w:val="00E3025C"/>
    <w:rsid w:val="00E328B3"/>
    <w:rsid w:val="00E337A0"/>
    <w:rsid w:val="00E33913"/>
    <w:rsid w:val="00E4473B"/>
    <w:rsid w:val="00E4696D"/>
    <w:rsid w:val="00E5079C"/>
    <w:rsid w:val="00E50AEF"/>
    <w:rsid w:val="00E51735"/>
    <w:rsid w:val="00E54817"/>
    <w:rsid w:val="00E609ED"/>
    <w:rsid w:val="00E643E7"/>
    <w:rsid w:val="00E6506D"/>
    <w:rsid w:val="00E6705F"/>
    <w:rsid w:val="00E675F4"/>
    <w:rsid w:val="00E7119A"/>
    <w:rsid w:val="00E71826"/>
    <w:rsid w:val="00E729C1"/>
    <w:rsid w:val="00E73B71"/>
    <w:rsid w:val="00E76DD5"/>
    <w:rsid w:val="00E76FB7"/>
    <w:rsid w:val="00E819B9"/>
    <w:rsid w:val="00E826FB"/>
    <w:rsid w:val="00E83F86"/>
    <w:rsid w:val="00E855E0"/>
    <w:rsid w:val="00E870A9"/>
    <w:rsid w:val="00E87F23"/>
    <w:rsid w:val="00E91BFB"/>
    <w:rsid w:val="00E97824"/>
    <w:rsid w:val="00EA11B2"/>
    <w:rsid w:val="00EA2092"/>
    <w:rsid w:val="00EA6F89"/>
    <w:rsid w:val="00EB1CA9"/>
    <w:rsid w:val="00EB3B74"/>
    <w:rsid w:val="00EB548A"/>
    <w:rsid w:val="00EB76CD"/>
    <w:rsid w:val="00EC0A35"/>
    <w:rsid w:val="00EC27F7"/>
    <w:rsid w:val="00EC3439"/>
    <w:rsid w:val="00EC51E6"/>
    <w:rsid w:val="00EC5EAF"/>
    <w:rsid w:val="00EC5F9C"/>
    <w:rsid w:val="00EC71EE"/>
    <w:rsid w:val="00ED00F7"/>
    <w:rsid w:val="00ED00F9"/>
    <w:rsid w:val="00ED1A92"/>
    <w:rsid w:val="00ED2184"/>
    <w:rsid w:val="00ED3AFC"/>
    <w:rsid w:val="00ED4159"/>
    <w:rsid w:val="00ED7083"/>
    <w:rsid w:val="00EE0CF4"/>
    <w:rsid w:val="00EE1167"/>
    <w:rsid w:val="00EE2186"/>
    <w:rsid w:val="00EE2E9F"/>
    <w:rsid w:val="00EE7355"/>
    <w:rsid w:val="00EE79E1"/>
    <w:rsid w:val="00EF05F7"/>
    <w:rsid w:val="00EF164C"/>
    <w:rsid w:val="00F01DDA"/>
    <w:rsid w:val="00F041B2"/>
    <w:rsid w:val="00F04DD2"/>
    <w:rsid w:val="00F050C6"/>
    <w:rsid w:val="00F05EB4"/>
    <w:rsid w:val="00F0628F"/>
    <w:rsid w:val="00F07DF8"/>
    <w:rsid w:val="00F100C9"/>
    <w:rsid w:val="00F1281A"/>
    <w:rsid w:val="00F13B45"/>
    <w:rsid w:val="00F16B5E"/>
    <w:rsid w:val="00F17A04"/>
    <w:rsid w:val="00F17BD8"/>
    <w:rsid w:val="00F17FA9"/>
    <w:rsid w:val="00F232CC"/>
    <w:rsid w:val="00F31CFB"/>
    <w:rsid w:val="00F34CFC"/>
    <w:rsid w:val="00F355B8"/>
    <w:rsid w:val="00F435A5"/>
    <w:rsid w:val="00F469F7"/>
    <w:rsid w:val="00F5103E"/>
    <w:rsid w:val="00F52E00"/>
    <w:rsid w:val="00F54EDE"/>
    <w:rsid w:val="00F565F3"/>
    <w:rsid w:val="00F60294"/>
    <w:rsid w:val="00F615A2"/>
    <w:rsid w:val="00F63BDA"/>
    <w:rsid w:val="00F64424"/>
    <w:rsid w:val="00F64BEA"/>
    <w:rsid w:val="00F67802"/>
    <w:rsid w:val="00F7129C"/>
    <w:rsid w:val="00F71F27"/>
    <w:rsid w:val="00F7332F"/>
    <w:rsid w:val="00F754EA"/>
    <w:rsid w:val="00F76160"/>
    <w:rsid w:val="00F806D1"/>
    <w:rsid w:val="00F81FEE"/>
    <w:rsid w:val="00F85441"/>
    <w:rsid w:val="00F90B8B"/>
    <w:rsid w:val="00F94317"/>
    <w:rsid w:val="00F95648"/>
    <w:rsid w:val="00F96F92"/>
    <w:rsid w:val="00F97741"/>
    <w:rsid w:val="00F9778F"/>
    <w:rsid w:val="00F9789A"/>
    <w:rsid w:val="00FA1D4C"/>
    <w:rsid w:val="00FA2FD7"/>
    <w:rsid w:val="00FA3609"/>
    <w:rsid w:val="00FA477B"/>
    <w:rsid w:val="00FA62AC"/>
    <w:rsid w:val="00FA6732"/>
    <w:rsid w:val="00FB0570"/>
    <w:rsid w:val="00FB133A"/>
    <w:rsid w:val="00FB193C"/>
    <w:rsid w:val="00FB65FD"/>
    <w:rsid w:val="00FB7F79"/>
    <w:rsid w:val="00FC3C47"/>
    <w:rsid w:val="00FC6FDC"/>
    <w:rsid w:val="00FC77C4"/>
    <w:rsid w:val="00FD3085"/>
    <w:rsid w:val="00FD4119"/>
    <w:rsid w:val="00FD4728"/>
    <w:rsid w:val="00FD685A"/>
    <w:rsid w:val="00FD726B"/>
    <w:rsid w:val="00FE06C7"/>
    <w:rsid w:val="00FE0D72"/>
    <w:rsid w:val="00FE3132"/>
    <w:rsid w:val="00FE345D"/>
    <w:rsid w:val="00FE38B7"/>
    <w:rsid w:val="00FE4ACD"/>
    <w:rsid w:val="00FE4D74"/>
    <w:rsid w:val="00FE57DA"/>
    <w:rsid w:val="00FE77DE"/>
    <w:rsid w:val="00FE7F12"/>
    <w:rsid w:val="00FF048E"/>
    <w:rsid w:val="00FF3A41"/>
    <w:rsid w:val="00FF3B18"/>
    <w:rsid w:val="00FF5D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3D4FA-8014-4F07-8FDC-E79BBAF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1088"/>
    <w:pPr>
      <w:widowControl w:val="0"/>
      <w:autoSpaceDE w:val="0"/>
      <w:autoSpaceDN w:val="0"/>
      <w:adjustRightInd w:val="0"/>
    </w:pPr>
    <w:rPr>
      <w:rFonts w:ascii="AR NewHeiB5 Bold" w:eastAsia="AR NewHeiB5 Bold" w:cs="AR NewHeiB5 Bold"/>
      <w:color w:val="000000"/>
      <w:kern w:val="0"/>
      <w:szCs w:val="24"/>
    </w:rPr>
  </w:style>
  <w:style w:type="character" w:customStyle="1" w:styleId="A9">
    <w:name w:val="A9"/>
    <w:uiPriority w:val="99"/>
    <w:rsid w:val="009E1088"/>
    <w:rPr>
      <w:rFonts w:cs="AR NewHeiB5 Bold"/>
      <w:b/>
      <w:bCs/>
      <w:color w:val="000000"/>
      <w:sz w:val="20"/>
      <w:szCs w:val="20"/>
      <w:u w:val="single"/>
    </w:rPr>
  </w:style>
  <w:style w:type="paragraph" w:styleId="a3">
    <w:name w:val="header"/>
    <w:basedOn w:val="a"/>
    <w:link w:val="a4"/>
    <w:uiPriority w:val="99"/>
    <w:unhideWhenUsed/>
    <w:rsid w:val="00D80A15"/>
    <w:pPr>
      <w:tabs>
        <w:tab w:val="center" w:pos="4153"/>
        <w:tab w:val="right" w:pos="8306"/>
      </w:tabs>
      <w:snapToGrid w:val="0"/>
    </w:pPr>
    <w:rPr>
      <w:sz w:val="20"/>
      <w:szCs w:val="20"/>
    </w:rPr>
  </w:style>
  <w:style w:type="character" w:customStyle="1" w:styleId="a4">
    <w:name w:val="頁首 字元"/>
    <w:basedOn w:val="a0"/>
    <w:link w:val="a3"/>
    <w:uiPriority w:val="99"/>
    <w:rsid w:val="00D80A15"/>
    <w:rPr>
      <w:sz w:val="20"/>
      <w:szCs w:val="20"/>
    </w:rPr>
  </w:style>
  <w:style w:type="paragraph" w:styleId="a5">
    <w:name w:val="footer"/>
    <w:basedOn w:val="a"/>
    <w:link w:val="a6"/>
    <w:uiPriority w:val="99"/>
    <w:unhideWhenUsed/>
    <w:rsid w:val="00D80A15"/>
    <w:pPr>
      <w:tabs>
        <w:tab w:val="center" w:pos="4153"/>
        <w:tab w:val="right" w:pos="8306"/>
      </w:tabs>
      <w:snapToGrid w:val="0"/>
    </w:pPr>
    <w:rPr>
      <w:sz w:val="20"/>
      <w:szCs w:val="20"/>
    </w:rPr>
  </w:style>
  <w:style w:type="character" w:customStyle="1" w:styleId="a6">
    <w:name w:val="頁尾 字元"/>
    <w:basedOn w:val="a0"/>
    <w:link w:val="a5"/>
    <w:uiPriority w:val="99"/>
    <w:rsid w:val="00D80A15"/>
    <w:rPr>
      <w:sz w:val="20"/>
      <w:szCs w:val="20"/>
    </w:rPr>
  </w:style>
  <w:style w:type="paragraph" w:styleId="a7">
    <w:name w:val="List Paragraph"/>
    <w:basedOn w:val="a"/>
    <w:uiPriority w:val="34"/>
    <w:qFormat/>
    <w:rsid w:val="00D80A15"/>
    <w:pPr>
      <w:ind w:leftChars="200" w:left="480"/>
    </w:pPr>
  </w:style>
  <w:style w:type="table" w:styleId="a8">
    <w:name w:val="Table Grid"/>
    <w:basedOn w:val="a1"/>
    <w:uiPriority w:val="39"/>
    <w:rsid w:val="002C2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8286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82867"/>
    <w:rPr>
      <w:rFonts w:asciiTheme="majorHAnsi" w:eastAsiaTheme="majorEastAsia" w:hAnsiTheme="majorHAnsi" w:cstheme="majorBidi"/>
      <w:sz w:val="18"/>
      <w:szCs w:val="18"/>
    </w:rPr>
  </w:style>
  <w:style w:type="paragraph" w:customStyle="1" w:styleId="Pa18">
    <w:name w:val="Pa18"/>
    <w:basedOn w:val="Default"/>
    <w:next w:val="Default"/>
    <w:uiPriority w:val="99"/>
    <w:rsid w:val="00246B68"/>
    <w:pPr>
      <w:spacing w:line="201" w:lineRule="atLeast"/>
    </w:pPr>
    <w:rPr>
      <w:rFonts w:cstheme="minorBidi"/>
      <w:color w:val="auto"/>
    </w:rPr>
  </w:style>
  <w:style w:type="character" w:customStyle="1" w:styleId="A26">
    <w:name w:val="A26"/>
    <w:uiPriority w:val="99"/>
    <w:rsid w:val="00246B68"/>
    <w:rPr>
      <w:rFonts w:ascii="Gill Sans Nova SemiBold" w:eastAsia="Gill Sans Nova SemiBold" w:cs="Gill Sans Nova SemiBold"/>
      <w:b/>
      <w:bCs/>
      <w:color w:val="000000"/>
      <w:sz w:val="22"/>
      <w:szCs w:val="22"/>
    </w:rPr>
  </w:style>
  <w:style w:type="character" w:styleId="ac">
    <w:name w:val="Placeholder Text"/>
    <w:basedOn w:val="a0"/>
    <w:uiPriority w:val="99"/>
    <w:semiHidden/>
    <w:rsid w:val="00614D2C"/>
    <w:rPr>
      <w:color w:val="808080"/>
    </w:rPr>
  </w:style>
  <w:style w:type="character" w:styleId="ad">
    <w:name w:val="annotation reference"/>
    <w:basedOn w:val="a0"/>
    <w:uiPriority w:val="99"/>
    <w:semiHidden/>
    <w:unhideWhenUsed/>
    <w:rsid w:val="00CA284E"/>
    <w:rPr>
      <w:sz w:val="18"/>
      <w:szCs w:val="18"/>
    </w:rPr>
  </w:style>
  <w:style w:type="paragraph" w:styleId="ae">
    <w:name w:val="annotation text"/>
    <w:basedOn w:val="a"/>
    <w:link w:val="af"/>
    <w:uiPriority w:val="99"/>
    <w:semiHidden/>
    <w:unhideWhenUsed/>
    <w:rsid w:val="00CA284E"/>
  </w:style>
  <w:style w:type="character" w:customStyle="1" w:styleId="af">
    <w:name w:val="註解文字 字元"/>
    <w:basedOn w:val="a0"/>
    <w:link w:val="ae"/>
    <w:uiPriority w:val="99"/>
    <w:semiHidden/>
    <w:rsid w:val="00CA284E"/>
  </w:style>
  <w:style w:type="paragraph" w:styleId="af0">
    <w:name w:val="annotation subject"/>
    <w:basedOn w:val="ae"/>
    <w:next w:val="ae"/>
    <w:link w:val="af1"/>
    <w:uiPriority w:val="99"/>
    <w:semiHidden/>
    <w:unhideWhenUsed/>
    <w:rsid w:val="00CA284E"/>
    <w:rPr>
      <w:b/>
      <w:bCs/>
    </w:rPr>
  </w:style>
  <w:style w:type="character" w:customStyle="1" w:styleId="af1">
    <w:name w:val="註解主旨 字元"/>
    <w:basedOn w:val="af"/>
    <w:link w:val="af0"/>
    <w:uiPriority w:val="99"/>
    <w:semiHidden/>
    <w:rsid w:val="00CA2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5153">
      <w:bodyDiv w:val="1"/>
      <w:marLeft w:val="0"/>
      <w:marRight w:val="0"/>
      <w:marTop w:val="0"/>
      <w:marBottom w:val="0"/>
      <w:divBdr>
        <w:top w:val="none" w:sz="0" w:space="0" w:color="auto"/>
        <w:left w:val="none" w:sz="0" w:space="0" w:color="auto"/>
        <w:bottom w:val="none" w:sz="0" w:space="0" w:color="auto"/>
        <w:right w:val="none" w:sz="0" w:space="0" w:color="auto"/>
      </w:divBdr>
    </w:div>
    <w:div w:id="271326660">
      <w:bodyDiv w:val="1"/>
      <w:marLeft w:val="0"/>
      <w:marRight w:val="0"/>
      <w:marTop w:val="0"/>
      <w:marBottom w:val="0"/>
      <w:divBdr>
        <w:top w:val="none" w:sz="0" w:space="0" w:color="auto"/>
        <w:left w:val="none" w:sz="0" w:space="0" w:color="auto"/>
        <w:bottom w:val="none" w:sz="0" w:space="0" w:color="auto"/>
        <w:right w:val="none" w:sz="0" w:space="0" w:color="auto"/>
      </w:divBdr>
    </w:div>
    <w:div w:id="386152635">
      <w:bodyDiv w:val="1"/>
      <w:marLeft w:val="0"/>
      <w:marRight w:val="0"/>
      <w:marTop w:val="0"/>
      <w:marBottom w:val="0"/>
      <w:divBdr>
        <w:top w:val="none" w:sz="0" w:space="0" w:color="auto"/>
        <w:left w:val="none" w:sz="0" w:space="0" w:color="auto"/>
        <w:bottom w:val="none" w:sz="0" w:space="0" w:color="auto"/>
        <w:right w:val="none" w:sz="0" w:space="0" w:color="auto"/>
      </w:divBdr>
    </w:div>
    <w:div w:id="560870733">
      <w:bodyDiv w:val="1"/>
      <w:marLeft w:val="0"/>
      <w:marRight w:val="0"/>
      <w:marTop w:val="0"/>
      <w:marBottom w:val="0"/>
      <w:divBdr>
        <w:top w:val="none" w:sz="0" w:space="0" w:color="auto"/>
        <w:left w:val="none" w:sz="0" w:space="0" w:color="auto"/>
        <w:bottom w:val="none" w:sz="0" w:space="0" w:color="auto"/>
        <w:right w:val="none" w:sz="0" w:space="0" w:color="auto"/>
      </w:divBdr>
    </w:div>
    <w:div w:id="627972474">
      <w:bodyDiv w:val="1"/>
      <w:marLeft w:val="0"/>
      <w:marRight w:val="0"/>
      <w:marTop w:val="0"/>
      <w:marBottom w:val="0"/>
      <w:divBdr>
        <w:top w:val="none" w:sz="0" w:space="0" w:color="auto"/>
        <w:left w:val="none" w:sz="0" w:space="0" w:color="auto"/>
        <w:bottom w:val="none" w:sz="0" w:space="0" w:color="auto"/>
        <w:right w:val="none" w:sz="0" w:space="0" w:color="auto"/>
      </w:divBdr>
    </w:div>
    <w:div w:id="783227505">
      <w:bodyDiv w:val="1"/>
      <w:marLeft w:val="0"/>
      <w:marRight w:val="0"/>
      <w:marTop w:val="0"/>
      <w:marBottom w:val="0"/>
      <w:divBdr>
        <w:top w:val="none" w:sz="0" w:space="0" w:color="auto"/>
        <w:left w:val="none" w:sz="0" w:space="0" w:color="auto"/>
        <w:bottom w:val="none" w:sz="0" w:space="0" w:color="auto"/>
        <w:right w:val="none" w:sz="0" w:space="0" w:color="auto"/>
      </w:divBdr>
    </w:div>
    <w:div w:id="1323270132">
      <w:bodyDiv w:val="1"/>
      <w:marLeft w:val="0"/>
      <w:marRight w:val="0"/>
      <w:marTop w:val="0"/>
      <w:marBottom w:val="0"/>
      <w:divBdr>
        <w:top w:val="none" w:sz="0" w:space="0" w:color="auto"/>
        <w:left w:val="none" w:sz="0" w:space="0" w:color="auto"/>
        <w:bottom w:val="none" w:sz="0" w:space="0" w:color="auto"/>
        <w:right w:val="none" w:sz="0" w:space="0" w:color="auto"/>
      </w:divBdr>
    </w:div>
    <w:div w:id="1603417260">
      <w:bodyDiv w:val="1"/>
      <w:marLeft w:val="0"/>
      <w:marRight w:val="0"/>
      <w:marTop w:val="0"/>
      <w:marBottom w:val="0"/>
      <w:divBdr>
        <w:top w:val="none" w:sz="0" w:space="0" w:color="auto"/>
        <w:left w:val="none" w:sz="0" w:space="0" w:color="auto"/>
        <w:bottom w:val="none" w:sz="0" w:space="0" w:color="auto"/>
        <w:right w:val="none" w:sz="0" w:space="0" w:color="auto"/>
      </w:divBdr>
    </w:div>
    <w:div w:id="1635519392">
      <w:bodyDiv w:val="1"/>
      <w:marLeft w:val="0"/>
      <w:marRight w:val="0"/>
      <w:marTop w:val="0"/>
      <w:marBottom w:val="0"/>
      <w:divBdr>
        <w:top w:val="none" w:sz="0" w:space="0" w:color="auto"/>
        <w:left w:val="none" w:sz="0" w:space="0" w:color="auto"/>
        <w:bottom w:val="none" w:sz="0" w:space="0" w:color="auto"/>
        <w:right w:val="none" w:sz="0" w:space="0" w:color="auto"/>
      </w:divBdr>
    </w:div>
    <w:div w:id="1715959771">
      <w:bodyDiv w:val="1"/>
      <w:marLeft w:val="0"/>
      <w:marRight w:val="0"/>
      <w:marTop w:val="0"/>
      <w:marBottom w:val="0"/>
      <w:divBdr>
        <w:top w:val="none" w:sz="0" w:space="0" w:color="auto"/>
        <w:left w:val="none" w:sz="0" w:space="0" w:color="auto"/>
        <w:bottom w:val="none" w:sz="0" w:space="0" w:color="auto"/>
        <w:right w:val="none" w:sz="0" w:space="0" w:color="auto"/>
      </w:divBdr>
    </w:div>
    <w:div w:id="1785346308">
      <w:bodyDiv w:val="1"/>
      <w:marLeft w:val="0"/>
      <w:marRight w:val="0"/>
      <w:marTop w:val="0"/>
      <w:marBottom w:val="0"/>
      <w:divBdr>
        <w:top w:val="none" w:sz="0" w:space="0" w:color="auto"/>
        <w:left w:val="none" w:sz="0" w:space="0" w:color="auto"/>
        <w:bottom w:val="none" w:sz="0" w:space="0" w:color="auto"/>
        <w:right w:val="none" w:sz="0" w:space="0" w:color="auto"/>
      </w:divBdr>
    </w:div>
    <w:div w:id="2018530965">
      <w:bodyDiv w:val="1"/>
      <w:marLeft w:val="0"/>
      <w:marRight w:val="0"/>
      <w:marTop w:val="0"/>
      <w:marBottom w:val="0"/>
      <w:divBdr>
        <w:top w:val="none" w:sz="0" w:space="0" w:color="auto"/>
        <w:left w:val="none" w:sz="0" w:space="0" w:color="auto"/>
        <w:bottom w:val="none" w:sz="0" w:space="0" w:color="auto"/>
        <w:right w:val="none" w:sz="0" w:space="0" w:color="auto"/>
      </w:divBdr>
    </w:div>
    <w:div w:id="20788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27B9-0AD6-4C1C-B3E9-2C5B696A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490</Words>
  <Characters>2793</Characters>
  <Application>Microsoft Office Word</Application>
  <DocSecurity>0</DocSecurity>
  <Lines>23</Lines>
  <Paragraphs>6</Paragraphs>
  <ScaleCrop>false</ScaleCrop>
  <Company>TWSE 臺灣證券交易所</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高晟晉</dc:creator>
  <cp:lastModifiedBy>王俊哲</cp:lastModifiedBy>
  <cp:revision>5</cp:revision>
  <cp:lastPrinted>2019-11-15T07:52:00Z</cp:lastPrinted>
  <dcterms:created xsi:type="dcterms:W3CDTF">2019-12-31T06:01:00Z</dcterms:created>
  <dcterms:modified xsi:type="dcterms:W3CDTF">2019-12-31T07:52:00Z</dcterms:modified>
</cp:coreProperties>
</file>