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A938D" w14:textId="77777777" w:rsidR="007D25DC" w:rsidRDefault="00B420DF" w:rsidP="00967692">
      <w:pPr>
        <w:widowControl/>
        <w:spacing w:line="400" w:lineRule="exact"/>
        <w:jc w:val="center"/>
        <w:rPr>
          <w:rFonts w:ascii="標楷體" w:eastAsia="標楷體" w:hAnsi="標楷體"/>
          <w:sz w:val="32"/>
          <w:szCs w:val="40"/>
        </w:rPr>
      </w:pPr>
      <w:r>
        <w:rPr>
          <w:rFonts w:ascii="標楷體" w:eastAsia="標楷體" w:hAnsi="標楷體" w:hint="eastAsia"/>
          <w:sz w:val="32"/>
          <w:szCs w:val="40"/>
        </w:rPr>
        <w:t>財團法人中華民國證券櫃檯買賣中心</w:t>
      </w:r>
    </w:p>
    <w:p w14:paraId="13C97E57" w14:textId="45503F36" w:rsidR="00744321" w:rsidRDefault="00DF651C" w:rsidP="00967692">
      <w:pPr>
        <w:widowControl/>
        <w:spacing w:line="400" w:lineRule="exact"/>
        <w:jc w:val="center"/>
        <w:rPr>
          <w:rFonts w:ascii="標楷體" w:eastAsia="標楷體" w:hAnsi="標楷體"/>
          <w:sz w:val="32"/>
          <w:szCs w:val="40"/>
        </w:rPr>
      </w:pPr>
      <w:r>
        <w:rPr>
          <w:rFonts w:ascii="標楷體" w:eastAsia="標楷體" w:hAnsi="標楷體" w:hint="eastAsia"/>
          <w:sz w:val="32"/>
          <w:szCs w:val="40"/>
        </w:rPr>
        <w:t>證券</w:t>
      </w:r>
      <w:r w:rsidR="00E2375B">
        <w:rPr>
          <w:rFonts w:ascii="標楷體" w:eastAsia="標楷體" w:hAnsi="標楷體" w:hint="eastAsia"/>
          <w:sz w:val="32"/>
          <w:szCs w:val="40"/>
        </w:rPr>
        <w:t>經紀商辦理</w:t>
      </w:r>
      <w:r w:rsidR="00BE10E6" w:rsidRPr="00967692">
        <w:rPr>
          <w:rFonts w:ascii="標楷體" w:eastAsia="標楷體" w:hAnsi="標楷體" w:hint="eastAsia"/>
          <w:sz w:val="32"/>
          <w:szCs w:val="40"/>
        </w:rPr>
        <w:t>電子式專屬線路下單(D</w:t>
      </w:r>
      <w:r w:rsidR="00E2375B">
        <w:rPr>
          <w:rFonts w:ascii="標楷體" w:eastAsia="標楷體" w:hAnsi="標楷體"/>
          <w:sz w:val="32"/>
          <w:szCs w:val="40"/>
        </w:rPr>
        <w:t xml:space="preserve">irect </w:t>
      </w:r>
      <w:r w:rsidR="00BE10E6" w:rsidRPr="00967692">
        <w:rPr>
          <w:rFonts w:ascii="標楷體" w:eastAsia="標楷體" w:hAnsi="標楷體" w:hint="eastAsia"/>
          <w:sz w:val="32"/>
          <w:szCs w:val="40"/>
        </w:rPr>
        <w:t>M</w:t>
      </w:r>
      <w:r w:rsidR="00E2375B">
        <w:rPr>
          <w:rFonts w:ascii="標楷體" w:eastAsia="標楷體" w:hAnsi="標楷體"/>
          <w:sz w:val="32"/>
          <w:szCs w:val="40"/>
        </w:rPr>
        <w:t xml:space="preserve">arket </w:t>
      </w:r>
      <w:r w:rsidR="00BE10E6" w:rsidRPr="00967692">
        <w:rPr>
          <w:rFonts w:ascii="標楷體" w:eastAsia="標楷體" w:hAnsi="標楷體" w:hint="eastAsia"/>
          <w:sz w:val="32"/>
          <w:szCs w:val="40"/>
        </w:rPr>
        <w:t>A</w:t>
      </w:r>
      <w:r w:rsidR="00E2375B">
        <w:rPr>
          <w:rFonts w:ascii="標楷體" w:eastAsia="標楷體" w:hAnsi="標楷體"/>
          <w:sz w:val="32"/>
          <w:szCs w:val="40"/>
        </w:rPr>
        <w:t>ccess</w:t>
      </w:r>
      <w:r w:rsidR="00BE10E6" w:rsidRPr="00967692">
        <w:rPr>
          <w:rFonts w:ascii="標楷體" w:eastAsia="標楷體" w:hAnsi="標楷體" w:hint="eastAsia"/>
          <w:sz w:val="32"/>
          <w:szCs w:val="40"/>
        </w:rPr>
        <w:t>)作業要點</w:t>
      </w:r>
      <w:r w:rsidR="005460F8">
        <w:rPr>
          <w:rFonts w:ascii="標楷體" w:eastAsia="標楷體" w:hAnsi="標楷體" w:hint="eastAsia"/>
          <w:sz w:val="32"/>
          <w:szCs w:val="40"/>
        </w:rPr>
        <w:t>第貳點</w:t>
      </w:r>
      <w:r w:rsidR="002B3AF5">
        <w:rPr>
          <w:rFonts w:ascii="標楷體" w:eastAsia="標楷體" w:hAnsi="標楷體" w:hint="eastAsia"/>
          <w:sz w:val="32"/>
          <w:szCs w:val="40"/>
        </w:rPr>
        <w:t>、</w:t>
      </w:r>
      <w:r w:rsidR="00022878">
        <w:rPr>
          <w:rFonts w:ascii="標楷體" w:eastAsia="標楷體" w:hAnsi="標楷體" w:hint="eastAsia"/>
          <w:sz w:val="32"/>
          <w:szCs w:val="40"/>
        </w:rPr>
        <w:t>第參</w:t>
      </w:r>
      <w:r w:rsidR="005460F8">
        <w:rPr>
          <w:rFonts w:ascii="標楷體" w:eastAsia="標楷體" w:hAnsi="標楷體" w:hint="eastAsia"/>
          <w:sz w:val="32"/>
          <w:szCs w:val="40"/>
        </w:rPr>
        <w:t>點</w:t>
      </w:r>
      <w:r w:rsidR="00983B63" w:rsidRPr="00967692">
        <w:rPr>
          <w:rFonts w:ascii="標楷體" w:eastAsia="標楷體" w:hAnsi="標楷體" w:hint="eastAsia"/>
          <w:sz w:val="32"/>
          <w:szCs w:val="40"/>
        </w:rPr>
        <w:t>修正條文對照表</w:t>
      </w:r>
    </w:p>
    <w:p w14:paraId="34008DCC" w14:textId="77777777" w:rsidR="00967692" w:rsidRPr="00967692" w:rsidRDefault="00967692" w:rsidP="00967692">
      <w:pPr>
        <w:widowControl/>
        <w:spacing w:line="400" w:lineRule="exact"/>
        <w:jc w:val="center"/>
        <w:rPr>
          <w:rFonts w:ascii="標楷體" w:eastAsia="標楷體" w:hAnsi="標楷體"/>
          <w:sz w:val="32"/>
          <w:szCs w:val="40"/>
        </w:rPr>
      </w:pPr>
    </w:p>
    <w:tbl>
      <w:tblPr>
        <w:tblStyle w:val="af5"/>
        <w:tblW w:w="8500" w:type="dxa"/>
        <w:tblLook w:val="04A0" w:firstRow="1" w:lastRow="0" w:firstColumn="1" w:lastColumn="0" w:noHBand="0" w:noVBand="1"/>
      </w:tblPr>
      <w:tblGrid>
        <w:gridCol w:w="2983"/>
        <w:gridCol w:w="2983"/>
        <w:gridCol w:w="2534"/>
      </w:tblGrid>
      <w:tr w:rsidR="00DD3804" w:rsidRPr="00BE3DB9" w14:paraId="6275139B" w14:textId="77777777" w:rsidTr="00CD3039">
        <w:trPr>
          <w:tblHeader/>
        </w:trPr>
        <w:tc>
          <w:tcPr>
            <w:tcW w:w="2983" w:type="dxa"/>
          </w:tcPr>
          <w:p w14:paraId="144C9BCF" w14:textId="77777777" w:rsidR="00DD3804" w:rsidRPr="00C81327" w:rsidRDefault="00DD3804" w:rsidP="00C81327">
            <w:pPr>
              <w:spacing w:line="400" w:lineRule="exact"/>
              <w:jc w:val="center"/>
              <w:rPr>
                <w:rFonts w:ascii="標楷體" w:eastAsia="標楷體" w:hAnsi="標楷體"/>
                <w:b/>
                <w:szCs w:val="24"/>
              </w:rPr>
            </w:pPr>
            <w:r w:rsidRPr="00C81327">
              <w:rPr>
                <w:rFonts w:ascii="標楷體" w:eastAsia="標楷體" w:hAnsi="標楷體" w:hint="eastAsia"/>
                <w:b/>
                <w:szCs w:val="24"/>
              </w:rPr>
              <w:t>修正條文</w:t>
            </w:r>
          </w:p>
        </w:tc>
        <w:tc>
          <w:tcPr>
            <w:tcW w:w="2983" w:type="dxa"/>
          </w:tcPr>
          <w:p w14:paraId="5A021FBA" w14:textId="77777777" w:rsidR="00DD3804" w:rsidRPr="00C81327" w:rsidRDefault="00DD3804" w:rsidP="00C81327">
            <w:pPr>
              <w:spacing w:line="400" w:lineRule="exact"/>
              <w:jc w:val="center"/>
              <w:rPr>
                <w:rFonts w:ascii="標楷體" w:eastAsia="標楷體" w:hAnsi="標楷體"/>
                <w:b/>
                <w:szCs w:val="24"/>
              </w:rPr>
            </w:pPr>
            <w:r w:rsidRPr="00C81327">
              <w:rPr>
                <w:rFonts w:ascii="標楷體" w:eastAsia="標楷體" w:hAnsi="標楷體" w:hint="eastAsia"/>
                <w:b/>
                <w:szCs w:val="24"/>
              </w:rPr>
              <w:t>現行條文</w:t>
            </w:r>
          </w:p>
        </w:tc>
        <w:tc>
          <w:tcPr>
            <w:tcW w:w="2534" w:type="dxa"/>
          </w:tcPr>
          <w:p w14:paraId="1E880002" w14:textId="77777777" w:rsidR="00DD3804" w:rsidRPr="00C81327" w:rsidRDefault="00DD3804" w:rsidP="00C81327">
            <w:pPr>
              <w:spacing w:line="400" w:lineRule="exact"/>
              <w:jc w:val="center"/>
              <w:rPr>
                <w:rFonts w:ascii="標楷體" w:eastAsia="標楷體" w:hAnsi="標楷體"/>
                <w:b/>
                <w:szCs w:val="24"/>
              </w:rPr>
            </w:pPr>
            <w:r w:rsidRPr="00C81327">
              <w:rPr>
                <w:rFonts w:ascii="標楷體" w:eastAsia="標楷體" w:hAnsi="標楷體" w:hint="eastAsia"/>
                <w:b/>
                <w:szCs w:val="24"/>
              </w:rPr>
              <w:t>說明</w:t>
            </w:r>
          </w:p>
        </w:tc>
      </w:tr>
      <w:tr w:rsidR="00BA156E" w:rsidRPr="00BE3DB9" w14:paraId="3D6AE541" w14:textId="77777777" w:rsidTr="00460418">
        <w:tc>
          <w:tcPr>
            <w:tcW w:w="2983" w:type="dxa"/>
          </w:tcPr>
          <w:p w14:paraId="407E1B11" w14:textId="77777777" w:rsidR="001A2CE0" w:rsidRDefault="001A2CE0" w:rsidP="001A2CE0">
            <w:pPr>
              <w:jc w:val="both"/>
              <w:rPr>
                <w:rFonts w:ascii="標楷體" w:eastAsia="標楷體" w:hAnsi="標楷體"/>
                <w:szCs w:val="24"/>
              </w:rPr>
            </w:pPr>
            <w:r w:rsidRPr="00BE3DB9">
              <w:rPr>
                <w:rFonts w:ascii="標楷體" w:eastAsia="標楷體" w:hAnsi="標楷體" w:hint="eastAsia"/>
                <w:szCs w:val="24"/>
              </w:rPr>
              <w:t>貳、作業要點</w:t>
            </w:r>
          </w:p>
          <w:p w14:paraId="40E13B62" w14:textId="67FD84D6" w:rsidR="001A2CE0" w:rsidRDefault="00E236C6" w:rsidP="00E236C6">
            <w:pPr>
              <w:spacing w:before="240" w:after="240"/>
              <w:jc w:val="center"/>
              <w:rPr>
                <w:rFonts w:ascii="標楷體" w:eastAsia="標楷體" w:hAnsi="標楷體"/>
                <w:szCs w:val="24"/>
              </w:rPr>
            </w:pPr>
            <w:r>
              <w:rPr>
                <w:rFonts w:ascii="標楷體" w:eastAsia="標楷體" w:hAnsi="標楷體" w:hint="eastAsia"/>
                <w:szCs w:val="24"/>
              </w:rPr>
              <w:t>（</w:t>
            </w:r>
            <w:r w:rsidR="002B3AF5">
              <w:rPr>
                <w:rFonts w:ascii="標楷體" w:eastAsia="標楷體" w:hAnsi="標楷體" w:hint="eastAsia"/>
                <w:szCs w:val="24"/>
              </w:rPr>
              <w:t>第</w:t>
            </w:r>
            <w:r>
              <w:rPr>
                <w:rFonts w:ascii="標楷體" w:eastAsia="標楷體" w:hAnsi="標楷體" w:hint="eastAsia"/>
                <w:szCs w:val="24"/>
              </w:rPr>
              <w:t>一</w:t>
            </w:r>
            <w:r w:rsidR="002B3AF5">
              <w:rPr>
                <w:rFonts w:ascii="標楷體" w:eastAsia="標楷體" w:hAnsi="標楷體" w:hint="eastAsia"/>
                <w:szCs w:val="24"/>
              </w:rPr>
              <w:t>款</w:t>
            </w:r>
            <w:r>
              <w:rPr>
                <w:rFonts w:ascii="標楷體" w:eastAsia="標楷體" w:hAnsi="標楷體" w:hint="eastAsia"/>
                <w:szCs w:val="24"/>
              </w:rPr>
              <w:t>至</w:t>
            </w:r>
            <w:r w:rsidR="002B3AF5">
              <w:rPr>
                <w:rFonts w:ascii="標楷體" w:eastAsia="標楷體" w:hAnsi="標楷體" w:hint="eastAsia"/>
                <w:szCs w:val="24"/>
              </w:rPr>
              <w:t>第</w:t>
            </w:r>
            <w:r>
              <w:rPr>
                <w:rFonts w:ascii="標楷體" w:eastAsia="標楷體" w:hAnsi="標楷體" w:hint="eastAsia"/>
                <w:szCs w:val="24"/>
              </w:rPr>
              <w:t>四</w:t>
            </w:r>
            <w:r w:rsidR="002B3AF5">
              <w:rPr>
                <w:rFonts w:ascii="標楷體" w:eastAsia="標楷體" w:hAnsi="標楷體" w:hint="eastAsia"/>
                <w:szCs w:val="24"/>
              </w:rPr>
              <w:t>款</w:t>
            </w:r>
            <w:r>
              <w:rPr>
                <w:rFonts w:ascii="標楷體" w:eastAsia="標楷體" w:hAnsi="標楷體" w:hint="eastAsia"/>
                <w:szCs w:val="24"/>
              </w:rPr>
              <w:t>略）</w:t>
            </w:r>
          </w:p>
          <w:p w14:paraId="1BB00123" w14:textId="77777777" w:rsidR="00BA156E" w:rsidRDefault="003E721F" w:rsidP="009B5FBB">
            <w:pPr>
              <w:spacing w:line="400" w:lineRule="exact"/>
              <w:ind w:left="480" w:hangingChars="200" w:hanging="480"/>
              <w:jc w:val="both"/>
              <w:rPr>
                <w:rFonts w:ascii="標楷體" w:eastAsia="標楷體" w:hAnsi="標楷體"/>
                <w:szCs w:val="24"/>
              </w:rPr>
            </w:pPr>
            <w:r>
              <w:rPr>
                <w:rFonts w:ascii="標楷體" w:eastAsia="標楷體" w:hAnsi="標楷體" w:hint="eastAsia"/>
                <w:szCs w:val="24"/>
              </w:rPr>
              <w:t>五、</w:t>
            </w:r>
            <w:r w:rsidR="00E10835" w:rsidRPr="00E10835">
              <w:rPr>
                <w:rFonts w:ascii="標楷體" w:eastAsia="標楷體" w:hAnsi="標楷體" w:hint="eastAsia"/>
                <w:szCs w:val="24"/>
              </w:rPr>
              <w:t>證券經紀商與委託人間，其有價證券買賣之委託、委託回報及成交回報等電子文件之傳輸，符合下列條件之一者，得排除使用憑證機構所簽發之電子簽章簽署：</w:t>
            </w:r>
          </w:p>
          <w:p w14:paraId="4A2849B8" w14:textId="77777777" w:rsidR="00E10835" w:rsidRDefault="003E721F" w:rsidP="009B5FBB">
            <w:pPr>
              <w:spacing w:line="400" w:lineRule="exact"/>
              <w:ind w:left="600" w:hangingChars="250" w:hanging="600"/>
              <w:jc w:val="both"/>
              <w:rPr>
                <w:rFonts w:ascii="標楷體" w:eastAsia="標楷體" w:hAnsi="標楷體"/>
                <w:szCs w:val="24"/>
              </w:rPr>
            </w:pPr>
            <w:r>
              <w:rPr>
                <w:rFonts w:ascii="標楷體" w:eastAsia="標楷體" w:hAnsi="標楷體" w:hint="eastAsia"/>
                <w:szCs w:val="24"/>
              </w:rPr>
              <w:t>(一)</w:t>
            </w:r>
            <w:r w:rsidR="00E10835" w:rsidRPr="00E10835">
              <w:rPr>
                <w:rFonts w:ascii="標楷體" w:eastAsia="標楷體" w:hAnsi="標楷體" w:hint="eastAsia"/>
                <w:szCs w:val="24"/>
              </w:rPr>
              <w:t>委託人與證券經紀商（或其海外分支機構）之聯結入口皆在中華民國境外者。</w:t>
            </w:r>
          </w:p>
          <w:p w14:paraId="06A105EB" w14:textId="705879DF" w:rsidR="007F3629" w:rsidRDefault="003E721F" w:rsidP="009B5FBB">
            <w:pPr>
              <w:spacing w:line="400" w:lineRule="exact"/>
              <w:ind w:left="600" w:hangingChars="250" w:hanging="600"/>
              <w:jc w:val="both"/>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二)</w:t>
            </w:r>
            <w:r w:rsidR="00E10835" w:rsidRPr="00E10835">
              <w:rPr>
                <w:rFonts w:ascii="標楷體" w:eastAsia="標楷體" w:hAnsi="標楷體" w:hint="eastAsia"/>
                <w:szCs w:val="24"/>
              </w:rPr>
              <w:t>證券經紀商與</w:t>
            </w:r>
            <w:r w:rsidR="00EB41F3" w:rsidRPr="00EB41F3">
              <w:rPr>
                <w:rFonts w:ascii="標楷體" w:eastAsia="標楷體" w:hAnsi="標楷體" w:hint="eastAsia"/>
                <w:color w:val="FF0000"/>
                <w:szCs w:val="24"/>
                <w:u w:val="single"/>
              </w:rPr>
              <w:t>委託人</w:t>
            </w:r>
            <w:r w:rsidR="00E10835" w:rsidRPr="00E10835">
              <w:rPr>
                <w:rFonts w:ascii="標楷體" w:eastAsia="標楷體" w:hAnsi="標楷體" w:hint="eastAsia"/>
                <w:szCs w:val="24"/>
              </w:rPr>
              <w:t>簽訂契約及風險預告書，載明</w:t>
            </w:r>
            <w:r w:rsidR="005460F8" w:rsidRPr="005460F8">
              <w:rPr>
                <w:rFonts w:ascii="標楷體" w:eastAsia="標楷體" w:hAnsi="標楷體" w:hint="eastAsia"/>
                <w:color w:val="FF0000"/>
                <w:szCs w:val="24"/>
                <w:u w:val="single"/>
              </w:rPr>
              <w:t>雙方</w:t>
            </w:r>
            <w:r w:rsidR="00E10835" w:rsidRPr="00E10835">
              <w:rPr>
                <w:rFonts w:ascii="標楷體" w:eastAsia="標楷體" w:hAnsi="標楷體" w:hint="eastAsia"/>
                <w:szCs w:val="24"/>
              </w:rPr>
              <w:t>權利義務、風險分擔及糾紛發生之舉證責任，且於前開所述電子文件傳輸時，輔以其他安全機制者</w:t>
            </w:r>
            <w:r w:rsidR="007F3629">
              <w:rPr>
                <w:rFonts w:ascii="標楷體" w:eastAsia="標楷體" w:hAnsi="標楷體" w:hint="eastAsia"/>
                <w:szCs w:val="24"/>
              </w:rPr>
              <w:t>。</w:t>
            </w:r>
            <w:r w:rsidR="005460F8" w:rsidRPr="005460F8">
              <w:rPr>
                <w:rFonts w:ascii="標楷體" w:eastAsia="標楷體" w:hAnsi="標楷體" w:hint="eastAsia"/>
                <w:color w:val="FF0000"/>
                <w:szCs w:val="24"/>
                <w:u w:val="single"/>
              </w:rPr>
              <w:t>如由委託人授權代理人進行交易者，得由代理人出示授權書後，代為簽署契約及風險預告書；境外華僑及外國人、國內基金或同一</w:t>
            </w:r>
            <w:r w:rsidR="005460F8" w:rsidRPr="005460F8">
              <w:rPr>
                <w:rFonts w:ascii="標楷體" w:eastAsia="標楷體" w:hAnsi="標楷體" w:hint="eastAsia"/>
                <w:color w:val="FF0000"/>
                <w:szCs w:val="24"/>
                <w:u w:val="single"/>
              </w:rPr>
              <w:lastRenderedPageBreak/>
              <w:t>集團所屬單位委託相同之代理人者，得由其代理人出具聲明書載明所代理之委託人身分編號或統一編號、姓名或名稱等相關資料後，免出示委託人授權書，而由代理人代為簽署契約及風險預告書。但</w:t>
            </w:r>
            <w:r w:rsidR="00147FBF">
              <w:rPr>
                <w:rFonts w:ascii="標楷體" w:eastAsia="標楷體" w:hAnsi="標楷體" w:hint="eastAsia"/>
                <w:color w:val="FF0000"/>
                <w:szCs w:val="24"/>
                <w:u w:val="single"/>
              </w:rPr>
              <w:t>本中心</w:t>
            </w:r>
            <w:r w:rsidR="005460F8" w:rsidRPr="005460F8">
              <w:rPr>
                <w:rFonts w:ascii="標楷體" w:eastAsia="標楷體" w:hAnsi="標楷體" w:hint="eastAsia"/>
                <w:color w:val="FF0000"/>
                <w:szCs w:val="24"/>
                <w:u w:val="single"/>
              </w:rPr>
              <w:t>得視業務需要，隨時請證券商提供前開授權證明文件。</w:t>
            </w:r>
          </w:p>
          <w:p w14:paraId="170841D0" w14:textId="1DD42733" w:rsidR="00C4534A" w:rsidRDefault="005460F8" w:rsidP="009B5FBB">
            <w:pPr>
              <w:spacing w:beforeLines="50" w:before="180" w:line="400" w:lineRule="exact"/>
              <w:ind w:leftChars="100" w:left="240"/>
              <w:jc w:val="both"/>
              <w:rPr>
                <w:rFonts w:ascii="標楷體" w:eastAsia="標楷體" w:hAnsi="標楷體"/>
                <w:szCs w:val="24"/>
              </w:rPr>
            </w:pPr>
            <w:r>
              <w:rPr>
                <w:rFonts w:ascii="標楷體" w:eastAsia="標楷體" w:hAnsi="標楷體" w:hint="eastAsia"/>
                <w:szCs w:val="24"/>
              </w:rPr>
              <w:t>符合</w:t>
            </w:r>
            <w:r w:rsidR="007407CD">
              <w:rPr>
                <w:rFonts w:ascii="標楷體" w:eastAsia="標楷體" w:hAnsi="標楷體" w:hint="eastAsia"/>
                <w:color w:val="FF0000"/>
                <w:szCs w:val="24"/>
                <w:u w:val="single"/>
              </w:rPr>
              <w:t>本款</w:t>
            </w:r>
            <w:r w:rsidR="002B3AF5" w:rsidRPr="0004365C">
              <w:rPr>
                <w:rFonts w:ascii="標楷體" w:eastAsia="標楷體" w:hAnsi="標楷體" w:hint="eastAsia"/>
                <w:szCs w:val="24"/>
              </w:rPr>
              <w:t>第</w:t>
            </w:r>
            <w:r w:rsidRPr="0004365C">
              <w:rPr>
                <w:rFonts w:ascii="標楷體" w:eastAsia="標楷體" w:hAnsi="標楷體" w:hint="eastAsia"/>
                <w:szCs w:val="24"/>
              </w:rPr>
              <w:t>二</w:t>
            </w:r>
            <w:r w:rsidR="002B3AF5" w:rsidRPr="0004365C">
              <w:rPr>
                <w:rFonts w:ascii="標楷體" w:eastAsia="標楷體" w:hAnsi="標楷體" w:hint="eastAsia"/>
                <w:szCs w:val="24"/>
              </w:rPr>
              <w:t>目</w:t>
            </w:r>
            <w:r w:rsidRPr="005460F8">
              <w:rPr>
                <w:rFonts w:ascii="標楷體" w:eastAsia="標楷體" w:hAnsi="標楷體" w:hint="eastAsia"/>
                <w:szCs w:val="24"/>
              </w:rPr>
              <w:t>豁免條件者，</w:t>
            </w:r>
            <w:r w:rsidR="009404CD" w:rsidRPr="00C4534A">
              <w:rPr>
                <w:rFonts w:ascii="標楷體" w:eastAsia="標楷體" w:hAnsi="標楷體" w:hint="eastAsia"/>
                <w:szCs w:val="24"/>
              </w:rPr>
              <w:t>證券經紀商須就所採安全機制，函報</w:t>
            </w:r>
            <w:r w:rsidR="00505EB0">
              <w:rPr>
                <w:rFonts w:ascii="標楷體" w:eastAsia="標楷體" w:hAnsi="標楷體" w:hint="eastAsia"/>
                <w:szCs w:val="24"/>
              </w:rPr>
              <w:t>本中心</w:t>
            </w:r>
            <w:r w:rsidR="009404CD" w:rsidRPr="00C4534A">
              <w:rPr>
                <w:rFonts w:ascii="標楷體" w:eastAsia="標楷體" w:hAnsi="標楷體" w:hint="eastAsia"/>
                <w:szCs w:val="24"/>
              </w:rPr>
              <w:t>備查，並於「證券商申報單一窗口」完成申報作業，變更時亦同。</w:t>
            </w:r>
            <w:r w:rsidR="00117307" w:rsidRPr="00117307">
              <w:rPr>
                <w:rFonts w:ascii="標楷體" w:eastAsia="標楷體" w:hAnsi="標楷體" w:hint="eastAsia"/>
                <w:szCs w:val="24"/>
              </w:rPr>
              <w:t>已向臺灣證券交易所股份有限公司申辦並取得該公司備查函者，毋須重複向本中心申辦。</w:t>
            </w:r>
          </w:p>
          <w:p w14:paraId="3EEE24AD" w14:textId="77777777" w:rsidR="007407CD" w:rsidRDefault="007407CD" w:rsidP="009B5FBB">
            <w:pPr>
              <w:spacing w:beforeLines="50" w:before="180" w:line="400" w:lineRule="exact"/>
              <w:ind w:leftChars="100" w:left="240"/>
              <w:jc w:val="both"/>
              <w:rPr>
                <w:rFonts w:ascii="標楷體" w:eastAsia="標楷體" w:hAnsi="標楷體"/>
                <w:szCs w:val="24"/>
              </w:rPr>
            </w:pPr>
          </w:p>
          <w:p w14:paraId="2CF2FCB0" w14:textId="6EF09E59" w:rsidR="008C223D" w:rsidRDefault="008C223D" w:rsidP="008C223D">
            <w:pPr>
              <w:spacing w:before="120" w:line="400" w:lineRule="exact"/>
              <w:jc w:val="center"/>
              <w:rPr>
                <w:rFonts w:ascii="標楷體" w:eastAsia="標楷體" w:hAnsi="標楷體"/>
                <w:szCs w:val="24"/>
              </w:rPr>
            </w:pPr>
            <w:r>
              <w:rPr>
                <w:rFonts w:ascii="標楷體" w:eastAsia="標楷體" w:hAnsi="標楷體" w:hint="eastAsia"/>
                <w:szCs w:val="24"/>
              </w:rPr>
              <w:t>（</w:t>
            </w:r>
            <w:r w:rsidR="007407CD">
              <w:rPr>
                <w:rFonts w:ascii="標楷體" w:eastAsia="標楷體" w:hAnsi="標楷體" w:hint="eastAsia"/>
                <w:szCs w:val="24"/>
              </w:rPr>
              <w:t>第六款及第七款</w:t>
            </w:r>
            <w:r>
              <w:rPr>
                <w:rFonts w:ascii="標楷體" w:eastAsia="標楷體" w:hAnsi="標楷體" w:hint="eastAsia"/>
                <w:szCs w:val="24"/>
              </w:rPr>
              <w:t>略）</w:t>
            </w:r>
          </w:p>
          <w:p w14:paraId="4F859FBB" w14:textId="77777777" w:rsidR="007407CD" w:rsidRDefault="007407CD" w:rsidP="0004365C">
            <w:pPr>
              <w:spacing w:beforeLines="50" w:before="180" w:line="400" w:lineRule="exact"/>
              <w:ind w:leftChars="100" w:left="240"/>
              <w:jc w:val="both"/>
              <w:rPr>
                <w:rFonts w:ascii="標楷體" w:eastAsia="標楷體" w:hAnsi="標楷體"/>
                <w:szCs w:val="24"/>
              </w:rPr>
            </w:pPr>
          </w:p>
          <w:p w14:paraId="6A6CB553" w14:textId="3F23364B" w:rsidR="007407CD" w:rsidRPr="009404CD" w:rsidRDefault="007407CD" w:rsidP="0004365C">
            <w:pPr>
              <w:spacing w:line="400" w:lineRule="exact"/>
              <w:ind w:left="480" w:hangingChars="200" w:hanging="480"/>
              <w:jc w:val="both"/>
              <w:rPr>
                <w:rFonts w:ascii="標楷體" w:eastAsia="標楷體" w:hAnsi="標楷體"/>
                <w:szCs w:val="24"/>
                <w:u w:val="single"/>
              </w:rPr>
            </w:pPr>
            <w:r w:rsidRPr="0004365C">
              <w:rPr>
                <w:rFonts w:ascii="標楷體" w:eastAsia="標楷體" w:hAnsi="標楷體" w:hint="eastAsia"/>
                <w:color w:val="FF0000"/>
                <w:szCs w:val="24"/>
                <w:u w:val="single"/>
              </w:rPr>
              <w:t>八、證券經紀商對委託人經由電子式專屬線路下單所為之交易委託及查詢，其委託紀錄及電腦稽核紀錄</w:t>
            </w:r>
            <w:r w:rsidRPr="0004365C">
              <w:rPr>
                <w:rFonts w:ascii="標楷體" w:eastAsia="標楷體" w:hAnsi="標楷體"/>
                <w:color w:val="FF0000"/>
                <w:szCs w:val="24"/>
                <w:u w:val="single"/>
              </w:rPr>
              <w:t>(Log)應至少保存五年，但買賣委</w:t>
            </w:r>
            <w:r w:rsidRPr="0004365C">
              <w:rPr>
                <w:rFonts w:ascii="標楷體" w:eastAsia="標楷體" w:hAnsi="標楷體" w:hint="eastAsia"/>
                <w:color w:val="FF0000"/>
                <w:szCs w:val="24"/>
                <w:u w:val="single"/>
              </w:rPr>
              <w:lastRenderedPageBreak/>
              <w:t>託有爭議者，應保存至爭議消除為止。</w:t>
            </w:r>
          </w:p>
        </w:tc>
        <w:tc>
          <w:tcPr>
            <w:tcW w:w="2983" w:type="dxa"/>
          </w:tcPr>
          <w:p w14:paraId="677530C1" w14:textId="77777777" w:rsidR="001A2CE0" w:rsidRDefault="001A2CE0" w:rsidP="001A2CE0">
            <w:pPr>
              <w:jc w:val="both"/>
              <w:rPr>
                <w:rFonts w:ascii="標楷體" w:eastAsia="標楷體" w:hAnsi="標楷體"/>
                <w:szCs w:val="24"/>
              </w:rPr>
            </w:pPr>
            <w:r w:rsidRPr="00BE3DB9">
              <w:rPr>
                <w:rFonts w:ascii="標楷體" w:eastAsia="標楷體" w:hAnsi="標楷體" w:hint="eastAsia"/>
                <w:szCs w:val="24"/>
              </w:rPr>
              <w:lastRenderedPageBreak/>
              <w:t>貳、作業要點</w:t>
            </w:r>
          </w:p>
          <w:p w14:paraId="15DC42C5" w14:textId="4FB771C8" w:rsidR="001A2CE0" w:rsidRDefault="00E236C6" w:rsidP="00E236C6">
            <w:pPr>
              <w:spacing w:before="240" w:after="240"/>
              <w:jc w:val="center"/>
              <w:rPr>
                <w:rFonts w:ascii="標楷體" w:eastAsia="標楷體" w:hAnsi="標楷體"/>
                <w:szCs w:val="24"/>
              </w:rPr>
            </w:pPr>
            <w:r>
              <w:rPr>
                <w:rFonts w:ascii="標楷體" w:eastAsia="標楷體" w:hAnsi="標楷體" w:hint="eastAsia"/>
                <w:szCs w:val="24"/>
              </w:rPr>
              <w:t>（</w:t>
            </w:r>
            <w:r w:rsidR="002B3AF5">
              <w:rPr>
                <w:rFonts w:ascii="標楷體" w:eastAsia="標楷體" w:hAnsi="標楷體" w:hint="eastAsia"/>
                <w:szCs w:val="24"/>
              </w:rPr>
              <w:t>第</w:t>
            </w:r>
            <w:r>
              <w:rPr>
                <w:rFonts w:ascii="標楷體" w:eastAsia="標楷體" w:hAnsi="標楷體" w:hint="eastAsia"/>
                <w:szCs w:val="24"/>
              </w:rPr>
              <w:t>一</w:t>
            </w:r>
            <w:r w:rsidR="002B3AF5">
              <w:rPr>
                <w:rFonts w:ascii="標楷體" w:eastAsia="標楷體" w:hAnsi="標楷體" w:hint="eastAsia"/>
                <w:szCs w:val="24"/>
              </w:rPr>
              <w:t>款</w:t>
            </w:r>
            <w:r>
              <w:rPr>
                <w:rFonts w:ascii="標楷體" w:eastAsia="標楷體" w:hAnsi="標楷體" w:hint="eastAsia"/>
                <w:szCs w:val="24"/>
              </w:rPr>
              <w:t>至</w:t>
            </w:r>
            <w:r w:rsidR="002B3AF5">
              <w:rPr>
                <w:rFonts w:ascii="標楷體" w:eastAsia="標楷體" w:hAnsi="標楷體" w:hint="eastAsia"/>
                <w:szCs w:val="24"/>
              </w:rPr>
              <w:t>第</w:t>
            </w:r>
            <w:r>
              <w:rPr>
                <w:rFonts w:ascii="標楷體" w:eastAsia="標楷體" w:hAnsi="標楷體" w:hint="eastAsia"/>
                <w:szCs w:val="24"/>
              </w:rPr>
              <w:t>四</w:t>
            </w:r>
            <w:r w:rsidR="002B3AF5">
              <w:rPr>
                <w:rFonts w:ascii="標楷體" w:eastAsia="標楷體" w:hAnsi="標楷體" w:hint="eastAsia"/>
                <w:szCs w:val="24"/>
              </w:rPr>
              <w:t>款</w:t>
            </w:r>
            <w:r>
              <w:rPr>
                <w:rFonts w:ascii="標楷體" w:eastAsia="標楷體" w:hAnsi="標楷體" w:hint="eastAsia"/>
                <w:szCs w:val="24"/>
              </w:rPr>
              <w:t>略）</w:t>
            </w:r>
          </w:p>
          <w:p w14:paraId="3DFA2D33" w14:textId="77777777" w:rsidR="00E10835" w:rsidRPr="00BA156E" w:rsidRDefault="00E10835" w:rsidP="009B5FBB">
            <w:pPr>
              <w:spacing w:line="400" w:lineRule="exact"/>
              <w:ind w:left="480" w:hangingChars="200" w:hanging="480"/>
              <w:jc w:val="both"/>
              <w:rPr>
                <w:rFonts w:ascii="標楷體" w:eastAsia="標楷體" w:hAnsi="標楷體"/>
                <w:szCs w:val="24"/>
              </w:rPr>
            </w:pPr>
            <w:r w:rsidRPr="003E721F">
              <w:rPr>
                <w:rFonts w:ascii="標楷體" w:eastAsia="標楷體" w:hAnsi="標楷體" w:hint="eastAsia"/>
                <w:szCs w:val="24"/>
              </w:rPr>
              <w:t>五、</w:t>
            </w:r>
            <w:r w:rsidRPr="00BA156E">
              <w:rPr>
                <w:rFonts w:ascii="標楷體" w:eastAsia="標楷體" w:hAnsi="標楷體" w:hint="eastAsia"/>
                <w:szCs w:val="24"/>
              </w:rPr>
              <w:t>證券經紀商與委託人間，其有價證券買賣之委託、委託回報及成交回報等電子文件之傳輸，符合下列條件之一者，得排除使用憑證機構所簽發之電子簽章簽署：</w:t>
            </w:r>
          </w:p>
          <w:p w14:paraId="41A4C8C1" w14:textId="77777777" w:rsidR="00E10835" w:rsidRPr="00BA156E" w:rsidRDefault="00E10835" w:rsidP="009B5FBB">
            <w:pPr>
              <w:spacing w:line="400" w:lineRule="exact"/>
              <w:ind w:left="600" w:hangingChars="250" w:hanging="600"/>
              <w:jc w:val="both"/>
              <w:rPr>
                <w:rFonts w:ascii="標楷體" w:eastAsia="標楷體" w:hAnsi="標楷體"/>
                <w:szCs w:val="24"/>
              </w:rPr>
            </w:pPr>
            <w:r w:rsidRPr="007F3629">
              <w:rPr>
                <w:rFonts w:ascii="標楷體" w:eastAsia="標楷體" w:hAnsi="標楷體" w:hint="eastAsia"/>
                <w:szCs w:val="24"/>
              </w:rPr>
              <w:t>（一）</w:t>
            </w:r>
            <w:r w:rsidRPr="00BA156E">
              <w:rPr>
                <w:rFonts w:ascii="標楷體" w:eastAsia="標楷體" w:hAnsi="標楷體" w:hint="eastAsia"/>
                <w:szCs w:val="24"/>
              </w:rPr>
              <w:t>委託人與證券經紀商（或其海外分支機構）之聯結入口皆在中華民國境外者。</w:t>
            </w:r>
          </w:p>
          <w:p w14:paraId="18C16300" w14:textId="1FF7BFD5" w:rsidR="00677CC9" w:rsidRDefault="00E10835" w:rsidP="0004365C">
            <w:pPr>
              <w:spacing w:line="400" w:lineRule="exact"/>
              <w:ind w:left="600" w:hangingChars="250" w:hanging="600"/>
              <w:jc w:val="both"/>
              <w:rPr>
                <w:rFonts w:ascii="標楷體" w:eastAsia="標楷體" w:hAnsi="標楷體"/>
                <w:szCs w:val="24"/>
              </w:rPr>
            </w:pPr>
            <w:r w:rsidRPr="007F3629">
              <w:rPr>
                <w:rFonts w:ascii="標楷體" w:eastAsia="標楷體" w:hAnsi="標楷體" w:hint="eastAsia"/>
                <w:szCs w:val="24"/>
              </w:rPr>
              <w:t>（二）</w:t>
            </w:r>
            <w:r w:rsidRPr="00BA156E">
              <w:rPr>
                <w:rFonts w:ascii="標楷體" w:eastAsia="標楷體" w:hAnsi="標楷體" w:hint="eastAsia"/>
                <w:szCs w:val="24"/>
              </w:rPr>
              <w:t>證券經紀商與</w:t>
            </w:r>
            <w:r w:rsidRPr="00390328">
              <w:rPr>
                <w:rFonts w:ascii="標楷體" w:eastAsia="標楷體" w:hAnsi="標楷體" w:hint="eastAsia"/>
                <w:szCs w:val="24"/>
                <w:u w:val="single"/>
              </w:rPr>
              <w:t>投資人</w:t>
            </w:r>
            <w:r w:rsidRPr="00BA156E">
              <w:rPr>
                <w:rFonts w:ascii="標楷體" w:eastAsia="標楷體" w:hAnsi="標楷體" w:hint="eastAsia"/>
                <w:szCs w:val="24"/>
              </w:rPr>
              <w:t>簽訂契約及風險預告書，載明</w:t>
            </w:r>
            <w:r w:rsidRPr="0004365C">
              <w:rPr>
                <w:rFonts w:ascii="標楷體" w:eastAsia="標楷體" w:hAnsi="標楷體" w:hint="eastAsia"/>
                <w:color w:val="FF0000"/>
                <w:szCs w:val="24"/>
                <w:u w:val="single"/>
              </w:rPr>
              <w:t>兩造</w:t>
            </w:r>
            <w:r w:rsidRPr="00BA156E">
              <w:rPr>
                <w:rFonts w:ascii="標楷體" w:eastAsia="標楷體" w:hAnsi="標楷體" w:hint="eastAsia"/>
                <w:szCs w:val="24"/>
              </w:rPr>
              <w:t>權利義務、風險分擔及糾紛發生之舉證責任，且於前開所述電子文件傳輸時，輔以其他安全機制者。</w:t>
            </w:r>
          </w:p>
          <w:p w14:paraId="4DFFC8E5" w14:textId="77777777" w:rsidR="00677CC9" w:rsidRDefault="00677CC9" w:rsidP="0031231E">
            <w:pPr>
              <w:spacing w:before="240" w:after="240" w:line="400" w:lineRule="exact"/>
              <w:jc w:val="both"/>
              <w:rPr>
                <w:rFonts w:ascii="標楷體" w:eastAsia="標楷體" w:hAnsi="標楷體"/>
                <w:szCs w:val="24"/>
              </w:rPr>
            </w:pPr>
          </w:p>
          <w:p w14:paraId="68CAE77C" w14:textId="3BE00103" w:rsidR="00677CC9" w:rsidRDefault="00677CC9" w:rsidP="0031231E">
            <w:pPr>
              <w:spacing w:before="240" w:after="240" w:line="400" w:lineRule="exact"/>
              <w:jc w:val="both"/>
              <w:rPr>
                <w:rFonts w:ascii="標楷體" w:eastAsia="標楷體" w:hAnsi="標楷體"/>
                <w:szCs w:val="24"/>
              </w:rPr>
            </w:pPr>
          </w:p>
          <w:p w14:paraId="1B93A49D" w14:textId="77777777" w:rsidR="00681D4F" w:rsidRDefault="00681D4F" w:rsidP="0031231E">
            <w:pPr>
              <w:spacing w:before="240" w:after="240" w:line="400" w:lineRule="exact"/>
              <w:jc w:val="both"/>
              <w:rPr>
                <w:rFonts w:ascii="標楷體" w:eastAsia="標楷體" w:hAnsi="標楷體"/>
                <w:szCs w:val="24"/>
              </w:rPr>
            </w:pPr>
          </w:p>
          <w:p w14:paraId="48E8DB2E" w14:textId="77777777" w:rsidR="00681D4F" w:rsidRDefault="00681D4F" w:rsidP="0031231E">
            <w:pPr>
              <w:spacing w:before="240" w:after="240" w:line="400" w:lineRule="exact"/>
              <w:jc w:val="both"/>
              <w:rPr>
                <w:rFonts w:ascii="標楷體" w:eastAsia="標楷體" w:hAnsi="標楷體"/>
                <w:szCs w:val="24"/>
              </w:rPr>
            </w:pPr>
          </w:p>
          <w:p w14:paraId="4B1F6846" w14:textId="77777777" w:rsidR="00677CC9" w:rsidRDefault="00677CC9" w:rsidP="0031231E">
            <w:pPr>
              <w:spacing w:before="240" w:after="240" w:line="400" w:lineRule="exact"/>
              <w:jc w:val="both"/>
              <w:rPr>
                <w:rFonts w:ascii="標楷體" w:eastAsia="標楷體" w:hAnsi="標楷體"/>
                <w:szCs w:val="24"/>
              </w:rPr>
            </w:pPr>
          </w:p>
          <w:p w14:paraId="0EF0124F" w14:textId="7B672CCE" w:rsidR="00677CC9" w:rsidRDefault="00677CC9" w:rsidP="0031231E">
            <w:pPr>
              <w:spacing w:before="240" w:after="240" w:line="400" w:lineRule="exact"/>
              <w:jc w:val="both"/>
              <w:rPr>
                <w:rFonts w:ascii="標楷體" w:eastAsia="標楷體" w:hAnsi="標楷體"/>
                <w:szCs w:val="24"/>
              </w:rPr>
            </w:pPr>
          </w:p>
          <w:p w14:paraId="402EE35B" w14:textId="77777777" w:rsidR="00681D4F" w:rsidRDefault="00681D4F" w:rsidP="0031231E">
            <w:pPr>
              <w:spacing w:before="240" w:after="240" w:line="400" w:lineRule="exact"/>
              <w:jc w:val="both"/>
              <w:rPr>
                <w:rFonts w:ascii="標楷體" w:eastAsia="標楷體" w:hAnsi="標楷體"/>
                <w:szCs w:val="24"/>
              </w:rPr>
            </w:pPr>
          </w:p>
          <w:p w14:paraId="2AFB221D" w14:textId="77777777" w:rsidR="00677CC9" w:rsidRDefault="00677CC9" w:rsidP="001A2CE0">
            <w:pPr>
              <w:spacing w:line="660" w:lineRule="exact"/>
              <w:jc w:val="both"/>
              <w:rPr>
                <w:rFonts w:ascii="標楷體" w:eastAsia="標楷體" w:hAnsi="標楷體"/>
                <w:sz w:val="28"/>
                <w:szCs w:val="24"/>
              </w:rPr>
            </w:pPr>
          </w:p>
          <w:p w14:paraId="00988CE0" w14:textId="307D4748" w:rsidR="005460F8" w:rsidRDefault="005460F8" w:rsidP="00EB41F3">
            <w:pPr>
              <w:spacing w:after="240" w:line="840" w:lineRule="exact"/>
              <w:jc w:val="both"/>
              <w:rPr>
                <w:rFonts w:ascii="標楷體" w:eastAsia="標楷體" w:hAnsi="標楷體"/>
                <w:szCs w:val="24"/>
              </w:rPr>
            </w:pPr>
          </w:p>
          <w:p w14:paraId="51245F69" w14:textId="1BDDCFF9" w:rsidR="008B4D2B" w:rsidRDefault="008B4D2B" w:rsidP="00EB41F3">
            <w:pPr>
              <w:spacing w:after="240" w:line="840" w:lineRule="exact"/>
              <w:jc w:val="both"/>
              <w:rPr>
                <w:rFonts w:ascii="標楷體" w:eastAsia="標楷體" w:hAnsi="標楷體"/>
                <w:szCs w:val="24"/>
              </w:rPr>
            </w:pPr>
          </w:p>
          <w:p w14:paraId="6155A224" w14:textId="22CCBB0C" w:rsidR="00BA156E" w:rsidRDefault="00E10835" w:rsidP="00EB2C38">
            <w:pPr>
              <w:spacing w:beforeLines="50" w:before="180" w:line="400" w:lineRule="exact"/>
              <w:ind w:leftChars="100" w:left="240"/>
              <w:jc w:val="both"/>
              <w:rPr>
                <w:rFonts w:ascii="標楷體" w:eastAsia="標楷體" w:hAnsi="標楷體"/>
                <w:szCs w:val="24"/>
              </w:rPr>
            </w:pPr>
            <w:r w:rsidRPr="007F3629">
              <w:rPr>
                <w:rFonts w:ascii="標楷體" w:eastAsia="標楷體" w:hAnsi="標楷體" w:hint="eastAsia"/>
                <w:szCs w:val="24"/>
              </w:rPr>
              <w:t>符合</w:t>
            </w:r>
            <w:r w:rsidRPr="0004365C">
              <w:rPr>
                <w:rFonts w:ascii="標楷體" w:eastAsia="標楷體" w:hAnsi="標楷體" w:hint="eastAsia"/>
                <w:color w:val="FF0000"/>
                <w:szCs w:val="24"/>
                <w:u w:val="single"/>
              </w:rPr>
              <w:t>前款</w:t>
            </w:r>
            <w:r w:rsidRPr="0004365C">
              <w:rPr>
                <w:rFonts w:ascii="標楷體" w:eastAsia="標楷體" w:hAnsi="標楷體" w:hint="eastAsia"/>
                <w:szCs w:val="24"/>
              </w:rPr>
              <w:t>第二目</w:t>
            </w:r>
            <w:r w:rsidRPr="007F3629">
              <w:rPr>
                <w:rFonts w:ascii="標楷體" w:eastAsia="標楷體" w:hAnsi="標楷體" w:hint="eastAsia"/>
                <w:szCs w:val="24"/>
              </w:rPr>
              <w:t>豁免條件者，</w:t>
            </w:r>
            <w:r w:rsidRPr="00BA156E">
              <w:rPr>
                <w:rFonts w:ascii="標楷體" w:eastAsia="標楷體" w:hAnsi="標楷體" w:hint="eastAsia"/>
                <w:szCs w:val="24"/>
              </w:rPr>
              <w:t>證券經紀商須就所採安全機制，函報</w:t>
            </w:r>
            <w:r w:rsidR="00505EB0">
              <w:rPr>
                <w:rFonts w:ascii="標楷體" w:eastAsia="標楷體" w:hAnsi="標楷體" w:hint="eastAsia"/>
                <w:szCs w:val="24"/>
              </w:rPr>
              <w:t>本中心</w:t>
            </w:r>
            <w:r w:rsidRPr="00BA156E">
              <w:rPr>
                <w:rFonts w:ascii="標楷體" w:eastAsia="標楷體" w:hAnsi="標楷體" w:hint="eastAsia"/>
                <w:szCs w:val="24"/>
              </w:rPr>
              <w:t>備查，並於「證券商申報單一窗口」完成申報作業，變更時亦同。</w:t>
            </w:r>
            <w:r w:rsidR="00117307" w:rsidRPr="00117307">
              <w:rPr>
                <w:rFonts w:ascii="標楷體" w:eastAsia="標楷體" w:hAnsi="標楷體" w:hint="eastAsia"/>
                <w:szCs w:val="24"/>
              </w:rPr>
              <w:t>已向臺灣證券交易所股份有限公司申辦並取得該公司備查函者，毋須重複向本中心申辦。</w:t>
            </w:r>
          </w:p>
          <w:p w14:paraId="362F6F1F" w14:textId="77777777" w:rsidR="007407CD" w:rsidRDefault="007407CD" w:rsidP="008C223D">
            <w:pPr>
              <w:spacing w:before="120" w:line="400" w:lineRule="exact"/>
              <w:jc w:val="center"/>
              <w:rPr>
                <w:rFonts w:ascii="標楷體" w:eastAsia="標楷體" w:hAnsi="標楷體"/>
                <w:szCs w:val="24"/>
              </w:rPr>
            </w:pPr>
          </w:p>
          <w:p w14:paraId="77610E44" w14:textId="7E871FD3" w:rsidR="008C223D" w:rsidRPr="00BA156E" w:rsidRDefault="008C223D" w:rsidP="008C223D">
            <w:pPr>
              <w:spacing w:before="120" w:line="400" w:lineRule="exact"/>
              <w:jc w:val="center"/>
              <w:rPr>
                <w:rFonts w:ascii="標楷體" w:eastAsia="標楷體" w:hAnsi="標楷體"/>
                <w:szCs w:val="24"/>
              </w:rPr>
            </w:pPr>
            <w:r>
              <w:rPr>
                <w:rFonts w:ascii="標楷體" w:eastAsia="標楷體" w:hAnsi="標楷體" w:hint="eastAsia"/>
                <w:szCs w:val="24"/>
              </w:rPr>
              <w:t>（</w:t>
            </w:r>
            <w:r w:rsidR="007407CD">
              <w:rPr>
                <w:rFonts w:ascii="標楷體" w:eastAsia="標楷體" w:hAnsi="標楷體" w:hint="eastAsia"/>
                <w:szCs w:val="24"/>
              </w:rPr>
              <w:t>第六款及第七款</w:t>
            </w:r>
            <w:r>
              <w:rPr>
                <w:rFonts w:ascii="標楷體" w:eastAsia="標楷體" w:hAnsi="標楷體" w:hint="eastAsia"/>
                <w:szCs w:val="24"/>
              </w:rPr>
              <w:t>略）</w:t>
            </w:r>
          </w:p>
        </w:tc>
        <w:tc>
          <w:tcPr>
            <w:tcW w:w="2534" w:type="dxa"/>
          </w:tcPr>
          <w:p w14:paraId="0F1CB2A3" w14:textId="3CC29F27" w:rsidR="00C4534A" w:rsidRPr="00706BE0" w:rsidRDefault="00DD0E99" w:rsidP="00847A7C">
            <w:pPr>
              <w:pStyle w:val="a3"/>
              <w:numPr>
                <w:ilvl w:val="0"/>
                <w:numId w:val="54"/>
              </w:numPr>
              <w:spacing w:line="400" w:lineRule="exact"/>
              <w:ind w:leftChars="0" w:left="539" w:hanging="539"/>
              <w:jc w:val="both"/>
              <w:rPr>
                <w:rFonts w:ascii="標楷體" w:eastAsia="標楷體" w:hAnsi="標楷體"/>
                <w:szCs w:val="24"/>
              </w:rPr>
            </w:pPr>
            <w:r w:rsidRPr="00706BE0">
              <w:rPr>
                <w:rFonts w:ascii="標楷體" w:eastAsia="標楷體" w:hAnsi="標楷體" w:hint="eastAsia"/>
                <w:szCs w:val="24"/>
              </w:rPr>
              <w:lastRenderedPageBreak/>
              <w:t>考量</w:t>
            </w:r>
            <w:r w:rsidR="004210F4" w:rsidRPr="00706BE0">
              <w:rPr>
                <w:rFonts w:ascii="標楷體" w:eastAsia="標楷體" w:hAnsi="標楷體" w:hint="eastAsia"/>
                <w:szCs w:val="24"/>
              </w:rPr>
              <w:t>證券商辦理客戶電子式專屬線路下單</w:t>
            </w:r>
            <w:r w:rsidR="004210F4" w:rsidRPr="00706BE0">
              <w:rPr>
                <w:rFonts w:ascii="標楷體" w:eastAsia="標楷體" w:hAnsi="標楷體"/>
                <w:szCs w:val="24"/>
              </w:rPr>
              <w:t>(DMA)</w:t>
            </w:r>
            <w:r w:rsidR="004210F4" w:rsidRPr="00706BE0">
              <w:rPr>
                <w:rFonts w:ascii="標楷體" w:eastAsia="標楷體" w:hAnsi="標楷體" w:hint="eastAsia"/>
                <w:szCs w:val="24"/>
              </w:rPr>
              <w:t>業務</w:t>
            </w:r>
            <w:r>
              <w:rPr>
                <w:rFonts w:ascii="標楷體" w:eastAsia="標楷體" w:hAnsi="標楷體" w:hint="eastAsia"/>
                <w:szCs w:val="24"/>
              </w:rPr>
              <w:t>之</w:t>
            </w:r>
            <w:r w:rsidR="004210F4" w:rsidRPr="00706BE0">
              <w:rPr>
                <w:rFonts w:ascii="標楷體" w:eastAsia="標楷體" w:hAnsi="標楷體" w:hint="eastAsia"/>
                <w:szCs w:val="24"/>
              </w:rPr>
              <w:t>作業實務，由委託人簽署契約及風險預告書有</w:t>
            </w:r>
            <w:r w:rsidR="00706BE0">
              <w:rPr>
                <w:rFonts w:ascii="標楷體" w:eastAsia="標楷體" w:hAnsi="標楷體" w:hint="eastAsia"/>
                <w:szCs w:val="24"/>
              </w:rPr>
              <w:t>一定</w:t>
            </w:r>
            <w:r w:rsidR="004210F4" w:rsidRPr="00706BE0">
              <w:rPr>
                <w:rFonts w:ascii="標楷體" w:eastAsia="標楷體" w:hAnsi="標楷體" w:hint="eastAsia"/>
                <w:szCs w:val="24"/>
              </w:rPr>
              <w:t>困難，</w:t>
            </w:r>
            <w:r w:rsidR="002B3AF5" w:rsidRPr="00706BE0">
              <w:rPr>
                <w:rFonts w:ascii="標楷體" w:eastAsia="標楷體" w:hAnsi="標楷體" w:hint="eastAsia"/>
                <w:szCs w:val="24"/>
              </w:rPr>
              <w:t>爰修正第五款第二目，</w:t>
            </w:r>
            <w:r w:rsidR="004210F4" w:rsidRPr="00706BE0">
              <w:rPr>
                <w:rFonts w:ascii="標楷體" w:eastAsia="標楷體" w:hAnsi="標楷體" w:hint="eastAsia"/>
                <w:szCs w:val="24"/>
              </w:rPr>
              <w:t>增</w:t>
            </w:r>
            <w:r w:rsidR="002B3AF5" w:rsidRPr="00706BE0">
              <w:rPr>
                <w:rFonts w:ascii="標楷體" w:eastAsia="標楷體" w:hAnsi="標楷體" w:hint="eastAsia"/>
                <w:szCs w:val="24"/>
              </w:rPr>
              <w:t>訂</w:t>
            </w:r>
            <w:r w:rsidR="004210F4" w:rsidRPr="00706BE0">
              <w:rPr>
                <w:rFonts w:ascii="標楷體" w:eastAsia="標楷體" w:hAnsi="標楷體" w:hint="eastAsia"/>
                <w:szCs w:val="24"/>
              </w:rPr>
              <w:t>由代理人簽訂契約及風險預告書之規定，並酌作文字修正。</w:t>
            </w:r>
            <w:r w:rsidR="004210F4" w:rsidRPr="00706BE0">
              <w:rPr>
                <w:rFonts w:ascii="標楷體" w:eastAsia="標楷體" w:hAnsi="標楷體"/>
                <w:szCs w:val="24"/>
              </w:rPr>
              <w:t xml:space="preserve"> </w:t>
            </w:r>
          </w:p>
          <w:p w14:paraId="0DA2E654" w14:textId="076401D3" w:rsidR="002B3AF5" w:rsidRPr="0004365C" w:rsidRDefault="007407CD" w:rsidP="0004365C">
            <w:pPr>
              <w:pStyle w:val="a3"/>
              <w:numPr>
                <w:ilvl w:val="0"/>
                <w:numId w:val="54"/>
              </w:numPr>
              <w:spacing w:line="400" w:lineRule="exact"/>
              <w:ind w:leftChars="0"/>
              <w:jc w:val="both"/>
              <w:rPr>
                <w:rFonts w:ascii="標楷體" w:eastAsia="標楷體" w:hAnsi="標楷體"/>
                <w:szCs w:val="24"/>
              </w:rPr>
            </w:pPr>
            <w:r w:rsidRPr="007407CD">
              <w:rPr>
                <w:rFonts w:ascii="標楷體" w:eastAsia="標楷體" w:hAnsi="標楷體" w:hint="eastAsia"/>
                <w:szCs w:val="24"/>
              </w:rPr>
              <w:t>為使DMA資料保存規範明確，</w:t>
            </w:r>
            <w:r>
              <w:rPr>
                <w:rFonts w:ascii="標楷體" w:eastAsia="標楷體" w:hAnsi="標楷體" w:hint="eastAsia"/>
                <w:szCs w:val="24"/>
              </w:rPr>
              <w:t>爰將現行條文第參點有關</w:t>
            </w:r>
            <w:r w:rsidR="001D498B">
              <w:rPr>
                <w:rFonts w:ascii="標楷體" w:eastAsia="標楷體" w:hAnsi="標楷體" w:hint="eastAsia"/>
                <w:szCs w:val="24"/>
              </w:rPr>
              <w:t>委託紀錄及電腦稽核紀錄(</w:t>
            </w:r>
            <w:r w:rsidR="001D498B">
              <w:rPr>
                <w:rFonts w:ascii="標楷體" w:eastAsia="標楷體" w:hAnsi="標楷體"/>
                <w:szCs w:val="24"/>
              </w:rPr>
              <w:t>Log)</w:t>
            </w:r>
            <w:r w:rsidR="001D498B">
              <w:rPr>
                <w:rFonts w:ascii="標楷體" w:eastAsia="標楷體" w:hAnsi="標楷體" w:hint="eastAsia"/>
                <w:szCs w:val="24"/>
              </w:rPr>
              <w:t>保存年限移列至</w:t>
            </w:r>
            <w:r w:rsidRPr="007407CD">
              <w:rPr>
                <w:rFonts w:ascii="標楷體" w:eastAsia="標楷體" w:hAnsi="標楷體" w:hint="eastAsia"/>
                <w:szCs w:val="24"/>
              </w:rPr>
              <w:t>第貳點第八</w:t>
            </w:r>
            <w:r w:rsidR="001D498B">
              <w:rPr>
                <w:rFonts w:ascii="標楷體" w:eastAsia="標楷體" w:hAnsi="標楷體" w:hint="eastAsia"/>
                <w:szCs w:val="24"/>
              </w:rPr>
              <w:t>款。</w:t>
            </w:r>
          </w:p>
        </w:tc>
      </w:tr>
      <w:tr w:rsidR="00967692" w:rsidRPr="0089108E" w14:paraId="63CC861A" w14:textId="77777777" w:rsidTr="00460418">
        <w:tc>
          <w:tcPr>
            <w:tcW w:w="2983" w:type="dxa"/>
          </w:tcPr>
          <w:p w14:paraId="330F5B64" w14:textId="785C1C9E" w:rsidR="00ED4C54" w:rsidRPr="00ED4C54" w:rsidRDefault="00ED4C54" w:rsidP="00505EB0">
            <w:pPr>
              <w:spacing w:after="240" w:line="400" w:lineRule="exact"/>
              <w:ind w:left="360" w:hangingChars="150" w:hanging="360"/>
              <w:jc w:val="both"/>
              <w:rPr>
                <w:rFonts w:ascii="標楷體" w:eastAsia="標楷體" w:hAnsi="標楷體"/>
                <w:szCs w:val="24"/>
                <w:u w:val="single"/>
              </w:rPr>
            </w:pPr>
          </w:p>
        </w:tc>
        <w:tc>
          <w:tcPr>
            <w:tcW w:w="2983" w:type="dxa"/>
          </w:tcPr>
          <w:p w14:paraId="285499F6" w14:textId="77777777" w:rsidR="00967692" w:rsidRDefault="00967692" w:rsidP="00505EB0">
            <w:pPr>
              <w:spacing w:after="240" w:line="400" w:lineRule="exact"/>
              <w:ind w:left="360" w:hangingChars="150" w:hanging="360"/>
              <w:jc w:val="both"/>
              <w:rPr>
                <w:rFonts w:ascii="標楷體" w:eastAsia="標楷體" w:hAnsi="標楷體"/>
                <w:szCs w:val="24"/>
                <w:u w:val="single"/>
              </w:rPr>
            </w:pPr>
            <w:r w:rsidRPr="00687AA7">
              <w:rPr>
                <w:rFonts w:ascii="標楷體" w:eastAsia="標楷體" w:hAnsi="標楷體" w:hint="eastAsia"/>
                <w:szCs w:val="24"/>
              </w:rPr>
              <w:t>參、</w:t>
            </w:r>
            <w:r w:rsidRPr="0004365C">
              <w:rPr>
                <w:rFonts w:ascii="標楷體" w:eastAsia="標楷體" w:hAnsi="標楷體" w:hint="eastAsia"/>
                <w:szCs w:val="24"/>
              </w:rPr>
              <w:t>證券經紀商辦理電子式專屬線路下單業務，製作買賣委託紀錄之處理流程：</w:t>
            </w:r>
          </w:p>
          <w:p w14:paraId="6F31D6A1" w14:textId="2A62BE9B" w:rsidR="002B3AF5" w:rsidRPr="00687AA7" w:rsidRDefault="002B3AF5" w:rsidP="0004365C">
            <w:pPr>
              <w:spacing w:after="240" w:line="400" w:lineRule="exact"/>
              <w:ind w:left="360" w:hangingChars="150" w:hanging="360"/>
              <w:jc w:val="center"/>
              <w:rPr>
                <w:rFonts w:ascii="標楷體" w:eastAsia="標楷體" w:hAnsi="標楷體"/>
                <w:szCs w:val="24"/>
              </w:rPr>
            </w:pPr>
            <w:r>
              <w:rPr>
                <w:rFonts w:ascii="標楷體" w:eastAsia="標楷體" w:hAnsi="標楷體" w:hint="eastAsia"/>
                <w:szCs w:val="24"/>
              </w:rPr>
              <w:t>(圖略)</w:t>
            </w:r>
          </w:p>
        </w:tc>
        <w:tc>
          <w:tcPr>
            <w:tcW w:w="2534" w:type="dxa"/>
          </w:tcPr>
          <w:p w14:paraId="6BFFF638" w14:textId="3BC9A821" w:rsidR="00804634" w:rsidRDefault="00804634" w:rsidP="00804634">
            <w:pPr>
              <w:pStyle w:val="a3"/>
              <w:numPr>
                <w:ilvl w:val="0"/>
                <w:numId w:val="53"/>
              </w:numPr>
              <w:spacing w:line="400" w:lineRule="exact"/>
              <w:ind w:leftChars="0" w:left="482" w:hanging="482"/>
              <w:jc w:val="both"/>
              <w:rPr>
                <w:rFonts w:ascii="標楷體" w:eastAsia="標楷體" w:hAnsi="標楷體"/>
                <w:szCs w:val="24"/>
              </w:rPr>
            </w:pPr>
            <w:r w:rsidRPr="0004365C">
              <w:rPr>
                <w:rFonts w:ascii="標楷體" w:eastAsia="標楷體" w:hAnsi="標楷體" w:hint="eastAsia"/>
                <w:szCs w:val="24"/>
                <w:u w:val="single"/>
              </w:rPr>
              <w:t>本點刪除</w:t>
            </w:r>
            <w:r>
              <w:rPr>
                <w:rFonts w:ascii="標楷體" w:eastAsia="標楷體" w:hAnsi="標楷體" w:hint="eastAsia"/>
                <w:szCs w:val="24"/>
              </w:rPr>
              <w:t>。</w:t>
            </w:r>
          </w:p>
          <w:p w14:paraId="3AEAFBD9" w14:textId="7439AD4E" w:rsidR="00ED4C54" w:rsidRPr="0004365C" w:rsidRDefault="005460F8" w:rsidP="00804634">
            <w:pPr>
              <w:pStyle w:val="a3"/>
              <w:numPr>
                <w:ilvl w:val="0"/>
                <w:numId w:val="53"/>
              </w:numPr>
              <w:spacing w:line="400" w:lineRule="exact"/>
              <w:ind w:leftChars="0" w:left="482" w:hanging="482"/>
              <w:jc w:val="both"/>
              <w:rPr>
                <w:rFonts w:ascii="標楷體" w:eastAsia="標楷體" w:hAnsi="標楷體"/>
                <w:szCs w:val="24"/>
                <w:u w:val="single"/>
              </w:rPr>
            </w:pPr>
            <w:r w:rsidRPr="00F6153E">
              <w:rPr>
                <w:rFonts w:ascii="標楷體" w:eastAsia="標楷體" w:hAnsi="標楷體" w:hint="eastAsia"/>
                <w:szCs w:val="24"/>
              </w:rPr>
              <w:t>為使DMA資料保存規範明確，</w:t>
            </w:r>
            <w:r w:rsidR="001D498B">
              <w:rPr>
                <w:rFonts w:ascii="標楷體" w:eastAsia="標楷體" w:hAnsi="標楷體" w:hint="eastAsia"/>
                <w:szCs w:val="24"/>
              </w:rPr>
              <w:t>爰將現行相關紀錄保存年限規定移列至第貳點第八款，</w:t>
            </w:r>
            <w:r w:rsidRPr="00F6153E">
              <w:rPr>
                <w:rFonts w:ascii="標楷體" w:eastAsia="標楷體" w:hAnsi="標楷體" w:hint="eastAsia"/>
                <w:szCs w:val="24"/>
              </w:rPr>
              <w:t>並刪除</w:t>
            </w:r>
            <w:r w:rsidR="001D498B">
              <w:rPr>
                <w:rFonts w:ascii="標楷體" w:eastAsia="標楷體" w:hAnsi="標楷體" w:hint="eastAsia"/>
                <w:szCs w:val="24"/>
              </w:rPr>
              <w:t>現行條文</w:t>
            </w:r>
            <w:r w:rsidRPr="00F6153E">
              <w:rPr>
                <w:rFonts w:ascii="標楷體" w:eastAsia="標楷體" w:hAnsi="標楷體" w:hint="eastAsia"/>
                <w:szCs w:val="24"/>
              </w:rPr>
              <w:t>第參點。</w:t>
            </w:r>
          </w:p>
        </w:tc>
      </w:tr>
      <w:tr w:rsidR="00804634" w:rsidRPr="0089108E" w14:paraId="28B9BAD6" w14:textId="77777777" w:rsidTr="00460418">
        <w:tc>
          <w:tcPr>
            <w:tcW w:w="2983" w:type="dxa"/>
          </w:tcPr>
          <w:p w14:paraId="23FA63F1" w14:textId="060425BC" w:rsidR="00804634" w:rsidRPr="00804634" w:rsidRDefault="00804634" w:rsidP="00505EB0">
            <w:pPr>
              <w:spacing w:after="240" w:line="400" w:lineRule="exact"/>
              <w:ind w:left="360" w:hangingChars="150" w:hanging="360"/>
              <w:jc w:val="both"/>
              <w:rPr>
                <w:rFonts w:ascii="標楷體" w:eastAsia="標楷體" w:hAnsi="標楷體"/>
                <w:szCs w:val="24"/>
              </w:rPr>
            </w:pPr>
            <w:r w:rsidRPr="00804634">
              <w:rPr>
                <w:rFonts w:ascii="標楷體" w:eastAsia="標楷體" w:hAnsi="標楷體" w:hint="eastAsia"/>
                <w:szCs w:val="24"/>
              </w:rPr>
              <w:t>參、</w:t>
            </w:r>
            <w:r w:rsidRPr="0004365C">
              <w:rPr>
                <w:rFonts w:ascii="標楷體" w:eastAsia="標楷體" w:hAnsi="標楷體" w:hint="eastAsia"/>
                <w:szCs w:val="24"/>
              </w:rPr>
              <w:t>本作業要點經報請主管機關核備後公告實施，修正時亦同。</w:t>
            </w:r>
          </w:p>
        </w:tc>
        <w:tc>
          <w:tcPr>
            <w:tcW w:w="2983" w:type="dxa"/>
          </w:tcPr>
          <w:p w14:paraId="57D8DB95" w14:textId="77777777" w:rsidR="00804634" w:rsidRPr="00687AA7" w:rsidRDefault="00804634" w:rsidP="00505EB0">
            <w:pPr>
              <w:spacing w:after="240" w:line="400" w:lineRule="exact"/>
              <w:ind w:left="360" w:hangingChars="150" w:hanging="360"/>
              <w:jc w:val="both"/>
              <w:rPr>
                <w:rFonts w:ascii="標楷體" w:eastAsia="標楷體" w:hAnsi="標楷體"/>
                <w:szCs w:val="24"/>
              </w:rPr>
            </w:pPr>
          </w:p>
        </w:tc>
        <w:tc>
          <w:tcPr>
            <w:tcW w:w="2534" w:type="dxa"/>
          </w:tcPr>
          <w:p w14:paraId="4F4D77EE" w14:textId="6CE6BFAD" w:rsidR="00804634" w:rsidRPr="0004365C" w:rsidRDefault="00804634" w:rsidP="0004365C">
            <w:pPr>
              <w:pStyle w:val="a3"/>
              <w:numPr>
                <w:ilvl w:val="0"/>
                <w:numId w:val="58"/>
              </w:numPr>
              <w:spacing w:line="400" w:lineRule="exact"/>
              <w:ind w:leftChars="0"/>
              <w:jc w:val="both"/>
              <w:rPr>
                <w:rFonts w:ascii="標楷體" w:eastAsia="標楷體" w:hAnsi="標楷體"/>
                <w:szCs w:val="24"/>
              </w:rPr>
            </w:pPr>
            <w:r w:rsidRPr="0004365C">
              <w:rPr>
                <w:rFonts w:ascii="標楷體" w:eastAsia="標楷體" w:hAnsi="標楷體" w:hint="eastAsia"/>
                <w:szCs w:val="24"/>
                <w:u w:val="single"/>
              </w:rPr>
              <w:t>本點新增</w:t>
            </w:r>
            <w:r w:rsidRPr="0004365C">
              <w:rPr>
                <w:rFonts w:ascii="標楷體" w:eastAsia="標楷體" w:hAnsi="標楷體" w:hint="eastAsia"/>
                <w:szCs w:val="24"/>
              </w:rPr>
              <w:t>。</w:t>
            </w:r>
          </w:p>
          <w:p w14:paraId="356CC476" w14:textId="606F7647" w:rsidR="00804634" w:rsidRPr="0004365C" w:rsidRDefault="00804634" w:rsidP="0004365C">
            <w:pPr>
              <w:pStyle w:val="a3"/>
              <w:numPr>
                <w:ilvl w:val="0"/>
                <w:numId w:val="58"/>
              </w:numPr>
              <w:spacing w:line="400" w:lineRule="exact"/>
              <w:ind w:leftChars="0"/>
              <w:jc w:val="both"/>
              <w:rPr>
                <w:rFonts w:ascii="標楷體" w:eastAsia="標楷體" w:hAnsi="標楷體"/>
                <w:szCs w:val="24"/>
              </w:rPr>
            </w:pPr>
            <w:r w:rsidRPr="0004365C">
              <w:rPr>
                <w:rFonts w:ascii="標楷體" w:eastAsia="標楷體" w:hAnsi="標楷體" w:hint="eastAsia"/>
                <w:szCs w:val="24"/>
              </w:rPr>
              <w:t>為符合法</w:t>
            </w:r>
            <w:r>
              <w:rPr>
                <w:rFonts w:ascii="標楷體" w:eastAsia="標楷體" w:hAnsi="標楷體" w:hint="eastAsia"/>
                <w:szCs w:val="24"/>
              </w:rPr>
              <w:t>制</w:t>
            </w:r>
            <w:r w:rsidRPr="0004365C">
              <w:rPr>
                <w:rFonts w:ascii="標楷體" w:eastAsia="標楷體" w:hAnsi="標楷體" w:hint="eastAsia"/>
                <w:szCs w:val="24"/>
              </w:rPr>
              <w:t>作業實務，新增本作業要點之核決程序。</w:t>
            </w:r>
          </w:p>
        </w:tc>
      </w:tr>
    </w:tbl>
    <w:p w14:paraId="38417E38" w14:textId="77777777" w:rsidR="00574575" w:rsidRDefault="00574575">
      <w:pPr>
        <w:widowControl/>
        <w:rPr>
          <w:rFonts w:ascii="標楷體" w:eastAsia="標楷體" w:hAnsi="標楷體"/>
          <w:b/>
          <w:sz w:val="28"/>
          <w:szCs w:val="28"/>
        </w:rPr>
      </w:pPr>
    </w:p>
    <w:sectPr w:rsidR="00574575" w:rsidSect="00DD6AE5">
      <w:footerReference w:type="default" r:id="rId8"/>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8F707" w14:textId="77777777" w:rsidR="00FC2BCB" w:rsidRDefault="00FC2BCB" w:rsidP="00B71340">
      <w:r>
        <w:separator/>
      </w:r>
    </w:p>
  </w:endnote>
  <w:endnote w:type="continuationSeparator" w:id="0">
    <w:p w14:paraId="1B3A7BB1" w14:textId="77777777" w:rsidR="00FC2BCB" w:rsidRDefault="00FC2BCB" w:rsidP="00B7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614597"/>
      <w:docPartObj>
        <w:docPartGallery w:val="Page Numbers (Bottom of Page)"/>
        <w:docPartUnique/>
      </w:docPartObj>
    </w:sdtPr>
    <w:sdtEndPr/>
    <w:sdtContent>
      <w:p w14:paraId="17854401" w14:textId="77777777" w:rsidR="004230A3" w:rsidRDefault="004230A3">
        <w:pPr>
          <w:pStyle w:val="af3"/>
          <w:jc w:val="center"/>
        </w:pPr>
        <w:r>
          <w:fldChar w:fldCharType="begin"/>
        </w:r>
        <w:r>
          <w:instrText>PAGE   \* MERGEFORMAT</w:instrText>
        </w:r>
        <w:r>
          <w:fldChar w:fldCharType="separate"/>
        </w:r>
        <w:r w:rsidR="00233000" w:rsidRPr="00233000">
          <w:rPr>
            <w:noProof/>
            <w:lang w:val="zh-TW"/>
          </w:rPr>
          <w:t>1</w:t>
        </w:r>
        <w:r>
          <w:fldChar w:fldCharType="end"/>
        </w:r>
      </w:p>
    </w:sdtContent>
  </w:sdt>
  <w:p w14:paraId="6E8EA8F6" w14:textId="77777777" w:rsidR="004230A3" w:rsidRDefault="004230A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99CC4" w14:textId="77777777" w:rsidR="00FC2BCB" w:rsidRDefault="00FC2BCB" w:rsidP="00B71340">
      <w:r>
        <w:separator/>
      </w:r>
    </w:p>
  </w:footnote>
  <w:footnote w:type="continuationSeparator" w:id="0">
    <w:p w14:paraId="552EB955" w14:textId="77777777" w:rsidR="00FC2BCB" w:rsidRDefault="00FC2BCB" w:rsidP="00B71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C45"/>
    <w:multiLevelType w:val="hybridMultilevel"/>
    <w:tmpl w:val="BE404928"/>
    <w:lvl w:ilvl="0" w:tplc="DC5A24F4">
      <w:start w:val="1"/>
      <w:numFmt w:val="decimal"/>
      <w:lvlText w:val="(%1)"/>
      <w:lvlJc w:val="left"/>
      <w:pPr>
        <w:ind w:left="206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3306975"/>
    <w:multiLevelType w:val="multilevel"/>
    <w:tmpl w:val="D54AF1BC"/>
    <w:lvl w:ilvl="0">
      <w:start w:val="3"/>
      <w:numFmt w:val="decimal"/>
      <w:lvlText w:val="%1"/>
      <w:lvlJc w:val="left"/>
      <w:pPr>
        <w:ind w:left="1189" w:hanging="360"/>
      </w:pPr>
      <w:rPr>
        <w:rFonts w:hint="default"/>
      </w:rPr>
    </w:lvl>
    <w:lvl w:ilvl="1">
      <w:start w:val="1"/>
      <w:numFmt w:val="decimal"/>
      <w:lvlText w:val="%1.%2"/>
      <w:lvlJc w:val="left"/>
      <w:pPr>
        <w:ind w:left="1549" w:hanging="720"/>
      </w:pPr>
      <w:rPr>
        <w:rFonts w:hint="default"/>
      </w:rPr>
    </w:lvl>
    <w:lvl w:ilvl="2">
      <w:start w:val="1"/>
      <w:numFmt w:val="decimal"/>
      <w:lvlText w:val="%1.%2.%3"/>
      <w:lvlJc w:val="left"/>
      <w:pPr>
        <w:ind w:left="1549" w:hanging="720"/>
      </w:pPr>
      <w:rPr>
        <w:rFonts w:hint="default"/>
      </w:rPr>
    </w:lvl>
    <w:lvl w:ilvl="3">
      <w:start w:val="1"/>
      <w:numFmt w:val="decimal"/>
      <w:lvlText w:val="%1.%2.%3.%4"/>
      <w:lvlJc w:val="left"/>
      <w:pPr>
        <w:ind w:left="1909" w:hanging="1080"/>
      </w:pPr>
      <w:rPr>
        <w:rFonts w:hint="default"/>
      </w:rPr>
    </w:lvl>
    <w:lvl w:ilvl="4">
      <w:start w:val="1"/>
      <w:numFmt w:val="decimal"/>
      <w:lvlText w:val="%1.%2.%3.%4.%5"/>
      <w:lvlJc w:val="left"/>
      <w:pPr>
        <w:ind w:left="1909" w:hanging="1080"/>
      </w:pPr>
      <w:rPr>
        <w:rFonts w:hint="default"/>
      </w:rPr>
    </w:lvl>
    <w:lvl w:ilvl="5">
      <w:start w:val="1"/>
      <w:numFmt w:val="decimal"/>
      <w:lvlText w:val="%1.%2.%3.%4.%5.%6"/>
      <w:lvlJc w:val="left"/>
      <w:pPr>
        <w:ind w:left="2269" w:hanging="1440"/>
      </w:pPr>
      <w:rPr>
        <w:rFonts w:hint="default"/>
      </w:rPr>
    </w:lvl>
    <w:lvl w:ilvl="6">
      <w:start w:val="1"/>
      <w:numFmt w:val="decimal"/>
      <w:lvlText w:val="%1.%2.%3.%4.%5.%6.%7"/>
      <w:lvlJc w:val="left"/>
      <w:pPr>
        <w:ind w:left="2269" w:hanging="1440"/>
      </w:pPr>
      <w:rPr>
        <w:rFonts w:hint="default"/>
      </w:rPr>
    </w:lvl>
    <w:lvl w:ilvl="7">
      <w:start w:val="1"/>
      <w:numFmt w:val="decimal"/>
      <w:lvlText w:val="%1.%2.%3.%4.%5.%6.%7.%8"/>
      <w:lvlJc w:val="left"/>
      <w:pPr>
        <w:ind w:left="2629" w:hanging="1800"/>
      </w:pPr>
      <w:rPr>
        <w:rFonts w:hint="default"/>
      </w:rPr>
    </w:lvl>
    <w:lvl w:ilvl="8">
      <w:start w:val="1"/>
      <w:numFmt w:val="decimal"/>
      <w:lvlText w:val="%1.%2.%3.%4.%5.%6.%7.%8.%9"/>
      <w:lvlJc w:val="left"/>
      <w:pPr>
        <w:ind w:left="2989" w:hanging="2160"/>
      </w:pPr>
      <w:rPr>
        <w:rFonts w:hint="default"/>
      </w:rPr>
    </w:lvl>
  </w:abstractNum>
  <w:abstractNum w:abstractNumId="2" w15:restartNumberingAfterBreak="0">
    <w:nsid w:val="0488772C"/>
    <w:multiLevelType w:val="hybridMultilevel"/>
    <w:tmpl w:val="3B4087F8"/>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 w15:restartNumberingAfterBreak="0">
    <w:nsid w:val="04915667"/>
    <w:multiLevelType w:val="hybridMultilevel"/>
    <w:tmpl w:val="D786B5F4"/>
    <w:lvl w:ilvl="0" w:tplc="16842C54">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6516F78"/>
    <w:multiLevelType w:val="hybridMultilevel"/>
    <w:tmpl w:val="3E4AEDA2"/>
    <w:lvl w:ilvl="0" w:tplc="0409000F">
      <w:start w:val="1"/>
      <w:numFmt w:val="decimal"/>
      <w:lvlText w:val="%1."/>
      <w:lvlJc w:val="left"/>
      <w:pPr>
        <w:ind w:left="480" w:hanging="480"/>
      </w:pPr>
      <w:rPr>
        <w:rFonts w:hint="default"/>
      </w:rPr>
    </w:lvl>
    <w:lvl w:ilvl="1" w:tplc="24BE04A4">
      <w:start w:val="1"/>
      <w:numFmt w:val="taiwaneseCountingThousand"/>
      <w:lvlText w:val="%2、"/>
      <w:lvlJc w:val="left"/>
      <w:pPr>
        <w:ind w:left="1200" w:hanging="720"/>
      </w:pPr>
      <w:rPr>
        <w:rFonts w:hint="default"/>
      </w:rPr>
    </w:lvl>
    <w:lvl w:ilvl="2" w:tplc="09D4895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966025"/>
    <w:multiLevelType w:val="hybridMultilevel"/>
    <w:tmpl w:val="AEDA4DC2"/>
    <w:lvl w:ilvl="0" w:tplc="98A0D10A">
      <w:start w:val="1"/>
      <w:numFmt w:val="taiwaneseCountingThousand"/>
      <w:lvlText w:val="%1、"/>
      <w:lvlJc w:val="left"/>
      <w:pPr>
        <w:ind w:left="480" w:hanging="480"/>
      </w:pPr>
      <w:rPr>
        <w:rFonts w:ascii="標楷體" w:eastAsia="標楷體" w:hAnsi="標楷體" w:cstheme="minorBidi"/>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692E20"/>
    <w:multiLevelType w:val="hybridMultilevel"/>
    <w:tmpl w:val="1B2A6C88"/>
    <w:lvl w:ilvl="0" w:tplc="A4E0B190">
      <w:start w:val="1"/>
      <w:numFmt w:val="taiwaneseCountingThousand"/>
      <w:lvlText w:val="(%1)"/>
      <w:lvlJc w:val="left"/>
      <w:pPr>
        <w:ind w:left="720" w:hanging="480"/>
      </w:pPr>
      <w:rPr>
        <w:rFonts w:ascii="標楷體" w:eastAsia="標楷體" w:hAnsi="標楷體" w:cs="Times New Roman" w:hint="eastAsia"/>
        <w:b w:val="0"/>
        <w:i w:val="0"/>
        <w:sz w:val="28"/>
        <w:szCs w:val="28"/>
        <w:u w:val="none"/>
      </w:rPr>
    </w:lvl>
    <w:lvl w:ilvl="1" w:tplc="04090019">
      <w:start w:val="1"/>
      <w:numFmt w:val="ideographTraditional"/>
      <w:lvlText w:val="%2、"/>
      <w:lvlJc w:val="left"/>
      <w:pPr>
        <w:ind w:left="1200" w:hanging="480"/>
      </w:pPr>
    </w:lvl>
    <w:lvl w:ilvl="2" w:tplc="A4E0B190">
      <w:start w:val="1"/>
      <w:numFmt w:val="taiwaneseCountingThousand"/>
      <w:lvlText w:val="(%3)"/>
      <w:lvlJc w:val="left"/>
      <w:pPr>
        <w:ind w:left="1680" w:hanging="480"/>
      </w:pPr>
      <w:rPr>
        <w:rFonts w:ascii="標楷體" w:eastAsia="標楷體" w:hAnsi="標楷體" w:cs="Times New Roman" w:hint="eastAsia"/>
        <w:b w:val="0"/>
        <w:i w:val="0"/>
        <w:sz w:val="28"/>
        <w:szCs w:val="28"/>
        <w:u w:val="none"/>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50C15AC"/>
    <w:multiLevelType w:val="hybridMultilevel"/>
    <w:tmpl w:val="1B2A6C88"/>
    <w:lvl w:ilvl="0" w:tplc="A4E0B190">
      <w:start w:val="1"/>
      <w:numFmt w:val="taiwaneseCountingThousand"/>
      <w:lvlText w:val="(%1)"/>
      <w:lvlJc w:val="left"/>
      <w:pPr>
        <w:ind w:left="720" w:hanging="480"/>
      </w:pPr>
      <w:rPr>
        <w:rFonts w:ascii="標楷體" w:eastAsia="標楷體" w:hAnsi="標楷體" w:cs="Times New Roman" w:hint="eastAsia"/>
        <w:b w:val="0"/>
        <w:i w:val="0"/>
        <w:sz w:val="28"/>
        <w:szCs w:val="28"/>
        <w:u w:val="none"/>
      </w:rPr>
    </w:lvl>
    <w:lvl w:ilvl="1" w:tplc="04090019">
      <w:start w:val="1"/>
      <w:numFmt w:val="ideographTraditional"/>
      <w:lvlText w:val="%2、"/>
      <w:lvlJc w:val="left"/>
      <w:pPr>
        <w:ind w:left="1200" w:hanging="480"/>
      </w:pPr>
    </w:lvl>
    <w:lvl w:ilvl="2" w:tplc="A4E0B190">
      <w:start w:val="1"/>
      <w:numFmt w:val="taiwaneseCountingThousand"/>
      <w:lvlText w:val="(%3)"/>
      <w:lvlJc w:val="left"/>
      <w:pPr>
        <w:ind w:left="1680" w:hanging="480"/>
      </w:pPr>
      <w:rPr>
        <w:rFonts w:ascii="標楷體" w:eastAsia="標楷體" w:hAnsi="標楷體" w:cs="Times New Roman" w:hint="eastAsia"/>
        <w:b w:val="0"/>
        <w:i w:val="0"/>
        <w:sz w:val="28"/>
        <w:szCs w:val="28"/>
        <w:u w:val="none"/>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78500D9"/>
    <w:multiLevelType w:val="hybridMultilevel"/>
    <w:tmpl w:val="66D21C78"/>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9" w15:restartNumberingAfterBreak="0">
    <w:nsid w:val="1AA0118B"/>
    <w:multiLevelType w:val="hybridMultilevel"/>
    <w:tmpl w:val="4AE82C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F4C5652"/>
    <w:multiLevelType w:val="hybridMultilevel"/>
    <w:tmpl w:val="4AE82C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FF93F23"/>
    <w:multiLevelType w:val="hybridMultilevel"/>
    <w:tmpl w:val="A4B0601E"/>
    <w:lvl w:ilvl="0" w:tplc="04090001">
      <w:start w:val="1"/>
      <w:numFmt w:val="bullet"/>
      <w:lvlText w:val=""/>
      <w:lvlJc w:val="left"/>
      <w:pPr>
        <w:ind w:left="2640" w:hanging="720"/>
      </w:pPr>
      <w:rPr>
        <w:rFonts w:ascii="Wingdings" w:hAnsi="Wingdings" w:hint="default"/>
      </w:rPr>
    </w:lvl>
    <w:lvl w:ilvl="1" w:tplc="04090019">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222E7FA9"/>
    <w:multiLevelType w:val="hybridMultilevel"/>
    <w:tmpl w:val="F372FD3A"/>
    <w:lvl w:ilvl="0" w:tplc="DC5A24F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43C495F"/>
    <w:multiLevelType w:val="hybridMultilevel"/>
    <w:tmpl w:val="D786B5F4"/>
    <w:lvl w:ilvl="0" w:tplc="16842C54">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2590345F"/>
    <w:multiLevelType w:val="hybridMultilevel"/>
    <w:tmpl w:val="A23C8046"/>
    <w:lvl w:ilvl="0" w:tplc="8F927C6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4A5761"/>
    <w:multiLevelType w:val="hybridMultilevel"/>
    <w:tmpl w:val="FA7288D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2E750634"/>
    <w:multiLevelType w:val="hybridMultilevel"/>
    <w:tmpl w:val="C5FCE156"/>
    <w:lvl w:ilvl="0" w:tplc="A4E0B190">
      <w:start w:val="1"/>
      <w:numFmt w:val="taiwaneseCountingThousand"/>
      <w:lvlText w:val="(%1)"/>
      <w:lvlJc w:val="left"/>
      <w:pPr>
        <w:ind w:left="1680" w:hanging="480"/>
      </w:pPr>
      <w:rPr>
        <w:rFonts w:ascii="標楷體" w:eastAsia="標楷體" w:hAnsi="標楷體" w:cs="Times New Roman" w:hint="eastAsia"/>
        <w:b w:val="0"/>
        <w:i w:val="0"/>
        <w:sz w:val="28"/>
        <w:szCs w:val="28"/>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302FAB"/>
    <w:multiLevelType w:val="multilevel"/>
    <w:tmpl w:val="D4D0B39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299507C"/>
    <w:multiLevelType w:val="hybridMultilevel"/>
    <w:tmpl w:val="BE404928"/>
    <w:lvl w:ilvl="0" w:tplc="DC5A24F4">
      <w:start w:val="1"/>
      <w:numFmt w:val="decimal"/>
      <w:lvlText w:val="(%1)"/>
      <w:lvlJc w:val="left"/>
      <w:pPr>
        <w:ind w:left="19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681312"/>
    <w:multiLevelType w:val="hybridMultilevel"/>
    <w:tmpl w:val="F372FD3A"/>
    <w:lvl w:ilvl="0" w:tplc="DC5A24F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A5510F1"/>
    <w:multiLevelType w:val="hybridMultilevel"/>
    <w:tmpl w:val="62B2A8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BE5DD2"/>
    <w:multiLevelType w:val="hybridMultilevel"/>
    <w:tmpl w:val="A23C8046"/>
    <w:lvl w:ilvl="0" w:tplc="8F927C6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EB4E06"/>
    <w:multiLevelType w:val="hybridMultilevel"/>
    <w:tmpl w:val="F372FD3A"/>
    <w:lvl w:ilvl="0" w:tplc="DC5A24F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03D1C7E"/>
    <w:multiLevelType w:val="hybridMultilevel"/>
    <w:tmpl w:val="600291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8A3CBE"/>
    <w:multiLevelType w:val="hybridMultilevel"/>
    <w:tmpl w:val="1B2A6C88"/>
    <w:lvl w:ilvl="0" w:tplc="A4E0B190">
      <w:start w:val="1"/>
      <w:numFmt w:val="taiwaneseCountingThousand"/>
      <w:lvlText w:val="(%1)"/>
      <w:lvlJc w:val="left"/>
      <w:pPr>
        <w:ind w:left="720" w:hanging="480"/>
      </w:pPr>
      <w:rPr>
        <w:rFonts w:ascii="標楷體" w:eastAsia="標楷體" w:hAnsi="標楷體" w:cs="Times New Roman" w:hint="eastAsia"/>
        <w:b w:val="0"/>
        <w:i w:val="0"/>
        <w:sz w:val="28"/>
        <w:szCs w:val="28"/>
        <w:u w:val="none"/>
      </w:rPr>
    </w:lvl>
    <w:lvl w:ilvl="1" w:tplc="04090019">
      <w:start w:val="1"/>
      <w:numFmt w:val="ideographTraditional"/>
      <w:lvlText w:val="%2、"/>
      <w:lvlJc w:val="left"/>
      <w:pPr>
        <w:ind w:left="1200" w:hanging="480"/>
      </w:pPr>
    </w:lvl>
    <w:lvl w:ilvl="2" w:tplc="A4E0B190">
      <w:start w:val="1"/>
      <w:numFmt w:val="taiwaneseCountingThousand"/>
      <w:lvlText w:val="(%3)"/>
      <w:lvlJc w:val="left"/>
      <w:pPr>
        <w:ind w:left="1680" w:hanging="480"/>
      </w:pPr>
      <w:rPr>
        <w:rFonts w:ascii="標楷體" w:eastAsia="標楷體" w:hAnsi="標楷體" w:cs="Times New Roman" w:hint="eastAsia"/>
        <w:b w:val="0"/>
        <w:i w:val="0"/>
        <w:sz w:val="28"/>
        <w:szCs w:val="28"/>
        <w:u w:val="none"/>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15:restartNumberingAfterBreak="0">
    <w:nsid w:val="437E7CC6"/>
    <w:multiLevelType w:val="hybridMultilevel"/>
    <w:tmpl w:val="1B2A6C88"/>
    <w:lvl w:ilvl="0" w:tplc="A4E0B190">
      <w:start w:val="1"/>
      <w:numFmt w:val="taiwaneseCountingThousand"/>
      <w:lvlText w:val="(%1)"/>
      <w:lvlJc w:val="left"/>
      <w:pPr>
        <w:ind w:left="720" w:hanging="480"/>
      </w:pPr>
      <w:rPr>
        <w:rFonts w:ascii="標楷體" w:eastAsia="標楷體" w:hAnsi="標楷體" w:cs="Times New Roman" w:hint="eastAsia"/>
        <w:b w:val="0"/>
        <w:i w:val="0"/>
        <w:sz w:val="28"/>
        <w:szCs w:val="28"/>
        <w:u w:val="none"/>
      </w:rPr>
    </w:lvl>
    <w:lvl w:ilvl="1" w:tplc="04090019">
      <w:start w:val="1"/>
      <w:numFmt w:val="ideographTraditional"/>
      <w:lvlText w:val="%2、"/>
      <w:lvlJc w:val="left"/>
      <w:pPr>
        <w:ind w:left="1200" w:hanging="480"/>
      </w:pPr>
    </w:lvl>
    <w:lvl w:ilvl="2" w:tplc="A4E0B190">
      <w:start w:val="1"/>
      <w:numFmt w:val="taiwaneseCountingThousand"/>
      <w:lvlText w:val="(%3)"/>
      <w:lvlJc w:val="left"/>
      <w:pPr>
        <w:ind w:left="1680" w:hanging="480"/>
      </w:pPr>
      <w:rPr>
        <w:rFonts w:ascii="標楷體" w:eastAsia="標楷體" w:hAnsi="標楷體" w:cs="Times New Roman" w:hint="eastAsia"/>
        <w:b w:val="0"/>
        <w:i w:val="0"/>
        <w:sz w:val="28"/>
        <w:szCs w:val="28"/>
        <w:u w:val="none"/>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46015BF4"/>
    <w:multiLevelType w:val="hybridMultilevel"/>
    <w:tmpl w:val="4D10B0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7E005A"/>
    <w:multiLevelType w:val="hybridMultilevel"/>
    <w:tmpl w:val="4D10B0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192E3D"/>
    <w:multiLevelType w:val="hybridMultilevel"/>
    <w:tmpl w:val="312CCD00"/>
    <w:lvl w:ilvl="0" w:tplc="3F481A3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3C416D"/>
    <w:multiLevelType w:val="hybridMultilevel"/>
    <w:tmpl w:val="D786B5F4"/>
    <w:lvl w:ilvl="0" w:tplc="16842C54">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54725DFB"/>
    <w:multiLevelType w:val="hybridMultilevel"/>
    <w:tmpl w:val="3E4AEDA2"/>
    <w:lvl w:ilvl="0" w:tplc="0409000F">
      <w:start w:val="1"/>
      <w:numFmt w:val="decimal"/>
      <w:lvlText w:val="%1."/>
      <w:lvlJc w:val="left"/>
      <w:pPr>
        <w:ind w:left="480" w:hanging="480"/>
      </w:pPr>
      <w:rPr>
        <w:rFonts w:hint="default"/>
      </w:rPr>
    </w:lvl>
    <w:lvl w:ilvl="1" w:tplc="24BE04A4">
      <w:start w:val="1"/>
      <w:numFmt w:val="taiwaneseCountingThousand"/>
      <w:lvlText w:val="%2、"/>
      <w:lvlJc w:val="left"/>
      <w:pPr>
        <w:ind w:left="1200" w:hanging="720"/>
      </w:pPr>
      <w:rPr>
        <w:rFonts w:hint="default"/>
      </w:rPr>
    </w:lvl>
    <w:lvl w:ilvl="2" w:tplc="09D4895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5363C48"/>
    <w:multiLevelType w:val="hybridMultilevel"/>
    <w:tmpl w:val="6818CBEC"/>
    <w:lvl w:ilvl="0" w:tplc="86BA2904">
      <w:start w:val="1"/>
      <w:numFmt w:val="taiwaneseCountingThousand"/>
      <w:lvlText w:val="%1、"/>
      <w:lvlJc w:val="left"/>
      <w:pPr>
        <w:ind w:left="720" w:hanging="720"/>
      </w:pPr>
      <w:rPr>
        <w:rFonts w:hint="default"/>
        <w:lang w:val="en-US"/>
      </w:rPr>
    </w:lvl>
    <w:lvl w:ilvl="1" w:tplc="387680B2">
      <w:start w:val="1"/>
      <w:numFmt w:val="taiwaneseCountingThousand"/>
      <w:lvlText w:val="(%2)"/>
      <w:lvlJc w:val="left"/>
      <w:pPr>
        <w:ind w:left="1200" w:hanging="720"/>
      </w:pPr>
      <w:rPr>
        <w:rFonts w:hint="default"/>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AA0E4F60">
      <w:start w:val="1"/>
      <w:numFmt w:val="decimal"/>
      <w:lvlText w:val="(%5)"/>
      <w:lvlJc w:val="left"/>
      <w:pPr>
        <w:ind w:left="2640" w:hanging="72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E57458"/>
    <w:multiLevelType w:val="hybridMultilevel"/>
    <w:tmpl w:val="F372FD3A"/>
    <w:lvl w:ilvl="0" w:tplc="DC5A24F4">
      <w:start w:val="1"/>
      <w:numFmt w:val="decimal"/>
      <w:lvlText w:val="(%1)"/>
      <w:lvlJc w:val="left"/>
      <w:pPr>
        <w:ind w:left="882" w:hanging="360"/>
      </w:pPr>
      <w:rPr>
        <w:rFonts w:hint="default"/>
      </w:rPr>
    </w:lvl>
    <w:lvl w:ilvl="1" w:tplc="04090019" w:tentative="1">
      <w:start w:val="1"/>
      <w:numFmt w:val="ideographTraditional"/>
      <w:lvlText w:val="%2、"/>
      <w:lvlJc w:val="left"/>
      <w:pPr>
        <w:ind w:left="1482" w:hanging="480"/>
      </w:pPr>
    </w:lvl>
    <w:lvl w:ilvl="2" w:tplc="0409001B" w:tentative="1">
      <w:start w:val="1"/>
      <w:numFmt w:val="lowerRoman"/>
      <w:lvlText w:val="%3."/>
      <w:lvlJc w:val="right"/>
      <w:pPr>
        <w:ind w:left="1962" w:hanging="480"/>
      </w:pPr>
    </w:lvl>
    <w:lvl w:ilvl="3" w:tplc="0409000F" w:tentative="1">
      <w:start w:val="1"/>
      <w:numFmt w:val="decimal"/>
      <w:lvlText w:val="%4."/>
      <w:lvlJc w:val="left"/>
      <w:pPr>
        <w:ind w:left="2442" w:hanging="480"/>
      </w:pPr>
    </w:lvl>
    <w:lvl w:ilvl="4" w:tplc="04090019" w:tentative="1">
      <w:start w:val="1"/>
      <w:numFmt w:val="ideographTraditional"/>
      <w:lvlText w:val="%5、"/>
      <w:lvlJc w:val="left"/>
      <w:pPr>
        <w:ind w:left="2922" w:hanging="480"/>
      </w:pPr>
    </w:lvl>
    <w:lvl w:ilvl="5" w:tplc="0409001B" w:tentative="1">
      <w:start w:val="1"/>
      <w:numFmt w:val="lowerRoman"/>
      <w:lvlText w:val="%6."/>
      <w:lvlJc w:val="right"/>
      <w:pPr>
        <w:ind w:left="3402" w:hanging="480"/>
      </w:pPr>
    </w:lvl>
    <w:lvl w:ilvl="6" w:tplc="0409000F" w:tentative="1">
      <w:start w:val="1"/>
      <w:numFmt w:val="decimal"/>
      <w:lvlText w:val="%7."/>
      <w:lvlJc w:val="left"/>
      <w:pPr>
        <w:ind w:left="3882" w:hanging="480"/>
      </w:pPr>
    </w:lvl>
    <w:lvl w:ilvl="7" w:tplc="04090019" w:tentative="1">
      <w:start w:val="1"/>
      <w:numFmt w:val="ideographTraditional"/>
      <w:lvlText w:val="%8、"/>
      <w:lvlJc w:val="left"/>
      <w:pPr>
        <w:ind w:left="4362" w:hanging="480"/>
      </w:pPr>
    </w:lvl>
    <w:lvl w:ilvl="8" w:tplc="0409001B" w:tentative="1">
      <w:start w:val="1"/>
      <w:numFmt w:val="lowerRoman"/>
      <w:lvlText w:val="%9."/>
      <w:lvlJc w:val="right"/>
      <w:pPr>
        <w:ind w:left="4842" w:hanging="480"/>
      </w:pPr>
    </w:lvl>
  </w:abstractNum>
  <w:abstractNum w:abstractNumId="33" w15:restartNumberingAfterBreak="0">
    <w:nsid w:val="570F168A"/>
    <w:multiLevelType w:val="hybridMultilevel"/>
    <w:tmpl w:val="3E4AEDA2"/>
    <w:lvl w:ilvl="0" w:tplc="0409000F">
      <w:start w:val="1"/>
      <w:numFmt w:val="decimal"/>
      <w:lvlText w:val="%1."/>
      <w:lvlJc w:val="left"/>
      <w:pPr>
        <w:ind w:left="480" w:hanging="480"/>
      </w:pPr>
      <w:rPr>
        <w:rFonts w:hint="default"/>
      </w:rPr>
    </w:lvl>
    <w:lvl w:ilvl="1" w:tplc="24BE04A4">
      <w:start w:val="1"/>
      <w:numFmt w:val="taiwaneseCountingThousand"/>
      <w:lvlText w:val="%2、"/>
      <w:lvlJc w:val="left"/>
      <w:pPr>
        <w:ind w:left="1200" w:hanging="720"/>
      </w:pPr>
      <w:rPr>
        <w:rFonts w:hint="default"/>
      </w:rPr>
    </w:lvl>
    <w:lvl w:ilvl="2" w:tplc="09D4895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9E1670"/>
    <w:multiLevelType w:val="hybridMultilevel"/>
    <w:tmpl w:val="E3283A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9E1D68"/>
    <w:multiLevelType w:val="hybridMultilevel"/>
    <w:tmpl w:val="1B2A6C88"/>
    <w:lvl w:ilvl="0" w:tplc="A4E0B190">
      <w:start w:val="1"/>
      <w:numFmt w:val="taiwaneseCountingThousand"/>
      <w:lvlText w:val="(%1)"/>
      <w:lvlJc w:val="left"/>
      <w:pPr>
        <w:ind w:left="720" w:hanging="480"/>
      </w:pPr>
      <w:rPr>
        <w:rFonts w:ascii="標楷體" w:eastAsia="標楷體" w:hAnsi="標楷體" w:cs="Times New Roman" w:hint="eastAsia"/>
        <w:b w:val="0"/>
        <w:i w:val="0"/>
        <w:sz w:val="28"/>
        <w:szCs w:val="28"/>
        <w:u w:val="none"/>
      </w:rPr>
    </w:lvl>
    <w:lvl w:ilvl="1" w:tplc="04090019">
      <w:start w:val="1"/>
      <w:numFmt w:val="ideographTraditional"/>
      <w:lvlText w:val="%2、"/>
      <w:lvlJc w:val="left"/>
      <w:pPr>
        <w:ind w:left="1200" w:hanging="480"/>
      </w:pPr>
    </w:lvl>
    <w:lvl w:ilvl="2" w:tplc="A4E0B190">
      <w:start w:val="1"/>
      <w:numFmt w:val="taiwaneseCountingThousand"/>
      <w:lvlText w:val="(%3)"/>
      <w:lvlJc w:val="left"/>
      <w:pPr>
        <w:ind w:left="1680" w:hanging="480"/>
      </w:pPr>
      <w:rPr>
        <w:rFonts w:ascii="標楷體" w:eastAsia="標楷體" w:hAnsi="標楷體" w:cs="Times New Roman" w:hint="eastAsia"/>
        <w:b w:val="0"/>
        <w:i w:val="0"/>
        <w:sz w:val="28"/>
        <w:szCs w:val="28"/>
        <w:u w:val="none"/>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594B49D8"/>
    <w:multiLevelType w:val="hybridMultilevel"/>
    <w:tmpl w:val="4D10B0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3950C7"/>
    <w:multiLevelType w:val="hybridMultilevel"/>
    <w:tmpl w:val="4D10B02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C125651"/>
    <w:multiLevelType w:val="hybridMultilevel"/>
    <w:tmpl w:val="4AE82C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C834A01"/>
    <w:multiLevelType w:val="hybridMultilevel"/>
    <w:tmpl w:val="4AE82C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5CC4172B"/>
    <w:multiLevelType w:val="hybridMultilevel"/>
    <w:tmpl w:val="89F29C80"/>
    <w:lvl w:ilvl="0" w:tplc="303CBF62">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8B6D46"/>
    <w:multiLevelType w:val="hybridMultilevel"/>
    <w:tmpl w:val="B5540D22"/>
    <w:lvl w:ilvl="0" w:tplc="3148FB62">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1960C46"/>
    <w:multiLevelType w:val="hybridMultilevel"/>
    <w:tmpl w:val="4AE82C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63090EE2"/>
    <w:multiLevelType w:val="hybridMultilevel"/>
    <w:tmpl w:val="62B2A8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38940A2"/>
    <w:multiLevelType w:val="hybridMultilevel"/>
    <w:tmpl w:val="6E4239C2"/>
    <w:lvl w:ilvl="0" w:tplc="387680B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642E0E3E"/>
    <w:multiLevelType w:val="hybridMultilevel"/>
    <w:tmpl w:val="1B2A6C88"/>
    <w:lvl w:ilvl="0" w:tplc="A4E0B190">
      <w:start w:val="1"/>
      <w:numFmt w:val="taiwaneseCountingThousand"/>
      <w:lvlText w:val="(%1)"/>
      <w:lvlJc w:val="left"/>
      <w:pPr>
        <w:ind w:left="720" w:hanging="480"/>
      </w:pPr>
      <w:rPr>
        <w:rFonts w:ascii="標楷體" w:eastAsia="標楷體" w:hAnsi="標楷體" w:cs="Times New Roman" w:hint="eastAsia"/>
        <w:b w:val="0"/>
        <w:i w:val="0"/>
        <w:sz w:val="28"/>
        <w:szCs w:val="28"/>
        <w:u w:val="none"/>
      </w:rPr>
    </w:lvl>
    <w:lvl w:ilvl="1" w:tplc="04090019">
      <w:start w:val="1"/>
      <w:numFmt w:val="ideographTraditional"/>
      <w:lvlText w:val="%2、"/>
      <w:lvlJc w:val="left"/>
      <w:pPr>
        <w:ind w:left="1200" w:hanging="480"/>
      </w:pPr>
    </w:lvl>
    <w:lvl w:ilvl="2" w:tplc="A4E0B190">
      <w:start w:val="1"/>
      <w:numFmt w:val="taiwaneseCountingThousand"/>
      <w:lvlText w:val="(%3)"/>
      <w:lvlJc w:val="left"/>
      <w:pPr>
        <w:ind w:left="1680" w:hanging="480"/>
      </w:pPr>
      <w:rPr>
        <w:rFonts w:ascii="標楷體" w:eastAsia="標楷體" w:hAnsi="標楷體" w:cs="Times New Roman" w:hint="eastAsia"/>
        <w:b w:val="0"/>
        <w:i w:val="0"/>
        <w:sz w:val="28"/>
        <w:szCs w:val="28"/>
        <w:u w:val="none"/>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6" w15:restartNumberingAfterBreak="0">
    <w:nsid w:val="65B814E1"/>
    <w:multiLevelType w:val="hybridMultilevel"/>
    <w:tmpl w:val="597409AC"/>
    <w:lvl w:ilvl="0" w:tplc="86BA2904">
      <w:start w:val="1"/>
      <w:numFmt w:val="taiwaneseCountingThousand"/>
      <w:lvlText w:val="%1、"/>
      <w:lvlJc w:val="left"/>
      <w:pPr>
        <w:ind w:left="720" w:hanging="720"/>
      </w:pPr>
      <w:rPr>
        <w:rFonts w:hint="default"/>
        <w:lang w:val="en-US"/>
      </w:rPr>
    </w:lvl>
    <w:lvl w:ilvl="1" w:tplc="387680B2">
      <w:start w:val="1"/>
      <w:numFmt w:val="taiwaneseCountingThousand"/>
      <w:lvlText w:val="(%2)"/>
      <w:lvlJc w:val="left"/>
      <w:pPr>
        <w:ind w:left="1200" w:hanging="720"/>
      </w:pPr>
      <w:rPr>
        <w:rFonts w:hint="default"/>
      </w:rPr>
    </w:lvl>
    <w:lvl w:ilvl="2" w:tplc="0409000F">
      <w:start w:val="1"/>
      <w:numFmt w:val="decimal"/>
      <w:lvlText w:val="%3."/>
      <w:lvlJc w:val="left"/>
      <w:pPr>
        <w:ind w:left="1440" w:hanging="480"/>
      </w:pPr>
    </w:lvl>
    <w:lvl w:ilvl="3" w:tplc="DC5A24F4">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B531BAF"/>
    <w:multiLevelType w:val="hybridMultilevel"/>
    <w:tmpl w:val="B21EAB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B556B07"/>
    <w:multiLevelType w:val="multilevel"/>
    <w:tmpl w:val="921E33D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C053B69"/>
    <w:multiLevelType w:val="hybridMultilevel"/>
    <w:tmpl w:val="9946904E"/>
    <w:lvl w:ilvl="0" w:tplc="133C4B1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CCA5A49"/>
    <w:multiLevelType w:val="hybridMultilevel"/>
    <w:tmpl w:val="3E4AEDA2"/>
    <w:lvl w:ilvl="0" w:tplc="0409000F">
      <w:start w:val="1"/>
      <w:numFmt w:val="decimal"/>
      <w:lvlText w:val="%1."/>
      <w:lvlJc w:val="left"/>
      <w:pPr>
        <w:ind w:left="480" w:hanging="480"/>
      </w:pPr>
      <w:rPr>
        <w:rFonts w:hint="default"/>
      </w:rPr>
    </w:lvl>
    <w:lvl w:ilvl="1" w:tplc="24BE04A4">
      <w:start w:val="1"/>
      <w:numFmt w:val="taiwaneseCountingThousand"/>
      <w:lvlText w:val="%2、"/>
      <w:lvlJc w:val="left"/>
      <w:pPr>
        <w:ind w:left="1200" w:hanging="720"/>
      </w:pPr>
      <w:rPr>
        <w:rFonts w:hint="default"/>
      </w:rPr>
    </w:lvl>
    <w:lvl w:ilvl="2" w:tplc="09D4895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CFF3621"/>
    <w:multiLevelType w:val="hybridMultilevel"/>
    <w:tmpl w:val="4AE82C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74B5025E"/>
    <w:multiLevelType w:val="hybridMultilevel"/>
    <w:tmpl w:val="3E4AEDA2"/>
    <w:lvl w:ilvl="0" w:tplc="0409000F">
      <w:start w:val="1"/>
      <w:numFmt w:val="decimal"/>
      <w:lvlText w:val="%1."/>
      <w:lvlJc w:val="left"/>
      <w:pPr>
        <w:ind w:left="480" w:hanging="480"/>
      </w:pPr>
      <w:rPr>
        <w:rFonts w:hint="default"/>
      </w:rPr>
    </w:lvl>
    <w:lvl w:ilvl="1" w:tplc="24BE04A4">
      <w:start w:val="1"/>
      <w:numFmt w:val="taiwaneseCountingThousand"/>
      <w:lvlText w:val="%2、"/>
      <w:lvlJc w:val="left"/>
      <w:pPr>
        <w:ind w:left="1200" w:hanging="720"/>
      </w:pPr>
      <w:rPr>
        <w:rFonts w:hint="default"/>
      </w:rPr>
    </w:lvl>
    <w:lvl w:ilvl="2" w:tplc="09D4895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52C78E6"/>
    <w:multiLevelType w:val="hybridMultilevel"/>
    <w:tmpl w:val="C5FCE156"/>
    <w:lvl w:ilvl="0" w:tplc="A4E0B190">
      <w:start w:val="1"/>
      <w:numFmt w:val="taiwaneseCountingThousand"/>
      <w:lvlText w:val="(%1)"/>
      <w:lvlJc w:val="left"/>
      <w:pPr>
        <w:ind w:left="1680" w:hanging="480"/>
      </w:pPr>
      <w:rPr>
        <w:rFonts w:ascii="標楷體" w:eastAsia="標楷體" w:hAnsi="標楷體" w:cs="Times New Roman" w:hint="eastAsia"/>
        <w:b w:val="0"/>
        <w:i w:val="0"/>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57841E4"/>
    <w:multiLevelType w:val="hybridMultilevel"/>
    <w:tmpl w:val="D0D4FBEA"/>
    <w:lvl w:ilvl="0" w:tplc="829C1C8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B6068F7"/>
    <w:multiLevelType w:val="hybridMultilevel"/>
    <w:tmpl w:val="3E4AEDA2"/>
    <w:lvl w:ilvl="0" w:tplc="0409000F">
      <w:start w:val="1"/>
      <w:numFmt w:val="decimal"/>
      <w:lvlText w:val="%1."/>
      <w:lvlJc w:val="left"/>
      <w:pPr>
        <w:ind w:left="480" w:hanging="480"/>
      </w:pPr>
      <w:rPr>
        <w:rFonts w:hint="default"/>
      </w:rPr>
    </w:lvl>
    <w:lvl w:ilvl="1" w:tplc="24BE04A4">
      <w:start w:val="1"/>
      <w:numFmt w:val="taiwaneseCountingThousand"/>
      <w:lvlText w:val="%2、"/>
      <w:lvlJc w:val="left"/>
      <w:pPr>
        <w:ind w:left="1200" w:hanging="720"/>
      </w:pPr>
      <w:rPr>
        <w:rFonts w:hint="default"/>
      </w:rPr>
    </w:lvl>
    <w:lvl w:ilvl="2" w:tplc="09D4895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B68067D"/>
    <w:multiLevelType w:val="hybridMultilevel"/>
    <w:tmpl w:val="C5FCE156"/>
    <w:lvl w:ilvl="0" w:tplc="A4E0B190">
      <w:start w:val="1"/>
      <w:numFmt w:val="taiwaneseCountingThousand"/>
      <w:lvlText w:val="(%1)"/>
      <w:lvlJc w:val="left"/>
      <w:pPr>
        <w:ind w:left="1680" w:hanging="480"/>
      </w:pPr>
      <w:rPr>
        <w:rFonts w:ascii="標楷體" w:eastAsia="標楷體" w:hAnsi="標楷體" w:cs="Times New Roman" w:hint="eastAsia"/>
        <w:b w:val="0"/>
        <w:i w:val="0"/>
        <w:sz w:val="28"/>
        <w:szCs w:val="28"/>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EF7238D"/>
    <w:multiLevelType w:val="hybridMultilevel"/>
    <w:tmpl w:val="71A0678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0"/>
  </w:num>
  <w:num w:numId="3">
    <w:abstractNumId w:val="52"/>
  </w:num>
  <w:num w:numId="4">
    <w:abstractNumId w:val="57"/>
  </w:num>
  <w:num w:numId="5">
    <w:abstractNumId w:val="27"/>
  </w:num>
  <w:num w:numId="6">
    <w:abstractNumId w:val="26"/>
  </w:num>
  <w:num w:numId="7">
    <w:abstractNumId w:val="36"/>
  </w:num>
  <w:num w:numId="8">
    <w:abstractNumId w:val="37"/>
  </w:num>
  <w:num w:numId="9">
    <w:abstractNumId w:val="44"/>
  </w:num>
  <w:num w:numId="10">
    <w:abstractNumId w:val="3"/>
  </w:num>
  <w:num w:numId="11">
    <w:abstractNumId w:val="11"/>
  </w:num>
  <w:num w:numId="12">
    <w:abstractNumId w:val="13"/>
  </w:num>
  <w:num w:numId="13">
    <w:abstractNumId w:val="8"/>
  </w:num>
  <w:num w:numId="14">
    <w:abstractNumId w:val="29"/>
  </w:num>
  <w:num w:numId="15">
    <w:abstractNumId w:val="46"/>
  </w:num>
  <w:num w:numId="16">
    <w:abstractNumId w:val="18"/>
  </w:num>
  <w:num w:numId="17">
    <w:abstractNumId w:val="24"/>
  </w:num>
  <w:num w:numId="18">
    <w:abstractNumId w:val="43"/>
  </w:num>
  <w:num w:numId="19">
    <w:abstractNumId w:val="35"/>
  </w:num>
  <w:num w:numId="20">
    <w:abstractNumId w:val="7"/>
  </w:num>
  <w:num w:numId="21">
    <w:abstractNumId w:val="38"/>
  </w:num>
  <w:num w:numId="22">
    <w:abstractNumId w:val="9"/>
  </w:num>
  <w:num w:numId="23">
    <w:abstractNumId w:val="39"/>
  </w:num>
  <w:num w:numId="24">
    <w:abstractNumId w:val="25"/>
  </w:num>
  <w:num w:numId="25">
    <w:abstractNumId w:val="10"/>
  </w:num>
  <w:num w:numId="26">
    <w:abstractNumId w:val="6"/>
  </w:num>
  <w:num w:numId="27">
    <w:abstractNumId w:val="51"/>
  </w:num>
  <w:num w:numId="28">
    <w:abstractNumId w:val="45"/>
  </w:num>
  <w:num w:numId="29">
    <w:abstractNumId w:val="42"/>
  </w:num>
  <w:num w:numId="30">
    <w:abstractNumId w:val="55"/>
  </w:num>
  <w:num w:numId="31">
    <w:abstractNumId w:val="30"/>
  </w:num>
  <w:num w:numId="32">
    <w:abstractNumId w:val="50"/>
  </w:num>
  <w:num w:numId="33">
    <w:abstractNumId w:val="4"/>
  </w:num>
  <w:num w:numId="34">
    <w:abstractNumId w:val="33"/>
  </w:num>
  <w:num w:numId="35">
    <w:abstractNumId w:val="2"/>
  </w:num>
  <w:num w:numId="36">
    <w:abstractNumId w:val="15"/>
  </w:num>
  <w:num w:numId="37">
    <w:abstractNumId w:val="34"/>
  </w:num>
  <w:num w:numId="38">
    <w:abstractNumId w:val="19"/>
  </w:num>
  <w:num w:numId="39">
    <w:abstractNumId w:val="48"/>
  </w:num>
  <w:num w:numId="40">
    <w:abstractNumId w:val="17"/>
  </w:num>
  <w:num w:numId="41">
    <w:abstractNumId w:val="1"/>
  </w:num>
  <w:num w:numId="42">
    <w:abstractNumId w:val="22"/>
  </w:num>
  <w:num w:numId="43">
    <w:abstractNumId w:val="12"/>
  </w:num>
  <w:num w:numId="44">
    <w:abstractNumId w:val="32"/>
  </w:num>
  <w:num w:numId="45">
    <w:abstractNumId w:val="53"/>
  </w:num>
  <w:num w:numId="46">
    <w:abstractNumId w:val="56"/>
  </w:num>
  <w:num w:numId="47">
    <w:abstractNumId w:val="16"/>
  </w:num>
  <w:num w:numId="48">
    <w:abstractNumId w:val="0"/>
  </w:num>
  <w:num w:numId="49">
    <w:abstractNumId w:val="21"/>
  </w:num>
  <w:num w:numId="50">
    <w:abstractNumId w:val="23"/>
  </w:num>
  <w:num w:numId="51">
    <w:abstractNumId w:val="41"/>
  </w:num>
  <w:num w:numId="52">
    <w:abstractNumId w:val="14"/>
  </w:num>
  <w:num w:numId="53">
    <w:abstractNumId w:val="5"/>
  </w:num>
  <w:num w:numId="54">
    <w:abstractNumId w:val="40"/>
  </w:num>
  <w:num w:numId="55">
    <w:abstractNumId w:val="28"/>
  </w:num>
  <w:num w:numId="56">
    <w:abstractNumId w:val="49"/>
  </w:num>
  <w:num w:numId="57">
    <w:abstractNumId w:val="54"/>
  </w:num>
  <w:num w:numId="58">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02"/>
    <w:rsid w:val="00003ACB"/>
    <w:rsid w:val="000043C9"/>
    <w:rsid w:val="00005989"/>
    <w:rsid w:val="000151B0"/>
    <w:rsid w:val="000207C4"/>
    <w:rsid w:val="00022878"/>
    <w:rsid w:val="000238F0"/>
    <w:rsid w:val="00024882"/>
    <w:rsid w:val="00032815"/>
    <w:rsid w:val="0004365C"/>
    <w:rsid w:val="00043D70"/>
    <w:rsid w:val="00051914"/>
    <w:rsid w:val="00051C48"/>
    <w:rsid w:val="0005233E"/>
    <w:rsid w:val="00053738"/>
    <w:rsid w:val="00062309"/>
    <w:rsid w:val="000A0C80"/>
    <w:rsid w:val="000A49C0"/>
    <w:rsid w:val="000C2100"/>
    <w:rsid w:val="000D1545"/>
    <w:rsid w:val="000D7D51"/>
    <w:rsid w:val="000E468F"/>
    <w:rsid w:val="000E4FDD"/>
    <w:rsid w:val="00106D9A"/>
    <w:rsid w:val="00117307"/>
    <w:rsid w:val="001274E8"/>
    <w:rsid w:val="00135C3F"/>
    <w:rsid w:val="00141A13"/>
    <w:rsid w:val="001458F9"/>
    <w:rsid w:val="00147FBF"/>
    <w:rsid w:val="00150ADD"/>
    <w:rsid w:val="00151055"/>
    <w:rsid w:val="00160D4E"/>
    <w:rsid w:val="0016286B"/>
    <w:rsid w:val="001654F1"/>
    <w:rsid w:val="00165E41"/>
    <w:rsid w:val="00172D21"/>
    <w:rsid w:val="0017394F"/>
    <w:rsid w:val="001765BC"/>
    <w:rsid w:val="001947CD"/>
    <w:rsid w:val="001A221B"/>
    <w:rsid w:val="001A2CE0"/>
    <w:rsid w:val="001B15F4"/>
    <w:rsid w:val="001B68AF"/>
    <w:rsid w:val="001D498B"/>
    <w:rsid w:val="001E492B"/>
    <w:rsid w:val="001E7F09"/>
    <w:rsid w:val="001F1A6C"/>
    <w:rsid w:val="001F31F9"/>
    <w:rsid w:val="002039DB"/>
    <w:rsid w:val="0020568D"/>
    <w:rsid w:val="002129E6"/>
    <w:rsid w:val="002135B7"/>
    <w:rsid w:val="00215571"/>
    <w:rsid w:val="00220266"/>
    <w:rsid w:val="002225AC"/>
    <w:rsid w:val="00230967"/>
    <w:rsid w:val="00231807"/>
    <w:rsid w:val="00233000"/>
    <w:rsid w:val="00243868"/>
    <w:rsid w:val="00247758"/>
    <w:rsid w:val="0026174C"/>
    <w:rsid w:val="00262A08"/>
    <w:rsid w:val="00264816"/>
    <w:rsid w:val="002648B7"/>
    <w:rsid w:val="00271B2E"/>
    <w:rsid w:val="002913DC"/>
    <w:rsid w:val="002972F4"/>
    <w:rsid w:val="002A6942"/>
    <w:rsid w:val="002A7608"/>
    <w:rsid w:val="002B3AF5"/>
    <w:rsid w:val="002C4261"/>
    <w:rsid w:val="002C4CE4"/>
    <w:rsid w:val="002C73FA"/>
    <w:rsid w:val="002D104F"/>
    <w:rsid w:val="002D664E"/>
    <w:rsid w:val="002D6D0F"/>
    <w:rsid w:val="002E4BAC"/>
    <w:rsid w:val="002E7BD0"/>
    <w:rsid w:val="002F4FBB"/>
    <w:rsid w:val="00310506"/>
    <w:rsid w:val="0031231E"/>
    <w:rsid w:val="0031564A"/>
    <w:rsid w:val="003235EF"/>
    <w:rsid w:val="00333541"/>
    <w:rsid w:val="00337625"/>
    <w:rsid w:val="003526C8"/>
    <w:rsid w:val="003532F5"/>
    <w:rsid w:val="003545DE"/>
    <w:rsid w:val="00357D1A"/>
    <w:rsid w:val="00360CF4"/>
    <w:rsid w:val="00362D28"/>
    <w:rsid w:val="00366FF3"/>
    <w:rsid w:val="003701B1"/>
    <w:rsid w:val="00382B15"/>
    <w:rsid w:val="00383F77"/>
    <w:rsid w:val="00390328"/>
    <w:rsid w:val="00392605"/>
    <w:rsid w:val="00394D80"/>
    <w:rsid w:val="0039663F"/>
    <w:rsid w:val="003C4B0C"/>
    <w:rsid w:val="003C747D"/>
    <w:rsid w:val="003D6399"/>
    <w:rsid w:val="003D77AE"/>
    <w:rsid w:val="003E721F"/>
    <w:rsid w:val="003E7F78"/>
    <w:rsid w:val="004210F4"/>
    <w:rsid w:val="004222BA"/>
    <w:rsid w:val="004230A3"/>
    <w:rsid w:val="00423961"/>
    <w:rsid w:val="004242CC"/>
    <w:rsid w:val="00427997"/>
    <w:rsid w:val="0043387B"/>
    <w:rsid w:val="00450B5A"/>
    <w:rsid w:val="00454D96"/>
    <w:rsid w:val="004566F0"/>
    <w:rsid w:val="00460418"/>
    <w:rsid w:val="004617C8"/>
    <w:rsid w:val="004646E2"/>
    <w:rsid w:val="00466E8F"/>
    <w:rsid w:val="00484ED3"/>
    <w:rsid w:val="004A2559"/>
    <w:rsid w:val="004A27B2"/>
    <w:rsid w:val="004B0B34"/>
    <w:rsid w:val="004B0FB7"/>
    <w:rsid w:val="004B359C"/>
    <w:rsid w:val="004B3C23"/>
    <w:rsid w:val="004B44CE"/>
    <w:rsid w:val="004B4BD2"/>
    <w:rsid w:val="004C1CB1"/>
    <w:rsid w:val="004C381A"/>
    <w:rsid w:val="004D7097"/>
    <w:rsid w:val="004D72D8"/>
    <w:rsid w:val="004E3537"/>
    <w:rsid w:val="004E7F0A"/>
    <w:rsid w:val="004F3F01"/>
    <w:rsid w:val="00505EB0"/>
    <w:rsid w:val="00507789"/>
    <w:rsid w:val="00514B7D"/>
    <w:rsid w:val="00517696"/>
    <w:rsid w:val="00526587"/>
    <w:rsid w:val="0053460B"/>
    <w:rsid w:val="005365BE"/>
    <w:rsid w:val="005445A9"/>
    <w:rsid w:val="005460F8"/>
    <w:rsid w:val="005476F8"/>
    <w:rsid w:val="00557F3E"/>
    <w:rsid w:val="0056016A"/>
    <w:rsid w:val="00566C8A"/>
    <w:rsid w:val="005673C6"/>
    <w:rsid w:val="00574575"/>
    <w:rsid w:val="0058445C"/>
    <w:rsid w:val="005958C4"/>
    <w:rsid w:val="005A5A8C"/>
    <w:rsid w:val="005A71D5"/>
    <w:rsid w:val="005B030E"/>
    <w:rsid w:val="005B3151"/>
    <w:rsid w:val="005C03C2"/>
    <w:rsid w:val="005C4C84"/>
    <w:rsid w:val="005D116E"/>
    <w:rsid w:val="005D5FFE"/>
    <w:rsid w:val="005E2E40"/>
    <w:rsid w:val="005E72F0"/>
    <w:rsid w:val="005F457D"/>
    <w:rsid w:val="00603F4A"/>
    <w:rsid w:val="00615D88"/>
    <w:rsid w:val="00620B92"/>
    <w:rsid w:val="00620CFD"/>
    <w:rsid w:val="006343D2"/>
    <w:rsid w:val="00641207"/>
    <w:rsid w:val="006462AF"/>
    <w:rsid w:val="006624AD"/>
    <w:rsid w:val="00677CC9"/>
    <w:rsid w:val="006807CA"/>
    <w:rsid w:val="00681D4F"/>
    <w:rsid w:val="0068718B"/>
    <w:rsid w:val="00687AA7"/>
    <w:rsid w:val="00695D93"/>
    <w:rsid w:val="00696408"/>
    <w:rsid w:val="006A39B0"/>
    <w:rsid w:val="006C12A8"/>
    <w:rsid w:val="006C36CE"/>
    <w:rsid w:val="006C7BE9"/>
    <w:rsid w:val="006D522F"/>
    <w:rsid w:val="006E22C6"/>
    <w:rsid w:val="006E2557"/>
    <w:rsid w:val="006E2AA8"/>
    <w:rsid w:val="006E79F7"/>
    <w:rsid w:val="006E7B97"/>
    <w:rsid w:val="006F0B10"/>
    <w:rsid w:val="007024C8"/>
    <w:rsid w:val="00703998"/>
    <w:rsid w:val="00706BE0"/>
    <w:rsid w:val="00713D0C"/>
    <w:rsid w:val="00731E6F"/>
    <w:rsid w:val="007325E7"/>
    <w:rsid w:val="007341F7"/>
    <w:rsid w:val="00735115"/>
    <w:rsid w:val="007407CD"/>
    <w:rsid w:val="00740F8E"/>
    <w:rsid w:val="00744321"/>
    <w:rsid w:val="007455C0"/>
    <w:rsid w:val="00767E02"/>
    <w:rsid w:val="007768BA"/>
    <w:rsid w:val="007845D4"/>
    <w:rsid w:val="0079703A"/>
    <w:rsid w:val="007A56AE"/>
    <w:rsid w:val="007A7A31"/>
    <w:rsid w:val="007C2C3E"/>
    <w:rsid w:val="007D08F7"/>
    <w:rsid w:val="007D225F"/>
    <w:rsid w:val="007D25DC"/>
    <w:rsid w:val="007D44A3"/>
    <w:rsid w:val="007D6B13"/>
    <w:rsid w:val="007D72E1"/>
    <w:rsid w:val="007E7D17"/>
    <w:rsid w:val="007F0032"/>
    <w:rsid w:val="007F3629"/>
    <w:rsid w:val="008012EB"/>
    <w:rsid w:val="00802A1F"/>
    <w:rsid w:val="00804634"/>
    <w:rsid w:val="00812C95"/>
    <w:rsid w:val="0081533E"/>
    <w:rsid w:val="00815E02"/>
    <w:rsid w:val="00822308"/>
    <w:rsid w:val="00822C60"/>
    <w:rsid w:val="00824DEA"/>
    <w:rsid w:val="00827E0B"/>
    <w:rsid w:val="00834749"/>
    <w:rsid w:val="00834C9A"/>
    <w:rsid w:val="00847A7C"/>
    <w:rsid w:val="008508A3"/>
    <w:rsid w:val="008515A2"/>
    <w:rsid w:val="008516EE"/>
    <w:rsid w:val="008520A7"/>
    <w:rsid w:val="00865277"/>
    <w:rsid w:val="0086560C"/>
    <w:rsid w:val="00865A03"/>
    <w:rsid w:val="00875815"/>
    <w:rsid w:val="00877882"/>
    <w:rsid w:val="00880014"/>
    <w:rsid w:val="008836E0"/>
    <w:rsid w:val="008877C1"/>
    <w:rsid w:val="0089108E"/>
    <w:rsid w:val="00895046"/>
    <w:rsid w:val="008A0317"/>
    <w:rsid w:val="008B3355"/>
    <w:rsid w:val="008B4D2B"/>
    <w:rsid w:val="008B5FCB"/>
    <w:rsid w:val="008C223D"/>
    <w:rsid w:val="008C7BA2"/>
    <w:rsid w:val="008D0277"/>
    <w:rsid w:val="008F2E7F"/>
    <w:rsid w:val="008F709C"/>
    <w:rsid w:val="009005D2"/>
    <w:rsid w:val="00904A32"/>
    <w:rsid w:val="0093521A"/>
    <w:rsid w:val="009404CD"/>
    <w:rsid w:val="00967692"/>
    <w:rsid w:val="009709B2"/>
    <w:rsid w:val="00970F76"/>
    <w:rsid w:val="00972176"/>
    <w:rsid w:val="00974D16"/>
    <w:rsid w:val="00976768"/>
    <w:rsid w:val="00983B63"/>
    <w:rsid w:val="009863C2"/>
    <w:rsid w:val="00991FD0"/>
    <w:rsid w:val="009971CA"/>
    <w:rsid w:val="009A1846"/>
    <w:rsid w:val="009A1B8C"/>
    <w:rsid w:val="009A4545"/>
    <w:rsid w:val="009A4AA2"/>
    <w:rsid w:val="009B5FBB"/>
    <w:rsid w:val="009C3807"/>
    <w:rsid w:val="009C70D4"/>
    <w:rsid w:val="009D50CA"/>
    <w:rsid w:val="009E0296"/>
    <w:rsid w:val="009E0622"/>
    <w:rsid w:val="009E32AF"/>
    <w:rsid w:val="009E452E"/>
    <w:rsid w:val="009E54B8"/>
    <w:rsid w:val="009E60A4"/>
    <w:rsid w:val="00A01365"/>
    <w:rsid w:val="00A122E8"/>
    <w:rsid w:val="00A16141"/>
    <w:rsid w:val="00A238E2"/>
    <w:rsid w:val="00A343D6"/>
    <w:rsid w:val="00A36700"/>
    <w:rsid w:val="00A374F5"/>
    <w:rsid w:val="00A538C7"/>
    <w:rsid w:val="00A5777F"/>
    <w:rsid w:val="00A579F2"/>
    <w:rsid w:val="00A623C3"/>
    <w:rsid w:val="00A647ED"/>
    <w:rsid w:val="00A653EE"/>
    <w:rsid w:val="00A92016"/>
    <w:rsid w:val="00A92A82"/>
    <w:rsid w:val="00A938E8"/>
    <w:rsid w:val="00A959D7"/>
    <w:rsid w:val="00AA0D32"/>
    <w:rsid w:val="00AA383D"/>
    <w:rsid w:val="00AA65A0"/>
    <w:rsid w:val="00AA7952"/>
    <w:rsid w:val="00AB0BE4"/>
    <w:rsid w:val="00AC012A"/>
    <w:rsid w:val="00AE37C3"/>
    <w:rsid w:val="00AE5B99"/>
    <w:rsid w:val="00AF02F8"/>
    <w:rsid w:val="00AF1AD3"/>
    <w:rsid w:val="00AF68B9"/>
    <w:rsid w:val="00AF6E4F"/>
    <w:rsid w:val="00AF7276"/>
    <w:rsid w:val="00B04CF4"/>
    <w:rsid w:val="00B10CBA"/>
    <w:rsid w:val="00B13D1B"/>
    <w:rsid w:val="00B22767"/>
    <w:rsid w:val="00B420DF"/>
    <w:rsid w:val="00B473CF"/>
    <w:rsid w:val="00B64746"/>
    <w:rsid w:val="00B66CDD"/>
    <w:rsid w:val="00B71340"/>
    <w:rsid w:val="00B766DF"/>
    <w:rsid w:val="00B77503"/>
    <w:rsid w:val="00B84BD5"/>
    <w:rsid w:val="00B86FCF"/>
    <w:rsid w:val="00B90445"/>
    <w:rsid w:val="00BA156E"/>
    <w:rsid w:val="00BC0751"/>
    <w:rsid w:val="00BD2B54"/>
    <w:rsid w:val="00BE10E6"/>
    <w:rsid w:val="00BE1DEA"/>
    <w:rsid w:val="00BE31B9"/>
    <w:rsid w:val="00BE3368"/>
    <w:rsid w:val="00BE3DB9"/>
    <w:rsid w:val="00BE5EFA"/>
    <w:rsid w:val="00BF67A0"/>
    <w:rsid w:val="00C03C98"/>
    <w:rsid w:val="00C04AE8"/>
    <w:rsid w:val="00C22DFF"/>
    <w:rsid w:val="00C2619A"/>
    <w:rsid w:val="00C322C5"/>
    <w:rsid w:val="00C33470"/>
    <w:rsid w:val="00C4534A"/>
    <w:rsid w:val="00C4572B"/>
    <w:rsid w:val="00C46BE7"/>
    <w:rsid w:val="00C64E83"/>
    <w:rsid w:val="00C72248"/>
    <w:rsid w:val="00C73303"/>
    <w:rsid w:val="00C73A55"/>
    <w:rsid w:val="00C81327"/>
    <w:rsid w:val="00C82B7E"/>
    <w:rsid w:val="00C9733A"/>
    <w:rsid w:val="00CA1F14"/>
    <w:rsid w:val="00CA529C"/>
    <w:rsid w:val="00CB00D6"/>
    <w:rsid w:val="00CB15B6"/>
    <w:rsid w:val="00CB1C07"/>
    <w:rsid w:val="00CB49AB"/>
    <w:rsid w:val="00CC34FC"/>
    <w:rsid w:val="00CC7297"/>
    <w:rsid w:val="00CD3039"/>
    <w:rsid w:val="00CD38B2"/>
    <w:rsid w:val="00CD623D"/>
    <w:rsid w:val="00CD684D"/>
    <w:rsid w:val="00CE0B43"/>
    <w:rsid w:val="00CE10E4"/>
    <w:rsid w:val="00CE6744"/>
    <w:rsid w:val="00CE7473"/>
    <w:rsid w:val="00CF3819"/>
    <w:rsid w:val="00D023AE"/>
    <w:rsid w:val="00D17426"/>
    <w:rsid w:val="00D21439"/>
    <w:rsid w:val="00D31073"/>
    <w:rsid w:val="00D34BDD"/>
    <w:rsid w:val="00D35852"/>
    <w:rsid w:val="00D50A69"/>
    <w:rsid w:val="00D51724"/>
    <w:rsid w:val="00D55D2A"/>
    <w:rsid w:val="00D576CC"/>
    <w:rsid w:val="00D6521A"/>
    <w:rsid w:val="00D718F7"/>
    <w:rsid w:val="00D811D5"/>
    <w:rsid w:val="00DA22F9"/>
    <w:rsid w:val="00DA7853"/>
    <w:rsid w:val="00DC344A"/>
    <w:rsid w:val="00DC5934"/>
    <w:rsid w:val="00DD0E99"/>
    <w:rsid w:val="00DD12C2"/>
    <w:rsid w:val="00DD3728"/>
    <w:rsid w:val="00DD3804"/>
    <w:rsid w:val="00DD410F"/>
    <w:rsid w:val="00DD6AE5"/>
    <w:rsid w:val="00DE6E44"/>
    <w:rsid w:val="00DF4D96"/>
    <w:rsid w:val="00DF4DFD"/>
    <w:rsid w:val="00DF651C"/>
    <w:rsid w:val="00E0327A"/>
    <w:rsid w:val="00E10835"/>
    <w:rsid w:val="00E11E75"/>
    <w:rsid w:val="00E15CEC"/>
    <w:rsid w:val="00E236C6"/>
    <w:rsid w:val="00E2375B"/>
    <w:rsid w:val="00E26235"/>
    <w:rsid w:val="00E35CD5"/>
    <w:rsid w:val="00E3775B"/>
    <w:rsid w:val="00E448AF"/>
    <w:rsid w:val="00E53ACF"/>
    <w:rsid w:val="00E55A24"/>
    <w:rsid w:val="00E56083"/>
    <w:rsid w:val="00E63481"/>
    <w:rsid w:val="00E637A9"/>
    <w:rsid w:val="00E660B3"/>
    <w:rsid w:val="00E83834"/>
    <w:rsid w:val="00E93C63"/>
    <w:rsid w:val="00E93FF6"/>
    <w:rsid w:val="00E944A0"/>
    <w:rsid w:val="00E95777"/>
    <w:rsid w:val="00EA6024"/>
    <w:rsid w:val="00EA6BCE"/>
    <w:rsid w:val="00EB078E"/>
    <w:rsid w:val="00EB2C38"/>
    <w:rsid w:val="00EB41F3"/>
    <w:rsid w:val="00EB492E"/>
    <w:rsid w:val="00EB497A"/>
    <w:rsid w:val="00EB7559"/>
    <w:rsid w:val="00EB78B6"/>
    <w:rsid w:val="00EC1114"/>
    <w:rsid w:val="00EC41B6"/>
    <w:rsid w:val="00ED0D26"/>
    <w:rsid w:val="00ED4C54"/>
    <w:rsid w:val="00ED4CDE"/>
    <w:rsid w:val="00EE51FA"/>
    <w:rsid w:val="00F0736A"/>
    <w:rsid w:val="00F13750"/>
    <w:rsid w:val="00F13F9B"/>
    <w:rsid w:val="00F15850"/>
    <w:rsid w:val="00F234B1"/>
    <w:rsid w:val="00F31AE5"/>
    <w:rsid w:val="00F40788"/>
    <w:rsid w:val="00F42E31"/>
    <w:rsid w:val="00F46850"/>
    <w:rsid w:val="00F6153E"/>
    <w:rsid w:val="00F62B30"/>
    <w:rsid w:val="00F65E3C"/>
    <w:rsid w:val="00F67D76"/>
    <w:rsid w:val="00F769C9"/>
    <w:rsid w:val="00F95D32"/>
    <w:rsid w:val="00FA2BBF"/>
    <w:rsid w:val="00FA3955"/>
    <w:rsid w:val="00FA5030"/>
    <w:rsid w:val="00FB22AB"/>
    <w:rsid w:val="00FB26CD"/>
    <w:rsid w:val="00FB4033"/>
    <w:rsid w:val="00FB49F0"/>
    <w:rsid w:val="00FC2BCB"/>
    <w:rsid w:val="00FD058E"/>
    <w:rsid w:val="00FD776F"/>
    <w:rsid w:val="00FE71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B07AC"/>
  <w15:chartTrackingRefBased/>
  <w15:docId w15:val="{B9C647C4-746D-43B6-966F-B2613E73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6E2"/>
    <w:pPr>
      <w:ind w:leftChars="200" w:left="480"/>
    </w:pPr>
  </w:style>
  <w:style w:type="paragraph" w:styleId="a4">
    <w:name w:val="footnote text"/>
    <w:basedOn w:val="a"/>
    <w:link w:val="a5"/>
    <w:uiPriority w:val="99"/>
    <w:semiHidden/>
    <w:unhideWhenUsed/>
    <w:rsid w:val="00B71340"/>
    <w:pPr>
      <w:snapToGrid w:val="0"/>
    </w:pPr>
    <w:rPr>
      <w:sz w:val="20"/>
      <w:szCs w:val="20"/>
    </w:rPr>
  </w:style>
  <w:style w:type="character" w:customStyle="1" w:styleId="a5">
    <w:name w:val="註腳文字 字元"/>
    <w:basedOn w:val="a0"/>
    <w:link w:val="a4"/>
    <w:uiPriority w:val="99"/>
    <w:semiHidden/>
    <w:rsid w:val="00B71340"/>
    <w:rPr>
      <w:sz w:val="20"/>
      <w:szCs w:val="20"/>
    </w:rPr>
  </w:style>
  <w:style w:type="character" w:styleId="a6">
    <w:name w:val="footnote reference"/>
    <w:basedOn w:val="a0"/>
    <w:uiPriority w:val="99"/>
    <w:semiHidden/>
    <w:unhideWhenUsed/>
    <w:rsid w:val="00B71340"/>
    <w:rPr>
      <w:vertAlign w:val="superscript"/>
    </w:rPr>
  </w:style>
  <w:style w:type="paragraph" w:styleId="a7">
    <w:name w:val="endnote text"/>
    <w:basedOn w:val="a"/>
    <w:link w:val="a8"/>
    <w:uiPriority w:val="99"/>
    <w:semiHidden/>
    <w:unhideWhenUsed/>
    <w:rsid w:val="00B71340"/>
    <w:pPr>
      <w:snapToGrid w:val="0"/>
    </w:pPr>
  </w:style>
  <w:style w:type="character" w:customStyle="1" w:styleId="a8">
    <w:name w:val="章節附註文字 字元"/>
    <w:basedOn w:val="a0"/>
    <w:link w:val="a7"/>
    <w:uiPriority w:val="99"/>
    <w:semiHidden/>
    <w:rsid w:val="00B71340"/>
  </w:style>
  <w:style w:type="character" w:styleId="a9">
    <w:name w:val="endnote reference"/>
    <w:basedOn w:val="a0"/>
    <w:uiPriority w:val="99"/>
    <w:semiHidden/>
    <w:unhideWhenUsed/>
    <w:rsid w:val="00B71340"/>
    <w:rPr>
      <w:vertAlign w:val="superscript"/>
    </w:rPr>
  </w:style>
  <w:style w:type="character" w:styleId="aa">
    <w:name w:val="annotation reference"/>
    <w:basedOn w:val="a0"/>
    <w:uiPriority w:val="99"/>
    <w:semiHidden/>
    <w:unhideWhenUsed/>
    <w:rsid w:val="00696408"/>
    <w:rPr>
      <w:sz w:val="18"/>
      <w:szCs w:val="18"/>
    </w:rPr>
  </w:style>
  <w:style w:type="paragraph" w:styleId="ab">
    <w:name w:val="annotation text"/>
    <w:basedOn w:val="a"/>
    <w:link w:val="ac"/>
    <w:uiPriority w:val="99"/>
    <w:semiHidden/>
    <w:unhideWhenUsed/>
    <w:rsid w:val="00696408"/>
  </w:style>
  <w:style w:type="character" w:customStyle="1" w:styleId="ac">
    <w:name w:val="註解文字 字元"/>
    <w:basedOn w:val="a0"/>
    <w:link w:val="ab"/>
    <w:uiPriority w:val="99"/>
    <w:semiHidden/>
    <w:rsid w:val="00696408"/>
  </w:style>
  <w:style w:type="paragraph" w:styleId="ad">
    <w:name w:val="annotation subject"/>
    <w:basedOn w:val="ab"/>
    <w:next w:val="ab"/>
    <w:link w:val="ae"/>
    <w:uiPriority w:val="99"/>
    <w:semiHidden/>
    <w:unhideWhenUsed/>
    <w:rsid w:val="00696408"/>
    <w:rPr>
      <w:b/>
      <w:bCs/>
    </w:rPr>
  </w:style>
  <w:style w:type="character" w:customStyle="1" w:styleId="ae">
    <w:name w:val="註解主旨 字元"/>
    <w:basedOn w:val="ac"/>
    <w:link w:val="ad"/>
    <w:uiPriority w:val="99"/>
    <w:semiHidden/>
    <w:rsid w:val="00696408"/>
    <w:rPr>
      <w:b/>
      <w:bCs/>
    </w:rPr>
  </w:style>
  <w:style w:type="paragraph" w:styleId="af">
    <w:name w:val="Balloon Text"/>
    <w:basedOn w:val="a"/>
    <w:link w:val="af0"/>
    <w:uiPriority w:val="99"/>
    <w:semiHidden/>
    <w:unhideWhenUsed/>
    <w:rsid w:val="0069640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96408"/>
    <w:rPr>
      <w:rFonts w:asciiTheme="majorHAnsi" w:eastAsiaTheme="majorEastAsia" w:hAnsiTheme="majorHAnsi" w:cstheme="majorBidi"/>
      <w:sz w:val="18"/>
      <w:szCs w:val="18"/>
    </w:rPr>
  </w:style>
  <w:style w:type="paragraph" w:styleId="af1">
    <w:name w:val="header"/>
    <w:basedOn w:val="a"/>
    <w:link w:val="af2"/>
    <w:uiPriority w:val="99"/>
    <w:unhideWhenUsed/>
    <w:rsid w:val="005476F8"/>
    <w:pPr>
      <w:tabs>
        <w:tab w:val="center" w:pos="4153"/>
        <w:tab w:val="right" w:pos="8306"/>
      </w:tabs>
      <w:snapToGrid w:val="0"/>
    </w:pPr>
    <w:rPr>
      <w:sz w:val="20"/>
      <w:szCs w:val="20"/>
    </w:rPr>
  </w:style>
  <w:style w:type="character" w:customStyle="1" w:styleId="af2">
    <w:name w:val="頁首 字元"/>
    <w:basedOn w:val="a0"/>
    <w:link w:val="af1"/>
    <w:uiPriority w:val="99"/>
    <w:rsid w:val="005476F8"/>
    <w:rPr>
      <w:sz w:val="20"/>
      <w:szCs w:val="20"/>
    </w:rPr>
  </w:style>
  <w:style w:type="paragraph" w:styleId="af3">
    <w:name w:val="footer"/>
    <w:basedOn w:val="a"/>
    <w:link w:val="af4"/>
    <w:uiPriority w:val="99"/>
    <w:unhideWhenUsed/>
    <w:rsid w:val="005476F8"/>
    <w:pPr>
      <w:tabs>
        <w:tab w:val="center" w:pos="4153"/>
        <w:tab w:val="right" w:pos="8306"/>
      </w:tabs>
      <w:snapToGrid w:val="0"/>
    </w:pPr>
    <w:rPr>
      <w:sz w:val="20"/>
      <w:szCs w:val="20"/>
    </w:rPr>
  </w:style>
  <w:style w:type="character" w:customStyle="1" w:styleId="af4">
    <w:name w:val="頁尾 字元"/>
    <w:basedOn w:val="a0"/>
    <w:link w:val="af3"/>
    <w:uiPriority w:val="99"/>
    <w:rsid w:val="005476F8"/>
    <w:rPr>
      <w:sz w:val="20"/>
      <w:szCs w:val="20"/>
    </w:rPr>
  </w:style>
  <w:style w:type="table" w:styleId="af5">
    <w:name w:val="Table Grid"/>
    <w:basedOn w:val="a1"/>
    <w:uiPriority w:val="39"/>
    <w:rsid w:val="00557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D023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D023AE"/>
    <w:rPr>
      <w:rFonts w:ascii="細明體" w:eastAsia="細明體" w:hAnsi="細明體" w:cs="細明體"/>
      <w:kern w:val="0"/>
      <w:szCs w:val="24"/>
    </w:rPr>
  </w:style>
  <w:style w:type="paragraph" w:styleId="af6">
    <w:name w:val="Revision"/>
    <w:hidden/>
    <w:uiPriority w:val="99"/>
    <w:semiHidden/>
    <w:rsid w:val="00740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1038">
      <w:bodyDiv w:val="1"/>
      <w:marLeft w:val="0"/>
      <w:marRight w:val="0"/>
      <w:marTop w:val="0"/>
      <w:marBottom w:val="0"/>
      <w:divBdr>
        <w:top w:val="none" w:sz="0" w:space="0" w:color="auto"/>
        <w:left w:val="none" w:sz="0" w:space="0" w:color="auto"/>
        <w:bottom w:val="none" w:sz="0" w:space="0" w:color="auto"/>
        <w:right w:val="none" w:sz="0" w:space="0" w:color="auto"/>
      </w:divBdr>
    </w:div>
    <w:div w:id="149517596">
      <w:bodyDiv w:val="1"/>
      <w:marLeft w:val="0"/>
      <w:marRight w:val="0"/>
      <w:marTop w:val="0"/>
      <w:marBottom w:val="0"/>
      <w:divBdr>
        <w:top w:val="none" w:sz="0" w:space="0" w:color="auto"/>
        <w:left w:val="none" w:sz="0" w:space="0" w:color="auto"/>
        <w:bottom w:val="none" w:sz="0" w:space="0" w:color="auto"/>
        <w:right w:val="none" w:sz="0" w:space="0" w:color="auto"/>
      </w:divBdr>
    </w:div>
    <w:div w:id="563369961">
      <w:bodyDiv w:val="1"/>
      <w:marLeft w:val="0"/>
      <w:marRight w:val="0"/>
      <w:marTop w:val="0"/>
      <w:marBottom w:val="0"/>
      <w:divBdr>
        <w:top w:val="none" w:sz="0" w:space="0" w:color="auto"/>
        <w:left w:val="none" w:sz="0" w:space="0" w:color="auto"/>
        <w:bottom w:val="none" w:sz="0" w:space="0" w:color="auto"/>
        <w:right w:val="none" w:sz="0" w:space="0" w:color="auto"/>
      </w:divBdr>
      <w:divsChild>
        <w:div w:id="1331568413">
          <w:marLeft w:val="0"/>
          <w:marRight w:val="0"/>
          <w:marTop w:val="0"/>
          <w:marBottom w:val="0"/>
          <w:divBdr>
            <w:top w:val="none" w:sz="0" w:space="0" w:color="auto"/>
            <w:left w:val="none" w:sz="0" w:space="0" w:color="auto"/>
            <w:bottom w:val="none" w:sz="0" w:space="0" w:color="auto"/>
            <w:right w:val="none" w:sz="0" w:space="0" w:color="auto"/>
          </w:divBdr>
          <w:divsChild>
            <w:div w:id="513692403">
              <w:marLeft w:val="0"/>
              <w:marRight w:val="0"/>
              <w:marTop w:val="0"/>
              <w:marBottom w:val="0"/>
              <w:divBdr>
                <w:top w:val="none" w:sz="0" w:space="0" w:color="auto"/>
                <w:left w:val="none" w:sz="0" w:space="0" w:color="auto"/>
                <w:bottom w:val="none" w:sz="0" w:space="0" w:color="auto"/>
                <w:right w:val="none" w:sz="0" w:space="0" w:color="auto"/>
              </w:divBdr>
              <w:divsChild>
                <w:div w:id="24368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7043">
      <w:bodyDiv w:val="1"/>
      <w:marLeft w:val="0"/>
      <w:marRight w:val="0"/>
      <w:marTop w:val="0"/>
      <w:marBottom w:val="0"/>
      <w:divBdr>
        <w:top w:val="none" w:sz="0" w:space="0" w:color="auto"/>
        <w:left w:val="none" w:sz="0" w:space="0" w:color="auto"/>
        <w:bottom w:val="none" w:sz="0" w:space="0" w:color="auto"/>
        <w:right w:val="none" w:sz="0" w:space="0" w:color="auto"/>
      </w:divBdr>
    </w:div>
    <w:div w:id="203195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IOS10</b:Tag>
    <b:SourceType>Report</b:SourceType>
    <b:Guid>{E2C4367C-D61C-4753-A3C2-DE445FF955C7}</b:Guid>
    <b:Title>Principles for Direct Electronic Access to Markets</b:Title>
    <b:Year>2010</b:Year>
    <b:Author>
      <b:Author>
        <b:NameList>
          <b:Person>
            <b:Last>IOSCO</b:Last>
          </b:Person>
        </b:NameList>
      </b:Author>
    </b:Author>
    <b:RefOrder>1</b:RefOrder>
  </b:Source>
</b:Sources>
</file>

<file path=customXml/itemProps1.xml><?xml version="1.0" encoding="utf-8"?>
<ds:datastoreItem xmlns:ds="http://schemas.openxmlformats.org/officeDocument/2006/customXml" ds:itemID="{A6280279-8B15-407B-9C1B-BF85727A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湯皓如</dc:creator>
  <cp:keywords/>
  <dc:description/>
  <cp:lastModifiedBy>張翠蘭</cp:lastModifiedBy>
  <cp:revision>10</cp:revision>
  <cp:lastPrinted>2020-04-07T07:49:00Z</cp:lastPrinted>
  <dcterms:created xsi:type="dcterms:W3CDTF">2020-04-08T07:52:00Z</dcterms:created>
  <dcterms:modified xsi:type="dcterms:W3CDTF">2020-05-07T08:14:00Z</dcterms:modified>
</cp:coreProperties>
</file>