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AA49" w14:textId="77777777" w:rsidR="007532D0" w:rsidRPr="007532D0" w:rsidRDefault="007532D0" w:rsidP="007532D0">
      <w:pPr>
        <w:adjustRightInd w:val="0"/>
        <w:snapToGrid w:val="0"/>
        <w:spacing w:line="460" w:lineRule="exact"/>
        <w:jc w:val="center"/>
        <w:rPr>
          <w:rFonts w:ascii="標楷體" w:eastAsia="標楷體" w:hAnsi="標楷體"/>
          <w:b/>
          <w:sz w:val="32"/>
          <w:szCs w:val="32"/>
        </w:rPr>
      </w:pPr>
      <w:r w:rsidRPr="007532D0">
        <w:rPr>
          <w:rFonts w:ascii="標楷體" w:eastAsia="標楷體" w:hAnsi="標楷體" w:hint="eastAsia"/>
          <w:b/>
          <w:sz w:val="32"/>
          <w:szCs w:val="32"/>
        </w:rPr>
        <w:t>財團法人中華民國證券櫃檯買賣中心</w:t>
      </w:r>
      <w:r w:rsidRPr="007532D0">
        <w:rPr>
          <w:rFonts w:ascii="Times New Roman" w:eastAsia="標楷體" w:hAnsi="Times New Roman" w:cs="Times New Roman" w:hint="eastAsia"/>
          <w:b/>
          <w:bCs/>
          <w:sz w:val="32"/>
          <w:szCs w:val="32"/>
        </w:rPr>
        <w:t>綠色債券作業要點</w:t>
      </w:r>
    </w:p>
    <w:p w14:paraId="27530F7D" w14:textId="772CEB7F" w:rsidR="00BF5ECD" w:rsidRPr="00BF5ECD" w:rsidRDefault="009812E2" w:rsidP="00C2521C">
      <w:pPr>
        <w:snapToGrid w:val="0"/>
        <w:spacing w:line="300" w:lineRule="auto"/>
        <w:ind w:leftChars="-59" w:left="611" w:rightChars="-82" w:right="-197" w:hangingChars="235" w:hanging="753"/>
        <w:jc w:val="center"/>
        <w:rPr>
          <w:rFonts w:ascii="Times New Roman" w:eastAsia="標楷體" w:hAnsi="Times New Roman" w:cs="Times New Roman"/>
          <w:szCs w:val="24"/>
        </w:rPr>
      </w:pPr>
      <w:r>
        <w:rPr>
          <w:rFonts w:ascii="Times New Roman" w:eastAsia="標楷體" w:hAnsi="Times New Roman" w:cs="Times New Roman" w:hint="eastAsia"/>
          <w:b/>
          <w:bCs/>
          <w:sz w:val="32"/>
          <w:szCs w:val="32"/>
        </w:rPr>
        <w:t>第</w:t>
      </w:r>
      <w:r w:rsidR="00FF2C4A">
        <w:rPr>
          <w:rFonts w:ascii="Times New Roman" w:eastAsia="標楷體" w:hAnsi="Times New Roman" w:cs="Times New Roman" w:hint="eastAsia"/>
          <w:b/>
          <w:bCs/>
          <w:sz w:val="32"/>
          <w:szCs w:val="32"/>
        </w:rPr>
        <w:t>四</w:t>
      </w:r>
      <w:r>
        <w:rPr>
          <w:rFonts w:ascii="Times New Roman" w:eastAsia="標楷體" w:hAnsi="Times New Roman" w:cs="Times New Roman" w:hint="eastAsia"/>
          <w:b/>
          <w:bCs/>
          <w:sz w:val="32"/>
          <w:szCs w:val="32"/>
        </w:rPr>
        <w:t>條</w:t>
      </w:r>
      <w:r w:rsidR="003E3142">
        <w:rPr>
          <w:rFonts w:ascii="Times New Roman" w:eastAsia="標楷體" w:hAnsi="Times New Roman" w:cs="Times New Roman" w:hint="eastAsia"/>
          <w:b/>
          <w:bCs/>
          <w:sz w:val="32"/>
          <w:szCs w:val="32"/>
        </w:rPr>
        <w:t>、第五條</w:t>
      </w:r>
      <w:r w:rsidR="00A6442B" w:rsidRPr="007532D0">
        <w:rPr>
          <w:rFonts w:ascii="Times New Roman" w:eastAsia="標楷體" w:hAnsi="Times New Roman" w:cs="Times New Roman" w:hint="eastAsia"/>
          <w:b/>
          <w:bCs/>
          <w:sz w:val="32"/>
          <w:szCs w:val="32"/>
        </w:rPr>
        <w:t>修正條文對照表</w:t>
      </w:r>
    </w:p>
    <w:tbl>
      <w:tblPr>
        <w:tblStyle w:val="a3"/>
        <w:tblW w:w="0" w:type="auto"/>
        <w:tblLook w:val="04A0" w:firstRow="1" w:lastRow="0" w:firstColumn="1" w:lastColumn="0" w:noHBand="0" w:noVBand="1"/>
      </w:tblPr>
      <w:tblGrid>
        <w:gridCol w:w="2765"/>
        <w:gridCol w:w="2759"/>
        <w:gridCol w:w="2772"/>
      </w:tblGrid>
      <w:tr w:rsidR="00B369FE" w:rsidRPr="00B369FE" w14:paraId="5190F9C3" w14:textId="77777777" w:rsidTr="00872287">
        <w:tc>
          <w:tcPr>
            <w:tcW w:w="2765" w:type="dxa"/>
          </w:tcPr>
          <w:p w14:paraId="455800EC" w14:textId="77777777" w:rsidR="00C670C0" w:rsidRPr="003229BB" w:rsidRDefault="00C670C0" w:rsidP="00C670C0">
            <w:pPr>
              <w:adjustRightInd w:val="0"/>
              <w:snapToGrid w:val="0"/>
              <w:spacing w:line="300" w:lineRule="exact"/>
              <w:jc w:val="center"/>
              <w:rPr>
                <w:rFonts w:ascii="標楷體" w:eastAsia="標楷體" w:hAnsi="標楷體"/>
                <w:bCs/>
                <w:szCs w:val="24"/>
              </w:rPr>
            </w:pPr>
            <w:r w:rsidRPr="003229BB">
              <w:rPr>
                <w:rFonts w:ascii="標楷體" w:eastAsia="標楷體" w:hAnsi="標楷體"/>
                <w:bCs/>
                <w:szCs w:val="24"/>
              </w:rPr>
              <w:t>修正條文</w:t>
            </w:r>
          </w:p>
        </w:tc>
        <w:tc>
          <w:tcPr>
            <w:tcW w:w="2759" w:type="dxa"/>
          </w:tcPr>
          <w:p w14:paraId="5C283D6B" w14:textId="77777777" w:rsidR="00C670C0" w:rsidRPr="003229BB" w:rsidRDefault="00C670C0" w:rsidP="00C670C0">
            <w:pPr>
              <w:adjustRightInd w:val="0"/>
              <w:snapToGrid w:val="0"/>
              <w:spacing w:line="300" w:lineRule="exact"/>
              <w:jc w:val="center"/>
              <w:rPr>
                <w:rFonts w:ascii="標楷體" w:eastAsia="標楷體" w:hAnsi="標楷體"/>
                <w:bCs/>
                <w:szCs w:val="24"/>
              </w:rPr>
            </w:pPr>
            <w:r w:rsidRPr="003229BB">
              <w:rPr>
                <w:rFonts w:ascii="標楷體" w:eastAsia="標楷體" w:hAnsi="標楷體"/>
                <w:bCs/>
                <w:szCs w:val="24"/>
              </w:rPr>
              <w:t>現行條文</w:t>
            </w:r>
          </w:p>
        </w:tc>
        <w:tc>
          <w:tcPr>
            <w:tcW w:w="2772" w:type="dxa"/>
          </w:tcPr>
          <w:p w14:paraId="0EC909FD" w14:textId="77777777" w:rsidR="00C670C0" w:rsidRPr="003229BB" w:rsidRDefault="00C670C0" w:rsidP="00C670C0">
            <w:pPr>
              <w:adjustRightInd w:val="0"/>
              <w:snapToGrid w:val="0"/>
              <w:spacing w:line="300" w:lineRule="exact"/>
              <w:jc w:val="center"/>
              <w:rPr>
                <w:rFonts w:ascii="標楷體" w:eastAsia="標楷體" w:hAnsi="標楷體"/>
                <w:bCs/>
                <w:szCs w:val="24"/>
              </w:rPr>
            </w:pPr>
            <w:r w:rsidRPr="003229BB">
              <w:rPr>
                <w:rFonts w:ascii="標楷體" w:eastAsia="標楷體" w:hAnsi="標楷體"/>
                <w:bCs/>
                <w:szCs w:val="24"/>
              </w:rPr>
              <w:t>說明</w:t>
            </w:r>
          </w:p>
        </w:tc>
      </w:tr>
      <w:tr w:rsidR="00B369FE" w:rsidRPr="00D50FD4" w14:paraId="2E76BDC2" w14:textId="77777777" w:rsidTr="00872287">
        <w:tc>
          <w:tcPr>
            <w:tcW w:w="2765" w:type="dxa"/>
          </w:tcPr>
          <w:p w14:paraId="55B42403" w14:textId="77777777" w:rsidR="00D82F87" w:rsidRPr="003229BB" w:rsidRDefault="00D82F87" w:rsidP="00D82F87">
            <w:pPr>
              <w:jc w:val="both"/>
              <w:rPr>
                <w:rFonts w:ascii="標楷體" w:eastAsia="標楷體" w:hAnsi="標楷體" w:cs="Times New Roman"/>
                <w:bCs/>
                <w:szCs w:val="24"/>
              </w:rPr>
            </w:pPr>
            <w:r w:rsidRPr="003229BB">
              <w:rPr>
                <w:rFonts w:ascii="標楷體" w:eastAsia="標楷體" w:hAnsi="標楷體" w:cs="Times New Roman" w:hint="eastAsia"/>
                <w:bCs/>
                <w:szCs w:val="24"/>
              </w:rPr>
              <w:t>第四條</w:t>
            </w:r>
          </w:p>
          <w:p w14:paraId="7AD676F4" w14:textId="77777777" w:rsidR="00D82F87" w:rsidRPr="003229BB" w:rsidRDefault="00D82F87" w:rsidP="00D82F87">
            <w:pPr>
              <w:ind w:firstLineChars="200" w:firstLine="480"/>
              <w:jc w:val="both"/>
              <w:rPr>
                <w:rFonts w:ascii="標楷體" w:eastAsia="標楷體" w:hAnsi="標楷體" w:cs="Times New Roman"/>
                <w:bCs/>
                <w:szCs w:val="24"/>
              </w:rPr>
            </w:pPr>
            <w:r w:rsidRPr="003229BB">
              <w:rPr>
                <w:rFonts w:ascii="標楷體" w:eastAsia="標楷體" w:hAnsi="標楷體" w:cs="Times New Roman" w:hint="eastAsia"/>
                <w:bCs/>
                <w:szCs w:val="24"/>
              </w:rPr>
              <w:t>發行人申請綠色債券資格認可，應依其有價證券種類分別符合下列規定：</w:t>
            </w:r>
          </w:p>
          <w:p w14:paraId="109E761D" w14:textId="3119402F" w:rsidR="00D82F87" w:rsidRPr="003229BB" w:rsidRDefault="0032214D" w:rsidP="00D82F87">
            <w:pPr>
              <w:pStyle w:val="aa"/>
              <w:numPr>
                <w:ilvl w:val="0"/>
                <w:numId w:val="46"/>
              </w:numPr>
              <w:ind w:leftChars="0"/>
              <w:jc w:val="both"/>
              <w:rPr>
                <w:rFonts w:ascii="標楷體" w:eastAsia="標楷體" w:hAnsi="標楷體" w:cs="細明體"/>
                <w:bCs/>
                <w:kern w:val="0"/>
                <w:szCs w:val="24"/>
              </w:rPr>
            </w:pPr>
            <w:r w:rsidRPr="003229BB">
              <w:rPr>
                <w:rFonts w:ascii="標楷體" w:eastAsia="標楷體" w:hAnsi="標楷體" w:cs="Times New Roman" w:hint="eastAsia"/>
                <w:bCs/>
                <w:szCs w:val="24"/>
              </w:rPr>
              <w:t>普通</w:t>
            </w:r>
            <w:r w:rsidR="00D82F87" w:rsidRPr="003229BB">
              <w:rPr>
                <w:rFonts w:ascii="標楷體" w:eastAsia="標楷體" w:hAnsi="標楷體" w:cs="Times New Roman" w:hint="eastAsia"/>
                <w:bCs/>
                <w:szCs w:val="24"/>
              </w:rPr>
              <w:t>公司債：發行人</w:t>
            </w:r>
            <w:r w:rsidR="00D82F87" w:rsidRPr="003229BB">
              <w:rPr>
                <w:rFonts w:ascii="標楷體" w:eastAsia="標楷體" w:hAnsi="標楷體" w:cs="細明體" w:hint="eastAsia"/>
                <w:bCs/>
                <w:kern w:val="0"/>
                <w:szCs w:val="24"/>
              </w:rPr>
              <w:t>所募集之資金全部用於綠色投資計畫支出或償還綠色投資計畫之債務；外國金融機構所募集之資金全部用於綠色投資計畫之放款</w:t>
            </w:r>
            <w:r w:rsidR="005D1E6E" w:rsidRPr="003229BB">
              <w:rPr>
                <w:rFonts w:ascii="標楷體" w:eastAsia="標楷體" w:hAnsi="標楷體" w:cs="細明體" w:hint="eastAsia"/>
                <w:bCs/>
                <w:kern w:val="0"/>
                <w:szCs w:val="24"/>
                <w:u w:val="single"/>
              </w:rPr>
              <w:t>、綠色投資計畫支出或償還綠色投資計畫之債務</w:t>
            </w:r>
            <w:r w:rsidR="00D82F87" w:rsidRPr="003229BB">
              <w:rPr>
                <w:rFonts w:ascii="標楷體" w:eastAsia="標楷體" w:hAnsi="標楷體" w:cs="細明體" w:hint="eastAsia"/>
                <w:bCs/>
                <w:kern w:val="0"/>
                <w:szCs w:val="24"/>
                <w:u w:val="single"/>
              </w:rPr>
              <w:t>。</w:t>
            </w:r>
          </w:p>
          <w:p w14:paraId="2A25F999" w14:textId="205D194A" w:rsidR="00D82F87" w:rsidRPr="003229BB" w:rsidRDefault="00D82F87" w:rsidP="00D82F87">
            <w:pPr>
              <w:pStyle w:val="aa"/>
              <w:numPr>
                <w:ilvl w:val="0"/>
                <w:numId w:val="46"/>
              </w:numPr>
              <w:ind w:leftChars="0"/>
              <w:jc w:val="both"/>
              <w:rPr>
                <w:rFonts w:ascii="標楷體" w:eastAsia="標楷體" w:hAnsi="標楷體" w:cs="細明體"/>
                <w:bCs/>
                <w:kern w:val="0"/>
                <w:szCs w:val="24"/>
              </w:rPr>
            </w:pPr>
            <w:r w:rsidRPr="003229BB">
              <w:rPr>
                <w:rFonts w:ascii="標楷體" w:eastAsia="標楷體" w:hAnsi="標楷體" w:cs="細明體" w:hint="eastAsia"/>
                <w:bCs/>
                <w:kern w:val="0"/>
                <w:szCs w:val="24"/>
              </w:rPr>
              <w:t>金融債券：發行人所募集之資金全部用於綠色投資計畫之放款</w:t>
            </w:r>
            <w:r w:rsidR="005D1E6E" w:rsidRPr="003229BB">
              <w:rPr>
                <w:rFonts w:ascii="標楷體" w:eastAsia="標楷體" w:hAnsi="標楷體" w:cs="細明體" w:hint="eastAsia"/>
                <w:bCs/>
                <w:kern w:val="0"/>
                <w:szCs w:val="24"/>
                <w:u w:val="single"/>
              </w:rPr>
              <w:t>、綠色投資計畫支出或償還綠色投資計畫之債務。</w:t>
            </w:r>
          </w:p>
          <w:p w14:paraId="0DE52BDE" w14:textId="4DDE6B08" w:rsidR="00D82F87" w:rsidRPr="003229BB" w:rsidRDefault="00D82F87" w:rsidP="00D82F87">
            <w:pPr>
              <w:pStyle w:val="aa"/>
              <w:numPr>
                <w:ilvl w:val="0"/>
                <w:numId w:val="46"/>
              </w:numPr>
              <w:ind w:leftChars="0"/>
              <w:jc w:val="both"/>
              <w:rPr>
                <w:rFonts w:ascii="標楷體" w:eastAsia="標楷體" w:hAnsi="標楷體" w:cs="細明體"/>
                <w:bCs/>
                <w:kern w:val="0"/>
                <w:szCs w:val="24"/>
              </w:rPr>
            </w:pPr>
            <w:r w:rsidRPr="003229BB">
              <w:rPr>
                <w:rFonts w:ascii="標楷體" w:eastAsia="標楷體" w:hAnsi="標楷體" w:cs="細明體" w:hint="eastAsia"/>
                <w:bCs/>
                <w:kern w:val="0"/>
                <w:szCs w:val="24"/>
              </w:rPr>
              <w:t>受益證券或資產基礎證券：資產池均源自綠色投資計畫。</w:t>
            </w:r>
          </w:p>
          <w:p w14:paraId="68BCE42D" w14:textId="78C5C529" w:rsidR="00570D87" w:rsidRPr="003229BB" w:rsidRDefault="00570D87" w:rsidP="00D82F87">
            <w:pPr>
              <w:pStyle w:val="aa"/>
              <w:numPr>
                <w:ilvl w:val="0"/>
                <w:numId w:val="46"/>
              </w:numPr>
              <w:ind w:leftChars="0"/>
              <w:jc w:val="both"/>
              <w:rPr>
                <w:rFonts w:ascii="標楷體" w:eastAsia="標楷體" w:hAnsi="標楷體" w:cs="細明體"/>
                <w:bCs/>
                <w:kern w:val="0"/>
                <w:szCs w:val="24"/>
                <w:u w:val="single"/>
              </w:rPr>
            </w:pPr>
            <w:r w:rsidRPr="003229BB">
              <w:rPr>
                <w:rFonts w:ascii="標楷體" w:eastAsia="標楷體" w:hAnsi="標楷體" w:cs="細明體" w:hint="eastAsia"/>
                <w:bCs/>
                <w:kern w:val="0"/>
                <w:szCs w:val="24"/>
                <w:u w:val="single"/>
              </w:rPr>
              <w:t>伊斯蘭固定收益證券(Su</w:t>
            </w:r>
            <w:r w:rsidRPr="003229BB">
              <w:rPr>
                <w:rFonts w:ascii="標楷體" w:eastAsia="標楷體" w:hAnsi="標楷體" w:cs="細明體"/>
                <w:bCs/>
                <w:kern w:val="0"/>
                <w:szCs w:val="24"/>
                <w:u w:val="single"/>
              </w:rPr>
              <w:t>kuk</w:t>
            </w:r>
            <w:r w:rsidRPr="003229BB">
              <w:rPr>
                <w:rFonts w:ascii="標楷體" w:eastAsia="標楷體" w:hAnsi="標楷體" w:cs="細明體" w:hint="eastAsia"/>
                <w:bCs/>
                <w:kern w:val="0"/>
                <w:szCs w:val="24"/>
                <w:u w:val="single"/>
              </w:rPr>
              <w:t>)：</w:t>
            </w:r>
            <w:r w:rsidR="005C5A6B" w:rsidRPr="003229BB">
              <w:rPr>
                <w:rFonts w:ascii="標楷體" w:eastAsia="標楷體" w:hAnsi="標楷體" w:cs="細明體" w:hint="eastAsia"/>
                <w:bCs/>
                <w:kern w:val="0"/>
                <w:szCs w:val="24"/>
                <w:u w:val="single"/>
              </w:rPr>
              <w:t>伊斯蘭固定收益證券之發起人</w:t>
            </w:r>
            <w:r w:rsidRPr="003229BB">
              <w:rPr>
                <w:rFonts w:ascii="標楷體" w:eastAsia="標楷體" w:hAnsi="標楷體" w:cs="細明體" w:hint="eastAsia"/>
                <w:bCs/>
                <w:kern w:val="0"/>
                <w:szCs w:val="24"/>
                <w:u w:val="single"/>
              </w:rPr>
              <w:t>所</w:t>
            </w:r>
            <w:r w:rsidR="005C5A6B" w:rsidRPr="003229BB">
              <w:rPr>
                <w:rFonts w:ascii="標楷體" w:eastAsia="標楷體" w:hAnsi="標楷體" w:cs="細明體" w:hint="eastAsia"/>
                <w:bCs/>
                <w:kern w:val="0"/>
                <w:szCs w:val="24"/>
                <w:u w:val="single"/>
              </w:rPr>
              <w:t>取得</w:t>
            </w:r>
            <w:r w:rsidRPr="003229BB">
              <w:rPr>
                <w:rFonts w:ascii="標楷體" w:eastAsia="標楷體" w:hAnsi="標楷體" w:cs="細明體" w:hint="eastAsia"/>
                <w:bCs/>
                <w:kern w:val="0"/>
                <w:szCs w:val="24"/>
                <w:u w:val="single"/>
              </w:rPr>
              <w:t>之資金全部用於綠色投資計畫支出或償還綠色投資計畫之債務；</w:t>
            </w:r>
            <w:r w:rsidR="00A97A24" w:rsidRPr="003229BB">
              <w:rPr>
                <w:rFonts w:ascii="標楷體" w:eastAsia="標楷體" w:hAnsi="標楷體" w:cs="細明體" w:hint="eastAsia"/>
                <w:bCs/>
                <w:kern w:val="0"/>
                <w:szCs w:val="24"/>
                <w:u w:val="single"/>
              </w:rPr>
              <w:t>伊斯蘭固定收益證券之發起人</w:t>
            </w:r>
            <w:r w:rsidRPr="003229BB">
              <w:rPr>
                <w:rFonts w:ascii="標楷體" w:eastAsia="標楷體" w:hAnsi="標楷體" w:cs="細明體" w:hint="eastAsia"/>
                <w:bCs/>
                <w:kern w:val="0"/>
                <w:szCs w:val="24"/>
                <w:u w:val="single"/>
              </w:rPr>
              <w:t>為外國金融機構者，</w:t>
            </w:r>
            <w:r w:rsidR="005C5A6B" w:rsidRPr="003229BB">
              <w:rPr>
                <w:rFonts w:ascii="標楷體" w:eastAsia="標楷體" w:hAnsi="標楷體" w:cs="細明體" w:hint="eastAsia"/>
                <w:bCs/>
                <w:kern w:val="0"/>
                <w:szCs w:val="24"/>
                <w:u w:val="single"/>
              </w:rPr>
              <w:t>其</w:t>
            </w:r>
            <w:r w:rsidRPr="003229BB">
              <w:rPr>
                <w:rFonts w:ascii="標楷體" w:eastAsia="標楷體" w:hAnsi="標楷體" w:cs="細明體" w:hint="eastAsia"/>
                <w:bCs/>
                <w:kern w:val="0"/>
                <w:szCs w:val="24"/>
                <w:u w:val="single"/>
              </w:rPr>
              <w:t>所</w:t>
            </w:r>
            <w:r w:rsidR="005C5A6B" w:rsidRPr="003229BB">
              <w:rPr>
                <w:rFonts w:ascii="標楷體" w:eastAsia="標楷體" w:hAnsi="標楷體" w:cs="細明體" w:hint="eastAsia"/>
                <w:bCs/>
                <w:kern w:val="0"/>
                <w:szCs w:val="24"/>
                <w:u w:val="single"/>
              </w:rPr>
              <w:t>取得</w:t>
            </w:r>
            <w:r w:rsidRPr="003229BB">
              <w:rPr>
                <w:rFonts w:ascii="標楷體" w:eastAsia="標楷體" w:hAnsi="標楷體" w:cs="細明體" w:hint="eastAsia"/>
                <w:bCs/>
                <w:kern w:val="0"/>
                <w:szCs w:val="24"/>
                <w:u w:val="single"/>
              </w:rPr>
              <w:t>之資金全部用於</w:t>
            </w:r>
            <w:r w:rsidRPr="003229BB">
              <w:rPr>
                <w:rFonts w:ascii="標楷體" w:eastAsia="標楷體" w:hAnsi="標楷體" w:cs="細明體" w:hint="eastAsia"/>
                <w:bCs/>
                <w:kern w:val="0"/>
                <w:szCs w:val="24"/>
                <w:u w:val="single"/>
              </w:rPr>
              <w:lastRenderedPageBreak/>
              <w:t>綠色投資計畫之放款、綠色投資計畫支出或償還綠色投資計畫之債務。</w:t>
            </w:r>
          </w:p>
          <w:p w14:paraId="3DEE5842" w14:textId="435CDCBC" w:rsidR="00E81DFF" w:rsidRPr="003229BB" w:rsidRDefault="00A97A24" w:rsidP="00D82F87">
            <w:pPr>
              <w:jc w:val="both"/>
              <w:rPr>
                <w:rFonts w:ascii="標楷體" w:eastAsia="標楷體" w:hAnsi="標楷體" w:cs="Times New Roman"/>
                <w:bCs/>
                <w:szCs w:val="24"/>
                <w:u w:val="single"/>
              </w:rPr>
            </w:pPr>
            <w:r w:rsidRPr="003229BB">
              <w:rPr>
                <w:rFonts w:ascii="標楷體" w:eastAsia="標楷體" w:hAnsi="標楷體" w:cs="細明體" w:hint="eastAsia"/>
                <w:bCs/>
                <w:kern w:val="0"/>
                <w:szCs w:val="24"/>
              </w:rPr>
              <w:t xml:space="preserve">    </w:t>
            </w:r>
            <w:r w:rsidR="00D82F87" w:rsidRPr="003229BB">
              <w:rPr>
                <w:rFonts w:ascii="標楷體" w:eastAsia="標楷體" w:hAnsi="標楷體" w:cs="細明體" w:hint="eastAsia"/>
                <w:bCs/>
                <w:kern w:val="0"/>
                <w:szCs w:val="24"/>
              </w:rPr>
              <w:t>前項第三款所稱資產池，依金融資產證券化條例之規定認定之。</w:t>
            </w:r>
          </w:p>
        </w:tc>
        <w:tc>
          <w:tcPr>
            <w:tcW w:w="2759" w:type="dxa"/>
          </w:tcPr>
          <w:p w14:paraId="7BBCA10F" w14:textId="77777777" w:rsidR="00C670C0" w:rsidRPr="003229BB" w:rsidRDefault="00C670C0" w:rsidP="00C670C0">
            <w:pPr>
              <w:jc w:val="both"/>
              <w:rPr>
                <w:rFonts w:ascii="標楷體" w:eastAsia="標楷體" w:hAnsi="標楷體" w:cs="Times New Roman"/>
                <w:bCs/>
                <w:szCs w:val="24"/>
              </w:rPr>
            </w:pPr>
            <w:r w:rsidRPr="003229BB">
              <w:rPr>
                <w:rFonts w:ascii="標楷體" w:eastAsia="標楷體" w:hAnsi="標楷體" w:cs="Times New Roman" w:hint="eastAsia"/>
                <w:bCs/>
                <w:szCs w:val="24"/>
              </w:rPr>
              <w:lastRenderedPageBreak/>
              <w:t>第四條</w:t>
            </w:r>
          </w:p>
          <w:p w14:paraId="0E9BD515" w14:textId="6FA62C4C" w:rsidR="00D82F87" w:rsidRPr="003229BB" w:rsidRDefault="00D82F87" w:rsidP="00D82F87">
            <w:pPr>
              <w:ind w:firstLineChars="200" w:firstLine="480"/>
              <w:jc w:val="both"/>
              <w:rPr>
                <w:rFonts w:ascii="標楷體" w:eastAsia="標楷體" w:hAnsi="標楷體" w:cs="Times New Roman"/>
                <w:bCs/>
                <w:szCs w:val="24"/>
              </w:rPr>
            </w:pPr>
            <w:r w:rsidRPr="003229BB">
              <w:rPr>
                <w:rFonts w:ascii="標楷體" w:eastAsia="標楷體" w:hAnsi="標楷體" w:cs="Times New Roman" w:hint="eastAsia"/>
                <w:bCs/>
                <w:szCs w:val="24"/>
              </w:rPr>
              <w:t>發行人申請綠色債券資格認可，應依其有價證券種類分別符合下列規定：</w:t>
            </w:r>
          </w:p>
          <w:p w14:paraId="0ACD3694" w14:textId="3E8486AE" w:rsidR="00D82F87" w:rsidRPr="003229BB" w:rsidRDefault="00D82F87" w:rsidP="0032214D">
            <w:pPr>
              <w:pStyle w:val="aa"/>
              <w:numPr>
                <w:ilvl w:val="0"/>
                <w:numId w:val="47"/>
              </w:numPr>
              <w:ind w:leftChars="0"/>
              <w:jc w:val="both"/>
              <w:rPr>
                <w:rFonts w:ascii="標楷體" w:eastAsia="標楷體" w:hAnsi="標楷體" w:cs="細明體"/>
                <w:bCs/>
                <w:kern w:val="0"/>
                <w:szCs w:val="24"/>
              </w:rPr>
            </w:pPr>
            <w:r w:rsidRPr="003229BB">
              <w:rPr>
                <w:rFonts w:ascii="標楷體" w:eastAsia="標楷體" w:hAnsi="標楷體" w:cs="Times New Roman" w:hint="eastAsia"/>
                <w:bCs/>
                <w:szCs w:val="24"/>
              </w:rPr>
              <w:t>普通公司債：發行人</w:t>
            </w:r>
            <w:r w:rsidRPr="003229BB">
              <w:rPr>
                <w:rFonts w:ascii="標楷體" w:eastAsia="標楷體" w:hAnsi="標楷體" w:cs="細明體" w:hint="eastAsia"/>
                <w:bCs/>
                <w:kern w:val="0"/>
                <w:szCs w:val="24"/>
              </w:rPr>
              <w:t>所募集之資金全部用於綠色投資計畫支出或償還綠色投資計畫之債務；外國金融機構所募集之資金全部用於綠色投資計畫之放款。</w:t>
            </w:r>
          </w:p>
          <w:p w14:paraId="7D2FA3D0" w14:textId="445165F5" w:rsidR="0032214D" w:rsidRPr="003229BB" w:rsidRDefault="0032214D" w:rsidP="0032214D">
            <w:pPr>
              <w:jc w:val="both"/>
              <w:rPr>
                <w:rFonts w:ascii="標楷體" w:eastAsia="標楷體" w:hAnsi="標楷體" w:cs="細明體"/>
                <w:bCs/>
                <w:kern w:val="0"/>
                <w:szCs w:val="24"/>
              </w:rPr>
            </w:pPr>
          </w:p>
          <w:p w14:paraId="01C13363" w14:textId="6BDD1D1A" w:rsidR="0032214D" w:rsidRPr="003229BB" w:rsidRDefault="0032214D" w:rsidP="0032214D">
            <w:pPr>
              <w:jc w:val="both"/>
              <w:rPr>
                <w:rFonts w:ascii="標楷體" w:eastAsia="標楷體" w:hAnsi="標楷體" w:cs="細明體"/>
                <w:bCs/>
                <w:kern w:val="0"/>
                <w:szCs w:val="24"/>
              </w:rPr>
            </w:pPr>
          </w:p>
          <w:p w14:paraId="1CB25ADF" w14:textId="0154E120" w:rsidR="0032214D" w:rsidRPr="003229BB" w:rsidRDefault="0032214D" w:rsidP="0032214D">
            <w:pPr>
              <w:jc w:val="both"/>
              <w:rPr>
                <w:rFonts w:ascii="標楷體" w:eastAsia="標楷體" w:hAnsi="標楷體" w:cs="細明體"/>
                <w:bCs/>
                <w:kern w:val="0"/>
                <w:szCs w:val="24"/>
              </w:rPr>
            </w:pPr>
          </w:p>
          <w:p w14:paraId="21CBAD5A" w14:textId="1DC8CFD1" w:rsidR="00D82F87" w:rsidRPr="003229BB" w:rsidRDefault="00D82F87" w:rsidP="0032214D">
            <w:pPr>
              <w:pStyle w:val="aa"/>
              <w:numPr>
                <w:ilvl w:val="0"/>
                <w:numId w:val="47"/>
              </w:numPr>
              <w:ind w:leftChars="0"/>
              <w:jc w:val="both"/>
              <w:rPr>
                <w:rFonts w:ascii="標楷體" w:eastAsia="標楷體" w:hAnsi="標楷體" w:cs="細明體"/>
                <w:bCs/>
                <w:kern w:val="0"/>
                <w:szCs w:val="24"/>
              </w:rPr>
            </w:pPr>
            <w:r w:rsidRPr="003229BB">
              <w:rPr>
                <w:rFonts w:ascii="標楷體" w:eastAsia="標楷體" w:hAnsi="標楷體" w:cs="細明體" w:hint="eastAsia"/>
                <w:bCs/>
                <w:kern w:val="0"/>
                <w:szCs w:val="24"/>
              </w:rPr>
              <w:t>金融債券：發行人所募集之資金全部用於綠色投資計畫之放款。</w:t>
            </w:r>
          </w:p>
          <w:p w14:paraId="3BD9482D" w14:textId="0989F057" w:rsidR="0032214D" w:rsidRPr="003229BB" w:rsidRDefault="0032214D" w:rsidP="0032214D">
            <w:pPr>
              <w:jc w:val="both"/>
              <w:rPr>
                <w:rFonts w:ascii="標楷體" w:eastAsia="標楷體" w:hAnsi="標楷體" w:cs="細明體"/>
                <w:bCs/>
                <w:kern w:val="0"/>
                <w:szCs w:val="24"/>
              </w:rPr>
            </w:pPr>
          </w:p>
          <w:p w14:paraId="0BD60297" w14:textId="49B471B5" w:rsidR="0032214D" w:rsidRPr="003229BB" w:rsidRDefault="0032214D" w:rsidP="0032214D">
            <w:pPr>
              <w:jc w:val="both"/>
              <w:rPr>
                <w:rFonts w:ascii="標楷體" w:eastAsia="標楷體" w:hAnsi="標楷體" w:cs="細明體"/>
                <w:bCs/>
                <w:kern w:val="0"/>
                <w:szCs w:val="24"/>
              </w:rPr>
            </w:pPr>
          </w:p>
          <w:p w14:paraId="53107C50" w14:textId="2547C85D" w:rsidR="00570D87" w:rsidRPr="003229BB" w:rsidRDefault="00D82F87" w:rsidP="00570D87">
            <w:pPr>
              <w:pStyle w:val="aa"/>
              <w:numPr>
                <w:ilvl w:val="0"/>
                <w:numId w:val="47"/>
              </w:numPr>
              <w:ind w:leftChars="0"/>
              <w:jc w:val="both"/>
              <w:rPr>
                <w:rFonts w:ascii="標楷體" w:eastAsia="標楷體" w:hAnsi="標楷體" w:cs="細明體"/>
                <w:bCs/>
                <w:kern w:val="0"/>
                <w:szCs w:val="24"/>
              </w:rPr>
            </w:pPr>
            <w:r w:rsidRPr="003229BB">
              <w:rPr>
                <w:rFonts w:ascii="標楷體" w:eastAsia="標楷體" w:hAnsi="標楷體" w:cs="細明體" w:hint="eastAsia"/>
                <w:bCs/>
                <w:kern w:val="0"/>
                <w:szCs w:val="24"/>
              </w:rPr>
              <w:t>受益證券或資產基礎證券：資產池均源自綠色投資計畫。</w:t>
            </w:r>
          </w:p>
          <w:p w14:paraId="461FD290"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501C28C0"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2F5A13B3"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35DCC8F6"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5D555CB0"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3B3C1BB1"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554DA5F1"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2AACFB1A"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669C0FBA"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0011E620"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6A15999D" w14:textId="77777777" w:rsidR="00570D87" w:rsidRPr="003229BB" w:rsidRDefault="00570D87"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15AF57B3" w14:textId="276C6CC5" w:rsidR="00A97A24" w:rsidRPr="003229BB" w:rsidRDefault="00A97A24"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05957831" w14:textId="5230B33C" w:rsidR="0064767F" w:rsidRPr="003229BB" w:rsidRDefault="0064767F"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3158F0EB" w14:textId="3C1F4555" w:rsidR="0064767F" w:rsidRPr="003229BB" w:rsidRDefault="0064767F"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16B39F2E" w14:textId="03EE5E43" w:rsidR="0064767F" w:rsidRPr="003229BB" w:rsidRDefault="0064767F"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p>
          <w:p w14:paraId="0F693602" w14:textId="02623FA7" w:rsidR="00C670C0" w:rsidRPr="003229BB" w:rsidRDefault="00A97A24" w:rsidP="00D82F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bCs/>
                <w:kern w:val="0"/>
                <w:szCs w:val="24"/>
              </w:rPr>
            </w:pPr>
            <w:r w:rsidRPr="003229BB">
              <w:rPr>
                <w:rFonts w:ascii="標楷體" w:eastAsia="標楷體" w:hAnsi="標楷體" w:cs="細明體" w:hint="eastAsia"/>
                <w:bCs/>
                <w:kern w:val="0"/>
                <w:szCs w:val="24"/>
              </w:rPr>
              <w:t xml:space="preserve">    </w:t>
            </w:r>
            <w:r w:rsidR="00D82F87" w:rsidRPr="003229BB">
              <w:rPr>
                <w:rFonts w:ascii="標楷體" w:eastAsia="標楷體" w:hAnsi="標楷體" w:cs="細明體" w:hint="eastAsia"/>
                <w:bCs/>
                <w:kern w:val="0"/>
                <w:szCs w:val="24"/>
              </w:rPr>
              <w:t>前項第三款所稱資產池，依金融資產證券化條例之規定認定之。</w:t>
            </w:r>
          </w:p>
        </w:tc>
        <w:tc>
          <w:tcPr>
            <w:tcW w:w="2772" w:type="dxa"/>
          </w:tcPr>
          <w:p w14:paraId="4A667652" w14:textId="48241382" w:rsidR="00196BCA" w:rsidRPr="003229BB" w:rsidRDefault="00CB42F9" w:rsidP="00196BCA">
            <w:pPr>
              <w:pStyle w:val="aa"/>
              <w:numPr>
                <w:ilvl w:val="0"/>
                <w:numId w:val="48"/>
              </w:numPr>
              <w:ind w:leftChars="0"/>
              <w:jc w:val="both"/>
              <w:rPr>
                <w:rFonts w:ascii="標楷體" w:eastAsia="標楷體" w:hAnsi="標楷體" w:cs="Times New Roman"/>
                <w:bCs/>
                <w:szCs w:val="24"/>
              </w:rPr>
            </w:pPr>
            <w:r w:rsidRPr="00CB42F9">
              <w:rPr>
                <w:rFonts w:ascii="標楷體" w:eastAsia="標楷體" w:hAnsi="標楷體" w:cs="Times New Roman" w:hint="eastAsia"/>
                <w:bCs/>
                <w:szCs w:val="24"/>
              </w:rPr>
              <w:lastRenderedPageBreak/>
              <w:t>參考國際金融市場實務及綠色普通公司債資金用途之規範，增訂</w:t>
            </w:r>
            <w:r w:rsidR="00105570">
              <w:rPr>
                <w:rFonts w:ascii="標楷體" w:eastAsia="標楷體" w:hAnsi="標楷體" w:cs="Times New Roman" w:hint="eastAsia"/>
                <w:bCs/>
                <w:szCs w:val="24"/>
              </w:rPr>
              <w:t>國內外金融機構</w:t>
            </w:r>
            <w:r w:rsidRPr="00CB42F9">
              <w:rPr>
                <w:rFonts w:ascii="標楷體" w:eastAsia="標楷體" w:hAnsi="標楷體" w:cs="Times New Roman" w:hint="eastAsia"/>
                <w:bCs/>
                <w:szCs w:val="24"/>
              </w:rPr>
              <w:t>綠色債券資金用途得運用於綠色投資計畫支出及償還綠色投資計畫之債務</w:t>
            </w:r>
            <w:r w:rsidR="00382A43" w:rsidRPr="003229BB">
              <w:rPr>
                <w:rFonts w:ascii="標楷體" w:eastAsia="標楷體" w:hAnsi="標楷體" w:cs="Times New Roman" w:hint="eastAsia"/>
                <w:bCs/>
                <w:szCs w:val="24"/>
              </w:rPr>
              <w:t>，</w:t>
            </w:r>
            <w:r w:rsidR="00105570">
              <w:rPr>
                <w:rFonts w:ascii="標楷體" w:eastAsia="標楷體" w:hAnsi="標楷體" w:cs="Times New Roman" w:hint="eastAsia"/>
                <w:bCs/>
                <w:szCs w:val="24"/>
              </w:rPr>
              <w:t>而</w:t>
            </w:r>
            <w:r w:rsidR="00286238" w:rsidRPr="003229BB">
              <w:rPr>
                <w:rFonts w:ascii="標楷體" w:eastAsia="標楷體" w:hAnsi="標楷體" w:cs="Times New Roman" w:hint="eastAsia"/>
                <w:bCs/>
                <w:szCs w:val="24"/>
              </w:rPr>
              <w:t>不侷限於綠色投資計畫之放款，</w:t>
            </w:r>
            <w:r w:rsidR="00382A43" w:rsidRPr="003229BB">
              <w:rPr>
                <w:rFonts w:ascii="標楷體" w:eastAsia="標楷體" w:hAnsi="標楷體" w:cs="Times New Roman" w:hint="eastAsia"/>
                <w:bCs/>
                <w:szCs w:val="24"/>
              </w:rPr>
              <w:t>爰修正</w:t>
            </w:r>
            <w:r w:rsidR="005C4476" w:rsidRPr="003229BB">
              <w:rPr>
                <w:rFonts w:ascii="標楷體" w:eastAsia="標楷體" w:hAnsi="標楷體" w:cs="Times New Roman" w:hint="eastAsia"/>
                <w:bCs/>
                <w:szCs w:val="24"/>
              </w:rPr>
              <w:t>第一項</w:t>
            </w:r>
            <w:r w:rsidR="00382A43" w:rsidRPr="003229BB">
              <w:rPr>
                <w:rFonts w:ascii="標楷體" w:eastAsia="標楷體" w:hAnsi="標楷體" w:cs="Times New Roman" w:hint="eastAsia"/>
                <w:bCs/>
                <w:szCs w:val="24"/>
              </w:rPr>
              <w:t>第一款及第二款</w:t>
            </w:r>
            <w:r w:rsidR="00105570">
              <w:rPr>
                <w:rFonts w:ascii="標楷體" w:eastAsia="標楷體" w:hAnsi="標楷體" w:cs="Times New Roman" w:hint="eastAsia"/>
                <w:bCs/>
                <w:szCs w:val="24"/>
              </w:rPr>
              <w:t>規定</w:t>
            </w:r>
            <w:r w:rsidR="00196BCA" w:rsidRPr="003229BB">
              <w:rPr>
                <w:rFonts w:ascii="標楷體" w:eastAsia="標楷體" w:hAnsi="標楷體" w:cs="Times New Roman" w:hint="eastAsia"/>
                <w:bCs/>
                <w:szCs w:val="24"/>
              </w:rPr>
              <w:t>。</w:t>
            </w:r>
          </w:p>
          <w:p w14:paraId="6FBC863D" w14:textId="6E676F63" w:rsidR="007D6B73" w:rsidRPr="003229BB" w:rsidRDefault="00105570" w:rsidP="00196BCA">
            <w:pPr>
              <w:pStyle w:val="aa"/>
              <w:numPr>
                <w:ilvl w:val="0"/>
                <w:numId w:val="48"/>
              </w:numPr>
              <w:ind w:leftChars="0"/>
              <w:jc w:val="both"/>
              <w:rPr>
                <w:rFonts w:ascii="標楷體" w:eastAsia="標楷體" w:hAnsi="標楷體" w:cs="Times New Roman"/>
                <w:bCs/>
                <w:szCs w:val="24"/>
              </w:rPr>
            </w:pPr>
            <w:r>
              <w:rPr>
                <w:rFonts w:ascii="標楷體" w:eastAsia="標楷體" w:hAnsi="標楷體" w:cs="Times New Roman" w:hint="eastAsia"/>
                <w:bCs/>
                <w:szCs w:val="24"/>
              </w:rPr>
              <w:t>為促進綠色債券商品及發行人更加多元發展及參與，並</w:t>
            </w:r>
            <w:r w:rsidR="002010F9" w:rsidRPr="002010F9">
              <w:rPr>
                <w:rFonts w:ascii="標楷體" w:eastAsia="標楷體" w:hAnsi="標楷體" w:cs="Times New Roman" w:hint="eastAsia"/>
                <w:bCs/>
                <w:szCs w:val="24"/>
              </w:rPr>
              <w:t>配合主管機關開放外國發行人得於我國發行僅限銷售予專業投資人之外幣計價伊斯蘭固定收益證券（Sukuk），</w:t>
            </w:r>
            <w:r w:rsidR="00D50FD4" w:rsidRPr="00D50FD4">
              <w:rPr>
                <w:rFonts w:ascii="標楷體" w:eastAsia="標楷體" w:hAnsi="標楷體" w:cs="Times New Roman" w:hint="eastAsia"/>
                <w:bCs/>
                <w:szCs w:val="24"/>
              </w:rPr>
              <w:t>增訂伊斯蘭固定收益證券發行人申請綠色債券資格認可之資金用途規範</w:t>
            </w:r>
            <w:r w:rsidR="00196BCA" w:rsidRPr="003229BB">
              <w:rPr>
                <w:rFonts w:ascii="標楷體" w:eastAsia="標楷體" w:hAnsi="標楷體" w:cs="Times New Roman" w:hint="eastAsia"/>
                <w:bCs/>
                <w:szCs w:val="24"/>
              </w:rPr>
              <w:t>，爰增訂</w:t>
            </w:r>
            <w:r w:rsidR="0070666D" w:rsidRPr="003229BB">
              <w:rPr>
                <w:rFonts w:ascii="標楷體" w:eastAsia="標楷體" w:hAnsi="標楷體" w:cs="Times New Roman" w:hint="eastAsia"/>
                <w:bCs/>
                <w:szCs w:val="24"/>
              </w:rPr>
              <w:t>第一項</w:t>
            </w:r>
            <w:r w:rsidR="00196BCA" w:rsidRPr="003229BB">
              <w:rPr>
                <w:rFonts w:ascii="標楷體" w:eastAsia="標楷體" w:hAnsi="標楷體" w:cs="Times New Roman" w:hint="eastAsia"/>
                <w:bCs/>
                <w:szCs w:val="24"/>
              </w:rPr>
              <w:t>第四款規定</w:t>
            </w:r>
            <w:r w:rsidR="00C02C77" w:rsidRPr="003229BB">
              <w:rPr>
                <w:rFonts w:ascii="標楷體" w:eastAsia="標楷體" w:hAnsi="標楷體" w:cs="Times New Roman" w:hint="eastAsia"/>
                <w:bCs/>
                <w:szCs w:val="24"/>
              </w:rPr>
              <w:t>。</w:t>
            </w:r>
          </w:p>
        </w:tc>
      </w:tr>
      <w:tr w:rsidR="00011E70" w:rsidRPr="006C64EE" w14:paraId="576283BA" w14:textId="77777777" w:rsidTr="00872287">
        <w:tc>
          <w:tcPr>
            <w:tcW w:w="2765" w:type="dxa"/>
          </w:tcPr>
          <w:p w14:paraId="29C9F908" w14:textId="77777777" w:rsidR="00DB3823" w:rsidRPr="00011E70" w:rsidRDefault="00DB3823" w:rsidP="00DB3823">
            <w:pPr>
              <w:jc w:val="both"/>
              <w:rPr>
                <w:rFonts w:ascii="標楷體" w:eastAsia="標楷體" w:hAnsi="標楷體" w:cs="Times New Roman"/>
                <w:bCs/>
                <w:szCs w:val="24"/>
              </w:rPr>
            </w:pPr>
            <w:r w:rsidRPr="00011E70">
              <w:rPr>
                <w:rFonts w:ascii="標楷體" w:eastAsia="標楷體" w:hAnsi="標楷體" w:cs="Times New Roman" w:hint="eastAsia"/>
                <w:bCs/>
                <w:szCs w:val="24"/>
              </w:rPr>
              <w:t>第五條</w:t>
            </w:r>
          </w:p>
          <w:p w14:paraId="44636AE4" w14:textId="77777777" w:rsidR="00DB3823" w:rsidRPr="00011E70" w:rsidRDefault="00DB3823" w:rsidP="00DB3823">
            <w:pPr>
              <w:ind w:firstLineChars="200" w:firstLine="480"/>
              <w:jc w:val="both"/>
              <w:rPr>
                <w:rFonts w:ascii="標楷體" w:eastAsia="標楷體" w:hAnsi="標楷體" w:cs="Times New Roman"/>
                <w:bCs/>
                <w:szCs w:val="24"/>
              </w:rPr>
            </w:pPr>
            <w:r w:rsidRPr="00011E70">
              <w:rPr>
                <w:rFonts w:ascii="標楷體" w:eastAsia="標楷體" w:hAnsi="標楷體" w:cs="Times New Roman" w:hint="eastAsia"/>
                <w:bCs/>
                <w:szCs w:val="24"/>
              </w:rPr>
              <w:t>前條所稱綠色投資計畫係指投資於下列事項，並具實質改善環境之效益者：</w:t>
            </w:r>
          </w:p>
          <w:p w14:paraId="35089581"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再生能源及能源科技發展。</w:t>
            </w:r>
          </w:p>
          <w:p w14:paraId="255C4630"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能源使用效率提昇及能源節約。</w:t>
            </w:r>
          </w:p>
          <w:p w14:paraId="5FFD6E7C"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溫室氣體減量。</w:t>
            </w:r>
          </w:p>
          <w:p w14:paraId="18847D17"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廢棄物回收處理或再利用。</w:t>
            </w:r>
          </w:p>
          <w:p w14:paraId="2DBFA05E"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農林資源保育。</w:t>
            </w:r>
          </w:p>
          <w:p w14:paraId="2B77F4CA"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生物多樣性保育。</w:t>
            </w:r>
          </w:p>
          <w:p w14:paraId="33F6BD87"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污染防治與控制。</w:t>
            </w:r>
          </w:p>
          <w:p w14:paraId="1BD1BD36" w14:textId="77777777" w:rsidR="00DB3823"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水資源節約、潔淨或回收循環再利用。</w:t>
            </w:r>
          </w:p>
          <w:p w14:paraId="585479F0" w14:textId="77777777" w:rsidR="00DB3823" w:rsidRPr="00011E70" w:rsidRDefault="00DB3823" w:rsidP="00DB3823">
            <w:pPr>
              <w:pStyle w:val="aa"/>
              <w:numPr>
                <w:ilvl w:val="0"/>
                <w:numId w:val="49"/>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其他氣候變遷調適或經本中心認可者。</w:t>
            </w:r>
          </w:p>
          <w:p w14:paraId="3B0B21D5" w14:textId="6B914CD8" w:rsidR="00E90BE3" w:rsidRDefault="00086641" w:rsidP="00DB3823">
            <w:pPr>
              <w:ind w:firstLineChars="200" w:firstLine="480"/>
              <w:jc w:val="both"/>
              <w:rPr>
                <w:rFonts w:ascii="標楷體" w:eastAsia="標楷體" w:hAnsi="標楷體" w:cs="Times New Roman"/>
                <w:bCs/>
                <w:szCs w:val="24"/>
              </w:rPr>
            </w:pPr>
            <w:r w:rsidRPr="00086641">
              <w:rPr>
                <w:rFonts w:ascii="標楷體" w:eastAsia="標楷體" w:hAnsi="標楷體" w:cs="Times New Roman" w:hint="eastAsia"/>
                <w:bCs/>
                <w:szCs w:val="24"/>
              </w:rPr>
              <w:t>前項綠色投資計畫須經政府機關出具符合綠色投資計畫之證明文件，或由國內外認證機構出具符合綠色投資計畫之評估意見或認證報告。但發行人為本國銀行</w:t>
            </w:r>
            <w:r w:rsidRPr="00086641">
              <w:rPr>
                <w:rFonts w:ascii="標楷體" w:eastAsia="標楷體" w:hAnsi="標楷體" w:cs="Times New Roman" w:hint="eastAsia"/>
                <w:bCs/>
                <w:szCs w:val="24"/>
                <w:u w:val="single"/>
              </w:rPr>
              <w:t>及</w:t>
            </w:r>
            <w:r w:rsidRPr="00086641">
              <w:rPr>
                <w:rFonts w:ascii="標楷體" w:eastAsia="標楷體" w:hAnsi="標楷體" w:cs="Times New Roman" w:hint="eastAsia"/>
                <w:bCs/>
                <w:szCs w:val="24"/>
              </w:rPr>
              <w:t>外國銀行在臺分行</w:t>
            </w:r>
            <w:r w:rsidR="005D4352" w:rsidRPr="005D4352">
              <w:rPr>
                <w:rFonts w:ascii="標楷體" w:eastAsia="標楷體" w:hAnsi="標楷體" w:cs="Times New Roman" w:hint="eastAsia"/>
                <w:bCs/>
                <w:szCs w:val="24"/>
                <w:u w:val="single"/>
              </w:rPr>
              <w:t>，</w:t>
            </w:r>
            <w:r w:rsidRPr="005D4352">
              <w:rPr>
                <w:rFonts w:ascii="標楷體" w:eastAsia="標楷體" w:hAnsi="標楷體" w:cs="Times New Roman" w:hint="eastAsia"/>
                <w:bCs/>
                <w:szCs w:val="24"/>
                <w:u w:val="single"/>
              </w:rPr>
              <w:t>且</w:t>
            </w:r>
            <w:r w:rsidRPr="00086641">
              <w:rPr>
                <w:rFonts w:ascii="標楷體" w:eastAsia="標楷體" w:hAnsi="標楷體" w:cs="Times New Roman" w:hint="eastAsia"/>
                <w:bCs/>
                <w:szCs w:val="24"/>
                <w:u w:val="single"/>
              </w:rPr>
              <w:t>所募集之資金全部用於綠色投資計畫之放款</w:t>
            </w:r>
            <w:r w:rsidRPr="00086641">
              <w:rPr>
                <w:rFonts w:ascii="標楷體" w:eastAsia="標楷體" w:hAnsi="標楷體" w:cs="Times New Roman" w:hint="eastAsia"/>
                <w:bCs/>
                <w:szCs w:val="24"/>
              </w:rPr>
              <w:t>或具能源供應專業之國營事業者，得自行依國際金融市場慣例之綠色債券原則出具符合綠色投資計</w:t>
            </w:r>
            <w:r w:rsidRPr="00086641">
              <w:rPr>
                <w:rFonts w:ascii="標楷體" w:eastAsia="標楷體" w:hAnsi="標楷體" w:cs="Times New Roman" w:hint="eastAsia"/>
                <w:bCs/>
                <w:szCs w:val="24"/>
              </w:rPr>
              <w:lastRenderedPageBreak/>
              <w:t>畫之評估意見。</w:t>
            </w:r>
          </w:p>
          <w:p w14:paraId="3935AF31" w14:textId="34A50DB1" w:rsidR="00DB3823" w:rsidRDefault="00DB3823" w:rsidP="00DB3823">
            <w:pPr>
              <w:ind w:firstLineChars="200" w:firstLine="480"/>
              <w:jc w:val="both"/>
              <w:rPr>
                <w:rFonts w:ascii="標楷體" w:eastAsia="標楷體" w:hAnsi="標楷體" w:cs="Times New Roman"/>
                <w:bCs/>
                <w:szCs w:val="24"/>
              </w:rPr>
            </w:pPr>
            <w:r w:rsidRPr="00011E70">
              <w:rPr>
                <w:rFonts w:ascii="標楷體" w:eastAsia="標楷體" w:hAnsi="標楷體" w:cs="Times New Roman" w:hint="eastAsia"/>
                <w:bCs/>
                <w:szCs w:val="24"/>
              </w:rPr>
              <w:t>發行人依前條第一項第三款申請認可者，不適用前項但書規定。</w:t>
            </w:r>
          </w:p>
          <w:p w14:paraId="0B7D7F9B" w14:textId="5B8EAFE2" w:rsidR="00011E70" w:rsidRPr="003229BB" w:rsidRDefault="00DB3823" w:rsidP="00E90BE3">
            <w:pPr>
              <w:ind w:firstLineChars="200" w:firstLine="480"/>
              <w:jc w:val="both"/>
              <w:rPr>
                <w:rFonts w:ascii="標楷體" w:eastAsia="標楷體" w:hAnsi="標楷體" w:cs="Times New Roman"/>
                <w:bCs/>
                <w:szCs w:val="24"/>
              </w:rPr>
            </w:pPr>
            <w:r w:rsidRPr="00011E70">
              <w:rPr>
                <w:rFonts w:ascii="標楷體" w:eastAsia="標楷體" w:hAnsi="標楷體" w:cs="Times New Roman" w:hint="eastAsia"/>
                <w:bCs/>
                <w:szCs w:val="24"/>
              </w:rPr>
              <w:t>本作業要點所稱具能源供應專業者，係指能源管理法第四條規定之能源供應事業。</w:t>
            </w:r>
          </w:p>
        </w:tc>
        <w:tc>
          <w:tcPr>
            <w:tcW w:w="2759" w:type="dxa"/>
          </w:tcPr>
          <w:p w14:paraId="2AB4A304" w14:textId="77777777" w:rsidR="00011E70" w:rsidRPr="00011E70" w:rsidRDefault="00011E70" w:rsidP="00011E70">
            <w:pPr>
              <w:jc w:val="both"/>
              <w:rPr>
                <w:rFonts w:ascii="標楷體" w:eastAsia="標楷體" w:hAnsi="標楷體" w:cs="Times New Roman"/>
                <w:bCs/>
                <w:szCs w:val="24"/>
              </w:rPr>
            </w:pPr>
            <w:r w:rsidRPr="00011E70">
              <w:rPr>
                <w:rFonts w:ascii="標楷體" w:eastAsia="標楷體" w:hAnsi="標楷體" w:cs="Times New Roman" w:hint="eastAsia"/>
                <w:bCs/>
                <w:szCs w:val="24"/>
              </w:rPr>
              <w:lastRenderedPageBreak/>
              <w:t>第五條</w:t>
            </w:r>
          </w:p>
          <w:p w14:paraId="6C8BAFB2" w14:textId="11968717" w:rsidR="00011E70" w:rsidRPr="00011E70" w:rsidRDefault="00011E70" w:rsidP="00011E70">
            <w:pPr>
              <w:ind w:firstLineChars="200" w:firstLine="480"/>
              <w:jc w:val="both"/>
              <w:rPr>
                <w:rFonts w:ascii="標楷體" w:eastAsia="標楷體" w:hAnsi="標楷體" w:cs="Times New Roman"/>
                <w:bCs/>
                <w:szCs w:val="24"/>
              </w:rPr>
            </w:pPr>
            <w:r w:rsidRPr="00011E70">
              <w:rPr>
                <w:rFonts w:ascii="標楷體" w:eastAsia="標楷體" w:hAnsi="標楷體" w:cs="Times New Roman" w:hint="eastAsia"/>
                <w:bCs/>
                <w:szCs w:val="24"/>
              </w:rPr>
              <w:t>前條所稱綠色投資計畫係指投資於下列事項，並具實質改善環境之效益者：</w:t>
            </w:r>
          </w:p>
          <w:p w14:paraId="35793921"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再生能源及能源科技發展。</w:t>
            </w:r>
          </w:p>
          <w:p w14:paraId="21C8FE96"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能源使用效率提昇及能源節約。</w:t>
            </w:r>
          </w:p>
          <w:p w14:paraId="18559DC8"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溫室氣體減量。</w:t>
            </w:r>
          </w:p>
          <w:p w14:paraId="1FD5C370"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廢棄物回收處理或再利用。</w:t>
            </w:r>
          </w:p>
          <w:p w14:paraId="65BC7AD7"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農林資源保育。</w:t>
            </w:r>
          </w:p>
          <w:p w14:paraId="49130274"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生物多樣性保育。</w:t>
            </w:r>
          </w:p>
          <w:p w14:paraId="5AEC3CAE"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污染防治與控制。</w:t>
            </w:r>
          </w:p>
          <w:p w14:paraId="4A1298DA" w14:textId="77777777" w:rsid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水資源節約、潔淨或回收循環再利用。</w:t>
            </w:r>
          </w:p>
          <w:p w14:paraId="44774222" w14:textId="5C3DCDF2" w:rsidR="00011E70" w:rsidRPr="00011E70" w:rsidRDefault="00011E70" w:rsidP="00EE7E00">
            <w:pPr>
              <w:pStyle w:val="aa"/>
              <w:numPr>
                <w:ilvl w:val="0"/>
                <w:numId w:val="50"/>
              </w:numPr>
              <w:ind w:leftChars="0"/>
              <w:jc w:val="both"/>
              <w:rPr>
                <w:rFonts w:ascii="標楷體" w:eastAsia="標楷體" w:hAnsi="標楷體" w:cs="Times New Roman"/>
                <w:bCs/>
                <w:szCs w:val="24"/>
              </w:rPr>
            </w:pPr>
            <w:r w:rsidRPr="00011E70">
              <w:rPr>
                <w:rFonts w:ascii="標楷體" w:eastAsia="標楷體" w:hAnsi="標楷體" w:cs="Times New Roman" w:hint="eastAsia"/>
                <w:bCs/>
                <w:szCs w:val="24"/>
              </w:rPr>
              <w:t>其他氣候變遷調適或經本中心認可者。</w:t>
            </w:r>
          </w:p>
          <w:p w14:paraId="614EDEFD" w14:textId="17796E21" w:rsidR="00011E70" w:rsidRPr="00011E70" w:rsidRDefault="00011E70" w:rsidP="00011E70">
            <w:pPr>
              <w:ind w:firstLineChars="200" w:firstLine="480"/>
              <w:jc w:val="both"/>
              <w:rPr>
                <w:rFonts w:ascii="標楷體" w:eastAsia="標楷體" w:hAnsi="標楷體" w:cs="Times New Roman"/>
                <w:bCs/>
                <w:szCs w:val="24"/>
              </w:rPr>
            </w:pPr>
            <w:r w:rsidRPr="00011E70">
              <w:rPr>
                <w:rFonts w:ascii="標楷體" w:eastAsia="標楷體" w:hAnsi="標楷體" w:cs="Times New Roman" w:hint="eastAsia"/>
                <w:bCs/>
                <w:szCs w:val="24"/>
              </w:rPr>
              <w:t>前項綠色投資計畫須經政府機關出具符合綠色投資計畫之證明文件，或由國內外認證機構出具符合綠色投資計畫之評估意見或認證報告。但發行人為</w:t>
            </w:r>
            <w:r w:rsidRPr="00086641">
              <w:rPr>
                <w:rFonts w:ascii="標楷體" w:eastAsia="標楷體" w:hAnsi="標楷體" w:cs="Times New Roman" w:hint="eastAsia"/>
                <w:bCs/>
                <w:szCs w:val="24"/>
              </w:rPr>
              <w:t>本國銀行</w:t>
            </w:r>
            <w:r w:rsidRPr="00086641">
              <w:rPr>
                <w:rFonts w:ascii="標楷體" w:eastAsia="標楷體" w:hAnsi="標楷體" w:cs="Times New Roman" w:hint="eastAsia"/>
                <w:bCs/>
                <w:szCs w:val="24"/>
                <w:u w:val="single"/>
              </w:rPr>
              <w:t>、</w:t>
            </w:r>
            <w:r w:rsidRPr="00086641">
              <w:rPr>
                <w:rFonts w:ascii="標楷體" w:eastAsia="標楷體" w:hAnsi="標楷體" w:cs="Times New Roman" w:hint="eastAsia"/>
                <w:bCs/>
                <w:szCs w:val="24"/>
              </w:rPr>
              <w:t>外國銀行在臺分行或</w:t>
            </w:r>
            <w:r w:rsidRPr="00011E70">
              <w:rPr>
                <w:rFonts w:ascii="標楷體" w:eastAsia="標楷體" w:hAnsi="標楷體" w:cs="Times New Roman" w:hint="eastAsia"/>
                <w:bCs/>
                <w:szCs w:val="24"/>
              </w:rPr>
              <w:t>具能源供應專業之國營事業者，得自行依國際金融市場慣例之綠色債券原則出具符合綠色投資計畫之評估意見。</w:t>
            </w:r>
          </w:p>
          <w:p w14:paraId="73F00DBA" w14:textId="77777777" w:rsidR="00086641" w:rsidRDefault="00086641" w:rsidP="00011E70">
            <w:pPr>
              <w:ind w:firstLineChars="200" w:firstLine="480"/>
              <w:jc w:val="both"/>
              <w:rPr>
                <w:rFonts w:ascii="標楷體" w:eastAsia="標楷體" w:hAnsi="標楷體" w:cs="Times New Roman"/>
                <w:bCs/>
                <w:szCs w:val="24"/>
              </w:rPr>
            </w:pPr>
          </w:p>
          <w:p w14:paraId="7CE344AD" w14:textId="77777777" w:rsidR="00086641" w:rsidRDefault="00086641" w:rsidP="00011E70">
            <w:pPr>
              <w:ind w:firstLineChars="200" w:firstLine="480"/>
              <w:jc w:val="both"/>
              <w:rPr>
                <w:rFonts w:ascii="標楷體" w:eastAsia="標楷體" w:hAnsi="標楷體" w:cs="Times New Roman"/>
                <w:bCs/>
                <w:szCs w:val="24"/>
              </w:rPr>
            </w:pPr>
          </w:p>
          <w:p w14:paraId="19D49651" w14:textId="5B4B9014" w:rsidR="00011E70" w:rsidRDefault="00011E70" w:rsidP="00011E70">
            <w:pPr>
              <w:ind w:firstLineChars="200" w:firstLine="480"/>
              <w:jc w:val="both"/>
              <w:rPr>
                <w:rFonts w:ascii="標楷體" w:eastAsia="標楷體" w:hAnsi="標楷體" w:cs="Times New Roman"/>
                <w:bCs/>
                <w:szCs w:val="24"/>
              </w:rPr>
            </w:pPr>
            <w:r w:rsidRPr="00011E70">
              <w:rPr>
                <w:rFonts w:ascii="標楷體" w:eastAsia="標楷體" w:hAnsi="標楷體" w:cs="Times New Roman" w:hint="eastAsia"/>
                <w:bCs/>
                <w:szCs w:val="24"/>
              </w:rPr>
              <w:t>發行人依前條第一項第三款申請認可者，不適用前項但書規定。</w:t>
            </w:r>
          </w:p>
          <w:p w14:paraId="68951BB9" w14:textId="0B975B6C" w:rsidR="00011E70" w:rsidRPr="003229BB" w:rsidRDefault="00011E70" w:rsidP="00011E70">
            <w:pPr>
              <w:ind w:firstLineChars="200" w:firstLine="480"/>
              <w:jc w:val="both"/>
              <w:rPr>
                <w:rFonts w:ascii="標楷體" w:eastAsia="標楷體" w:hAnsi="標楷體" w:cs="Times New Roman"/>
                <w:bCs/>
                <w:szCs w:val="24"/>
              </w:rPr>
            </w:pPr>
            <w:r w:rsidRPr="00011E70">
              <w:rPr>
                <w:rFonts w:ascii="標楷體" w:eastAsia="標楷體" w:hAnsi="標楷體" w:cs="Times New Roman" w:hint="eastAsia"/>
                <w:bCs/>
                <w:szCs w:val="24"/>
              </w:rPr>
              <w:t>本作業要點所稱具能源供應專業者，係指能源管理法第四條規定之能源供應事業。</w:t>
            </w:r>
          </w:p>
        </w:tc>
        <w:tc>
          <w:tcPr>
            <w:tcW w:w="2772" w:type="dxa"/>
          </w:tcPr>
          <w:p w14:paraId="3B556DCF" w14:textId="2A091805" w:rsidR="00011E70" w:rsidRPr="00011E70" w:rsidRDefault="002B7C14" w:rsidP="00011E70">
            <w:pPr>
              <w:jc w:val="both"/>
              <w:rPr>
                <w:rFonts w:ascii="標楷體" w:eastAsia="標楷體" w:hAnsi="標楷體" w:cs="Times New Roman"/>
                <w:bCs/>
                <w:szCs w:val="24"/>
              </w:rPr>
            </w:pPr>
            <w:r>
              <w:rPr>
                <w:rFonts w:ascii="標楷體" w:eastAsia="標楷體" w:hAnsi="標楷體" w:cs="Times New Roman" w:hint="eastAsia"/>
                <w:bCs/>
                <w:szCs w:val="24"/>
              </w:rPr>
              <w:lastRenderedPageBreak/>
              <w:t>考量</w:t>
            </w:r>
            <w:r w:rsidR="00155D2C">
              <w:rPr>
                <w:rFonts w:ascii="標楷體" w:eastAsia="標楷體" w:hAnsi="標楷體" w:cs="Times New Roman" w:hint="eastAsia"/>
                <w:bCs/>
                <w:szCs w:val="24"/>
              </w:rPr>
              <w:t>第四條修正放寬</w:t>
            </w:r>
            <w:r w:rsidRPr="002B7C14">
              <w:rPr>
                <w:rFonts w:ascii="標楷體" w:eastAsia="標楷體" w:hAnsi="標楷體" w:cs="Times New Roman" w:hint="eastAsia"/>
                <w:bCs/>
                <w:szCs w:val="24"/>
              </w:rPr>
              <w:t>本國銀行及外國銀行在</w:t>
            </w:r>
            <w:r w:rsidR="00155D2C">
              <w:rPr>
                <w:rFonts w:ascii="標楷體" w:eastAsia="標楷體" w:hAnsi="標楷體" w:cs="Times New Roman" w:hint="eastAsia"/>
                <w:bCs/>
                <w:szCs w:val="24"/>
              </w:rPr>
              <w:t>臺</w:t>
            </w:r>
            <w:r w:rsidRPr="002B7C14">
              <w:rPr>
                <w:rFonts w:ascii="標楷體" w:eastAsia="標楷體" w:hAnsi="標楷體" w:cs="Times New Roman" w:hint="eastAsia"/>
                <w:bCs/>
                <w:szCs w:val="24"/>
              </w:rPr>
              <w:t>分行</w:t>
            </w:r>
            <w:r w:rsidR="00B21773" w:rsidRPr="00B21773">
              <w:rPr>
                <w:rFonts w:ascii="標楷體" w:eastAsia="標楷體" w:hAnsi="標楷體" w:cs="Times New Roman" w:hint="eastAsia"/>
                <w:bCs/>
                <w:szCs w:val="24"/>
              </w:rPr>
              <w:t>綠色債券</w:t>
            </w:r>
            <w:r w:rsidR="00155D2C">
              <w:rPr>
                <w:rFonts w:ascii="標楷體" w:eastAsia="標楷體" w:hAnsi="標楷體" w:cs="Times New Roman" w:hint="eastAsia"/>
                <w:bCs/>
                <w:szCs w:val="24"/>
              </w:rPr>
              <w:t>之</w:t>
            </w:r>
            <w:r w:rsidR="00B21773" w:rsidRPr="00B21773">
              <w:rPr>
                <w:rFonts w:ascii="標楷體" w:eastAsia="標楷體" w:hAnsi="標楷體" w:cs="Times New Roman" w:hint="eastAsia"/>
                <w:bCs/>
                <w:szCs w:val="24"/>
              </w:rPr>
              <w:t>資金用途</w:t>
            </w:r>
            <w:r w:rsidR="00B21773">
              <w:rPr>
                <w:rFonts w:ascii="標楷體" w:eastAsia="標楷體" w:hAnsi="標楷體" w:cs="Times New Roman" w:hint="eastAsia"/>
                <w:bCs/>
                <w:szCs w:val="24"/>
              </w:rPr>
              <w:t>，</w:t>
            </w:r>
            <w:r w:rsidR="0059599A">
              <w:rPr>
                <w:rFonts w:ascii="標楷體" w:eastAsia="標楷體" w:hAnsi="標楷體" w:cs="Times New Roman" w:hint="eastAsia"/>
                <w:bCs/>
                <w:szCs w:val="24"/>
              </w:rPr>
              <w:t>其</w:t>
            </w:r>
            <w:r w:rsidR="00C85291">
              <w:rPr>
                <w:rFonts w:ascii="標楷體" w:eastAsia="標楷體" w:hAnsi="標楷體" w:cs="Times New Roman" w:hint="eastAsia"/>
                <w:bCs/>
                <w:szCs w:val="24"/>
              </w:rPr>
              <w:t>所募集之資金</w:t>
            </w:r>
            <w:r>
              <w:rPr>
                <w:rFonts w:ascii="標楷體" w:eastAsia="標楷體" w:hAnsi="標楷體" w:cs="Times New Roman" w:hint="eastAsia"/>
                <w:bCs/>
                <w:szCs w:val="24"/>
              </w:rPr>
              <w:t>可能</w:t>
            </w:r>
            <w:r w:rsidR="00C85291" w:rsidRPr="00C85291">
              <w:rPr>
                <w:rFonts w:ascii="標楷體" w:eastAsia="標楷體" w:hAnsi="標楷體" w:cs="Times New Roman" w:hint="eastAsia"/>
                <w:bCs/>
                <w:szCs w:val="24"/>
              </w:rPr>
              <w:t>直接參與或申請綠色投資計畫，</w:t>
            </w:r>
            <w:r>
              <w:rPr>
                <w:rFonts w:ascii="標楷體" w:eastAsia="標楷體" w:hAnsi="標楷體" w:cs="Times New Roman" w:hint="eastAsia"/>
                <w:bCs/>
                <w:szCs w:val="24"/>
              </w:rPr>
              <w:t>故明</w:t>
            </w:r>
            <w:r w:rsidR="00155D2C">
              <w:rPr>
                <w:rFonts w:ascii="標楷體" w:eastAsia="標楷體" w:hAnsi="標楷體" w:cs="Times New Roman" w:hint="eastAsia"/>
                <w:bCs/>
                <w:szCs w:val="24"/>
              </w:rPr>
              <w:t>定</w:t>
            </w:r>
            <w:r w:rsidR="0059599A">
              <w:rPr>
                <w:rFonts w:ascii="標楷體" w:eastAsia="標楷體" w:hAnsi="標楷體" w:cs="Times New Roman" w:hint="eastAsia"/>
                <w:bCs/>
                <w:szCs w:val="24"/>
              </w:rPr>
              <w:t>若</w:t>
            </w:r>
            <w:r>
              <w:rPr>
                <w:rFonts w:ascii="標楷體" w:eastAsia="標楷體" w:hAnsi="標楷體" w:cs="Times New Roman" w:hint="eastAsia"/>
                <w:bCs/>
                <w:szCs w:val="24"/>
              </w:rPr>
              <w:t>資金用途</w:t>
            </w:r>
            <w:r w:rsidRPr="002B7C14">
              <w:rPr>
                <w:rFonts w:ascii="標楷體" w:eastAsia="標楷體" w:hAnsi="標楷體" w:cs="Times New Roman" w:hint="eastAsia"/>
                <w:bCs/>
                <w:szCs w:val="24"/>
              </w:rPr>
              <w:t>全部用於綠色投資計畫之放款</w:t>
            </w:r>
            <w:r>
              <w:rPr>
                <w:rFonts w:ascii="標楷體" w:eastAsia="標楷體" w:hAnsi="標楷體" w:cs="Times New Roman" w:hint="eastAsia"/>
                <w:bCs/>
                <w:szCs w:val="24"/>
              </w:rPr>
              <w:t>者</w:t>
            </w:r>
            <w:r w:rsidR="00C85291" w:rsidRPr="00C85291">
              <w:rPr>
                <w:rFonts w:ascii="標楷體" w:eastAsia="標楷體" w:hAnsi="標楷體" w:cs="Times New Roman" w:hint="eastAsia"/>
                <w:bCs/>
                <w:szCs w:val="24"/>
              </w:rPr>
              <w:t>，</w:t>
            </w:r>
            <w:r>
              <w:rPr>
                <w:rFonts w:ascii="標楷體" w:eastAsia="標楷體" w:hAnsi="標楷體" w:cs="Times New Roman" w:hint="eastAsia"/>
                <w:bCs/>
                <w:szCs w:val="24"/>
              </w:rPr>
              <w:t>得</w:t>
            </w:r>
            <w:r w:rsidR="00C85291" w:rsidRPr="00C85291">
              <w:rPr>
                <w:rFonts w:ascii="標楷體" w:eastAsia="標楷體" w:hAnsi="標楷體" w:cs="Times New Roman" w:hint="eastAsia"/>
                <w:bCs/>
                <w:szCs w:val="24"/>
              </w:rPr>
              <w:t>自行評估其綠色投資計畫並出具評估意見</w:t>
            </w:r>
            <w:r w:rsidR="00BB0787">
              <w:rPr>
                <w:rFonts w:ascii="標楷體" w:eastAsia="標楷體" w:hAnsi="標楷體" w:cs="Times New Roman" w:hint="eastAsia"/>
                <w:bCs/>
                <w:szCs w:val="24"/>
              </w:rPr>
              <w:t>，</w:t>
            </w:r>
            <w:r w:rsidR="00EE7E00" w:rsidRPr="003229BB">
              <w:rPr>
                <w:rFonts w:ascii="標楷體" w:eastAsia="標楷體" w:hAnsi="標楷體" w:cs="Times New Roman" w:hint="eastAsia"/>
                <w:bCs/>
                <w:szCs w:val="24"/>
              </w:rPr>
              <w:t>爰</w:t>
            </w:r>
            <w:r w:rsidR="00EE7E00">
              <w:rPr>
                <w:rFonts w:ascii="標楷體" w:eastAsia="標楷體" w:hAnsi="標楷體" w:cs="Times New Roman" w:hint="eastAsia"/>
                <w:bCs/>
                <w:szCs w:val="24"/>
              </w:rPr>
              <w:t>修</w:t>
            </w:r>
            <w:r w:rsidR="00155D2C">
              <w:rPr>
                <w:rFonts w:ascii="標楷體" w:eastAsia="標楷體" w:hAnsi="標楷體" w:cs="Times New Roman" w:hint="eastAsia"/>
                <w:bCs/>
                <w:szCs w:val="24"/>
              </w:rPr>
              <w:t>正</w:t>
            </w:r>
            <w:r w:rsidR="00EE7E00" w:rsidRPr="003229BB">
              <w:rPr>
                <w:rFonts w:ascii="標楷體" w:eastAsia="標楷體" w:hAnsi="標楷體" w:cs="Times New Roman" w:hint="eastAsia"/>
                <w:bCs/>
                <w:szCs w:val="24"/>
              </w:rPr>
              <w:t>第</w:t>
            </w:r>
            <w:r w:rsidR="00EE7E00">
              <w:rPr>
                <w:rFonts w:ascii="標楷體" w:eastAsia="標楷體" w:hAnsi="標楷體" w:cs="Times New Roman" w:hint="eastAsia"/>
                <w:bCs/>
                <w:szCs w:val="24"/>
              </w:rPr>
              <w:t>二項</w:t>
            </w:r>
            <w:r w:rsidR="00EE7E00" w:rsidRPr="003229BB">
              <w:rPr>
                <w:rFonts w:ascii="標楷體" w:eastAsia="標楷體" w:hAnsi="標楷體" w:cs="Times New Roman" w:hint="eastAsia"/>
                <w:bCs/>
                <w:szCs w:val="24"/>
              </w:rPr>
              <w:t>規定。</w:t>
            </w:r>
          </w:p>
        </w:tc>
      </w:tr>
    </w:tbl>
    <w:p w14:paraId="1742986A" w14:textId="77777777" w:rsidR="003014F4" w:rsidRPr="00B369FE" w:rsidRDefault="003014F4" w:rsidP="001557EF">
      <w:pPr>
        <w:jc w:val="both"/>
        <w:rPr>
          <w:rFonts w:ascii="標楷體" w:eastAsia="標楷體" w:hAnsi="標楷體"/>
          <w:szCs w:val="24"/>
        </w:rPr>
      </w:pPr>
    </w:p>
    <w:p w14:paraId="70DDE715" w14:textId="77777777" w:rsidR="00F00891" w:rsidRPr="00B369FE" w:rsidRDefault="00F00891" w:rsidP="001557EF">
      <w:pPr>
        <w:jc w:val="both"/>
        <w:rPr>
          <w:rFonts w:ascii="標楷體" w:eastAsia="標楷體" w:hAnsi="標楷體"/>
          <w:szCs w:val="24"/>
        </w:rPr>
      </w:pPr>
    </w:p>
    <w:p w14:paraId="0BF702E6" w14:textId="77777777" w:rsidR="00A273C7" w:rsidRPr="00B369FE" w:rsidRDefault="00A273C7"/>
    <w:sectPr w:rsidR="00A273C7" w:rsidRPr="00B369FE" w:rsidSect="003017B5">
      <w:footerReference w:type="default" r:id="rId8"/>
      <w:pgSz w:w="11906" w:h="16838"/>
      <w:pgMar w:top="1134" w:right="1800" w:bottom="709" w:left="1800" w:header="851" w:footer="61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E6FF1" w14:textId="77777777" w:rsidR="0073597F" w:rsidRDefault="0073597F" w:rsidP="003014F4">
      <w:r>
        <w:separator/>
      </w:r>
    </w:p>
  </w:endnote>
  <w:endnote w:type="continuationSeparator" w:id="0">
    <w:p w14:paraId="62C0ED19" w14:textId="77777777" w:rsidR="0073597F" w:rsidRDefault="0073597F" w:rsidP="0030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3523"/>
      <w:docPartObj>
        <w:docPartGallery w:val="Page Numbers (Bottom of Page)"/>
        <w:docPartUnique/>
      </w:docPartObj>
    </w:sdtPr>
    <w:sdtEndPr/>
    <w:sdtContent>
      <w:p w14:paraId="18DF58FF" w14:textId="77777777" w:rsidR="003017B5" w:rsidRDefault="003017B5">
        <w:pPr>
          <w:pStyle w:val="a6"/>
          <w:jc w:val="center"/>
        </w:pPr>
        <w:r>
          <w:fldChar w:fldCharType="begin"/>
        </w:r>
        <w:r>
          <w:instrText>PAGE   \* MERGEFORMAT</w:instrText>
        </w:r>
        <w:r>
          <w:fldChar w:fldCharType="separate"/>
        </w:r>
        <w:r w:rsidR="002278A6" w:rsidRPr="002278A6">
          <w:rPr>
            <w:noProof/>
            <w:lang w:val="zh-TW"/>
          </w:rPr>
          <w:t>5</w:t>
        </w:r>
        <w:r>
          <w:fldChar w:fldCharType="end"/>
        </w:r>
      </w:p>
    </w:sdtContent>
  </w:sdt>
  <w:p w14:paraId="4B65DFB7" w14:textId="77777777" w:rsidR="00AB12CC" w:rsidRDefault="00AB12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57CB8" w14:textId="77777777" w:rsidR="0073597F" w:rsidRDefault="0073597F" w:rsidP="003014F4">
      <w:r>
        <w:separator/>
      </w:r>
    </w:p>
  </w:footnote>
  <w:footnote w:type="continuationSeparator" w:id="0">
    <w:p w14:paraId="70775FC5" w14:textId="77777777" w:rsidR="0073597F" w:rsidRDefault="0073597F" w:rsidP="0030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004F"/>
    <w:multiLevelType w:val="hybridMultilevel"/>
    <w:tmpl w:val="04E2CD1A"/>
    <w:lvl w:ilvl="0" w:tplc="AF6AF8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FE421A"/>
    <w:multiLevelType w:val="hybridMultilevel"/>
    <w:tmpl w:val="D5BE9774"/>
    <w:lvl w:ilvl="0" w:tplc="1E0E7E8A">
      <w:start w:val="1"/>
      <w:numFmt w:val="taiwaneseCountingThousand"/>
      <w:lvlText w:val="%1、"/>
      <w:lvlJc w:val="left"/>
      <w:pPr>
        <w:ind w:left="886" w:hanging="360"/>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 w15:restartNumberingAfterBreak="0">
    <w:nsid w:val="081E285A"/>
    <w:multiLevelType w:val="hybridMultilevel"/>
    <w:tmpl w:val="C296A2D8"/>
    <w:lvl w:ilvl="0" w:tplc="C65E8974">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006383"/>
    <w:multiLevelType w:val="hybridMultilevel"/>
    <w:tmpl w:val="90DE2846"/>
    <w:lvl w:ilvl="0" w:tplc="9314CE7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D3450"/>
    <w:multiLevelType w:val="hybridMultilevel"/>
    <w:tmpl w:val="9AA40FFE"/>
    <w:lvl w:ilvl="0" w:tplc="D2885314">
      <w:start w:val="1"/>
      <w:numFmt w:val="taiwaneseCountingThousand"/>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B24AD"/>
    <w:multiLevelType w:val="hybridMultilevel"/>
    <w:tmpl w:val="85E6619E"/>
    <w:lvl w:ilvl="0" w:tplc="5BD437CE">
      <w:start w:val="1"/>
      <w:numFmt w:val="taiwaneseCountingThousand"/>
      <w:suff w:val="nothing"/>
      <w:lvlText w:val="%1、"/>
      <w:lvlJc w:val="left"/>
      <w:pPr>
        <w:ind w:left="384" w:hanging="38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2166C9"/>
    <w:multiLevelType w:val="hybridMultilevel"/>
    <w:tmpl w:val="FB545EB2"/>
    <w:lvl w:ilvl="0" w:tplc="E91C714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A00DE4"/>
    <w:multiLevelType w:val="hybridMultilevel"/>
    <w:tmpl w:val="66C88410"/>
    <w:lvl w:ilvl="0" w:tplc="2F72B280">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B416B6"/>
    <w:multiLevelType w:val="hybridMultilevel"/>
    <w:tmpl w:val="3DFA29C2"/>
    <w:lvl w:ilvl="0" w:tplc="9FB0CF2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6543BD"/>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7F2BB6"/>
    <w:multiLevelType w:val="hybridMultilevel"/>
    <w:tmpl w:val="5E58B5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5159D8"/>
    <w:multiLevelType w:val="hybridMultilevel"/>
    <w:tmpl w:val="18F27A8C"/>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C67827"/>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5E0089"/>
    <w:multiLevelType w:val="hybridMultilevel"/>
    <w:tmpl w:val="91D04A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A419A7"/>
    <w:multiLevelType w:val="hybridMultilevel"/>
    <w:tmpl w:val="B67678B4"/>
    <w:lvl w:ilvl="0" w:tplc="042EA2D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4D394C"/>
    <w:multiLevelType w:val="hybridMultilevel"/>
    <w:tmpl w:val="EB70AC7A"/>
    <w:lvl w:ilvl="0" w:tplc="04090015">
      <w:start w:val="1"/>
      <w:numFmt w:val="taiwaneseCountingThousand"/>
      <w:lvlText w:val="%1、"/>
      <w:lvlJc w:val="left"/>
      <w:pPr>
        <w:ind w:left="480" w:hanging="480"/>
      </w:pPr>
    </w:lvl>
    <w:lvl w:ilvl="1" w:tplc="202A531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9EF018C"/>
    <w:multiLevelType w:val="hybridMultilevel"/>
    <w:tmpl w:val="C0701284"/>
    <w:lvl w:ilvl="0" w:tplc="145E9CEE">
      <w:start w:val="1"/>
      <w:numFmt w:val="taiwaneseCountingThousand"/>
      <w:lvlText w:val="%1、"/>
      <w:lvlJc w:val="left"/>
      <w:pPr>
        <w:ind w:left="1048"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CD6B7E"/>
    <w:multiLevelType w:val="hybridMultilevel"/>
    <w:tmpl w:val="F4C6D024"/>
    <w:lvl w:ilvl="0" w:tplc="73C0F7B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05475D"/>
    <w:multiLevelType w:val="hybridMultilevel"/>
    <w:tmpl w:val="F4C6D024"/>
    <w:lvl w:ilvl="0" w:tplc="73C0F7B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623F0F"/>
    <w:multiLevelType w:val="hybridMultilevel"/>
    <w:tmpl w:val="D8C82CEC"/>
    <w:lvl w:ilvl="0" w:tplc="BEE630D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8C13C7"/>
    <w:multiLevelType w:val="hybridMultilevel"/>
    <w:tmpl w:val="C7EE9D68"/>
    <w:lvl w:ilvl="0" w:tplc="91804A4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FB3F70"/>
    <w:multiLevelType w:val="hybridMultilevel"/>
    <w:tmpl w:val="AE3E03DE"/>
    <w:lvl w:ilvl="0" w:tplc="22EE49C0">
      <w:start w:val="1"/>
      <w:numFmt w:val="taiwaneseCountingThousand"/>
      <w:suff w:val="nothing"/>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F53954"/>
    <w:multiLevelType w:val="hybridMultilevel"/>
    <w:tmpl w:val="A5925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3D07FE6"/>
    <w:multiLevelType w:val="hybridMultilevel"/>
    <w:tmpl w:val="CDFA7E66"/>
    <w:lvl w:ilvl="0" w:tplc="7C0699F0">
      <w:start w:val="1"/>
      <w:numFmt w:val="taiwaneseCountingThousand"/>
      <w:lvlText w:val="%1、"/>
      <w:lvlJc w:val="left"/>
      <w:pPr>
        <w:ind w:left="1048"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206C87"/>
    <w:multiLevelType w:val="hybridMultilevel"/>
    <w:tmpl w:val="A5925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F20186"/>
    <w:multiLevelType w:val="hybridMultilevel"/>
    <w:tmpl w:val="B8C00EAE"/>
    <w:lvl w:ilvl="0" w:tplc="8098C91C">
      <w:start w:val="1"/>
      <w:numFmt w:val="taiwaneseCountingThousand"/>
      <w:lvlText w:val="%1、"/>
      <w:lvlJc w:val="left"/>
      <w:pPr>
        <w:ind w:left="862" w:hanging="408"/>
      </w:pPr>
      <w:rPr>
        <w:rFonts w:hint="default"/>
        <w:color w:val="auto"/>
        <w:u w:val="single"/>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6" w15:restartNumberingAfterBreak="0">
    <w:nsid w:val="3CF075BD"/>
    <w:multiLevelType w:val="hybridMultilevel"/>
    <w:tmpl w:val="3E9C3DCC"/>
    <w:lvl w:ilvl="0" w:tplc="03C286DC">
      <w:start w:val="1"/>
      <w:numFmt w:val="taiwaneseCountingThousand"/>
      <w:lvlText w:val="%1、"/>
      <w:lvlJc w:val="left"/>
      <w:pPr>
        <w:ind w:left="1030" w:hanging="504"/>
      </w:pPr>
      <w:rPr>
        <w:rFonts w:hint="default"/>
      </w:rPr>
    </w:lvl>
    <w:lvl w:ilvl="1" w:tplc="04090019" w:tentative="1">
      <w:start w:val="1"/>
      <w:numFmt w:val="ideographTraditional"/>
      <w:lvlText w:val="%2、"/>
      <w:lvlJc w:val="left"/>
      <w:pPr>
        <w:ind w:left="1486" w:hanging="480"/>
      </w:pPr>
    </w:lvl>
    <w:lvl w:ilvl="2" w:tplc="0409001B" w:tentative="1">
      <w:start w:val="1"/>
      <w:numFmt w:val="lowerRoman"/>
      <w:lvlText w:val="%3."/>
      <w:lvlJc w:val="right"/>
      <w:pPr>
        <w:ind w:left="1966" w:hanging="480"/>
      </w:pPr>
    </w:lvl>
    <w:lvl w:ilvl="3" w:tplc="0409000F" w:tentative="1">
      <w:start w:val="1"/>
      <w:numFmt w:val="decimal"/>
      <w:lvlText w:val="%4."/>
      <w:lvlJc w:val="left"/>
      <w:pPr>
        <w:ind w:left="2446" w:hanging="480"/>
      </w:pPr>
    </w:lvl>
    <w:lvl w:ilvl="4" w:tplc="04090019" w:tentative="1">
      <w:start w:val="1"/>
      <w:numFmt w:val="ideographTraditional"/>
      <w:lvlText w:val="%5、"/>
      <w:lvlJc w:val="left"/>
      <w:pPr>
        <w:ind w:left="2926" w:hanging="480"/>
      </w:pPr>
    </w:lvl>
    <w:lvl w:ilvl="5" w:tplc="0409001B" w:tentative="1">
      <w:start w:val="1"/>
      <w:numFmt w:val="lowerRoman"/>
      <w:lvlText w:val="%6."/>
      <w:lvlJc w:val="right"/>
      <w:pPr>
        <w:ind w:left="3406" w:hanging="480"/>
      </w:pPr>
    </w:lvl>
    <w:lvl w:ilvl="6" w:tplc="0409000F" w:tentative="1">
      <w:start w:val="1"/>
      <w:numFmt w:val="decimal"/>
      <w:lvlText w:val="%7."/>
      <w:lvlJc w:val="left"/>
      <w:pPr>
        <w:ind w:left="3886" w:hanging="480"/>
      </w:pPr>
    </w:lvl>
    <w:lvl w:ilvl="7" w:tplc="04090019" w:tentative="1">
      <w:start w:val="1"/>
      <w:numFmt w:val="ideographTraditional"/>
      <w:lvlText w:val="%8、"/>
      <w:lvlJc w:val="left"/>
      <w:pPr>
        <w:ind w:left="4366" w:hanging="480"/>
      </w:pPr>
    </w:lvl>
    <w:lvl w:ilvl="8" w:tplc="0409001B" w:tentative="1">
      <w:start w:val="1"/>
      <w:numFmt w:val="lowerRoman"/>
      <w:lvlText w:val="%9."/>
      <w:lvlJc w:val="right"/>
      <w:pPr>
        <w:ind w:left="4846" w:hanging="480"/>
      </w:pPr>
    </w:lvl>
  </w:abstractNum>
  <w:abstractNum w:abstractNumId="27" w15:restartNumberingAfterBreak="0">
    <w:nsid w:val="428E785A"/>
    <w:multiLevelType w:val="hybridMultilevel"/>
    <w:tmpl w:val="F4C6D024"/>
    <w:lvl w:ilvl="0" w:tplc="73C0F7B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54351D4"/>
    <w:multiLevelType w:val="hybridMultilevel"/>
    <w:tmpl w:val="F12CBC74"/>
    <w:lvl w:ilvl="0" w:tplc="B9E87E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8A77B0A"/>
    <w:multiLevelType w:val="hybridMultilevel"/>
    <w:tmpl w:val="CA34A8F4"/>
    <w:lvl w:ilvl="0" w:tplc="B5E6C234">
      <w:start w:val="1"/>
      <w:numFmt w:val="taiwaneseCountingThousand"/>
      <w:lvlText w:val="%1、"/>
      <w:lvlJc w:val="left"/>
      <w:pPr>
        <w:ind w:left="408" w:hanging="408"/>
      </w:pPr>
      <w:rPr>
        <w:rFonts w:cs="細明體" w:hint="default"/>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A420ADC"/>
    <w:multiLevelType w:val="hybridMultilevel"/>
    <w:tmpl w:val="91D04A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176622"/>
    <w:multiLevelType w:val="hybridMultilevel"/>
    <w:tmpl w:val="D9AC581C"/>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EC3799"/>
    <w:multiLevelType w:val="hybridMultilevel"/>
    <w:tmpl w:val="6BBA2D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0941524"/>
    <w:multiLevelType w:val="hybridMultilevel"/>
    <w:tmpl w:val="F4C6D024"/>
    <w:lvl w:ilvl="0" w:tplc="73C0F7B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0F168BD"/>
    <w:multiLevelType w:val="hybridMultilevel"/>
    <w:tmpl w:val="96A0E496"/>
    <w:lvl w:ilvl="0" w:tplc="319A2862">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166CB7"/>
    <w:multiLevelType w:val="hybridMultilevel"/>
    <w:tmpl w:val="A5925F3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996183"/>
    <w:multiLevelType w:val="hybridMultilevel"/>
    <w:tmpl w:val="758AB0B4"/>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DE08CE"/>
    <w:multiLevelType w:val="hybridMultilevel"/>
    <w:tmpl w:val="EF648678"/>
    <w:lvl w:ilvl="0" w:tplc="A3F0C08A">
      <w:start w:val="1"/>
      <w:numFmt w:val="taiwaneseCountingThousand"/>
      <w:lvlText w:val="%1、"/>
      <w:lvlJc w:val="left"/>
      <w:pPr>
        <w:ind w:left="396" w:hanging="396"/>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A72A06"/>
    <w:multiLevelType w:val="hybridMultilevel"/>
    <w:tmpl w:val="BACA6FEC"/>
    <w:lvl w:ilvl="0" w:tplc="442CDD3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1E465E"/>
    <w:multiLevelType w:val="hybridMultilevel"/>
    <w:tmpl w:val="74B01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ED14A2D"/>
    <w:multiLevelType w:val="hybridMultilevel"/>
    <w:tmpl w:val="FB64D346"/>
    <w:lvl w:ilvl="0" w:tplc="9F287392">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283779"/>
    <w:multiLevelType w:val="hybridMultilevel"/>
    <w:tmpl w:val="74B01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12429B"/>
    <w:multiLevelType w:val="hybridMultilevel"/>
    <w:tmpl w:val="FC1EB5F0"/>
    <w:lvl w:ilvl="0" w:tplc="11FE9E4E">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7E05264"/>
    <w:multiLevelType w:val="hybridMultilevel"/>
    <w:tmpl w:val="059804CA"/>
    <w:lvl w:ilvl="0" w:tplc="FCD8ACC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206CEE"/>
    <w:multiLevelType w:val="hybridMultilevel"/>
    <w:tmpl w:val="D1D800E8"/>
    <w:lvl w:ilvl="0" w:tplc="89FE59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66395B"/>
    <w:multiLevelType w:val="hybridMultilevel"/>
    <w:tmpl w:val="390CF7F4"/>
    <w:lvl w:ilvl="0" w:tplc="289EAC22">
      <w:start w:val="1"/>
      <w:numFmt w:val="taiwaneseCountingThousand"/>
      <w:lvlText w:val="%1、"/>
      <w:lvlJc w:val="left"/>
      <w:pPr>
        <w:ind w:left="1027" w:hanging="504"/>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6" w15:restartNumberingAfterBreak="0">
    <w:nsid w:val="7328239E"/>
    <w:multiLevelType w:val="hybridMultilevel"/>
    <w:tmpl w:val="74B010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47C1C56"/>
    <w:multiLevelType w:val="hybridMultilevel"/>
    <w:tmpl w:val="6DA237B8"/>
    <w:lvl w:ilvl="0" w:tplc="343EBD6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7821B3E"/>
    <w:multiLevelType w:val="hybridMultilevel"/>
    <w:tmpl w:val="6DA237B8"/>
    <w:lvl w:ilvl="0" w:tplc="343EBD66">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1E1F87"/>
    <w:multiLevelType w:val="hybridMultilevel"/>
    <w:tmpl w:val="943097E0"/>
    <w:lvl w:ilvl="0" w:tplc="FCD8ACCA">
      <w:start w:val="1"/>
      <w:numFmt w:val="taiwaneseCountingThousand"/>
      <w:lvlText w:val="%1、"/>
      <w:lvlJc w:val="left"/>
      <w:pPr>
        <w:ind w:left="396" w:hanging="396"/>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1"/>
  </w:num>
  <w:num w:numId="3">
    <w:abstractNumId w:val="26"/>
  </w:num>
  <w:num w:numId="4">
    <w:abstractNumId w:val="25"/>
  </w:num>
  <w:num w:numId="5">
    <w:abstractNumId w:val="49"/>
  </w:num>
  <w:num w:numId="6">
    <w:abstractNumId w:val="37"/>
  </w:num>
  <w:num w:numId="7">
    <w:abstractNumId w:val="11"/>
  </w:num>
  <w:num w:numId="8">
    <w:abstractNumId w:val="36"/>
  </w:num>
  <w:num w:numId="9">
    <w:abstractNumId w:val="28"/>
  </w:num>
  <w:num w:numId="10">
    <w:abstractNumId w:val="31"/>
  </w:num>
  <w:num w:numId="11">
    <w:abstractNumId w:val="43"/>
  </w:num>
  <w:num w:numId="12">
    <w:abstractNumId w:val="7"/>
  </w:num>
  <w:num w:numId="13">
    <w:abstractNumId w:val="6"/>
  </w:num>
  <w:num w:numId="14">
    <w:abstractNumId w:val="34"/>
  </w:num>
  <w:num w:numId="15">
    <w:abstractNumId w:val="47"/>
  </w:num>
  <w:num w:numId="16">
    <w:abstractNumId w:val="2"/>
  </w:num>
  <w:num w:numId="17">
    <w:abstractNumId w:val="48"/>
  </w:num>
  <w:num w:numId="18">
    <w:abstractNumId w:val="38"/>
  </w:num>
  <w:num w:numId="19">
    <w:abstractNumId w:val="16"/>
  </w:num>
  <w:num w:numId="20">
    <w:abstractNumId w:val="12"/>
  </w:num>
  <w:num w:numId="21">
    <w:abstractNumId w:val="23"/>
  </w:num>
  <w:num w:numId="22">
    <w:abstractNumId w:val="4"/>
  </w:num>
  <w:num w:numId="23">
    <w:abstractNumId w:val="42"/>
  </w:num>
  <w:num w:numId="24">
    <w:abstractNumId w:val="15"/>
  </w:num>
  <w:num w:numId="25">
    <w:abstractNumId w:val="18"/>
  </w:num>
  <w:num w:numId="26">
    <w:abstractNumId w:val="10"/>
  </w:num>
  <w:num w:numId="27">
    <w:abstractNumId w:val="33"/>
  </w:num>
  <w:num w:numId="28">
    <w:abstractNumId w:val="9"/>
  </w:num>
  <w:num w:numId="29">
    <w:abstractNumId w:val="46"/>
  </w:num>
  <w:num w:numId="30">
    <w:abstractNumId w:val="22"/>
  </w:num>
  <w:num w:numId="31">
    <w:abstractNumId w:val="8"/>
  </w:num>
  <w:num w:numId="32">
    <w:abstractNumId w:val="35"/>
  </w:num>
  <w:num w:numId="33">
    <w:abstractNumId w:val="24"/>
  </w:num>
  <w:num w:numId="34">
    <w:abstractNumId w:val="41"/>
  </w:num>
  <w:num w:numId="35">
    <w:abstractNumId w:val="39"/>
  </w:num>
  <w:num w:numId="36">
    <w:abstractNumId w:val="29"/>
  </w:num>
  <w:num w:numId="37">
    <w:abstractNumId w:val="32"/>
  </w:num>
  <w:num w:numId="38">
    <w:abstractNumId w:val="14"/>
  </w:num>
  <w:num w:numId="39">
    <w:abstractNumId w:val="0"/>
  </w:num>
  <w:num w:numId="40">
    <w:abstractNumId w:val="21"/>
  </w:num>
  <w:num w:numId="41">
    <w:abstractNumId w:val="5"/>
  </w:num>
  <w:num w:numId="42">
    <w:abstractNumId w:val="17"/>
  </w:num>
  <w:num w:numId="43">
    <w:abstractNumId w:val="27"/>
  </w:num>
  <w:num w:numId="44">
    <w:abstractNumId w:val="3"/>
  </w:num>
  <w:num w:numId="45">
    <w:abstractNumId w:val="40"/>
  </w:num>
  <w:num w:numId="46">
    <w:abstractNumId w:val="44"/>
  </w:num>
  <w:num w:numId="47">
    <w:abstractNumId w:val="20"/>
  </w:num>
  <w:num w:numId="48">
    <w:abstractNumId w:val="19"/>
  </w:num>
  <w:num w:numId="49">
    <w:abstractNumId w:val="3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4F4"/>
    <w:rsid w:val="0000539D"/>
    <w:rsid w:val="00011E70"/>
    <w:rsid w:val="00014FDD"/>
    <w:rsid w:val="00023685"/>
    <w:rsid w:val="00023C34"/>
    <w:rsid w:val="0002412C"/>
    <w:rsid w:val="00026949"/>
    <w:rsid w:val="000317B4"/>
    <w:rsid w:val="00034846"/>
    <w:rsid w:val="00041238"/>
    <w:rsid w:val="00047E3D"/>
    <w:rsid w:val="00055701"/>
    <w:rsid w:val="000715B7"/>
    <w:rsid w:val="00075FCA"/>
    <w:rsid w:val="00084C01"/>
    <w:rsid w:val="00086641"/>
    <w:rsid w:val="00087422"/>
    <w:rsid w:val="00087E4D"/>
    <w:rsid w:val="00090E92"/>
    <w:rsid w:val="000913F6"/>
    <w:rsid w:val="00092C45"/>
    <w:rsid w:val="000A1D9B"/>
    <w:rsid w:val="000A3214"/>
    <w:rsid w:val="000A63B2"/>
    <w:rsid w:val="000B3124"/>
    <w:rsid w:val="000B6DE2"/>
    <w:rsid w:val="000C28DF"/>
    <w:rsid w:val="000C3801"/>
    <w:rsid w:val="000C3936"/>
    <w:rsid w:val="000C3BBA"/>
    <w:rsid w:val="000D1507"/>
    <w:rsid w:val="000D2589"/>
    <w:rsid w:val="000D401E"/>
    <w:rsid w:val="000E55E3"/>
    <w:rsid w:val="000E5F16"/>
    <w:rsid w:val="000F0D91"/>
    <w:rsid w:val="000F2F6C"/>
    <w:rsid w:val="000F3449"/>
    <w:rsid w:val="000F76FF"/>
    <w:rsid w:val="00105570"/>
    <w:rsid w:val="00110022"/>
    <w:rsid w:val="00110050"/>
    <w:rsid w:val="001109F2"/>
    <w:rsid w:val="00112526"/>
    <w:rsid w:val="00120C58"/>
    <w:rsid w:val="00125FEA"/>
    <w:rsid w:val="001321FC"/>
    <w:rsid w:val="0013732D"/>
    <w:rsid w:val="0014119B"/>
    <w:rsid w:val="001557EF"/>
    <w:rsid w:val="00155D2C"/>
    <w:rsid w:val="001560DF"/>
    <w:rsid w:val="00156178"/>
    <w:rsid w:val="00157F7B"/>
    <w:rsid w:val="0016227E"/>
    <w:rsid w:val="001635EF"/>
    <w:rsid w:val="0016705B"/>
    <w:rsid w:val="00170774"/>
    <w:rsid w:val="001707BE"/>
    <w:rsid w:val="001716C2"/>
    <w:rsid w:val="00172B6C"/>
    <w:rsid w:val="001738EA"/>
    <w:rsid w:val="00176B58"/>
    <w:rsid w:val="00177BD9"/>
    <w:rsid w:val="00177E43"/>
    <w:rsid w:val="00180BF0"/>
    <w:rsid w:val="00183ED3"/>
    <w:rsid w:val="00196BCA"/>
    <w:rsid w:val="001A126B"/>
    <w:rsid w:val="001A2CFD"/>
    <w:rsid w:val="001B3702"/>
    <w:rsid w:val="001B3791"/>
    <w:rsid w:val="001C4B8D"/>
    <w:rsid w:val="001D05DB"/>
    <w:rsid w:val="001D351B"/>
    <w:rsid w:val="001E348D"/>
    <w:rsid w:val="002010F9"/>
    <w:rsid w:val="00201FEB"/>
    <w:rsid w:val="00213DB2"/>
    <w:rsid w:val="00217B83"/>
    <w:rsid w:val="002230B3"/>
    <w:rsid w:val="00225EEF"/>
    <w:rsid w:val="002269E4"/>
    <w:rsid w:val="002278A6"/>
    <w:rsid w:val="00235585"/>
    <w:rsid w:val="0024446D"/>
    <w:rsid w:val="00265241"/>
    <w:rsid w:val="002655D6"/>
    <w:rsid w:val="00275053"/>
    <w:rsid w:val="00280444"/>
    <w:rsid w:val="0028099B"/>
    <w:rsid w:val="00282BDF"/>
    <w:rsid w:val="00284B26"/>
    <w:rsid w:val="00286238"/>
    <w:rsid w:val="00286F6E"/>
    <w:rsid w:val="0029468B"/>
    <w:rsid w:val="002A1E34"/>
    <w:rsid w:val="002A33D2"/>
    <w:rsid w:val="002A433B"/>
    <w:rsid w:val="002B1421"/>
    <w:rsid w:val="002B2CDD"/>
    <w:rsid w:val="002B62CF"/>
    <w:rsid w:val="002B7C14"/>
    <w:rsid w:val="002C3546"/>
    <w:rsid w:val="002C43AB"/>
    <w:rsid w:val="002C4BF1"/>
    <w:rsid w:val="002C727D"/>
    <w:rsid w:val="002D5E07"/>
    <w:rsid w:val="002D6D00"/>
    <w:rsid w:val="002E65EF"/>
    <w:rsid w:val="002F6097"/>
    <w:rsid w:val="003014F4"/>
    <w:rsid w:val="003017B5"/>
    <w:rsid w:val="003054B3"/>
    <w:rsid w:val="00313918"/>
    <w:rsid w:val="0032214D"/>
    <w:rsid w:val="003229BB"/>
    <w:rsid w:val="00344B4C"/>
    <w:rsid w:val="0035045A"/>
    <w:rsid w:val="003555BB"/>
    <w:rsid w:val="00360C45"/>
    <w:rsid w:val="00360EDC"/>
    <w:rsid w:val="0036371F"/>
    <w:rsid w:val="00373235"/>
    <w:rsid w:val="00381CEA"/>
    <w:rsid w:val="00382A43"/>
    <w:rsid w:val="00383168"/>
    <w:rsid w:val="00385015"/>
    <w:rsid w:val="003859D7"/>
    <w:rsid w:val="00390C79"/>
    <w:rsid w:val="00396E5D"/>
    <w:rsid w:val="003A29CB"/>
    <w:rsid w:val="003A2D84"/>
    <w:rsid w:val="003A6AB8"/>
    <w:rsid w:val="003A79B3"/>
    <w:rsid w:val="003A7AEB"/>
    <w:rsid w:val="003E10F3"/>
    <w:rsid w:val="003E3142"/>
    <w:rsid w:val="003E3E07"/>
    <w:rsid w:val="003E625B"/>
    <w:rsid w:val="003E79EC"/>
    <w:rsid w:val="003F483D"/>
    <w:rsid w:val="003F53DB"/>
    <w:rsid w:val="003F6D6E"/>
    <w:rsid w:val="0040251F"/>
    <w:rsid w:val="00405E2E"/>
    <w:rsid w:val="00415467"/>
    <w:rsid w:val="00420D26"/>
    <w:rsid w:val="00423977"/>
    <w:rsid w:val="00423F07"/>
    <w:rsid w:val="004477DA"/>
    <w:rsid w:val="00453BC6"/>
    <w:rsid w:val="0045410E"/>
    <w:rsid w:val="004658C6"/>
    <w:rsid w:val="004666D3"/>
    <w:rsid w:val="00470102"/>
    <w:rsid w:val="0048178F"/>
    <w:rsid w:val="00482C5D"/>
    <w:rsid w:val="00485F8B"/>
    <w:rsid w:val="00492C4B"/>
    <w:rsid w:val="004A2A33"/>
    <w:rsid w:val="004B3A9C"/>
    <w:rsid w:val="004B47C8"/>
    <w:rsid w:val="004B7991"/>
    <w:rsid w:val="004C5D3E"/>
    <w:rsid w:val="004C6151"/>
    <w:rsid w:val="004D13AA"/>
    <w:rsid w:val="004D2582"/>
    <w:rsid w:val="004E2C0B"/>
    <w:rsid w:val="004E2D90"/>
    <w:rsid w:val="004E59C8"/>
    <w:rsid w:val="004F3652"/>
    <w:rsid w:val="004F43CA"/>
    <w:rsid w:val="004F728D"/>
    <w:rsid w:val="00506894"/>
    <w:rsid w:val="00507B19"/>
    <w:rsid w:val="00507DB3"/>
    <w:rsid w:val="00514E8A"/>
    <w:rsid w:val="00522360"/>
    <w:rsid w:val="00524FB4"/>
    <w:rsid w:val="0052557B"/>
    <w:rsid w:val="005258D5"/>
    <w:rsid w:val="00540121"/>
    <w:rsid w:val="00540E1D"/>
    <w:rsid w:val="00547B01"/>
    <w:rsid w:val="00556A12"/>
    <w:rsid w:val="00556DB7"/>
    <w:rsid w:val="00567720"/>
    <w:rsid w:val="00570D87"/>
    <w:rsid w:val="005711FA"/>
    <w:rsid w:val="00573C19"/>
    <w:rsid w:val="005760F7"/>
    <w:rsid w:val="0058264A"/>
    <w:rsid w:val="005859F0"/>
    <w:rsid w:val="0059026B"/>
    <w:rsid w:val="00592B2E"/>
    <w:rsid w:val="005942A6"/>
    <w:rsid w:val="0059599A"/>
    <w:rsid w:val="005A4694"/>
    <w:rsid w:val="005A4B0C"/>
    <w:rsid w:val="005A681F"/>
    <w:rsid w:val="005B1ACF"/>
    <w:rsid w:val="005B60BB"/>
    <w:rsid w:val="005B7704"/>
    <w:rsid w:val="005C4476"/>
    <w:rsid w:val="005C5A6B"/>
    <w:rsid w:val="005C5B8C"/>
    <w:rsid w:val="005D1679"/>
    <w:rsid w:val="005D1915"/>
    <w:rsid w:val="005D1E6E"/>
    <w:rsid w:val="005D2FA5"/>
    <w:rsid w:val="005D4352"/>
    <w:rsid w:val="005D773C"/>
    <w:rsid w:val="005E0676"/>
    <w:rsid w:val="005E50A7"/>
    <w:rsid w:val="005E590F"/>
    <w:rsid w:val="005E686E"/>
    <w:rsid w:val="005E6D32"/>
    <w:rsid w:val="005F175D"/>
    <w:rsid w:val="006008BD"/>
    <w:rsid w:val="00617F33"/>
    <w:rsid w:val="00635202"/>
    <w:rsid w:val="00646579"/>
    <w:rsid w:val="0064767F"/>
    <w:rsid w:val="0065081C"/>
    <w:rsid w:val="00656B4D"/>
    <w:rsid w:val="00665DB3"/>
    <w:rsid w:val="00665E51"/>
    <w:rsid w:val="00666524"/>
    <w:rsid w:val="0067307F"/>
    <w:rsid w:val="00673606"/>
    <w:rsid w:val="0067539F"/>
    <w:rsid w:val="0068261E"/>
    <w:rsid w:val="00682E5B"/>
    <w:rsid w:val="00692B5F"/>
    <w:rsid w:val="006A523E"/>
    <w:rsid w:val="006A7616"/>
    <w:rsid w:val="006C64EE"/>
    <w:rsid w:val="006D53D0"/>
    <w:rsid w:val="006E1F54"/>
    <w:rsid w:val="006F4E77"/>
    <w:rsid w:val="006F6806"/>
    <w:rsid w:val="00700923"/>
    <w:rsid w:val="0070666D"/>
    <w:rsid w:val="007073C8"/>
    <w:rsid w:val="00711DAF"/>
    <w:rsid w:val="00712ACC"/>
    <w:rsid w:val="00713069"/>
    <w:rsid w:val="00724469"/>
    <w:rsid w:val="00726C48"/>
    <w:rsid w:val="0073597F"/>
    <w:rsid w:val="00741BFE"/>
    <w:rsid w:val="00743215"/>
    <w:rsid w:val="007436B3"/>
    <w:rsid w:val="007469C0"/>
    <w:rsid w:val="00746D5D"/>
    <w:rsid w:val="007506AC"/>
    <w:rsid w:val="0075210B"/>
    <w:rsid w:val="007532D0"/>
    <w:rsid w:val="00754043"/>
    <w:rsid w:val="00776D85"/>
    <w:rsid w:val="0079318B"/>
    <w:rsid w:val="00793834"/>
    <w:rsid w:val="00794587"/>
    <w:rsid w:val="007A0B15"/>
    <w:rsid w:val="007A10D1"/>
    <w:rsid w:val="007A1E0C"/>
    <w:rsid w:val="007B4ED3"/>
    <w:rsid w:val="007B631D"/>
    <w:rsid w:val="007B6856"/>
    <w:rsid w:val="007B7350"/>
    <w:rsid w:val="007C11A5"/>
    <w:rsid w:val="007C5574"/>
    <w:rsid w:val="007C5B79"/>
    <w:rsid w:val="007D0089"/>
    <w:rsid w:val="007D08B2"/>
    <w:rsid w:val="007D1FCD"/>
    <w:rsid w:val="007D296C"/>
    <w:rsid w:val="007D6B73"/>
    <w:rsid w:val="007E5364"/>
    <w:rsid w:val="007F1D60"/>
    <w:rsid w:val="00820185"/>
    <w:rsid w:val="00846127"/>
    <w:rsid w:val="00846A29"/>
    <w:rsid w:val="008476C0"/>
    <w:rsid w:val="00857264"/>
    <w:rsid w:val="00862CBC"/>
    <w:rsid w:val="008667BE"/>
    <w:rsid w:val="0086796F"/>
    <w:rsid w:val="00872287"/>
    <w:rsid w:val="00874723"/>
    <w:rsid w:val="0088172B"/>
    <w:rsid w:val="00883A5C"/>
    <w:rsid w:val="00886546"/>
    <w:rsid w:val="00894DA3"/>
    <w:rsid w:val="008951A3"/>
    <w:rsid w:val="008965D5"/>
    <w:rsid w:val="008A02CC"/>
    <w:rsid w:val="008A09AB"/>
    <w:rsid w:val="008A0FD4"/>
    <w:rsid w:val="008A7431"/>
    <w:rsid w:val="008B1249"/>
    <w:rsid w:val="008B607E"/>
    <w:rsid w:val="008C1D46"/>
    <w:rsid w:val="008C2F92"/>
    <w:rsid w:val="008C4A56"/>
    <w:rsid w:val="008C5A07"/>
    <w:rsid w:val="008C6B50"/>
    <w:rsid w:val="008C6EF0"/>
    <w:rsid w:val="008D2A15"/>
    <w:rsid w:val="008D3E3F"/>
    <w:rsid w:val="008D6112"/>
    <w:rsid w:val="008E071E"/>
    <w:rsid w:val="008E6BBA"/>
    <w:rsid w:val="008F40D9"/>
    <w:rsid w:val="009008CD"/>
    <w:rsid w:val="009123D3"/>
    <w:rsid w:val="00913F88"/>
    <w:rsid w:val="00926DA0"/>
    <w:rsid w:val="00940E55"/>
    <w:rsid w:val="00942ADC"/>
    <w:rsid w:val="009456AD"/>
    <w:rsid w:val="009509DC"/>
    <w:rsid w:val="009528D9"/>
    <w:rsid w:val="00955E36"/>
    <w:rsid w:val="00960E6D"/>
    <w:rsid w:val="0096471B"/>
    <w:rsid w:val="009812E2"/>
    <w:rsid w:val="0098182A"/>
    <w:rsid w:val="00981F13"/>
    <w:rsid w:val="00991913"/>
    <w:rsid w:val="009934E3"/>
    <w:rsid w:val="009936E7"/>
    <w:rsid w:val="00995F59"/>
    <w:rsid w:val="0099689E"/>
    <w:rsid w:val="009A068B"/>
    <w:rsid w:val="009C08E2"/>
    <w:rsid w:val="009D1EF4"/>
    <w:rsid w:val="009E2F71"/>
    <w:rsid w:val="009E328C"/>
    <w:rsid w:val="009F6E71"/>
    <w:rsid w:val="009F7D03"/>
    <w:rsid w:val="00A01D7D"/>
    <w:rsid w:val="00A03989"/>
    <w:rsid w:val="00A0768E"/>
    <w:rsid w:val="00A07F7C"/>
    <w:rsid w:val="00A15DE4"/>
    <w:rsid w:val="00A161E3"/>
    <w:rsid w:val="00A1734D"/>
    <w:rsid w:val="00A25A5F"/>
    <w:rsid w:val="00A273C7"/>
    <w:rsid w:val="00A275B6"/>
    <w:rsid w:val="00A31077"/>
    <w:rsid w:val="00A3120B"/>
    <w:rsid w:val="00A35633"/>
    <w:rsid w:val="00A3645A"/>
    <w:rsid w:val="00A37BB2"/>
    <w:rsid w:val="00A467B0"/>
    <w:rsid w:val="00A471AC"/>
    <w:rsid w:val="00A54F7A"/>
    <w:rsid w:val="00A63B21"/>
    <w:rsid w:val="00A6442B"/>
    <w:rsid w:val="00A74E05"/>
    <w:rsid w:val="00A84229"/>
    <w:rsid w:val="00A90CEB"/>
    <w:rsid w:val="00A92D8A"/>
    <w:rsid w:val="00A97A24"/>
    <w:rsid w:val="00AA6729"/>
    <w:rsid w:val="00AB12CC"/>
    <w:rsid w:val="00AB21F3"/>
    <w:rsid w:val="00AB23A8"/>
    <w:rsid w:val="00AC4417"/>
    <w:rsid w:val="00AC5914"/>
    <w:rsid w:val="00AD4910"/>
    <w:rsid w:val="00AD4F4A"/>
    <w:rsid w:val="00AD53B0"/>
    <w:rsid w:val="00AD737E"/>
    <w:rsid w:val="00AE09A2"/>
    <w:rsid w:val="00AE4501"/>
    <w:rsid w:val="00AE480B"/>
    <w:rsid w:val="00AE69D6"/>
    <w:rsid w:val="00AF74B5"/>
    <w:rsid w:val="00B00C62"/>
    <w:rsid w:val="00B1021F"/>
    <w:rsid w:val="00B1091F"/>
    <w:rsid w:val="00B133A0"/>
    <w:rsid w:val="00B205E5"/>
    <w:rsid w:val="00B21773"/>
    <w:rsid w:val="00B23004"/>
    <w:rsid w:val="00B32408"/>
    <w:rsid w:val="00B348B3"/>
    <w:rsid w:val="00B34CB8"/>
    <w:rsid w:val="00B3525A"/>
    <w:rsid w:val="00B369FE"/>
    <w:rsid w:val="00B43686"/>
    <w:rsid w:val="00B80564"/>
    <w:rsid w:val="00B87CD5"/>
    <w:rsid w:val="00B906FB"/>
    <w:rsid w:val="00B9103C"/>
    <w:rsid w:val="00BA2DCA"/>
    <w:rsid w:val="00BA7ABD"/>
    <w:rsid w:val="00BA7D6D"/>
    <w:rsid w:val="00BB0787"/>
    <w:rsid w:val="00BB61FE"/>
    <w:rsid w:val="00BC1D49"/>
    <w:rsid w:val="00BC5CF0"/>
    <w:rsid w:val="00BD022E"/>
    <w:rsid w:val="00BD3B98"/>
    <w:rsid w:val="00BE3034"/>
    <w:rsid w:val="00BF1914"/>
    <w:rsid w:val="00BF5ECD"/>
    <w:rsid w:val="00BF5FA2"/>
    <w:rsid w:val="00C01F9D"/>
    <w:rsid w:val="00C02C77"/>
    <w:rsid w:val="00C10278"/>
    <w:rsid w:val="00C120EE"/>
    <w:rsid w:val="00C139F3"/>
    <w:rsid w:val="00C20706"/>
    <w:rsid w:val="00C20AA5"/>
    <w:rsid w:val="00C21C05"/>
    <w:rsid w:val="00C23916"/>
    <w:rsid w:val="00C2521C"/>
    <w:rsid w:val="00C3067B"/>
    <w:rsid w:val="00C379F2"/>
    <w:rsid w:val="00C40D2C"/>
    <w:rsid w:val="00C440B9"/>
    <w:rsid w:val="00C46913"/>
    <w:rsid w:val="00C6118D"/>
    <w:rsid w:val="00C62D54"/>
    <w:rsid w:val="00C670C0"/>
    <w:rsid w:val="00C7131A"/>
    <w:rsid w:val="00C713E3"/>
    <w:rsid w:val="00C77D1C"/>
    <w:rsid w:val="00C80045"/>
    <w:rsid w:val="00C82AE6"/>
    <w:rsid w:val="00C85291"/>
    <w:rsid w:val="00C868C5"/>
    <w:rsid w:val="00C86FF1"/>
    <w:rsid w:val="00C923C5"/>
    <w:rsid w:val="00C9365A"/>
    <w:rsid w:val="00CA02CF"/>
    <w:rsid w:val="00CB42F9"/>
    <w:rsid w:val="00CB6F59"/>
    <w:rsid w:val="00CB75A4"/>
    <w:rsid w:val="00CB7ADE"/>
    <w:rsid w:val="00CC1B59"/>
    <w:rsid w:val="00CC4E69"/>
    <w:rsid w:val="00CD01ED"/>
    <w:rsid w:val="00CD14D4"/>
    <w:rsid w:val="00CD5174"/>
    <w:rsid w:val="00CD69D5"/>
    <w:rsid w:val="00CD7681"/>
    <w:rsid w:val="00CE3CEC"/>
    <w:rsid w:val="00CF0F6E"/>
    <w:rsid w:val="00CF28F5"/>
    <w:rsid w:val="00D03B7C"/>
    <w:rsid w:val="00D04BAC"/>
    <w:rsid w:val="00D1035B"/>
    <w:rsid w:val="00D10DFA"/>
    <w:rsid w:val="00D16468"/>
    <w:rsid w:val="00D17220"/>
    <w:rsid w:val="00D17CCB"/>
    <w:rsid w:val="00D23934"/>
    <w:rsid w:val="00D24C93"/>
    <w:rsid w:val="00D27236"/>
    <w:rsid w:val="00D31634"/>
    <w:rsid w:val="00D3250D"/>
    <w:rsid w:val="00D42B92"/>
    <w:rsid w:val="00D50FD4"/>
    <w:rsid w:val="00D55757"/>
    <w:rsid w:val="00D571FC"/>
    <w:rsid w:val="00D60C92"/>
    <w:rsid w:val="00D64714"/>
    <w:rsid w:val="00D65F42"/>
    <w:rsid w:val="00D67924"/>
    <w:rsid w:val="00D718FC"/>
    <w:rsid w:val="00D73589"/>
    <w:rsid w:val="00D7383F"/>
    <w:rsid w:val="00D757B8"/>
    <w:rsid w:val="00D82F87"/>
    <w:rsid w:val="00DA2F71"/>
    <w:rsid w:val="00DB3823"/>
    <w:rsid w:val="00DB5285"/>
    <w:rsid w:val="00DC2B33"/>
    <w:rsid w:val="00DC4A90"/>
    <w:rsid w:val="00DD487F"/>
    <w:rsid w:val="00DD57BD"/>
    <w:rsid w:val="00DE2A84"/>
    <w:rsid w:val="00DE3C6B"/>
    <w:rsid w:val="00DE4685"/>
    <w:rsid w:val="00DE6A45"/>
    <w:rsid w:val="00DE7698"/>
    <w:rsid w:val="00DF3924"/>
    <w:rsid w:val="00DF4E9B"/>
    <w:rsid w:val="00E028FD"/>
    <w:rsid w:val="00E03F8D"/>
    <w:rsid w:val="00E07D7B"/>
    <w:rsid w:val="00E10925"/>
    <w:rsid w:val="00E17ABF"/>
    <w:rsid w:val="00E228A4"/>
    <w:rsid w:val="00E27732"/>
    <w:rsid w:val="00E329C2"/>
    <w:rsid w:val="00E37FA6"/>
    <w:rsid w:val="00E453D5"/>
    <w:rsid w:val="00E54E60"/>
    <w:rsid w:val="00E55A7B"/>
    <w:rsid w:val="00E60515"/>
    <w:rsid w:val="00E610E9"/>
    <w:rsid w:val="00E6231E"/>
    <w:rsid w:val="00E67C15"/>
    <w:rsid w:val="00E71D36"/>
    <w:rsid w:val="00E75C84"/>
    <w:rsid w:val="00E81068"/>
    <w:rsid w:val="00E81DFF"/>
    <w:rsid w:val="00E82BF7"/>
    <w:rsid w:val="00E87168"/>
    <w:rsid w:val="00E90BE3"/>
    <w:rsid w:val="00E9261C"/>
    <w:rsid w:val="00E92A91"/>
    <w:rsid w:val="00E96947"/>
    <w:rsid w:val="00E9780D"/>
    <w:rsid w:val="00EA09CA"/>
    <w:rsid w:val="00EA0F7A"/>
    <w:rsid w:val="00EA556F"/>
    <w:rsid w:val="00EA5E9F"/>
    <w:rsid w:val="00EA72CA"/>
    <w:rsid w:val="00EB49AB"/>
    <w:rsid w:val="00EB686A"/>
    <w:rsid w:val="00EB73EB"/>
    <w:rsid w:val="00EC7F35"/>
    <w:rsid w:val="00ED03B0"/>
    <w:rsid w:val="00ED2605"/>
    <w:rsid w:val="00EE18BF"/>
    <w:rsid w:val="00EE696D"/>
    <w:rsid w:val="00EE7E00"/>
    <w:rsid w:val="00F00891"/>
    <w:rsid w:val="00F00C77"/>
    <w:rsid w:val="00F067B7"/>
    <w:rsid w:val="00F1067B"/>
    <w:rsid w:val="00F12D56"/>
    <w:rsid w:val="00F16C93"/>
    <w:rsid w:val="00F16F4C"/>
    <w:rsid w:val="00F23B27"/>
    <w:rsid w:val="00F25FC1"/>
    <w:rsid w:val="00F30948"/>
    <w:rsid w:val="00F419E7"/>
    <w:rsid w:val="00F517FE"/>
    <w:rsid w:val="00F52955"/>
    <w:rsid w:val="00F559B6"/>
    <w:rsid w:val="00F60969"/>
    <w:rsid w:val="00F61001"/>
    <w:rsid w:val="00F708F3"/>
    <w:rsid w:val="00F77041"/>
    <w:rsid w:val="00F80470"/>
    <w:rsid w:val="00F87197"/>
    <w:rsid w:val="00F87464"/>
    <w:rsid w:val="00F960B8"/>
    <w:rsid w:val="00F965ED"/>
    <w:rsid w:val="00FA5590"/>
    <w:rsid w:val="00FA7B65"/>
    <w:rsid w:val="00FB0358"/>
    <w:rsid w:val="00FB3951"/>
    <w:rsid w:val="00FB5760"/>
    <w:rsid w:val="00FB6349"/>
    <w:rsid w:val="00FB7283"/>
    <w:rsid w:val="00FD0A3F"/>
    <w:rsid w:val="00FD3385"/>
    <w:rsid w:val="00FD3C9D"/>
    <w:rsid w:val="00FD7762"/>
    <w:rsid w:val="00FE2683"/>
    <w:rsid w:val="00FE4C42"/>
    <w:rsid w:val="00FE6EF9"/>
    <w:rsid w:val="00FF15D9"/>
    <w:rsid w:val="00FF2C4A"/>
    <w:rsid w:val="00FF5104"/>
    <w:rsid w:val="00FF5266"/>
    <w:rsid w:val="00FF55FF"/>
    <w:rsid w:val="00FF59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0A790"/>
  <w15:docId w15:val="{285B81D7-62F5-4480-A6D8-D53CBF0B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4F4"/>
    <w:pPr>
      <w:tabs>
        <w:tab w:val="center" w:pos="4153"/>
        <w:tab w:val="right" w:pos="8306"/>
      </w:tabs>
      <w:snapToGrid w:val="0"/>
    </w:pPr>
    <w:rPr>
      <w:sz w:val="20"/>
      <w:szCs w:val="20"/>
    </w:rPr>
  </w:style>
  <w:style w:type="character" w:customStyle="1" w:styleId="a5">
    <w:name w:val="頁首 字元"/>
    <w:basedOn w:val="a0"/>
    <w:link w:val="a4"/>
    <w:uiPriority w:val="99"/>
    <w:rsid w:val="003014F4"/>
    <w:rPr>
      <w:sz w:val="20"/>
      <w:szCs w:val="20"/>
    </w:rPr>
  </w:style>
  <w:style w:type="paragraph" w:styleId="a6">
    <w:name w:val="footer"/>
    <w:basedOn w:val="a"/>
    <w:link w:val="a7"/>
    <w:uiPriority w:val="99"/>
    <w:unhideWhenUsed/>
    <w:rsid w:val="003014F4"/>
    <w:pPr>
      <w:tabs>
        <w:tab w:val="center" w:pos="4153"/>
        <w:tab w:val="right" w:pos="8306"/>
      </w:tabs>
      <w:snapToGrid w:val="0"/>
    </w:pPr>
    <w:rPr>
      <w:sz w:val="20"/>
      <w:szCs w:val="20"/>
    </w:rPr>
  </w:style>
  <w:style w:type="character" w:customStyle="1" w:styleId="a7">
    <w:name w:val="頁尾 字元"/>
    <w:basedOn w:val="a0"/>
    <w:link w:val="a6"/>
    <w:uiPriority w:val="99"/>
    <w:rsid w:val="003014F4"/>
    <w:rPr>
      <w:sz w:val="20"/>
      <w:szCs w:val="20"/>
    </w:rPr>
  </w:style>
  <w:style w:type="paragraph" w:styleId="HTML">
    <w:name w:val="HTML Preformatted"/>
    <w:basedOn w:val="a"/>
    <w:link w:val="HTML0"/>
    <w:uiPriority w:val="99"/>
    <w:unhideWhenUsed/>
    <w:rsid w:val="001B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B3702"/>
    <w:rPr>
      <w:rFonts w:ascii="細明體" w:eastAsia="細明體" w:hAnsi="細明體" w:cs="細明體"/>
      <w:color w:val="333333"/>
      <w:kern w:val="0"/>
      <w:szCs w:val="24"/>
    </w:rPr>
  </w:style>
  <w:style w:type="paragraph" w:styleId="a8">
    <w:name w:val="Balloon Text"/>
    <w:basedOn w:val="a"/>
    <w:link w:val="a9"/>
    <w:uiPriority w:val="99"/>
    <w:semiHidden/>
    <w:unhideWhenUsed/>
    <w:rsid w:val="00AB12C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B12CC"/>
    <w:rPr>
      <w:rFonts w:asciiTheme="majorHAnsi" w:eastAsiaTheme="majorEastAsia" w:hAnsiTheme="majorHAnsi" w:cstheme="majorBidi"/>
      <w:sz w:val="18"/>
      <w:szCs w:val="18"/>
    </w:rPr>
  </w:style>
  <w:style w:type="paragraph" w:styleId="aa">
    <w:name w:val="List Paragraph"/>
    <w:basedOn w:val="a"/>
    <w:uiPriority w:val="34"/>
    <w:qFormat/>
    <w:rsid w:val="00125FEA"/>
    <w:pPr>
      <w:ind w:leftChars="200" w:left="480"/>
    </w:pPr>
  </w:style>
  <w:style w:type="character" w:styleId="ab">
    <w:name w:val="Placeholder Text"/>
    <w:basedOn w:val="a0"/>
    <w:uiPriority w:val="99"/>
    <w:semiHidden/>
    <w:rsid w:val="004E59C8"/>
    <w:rPr>
      <w:color w:val="808080"/>
    </w:rPr>
  </w:style>
  <w:style w:type="paragraph" w:styleId="Web">
    <w:name w:val="Normal (Web)"/>
    <w:basedOn w:val="a"/>
    <w:uiPriority w:val="99"/>
    <w:semiHidden/>
    <w:unhideWhenUsed/>
    <w:rsid w:val="00942AD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83">
      <w:bodyDiv w:val="1"/>
      <w:marLeft w:val="0"/>
      <w:marRight w:val="0"/>
      <w:marTop w:val="0"/>
      <w:marBottom w:val="0"/>
      <w:divBdr>
        <w:top w:val="none" w:sz="0" w:space="0" w:color="auto"/>
        <w:left w:val="none" w:sz="0" w:space="0" w:color="auto"/>
        <w:bottom w:val="none" w:sz="0" w:space="0" w:color="auto"/>
        <w:right w:val="none" w:sz="0" w:space="0" w:color="auto"/>
      </w:divBdr>
    </w:div>
    <w:div w:id="23287191">
      <w:bodyDiv w:val="1"/>
      <w:marLeft w:val="0"/>
      <w:marRight w:val="0"/>
      <w:marTop w:val="0"/>
      <w:marBottom w:val="0"/>
      <w:divBdr>
        <w:top w:val="none" w:sz="0" w:space="0" w:color="auto"/>
        <w:left w:val="none" w:sz="0" w:space="0" w:color="auto"/>
        <w:bottom w:val="none" w:sz="0" w:space="0" w:color="auto"/>
        <w:right w:val="none" w:sz="0" w:space="0" w:color="auto"/>
      </w:divBdr>
    </w:div>
    <w:div w:id="101918228">
      <w:bodyDiv w:val="1"/>
      <w:marLeft w:val="0"/>
      <w:marRight w:val="0"/>
      <w:marTop w:val="0"/>
      <w:marBottom w:val="0"/>
      <w:divBdr>
        <w:top w:val="none" w:sz="0" w:space="0" w:color="auto"/>
        <w:left w:val="none" w:sz="0" w:space="0" w:color="auto"/>
        <w:bottom w:val="none" w:sz="0" w:space="0" w:color="auto"/>
        <w:right w:val="none" w:sz="0" w:space="0" w:color="auto"/>
      </w:divBdr>
    </w:div>
    <w:div w:id="133908892">
      <w:bodyDiv w:val="1"/>
      <w:marLeft w:val="0"/>
      <w:marRight w:val="0"/>
      <w:marTop w:val="0"/>
      <w:marBottom w:val="0"/>
      <w:divBdr>
        <w:top w:val="none" w:sz="0" w:space="0" w:color="auto"/>
        <w:left w:val="none" w:sz="0" w:space="0" w:color="auto"/>
        <w:bottom w:val="none" w:sz="0" w:space="0" w:color="auto"/>
        <w:right w:val="none" w:sz="0" w:space="0" w:color="auto"/>
      </w:divBdr>
    </w:div>
    <w:div w:id="191771917">
      <w:bodyDiv w:val="1"/>
      <w:marLeft w:val="0"/>
      <w:marRight w:val="0"/>
      <w:marTop w:val="0"/>
      <w:marBottom w:val="0"/>
      <w:divBdr>
        <w:top w:val="none" w:sz="0" w:space="0" w:color="auto"/>
        <w:left w:val="none" w:sz="0" w:space="0" w:color="auto"/>
        <w:bottom w:val="none" w:sz="0" w:space="0" w:color="auto"/>
        <w:right w:val="none" w:sz="0" w:space="0" w:color="auto"/>
      </w:divBdr>
    </w:div>
    <w:div w:id="343021228">
      <w:bodyDiv w:val="1"/>
      <w:marLeft w:val="0"/>
      <w:marRight w:val="0"/>
      <w:marTop w:val="0"/>
      <w:marBottom w:val="0"/>
      <w:divBdr>
        <w:top w:val="none" w:sz="0" w:space="0" w:color="auto"/>
        <w:left w:val="none" w:sz="0" w:space="0" w:color="auto"/>
        <w:bottom w:val="none" w:sz="0" w:space="0" w:color="auto"/>
        <w:right w:val="none" w:sz="0" w:space="0" w:color="auto"/>
      </w:divBdr>
    </w:div>
    <w:div w:id="350380365">
      <w:bodyDiv w:val="1"/>
      <w:marLeft w:val="0"/>
      <w:marRight w:val="0"/>
      <w:marTop w:val="0"/>
      <w:marBottom w:val="0"/>
      <w:divBdr>
        <w:top w:val="none" w:sz="0" w:space="0" w:color="auto"/>
        <w:left w:val="none" w:sz="0" w:space="0" w:color="auto"/>
        <w:bottom w:val="none" w:sz="0" w:space="0" w:color="auto"/>
        <w:right w:val="none" w:sz="0" w:space="0" w:color="auto"/>
      </w:divBdr>
    </w:div>
    <w:div w:id="365448931">
      <w:bodyDiv w:val="1"/>
      <w:marLeft w:val="0"/>
      <w:marRight w:val="0"/>
      <w:marTop w:val="0"/>
      <w:marBottom w:val="0"/>
      <w:divBdr>
        <w:top w:val="none" w:sz="0" w:space="0" w:color="auto"/>
        <w:left w:val="none" w:sz="0" w:space="0" w:color="auto"/>
        <w:bottom w:val="none" w:sz="0" w:space="0" w:color="auto"/>
        <w:right w:val="none" w:sz="0" w:space="0" w:color="auto"/>
      </w:divBdr>
    </w:div>
    <w:div w:id="471676405">
      <w:bodyDiv w:val="1"/>
      <w:marLeft w:val="0"/>
      <w:marRight w:val="0"/>
      <w:marTop w:val="0"/>
      <w:marBottom w:val="0"/>
      <w:divBdr>
        <w:top w:val="none" w:sz="0" w:space="0" w:color="auto"/>
        <w:left w:val="none" w:sz="0" w:space="0" w:color="auto"/>
        <w:bottom w:val="none" w:sz="0" w:space="0" w:color="auto"/>
        <w:right w:val="none" w:sz="0" w:space="0" w:color="auto"/>
      </w:divBdr>
    </w:div>
    <w:div w:id="561018313">
      <w:bodyDiv w:val="1"/>
      <w:marLeft w:val="0"/>
      <w:marRight w:val="0"/>
      <w:marTop w:val="0"/>
      <w:marBottom w:val="0"/>
      <w:divBdr>
        <w:top w:val="none" w:sz="0" w:space="0" w:color="auto"/>
        <w:left w:val="none" w:sz="0" w:space="0" w:color="auto"/>
        <w:bottom w:val="none" w:sz="0" w:space="0" w:color="auto"/>
        <w:right w:val="none" w:sz="0" w:space="0" w:color="auto"/>
      </w:divBdr>
    </w:div>
    <w:div w:id="653488725">
      <w:bodyDiv w:val="1"/>
      <w:marLeft w:val="0"/>
      <w:marRight w:val="0"/>
      <w:marTop w:val="0"/>
      <w:marBottom w:val="0"/>
      <w:divBdr>
        <w:top w:val="none" w:sz="0" w:space="0" w:color="auto"/>
        <w:left w:val="none" w:sz="0" w:space="0" w:color="auto"/>
        <w:bottom w:val="none" w:sz="0" w:space="0" w:color="auto"/>
        <w:right w:val="none" w:sz="0" w:space="0" w:color="auto"/>
      </w:divBdr>
    </w:div>
    <w:div w:id="901328327">
      <w:bodyDiv w:val="1"/>
      <w:marLeft w:val="0"/>
      <w:marRight w:val="0"/>
      <w:marTop w:val="0"/>
      <w:marBottom w:val="0"/>
      <w:divBdr>
        <w:top w:val="none" w:sz="0" w:space="0" w:color="auto"/>
        <w:left w:val="none" w:sz="0" w:space="0" w:color="auto"/>
        <w:bottom w:val="none" w:sz="0" w:space="0" w:color="auto"/>
        <w:right w:val="none" w:sz="0" w:space="0" w:color="auto"/>
      </w:divBdr>
    </w:div>
    <w:div w:id="1042248356">
      <w:bodyDiv w:val="1"/>
      <w:marLeft w:val="0"/>
      <w:marRight w:val="0"/>
      <w:marTop w:val="0"/>
      <w:marBottom w:val="0"/>
      <w:divBdr>
        <w:top w:val="none" w:sz="0" w:space="0" w:color="auto"/>
        <w:left w:val="none" w:sz="0" w:space="0" w:color="auto"/>
        <w:bottom w:val="none" w:sz="0" w:space="0" w:color="auto"/>
        <w:right w:val="none" w:sz="0" w:space="0" w:color="auto"/>
      </w:divBdr>
    </w:div>
    <w:div w:id="1070349091">
      <w:bodyDiv w:val="1"/>
      <w:marLeft w:val="0"/>
      <w:marRight w:val="0"/>
      <w:marTop w:val="0"/>
      <w:marBottom w:val="0"/>
      <w:divBdr>
        <w:top w:val="none" w:sz="0" w:space="0" w:color="auto"/>
        <w:left w:val="none" w:sz="0" w:space="0" w:color="auto"/>
        <w:bottom w:val="none" w:sz="0" w:space="0" w:color="auto"/>
        <w:right w:val="none" w:sz="0" w:space="0" w:color="auto"/>
      </w:divBdr>
    </w:div>
    <w:div w:id="1073240322">
      <w:bodyDiv w:val="1"/>
      <w:marLeft w:val="0"/>
      <w:marRight w:val="0"/>
      <w:marTop w:val="0"/>
      <w:marBottom w:val="0"/>
      <w:divBdr>
        <w:top w:val="none" w:sz="0" w:space="0" w:color="auto"/>
        <w:left w:val="none" w:sz="0" w:space="0" w:color="auto"/>
        <w:bottom w:val="none" w:sz="0" w:space="0" w:color="auto"/>
        <w:right w:val="none" w:sz="0" w:space="0" w:color="auto"/>
      </w:divBdr>
    </w:div>
    <w:div w:id="1075936063">
      <w:bodyDiv w:val="1"/>
      <w:marLeft w:val="0"/>
      <w:marRight w:val="0"/>
      <w:marTop w:val="0"/>
      <w:marBottom w:val="0"/>
      <w:divBdr>
        <w:top w:val="none" w:sz="0" w:space="0" w:color="auto"/>
        <w:left w:val="none" w:sz="0" w:space="0" w:color="auto"/>
        <w:bottom w:val="none" w:sz="0" w:space="0" w:color="auto"/>
        <w:right w:val="none" w:sz="0" w:space="0" w:color="auto"/>
      </w:divBdr>
    </w:div>
    <w:div w:id="1088308064">
      <w:bodyDiv w:val="1"/>
      <w:marLeft w:val="0"/>
      <w:marRight w:val="0"/>
      <w:marTop w:val="0"/>
      <w:marBottom w:val="0"/>
      <w:divBdr>
        <w:top w:val="none" w:sz="0" w:space="0" w:color="auto"/>
        <w:left w:val="none" w:sz="0" w:space="0" w:color="auto"/>
        <w:bottom w:val="none" w:sz="0" w:space="0" w:color="auto"/>
        <w:right w:val="none" w:sz="0" w:space="0" w:color="auto"/>
      </w:divBdr>
    </w:div>
    <w:div w:id="1103720820">
      <w:bodyDiv w:val="1"/>
      <w:marLeft w:val="0"/>
      <w:marRight w:val="0"/>
      <w:marTop w:val="0"/>
      <w:marBottom w:val="0"/>
      <w:divBdr>
        <w:top w:val="none" w:sz="0" w:space="0" w:color="auto"/>
        <w:left w:val="none" w:sz="0" w:space="0" w:color="auto"/>
        <w:bottom w:val="none" w:sz="0" w:space="0" w:color="auto"/>
        <w:right w:val="none" w:sz="0" w:space="0" w:color="auto"/>
      </w:divBdr>
    </w:div>
    <w:div w:id="1108428709">
      <w:bodyDiv w:val="1"/>
      <w:marLeft w:val="0"/>
      <w:marRight w:val="0"/>
      <w:marTop w:val="0"/>
      <w:marBottom w:val="0"/>
      <w:divBdr>
        <w:top w:val="none" w:sz="0" w:space="0" w:color="auto"/>
        <w:left w:val="none" w:sz="0" w:space="0" w:color="auto"/>
        <w:bottom w:val="none" w:sz="0" w:space="0" w:color="auto"/>
        <w:right w:val="none" w:sz="0" w:space="0" w:color="auto"/>
      </w:divBdr>
    </w:div>
    <w:div w:id="1180005790">
      <w:bodyDiv w:val="1"/>
      <w:marLeft w:val="0"/>
      <w:marRight w:val="0"/>
      <w:marTop w:val="0"/>
      <w:marBottom w:val="0"/>
      <w:divBdr>
        <w:top w:val="none" w:sz="0" w:space="0" w:color="auto"/>
        <w:left w:val="none" w:sz="0" w:space="0" w:color="auto"/>
        <w:bottom w:val="none" w:sz="0" w:space="0" w:color="auto"/>
        <w:right w:val="none" w:sz="0" w:space="0" w:color="auto"/>
      </w:divBdr>
    </w:div>
    <w:div w:id="1181550847">
      <w:bodyDiv w:val="1"/>
      <w:marLeft w:val="0"/>
      <w:marRight w:val="0"/>
      <w:marTop w:val="0"/>
      <w:marBottom w:val="0"/>
      <w:divBdr>
        <w:top w:val="none" w:sz="0" w:space="0" w:color="auto"/>
        <w:left w:val="none" w:sz="0" w:space="0" w:color="auto"/>
        <w:bottom w:val="none" w:sz="0" w:space="0" w:color="auto"/>
        <w:right w:val="none" w:sz="0" w:space="0" w:color="auto"/>
      </w:divBdr>
    </w:div>
    <w:div w:id="1198737335">
      <w:bodyDiv w:val="1"/>
      <w:marLeft w:val="0"/>
      <w:marRight w:val="0"/>
      <w:marTop w:val="0"/>
      <w:marBottom w:val="0"/>
      <w:divBdr>
        <w:top w:val="none" w:sz="0" w:space="0" w:color="auto"/>
        <w:left w:val="none" w:sz="0" w:space="0" w:color="auto"/>
        <w:bottom w:val="none" w:sz="0" w:space="0" w:color="auto"/>
        <w:right w:val="none" w:sz="0" w:space="0" w:color="auto"/>
      </w:divBdr>
    </w:div>
    <w:div w:id="1266422912">
      <w:bodyDiv w:val="1"/>
      <w:marLeft w:val="0"/>
      <w:marRight w:val="0"/>
      <w:marTop w:val="0"/>
      <w:marBottom w:val="0"/>
      <w:divBdr>
        <w:top w:val="none" w:sz="0" w:space="0" w:color="auto"/>
        <w:left w:val="none" w:sz="0" w:space="0" w:color="auto"/>
        <w:bottom w:val="none" w:sz="0" w:space="0" w:color="auto"/>
        <w:right w:val="none" w:sz="0" w:space="0" w:color="auto"/>
      </w:divBdr>
    </w:div>
    <w:div w:id="1363168730">
      <w:bodyDiv w:val="1"/>
      <w:marLeft w:val="0"/>
      <w:marRight w:val="0"/>
      <w:marTop w:val="0"/>
      <w:marBottom w:val="0"/>
      <w:divBdr>
        <w:top w:val="none" w:sz="0" w:space="0" w:color="auto"/>
        <w:left w:val="none" w:sz="0" w:space="0" w:color="auto"/>
        <w:bottom w:val="none" w:sz="0" w:space="0" w:color="auto"/>
        <w:right w:val="none" w:sz="0" w:space="0" w:color="auto"/>
      </w:divBdr>
    </w:div>
    <w:div w:id="1390156206">
      <w:bodyDiv w:val="1"/>
      <w:marLeft w:val="0"/>
      <w:marRight w:val="0"/>
      <w:marTop w:val="0"/>
      <w:marBottom w:val="0"/>
      <w:divBdr>
        <w:top w:val="none" w:sz="0" w:space="0" w:color="auto"/>
        <w:left w:val="none" w:sz="0" w:space="0" w:color="auto"/>
        <w:bottom w:val="none" w:sz="0" w:space="0" w:color="auto"/>
        <w:right w:val="none" w:sz="0" w:space="0" w:color="auto"/>
      </w:divBdr>
    </w:div>
    <w:div w:id="1430082434">
      <w:bodyDiv w:val="1"/>
      <w:marLeft w:val="0"/>
      <w:marRight w:val="0"/>
      <w:marTop w:val="0"/>
      <w:marBottom w:val="0"/>
      <w:divBdr>
        <w:top w:val="none" w:sz="0" w:space="0" w:color="auto"/>
        <w:left w:val="none" w:sz="0" w:space="0" w:color="auto"/>
        <w:bottom w:val="none" w:sz="0" w:space="0" w:color="auto"/>
        <w:right w:val="none" w:sz="0" w:space="0" w:color="auto"/>
      </w:divBdr>
    </w:div>
    <w:div w:id="1524436034">
      <w:bodyDiv w:val="1"/>
      <w:marLeft w:val="0"/>
      <w:marRight w:val="0"/>
      <w:marTop w:val="0"/>
      <w:marBottom w:val="0"/>
      <w:divBdr>
        <w:top w:val="none" w:sz="0" w:space="0" w:color="auto"/>
        <w:left w:val="none" w:sz="0" w:space="0" w:color="auto"/>
        <w:bottom w:val="none" w:sz="0" w:space="0" w:color="auto"/>
        <w:right w:val="none" w:sz="0" w:space="0" w:color="auto"/>
      </w:divBdr>
    </w:div>
    <w:div w:id="1530604064">
      <w:bodyDiv w:val="1"/>
      <w:marLeft w:val="0"/>
      <w:marRight w:val="0"/>
      <w:marTop w:val="0"/>
      <w:marBottom w:val="0"/>
      <w:divBdr>
        <w:top w:val="none" w:sz="0" w:space="0" w:color="auto"/>
        <w:left w:val="none" w:sz="0" w:space="0" w:color="auto"/>
        <w:bottom w:val="none" w:sz="0" w:space="0" w:color="auto"/>
        <w:right w:val="none" w:sz="0" w:space="0" w:color="auto"/>
      </w:divBdr>
    </w:div>
    <w:div w:id="1538395373">
      <w:bodyDiv w:val="1"/>
      <w:marLeft w:val="0"/>
      <w:marRight w:val="0"/>
      <w:marTop w:val="0"/>
      <w:marBottom w:val="0"/>
      <w:divBdr>
        <w:top w:val="none" w:sz="0" w:space="0" w:color="auto"/>
        <w:left w:val="none" w:sz="0" w:space="0" w:color="auto"/>
        <w:bottom w:val="none" w:sz="0" w:space="0" w:color="auto"/>
        <w:right w:val="none" w:sz="0" w:space="0" w:color="auto"/>
      </w:divBdr>
    </w:div>
    <w:div w:id="1568370904">
      <w:bodyDiv w:val="1"/>
      <w:marLeft w:val="0"/>
      <w:marRight w:val="0"/>
      <w:marTop w:val="0"/>
      <w:marBottom w:val="0"/>
      <w:divBdr>
        <w:top w:val="none" w:sz="0" w:space="0" w:color="auto"/>
        <w:left w:val="none" w:sz="0" w:space="0" w:color="auto"/>
        <w:bottom w:val="none" w:sz="0" w:space="0" w:color="auto"/>
        <w:right w:val="none" w:sz="0" w:space="0" w:color="auto"/>
      </w:divBdr>
    </w:div>
    <w:div w:id="1704477567">
      <w:bodyDiv w:val="1"/>
      <w:marLeft w:val="0"/>
      <w:marRight w:val="0"/>
      <w:marTop w:val="0"/>
      <w:marBottom w:val="0"/>
      <w:divBdr>
        <w:top w:val="none" w:sz="0" w:space="0" w:color="auto"/>
        <w:left w:val="none" w:sz="0" w:space="0" w:color="auto"/>
        <w:bottom w:val="none" w:sz="0" w:space="0" w:color="auto"/>
        <w:right w:val="none" w:sz="0" w:space="0" w:color="auto"/>
      </w:divBdr>
    </w:div>
    <w:div w:id="1805156064">
      <w:bodyDiv w:val="1"/>
      <w:marLeft w:val="0"/>
      <w:marRight w:val="0"/>
      <w:marTop w:val="0"/>
      <w:marBottom w:val="0"/>
      <w:divBdr>
        <w:top w:val="none" w:sz="0" w:space="0" w:color="auto"/>
        <w:left w:val="none" w:sz="0" w:space="0" w:color="auto"/>
        <w:bottom w:val="none" w:sz="0" w:space="0" w:color="auto"/>
        <w:right w:val="none" w:sz="0" w:space="0" w:color="auto"/>
      </w:divBdr>
    </w:div>
    <w:div w:id="1850369396">
      <w:bodyDiv w:val="1"/>
      <w:marLeft w:val="0"/>
      <w:marRight w:val="0"/>
      <w:marTop w:val="0"/>
      <w:marBottom w:val="0"/>
      <w:divBdr>
        <w:top w:val="none" w:sz="0" w:space="0" w:color="auto"/>
        <w:left w:val="none" w:sz="0" w:space="0" w:color="auto"/>
        <w:bottom w:val="none" w:sz="0" w:space="0" w:color="auto"/>
        <w:right w:val="none" w:sz="0" w:space="0" w:color="auto"/>
      </w:divBdr>
    </w:div>
    <w:div w:id="1891527436">
      <w:bodyDiv w:val="1"/>
      <w:marLeft w:val="0"/>
      <w:marRight w:val="0"/>
      <w:marTop w:val="0"/>
      <w:marBottom w:val="0"/>
      <w:divBdr>
        <w:top w:val="none" w:sz="0" w:space="0" w:color="auto"/>
        <w:left w:val="none" w:sz="0" w:space="0" w:color="auto"/>
        <w:bottom w:val="none" w:sz="0" w:space="0" w:color="auto"/>
        <w:right w:val="none" w:sz="0" w:space="0" w:color="auto"/>
      </w:divBdr>
    </w:div>
    <w:div w:id="1919440953">
      <w:bodyDiv w:val="1"/>
      <w:marLeft w:val="0"/>
      <w:marRight w:val="0"/>
      <w:marTop w:val="0"/>
      <w:marBottom w:val="0"/>
      <w:divBdr>
        <w:top w:val="none" w:sz="0" w:space="0" w:color="auto"/>
        <w:left w:val="none" w:sz="0" w:space="0" w:color="auto"/>
        <w:bottom w:val="none" w:sz="0" w:space="0" w:color="auto"/>
        <w:right w:val="none" w:sz="0" w:space="0" w:color="auto"/>
      </w:divBdr>
    </w:div>
    <w:div w:id="1948081768">
      <w:bodyDiv w:val="1"/>
      <w:marLeft w:val="0"/>
      <w:marRight w:val="0"/>
      <w:marTop w:val="0"/>
      <w:marBottom w:val="0"/>
      <w:divBdr>
        <w:top w:val="none" w:sz="0" w:space="0" w:color="auto"/>
        <w:left w:val="none" w:sz="0" w:space="0" w:color="auto"/>
        <w:bottom w:val="none" w:sz="0" w:space="0" w:color="auto"/>
        <w:right w:val="none" w:sz="0" w:space="0" w:color="auto"/>
      </w:divBdr>
    </w:div>
    <w:div w:id="20528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1322-0D72-415C-999A-6F4E7170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林雅雯</dc:creator>
  <cp:lastModifiedBy>卓雅慧</cp:lastModifiedBy>
  <cp:revision>6</cp:revision>
  <cp:lastPrinted>2020-05-29T08:08:00Z</cp:lastPrinted>
  <dcterms:created xsi:type="dcterms:W3CDTF">2020-06-11T01:45:00Z</dcterms:created>
  <dcterms:modified xsi:type="dcterms:W3CDTF">2020-07-01T09:48:00Z</dcterms:modified>
</cp:coreProperties>
</file>