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0E8E0" w14:textId="77777777" w:rsidR="000D4132" w:rsidRPr="008F1E6B" w:rsidRDefault="00B82940" w:rsidP="00E454A6">
      <w:pPr>
        <w:ind w:rightChars="-337" w:right="-809"/>
        <w:jc w:val="center"/>
        <w:rPr>
          <w:rFonts w:ascii="Times New Roman" w:eastAsia="標楷體" w:hAnsi="Times New Roman" w:cs="Times New Roman"/>
          <w:b/>
          <w:sz w:val="32"/>
          <w:szCs w:val="32"/>
        </w:rPr>
      </w:pPr>
      <w:r w:rsidRPr="008F1E6B">
        <w:rPr>
          <w:rFonts w:ascii="Times New Roman" w:eastAsia="標楷體" w:hAnsi="Times New Roman" w:cs="Times New Roman"/>
          <w:b/>
          <w:sz w:val="32"/>
          <w:szCs w:val="32"/>
        </w:rPr>
        <w:t>認購（售）權證發行人評等辦法部分條文修正對照表</w:t>
      </w:r>
    </w:p>
    <w:tbl>
      <w:tblPr>
        <w:tblStyle w:val="a3"/>
        <w:tblW w:w="10201" w:type="dxa"/>
        <w:tblLook w:val="04A0" w:firstRow="1" w:lastRow="0" w:firstColumn="1" w:lastColumn="0" w:noHBand="0" w:noVBand="1"/>
      </w:tblPr>
      <w:tblGrid>
        <w:gridCol w:w="3397"/>
        <w:gridCol w:w="3402"/>
        <w:gridCol w:w="3402"/>
      </w:tblGrid>
      <w:tr w:rsidR="00B82940" w:rsidRPr="008F1E6B" w14:paraId="113E15E2" w14:textId="77777777" w:rsidTr="007D2E9B">
        <w:trPr>
          <w:tblHeader/>
        </w:trPr>
        <w:tc>
          <w:tcPr>
            <w:tcW w:w="3397" w:type="dxa"/>
            <w:shd w:val="clear" w:color="auto" w:fill="D9D9D9"/>
          </w:tcPr>
          <w:p w14:paraId="7312DFB8" w14:textId="77777777" w:rsidR="00B82940" w:rsidRPr="008F1E6B" w:rsidRDefault="00B82940" w:rsidP="00530C09">
            <w:pPr>
              <w:spacing w:line="440" w:lineRule="exact"/>
              <w:jc w:val="center"/>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修正條文</w:t>
            </w:r>
          </w:p>
        </w:tc>
        <w:tc>
          <w:tcPr>
            <w:tcW w:w="3402" w:type="dxa"/>
            <w:shd w:val="clear" w:color="auto" w:fill="D9D9D9"/>
          </w:tcPr>
          <w:p w14:paraId="361D89E9" w14:textId="77777777" w:rsidR="00B82940" w:rsidRPr="008F1E6B" w:rsidRDefault="00B82940" w:rsidP="00530C09">
            <w:pPr>
              <w:spacing w:line="440" w:lineRule="exact"/>
              <w:jc w:val="center"/>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現行條文</w:t>
            </w:r>
          </w:p>
        </w:tc>
        <w:tc>
          <w:tcPr>
            <w:tcW w:w="3402" w:type="dxa"/>
            <w:shd w:val="clear" w:color="auto" w:fill="D9D9D9"/>
          </w:tcPr>
          <w:p w14:paraId="2640710F" w14:textId="77777777" w:rsidR="00B82940" w:rsidRPr="008F1E6B" w:rsidRDefault="00B82940" w:rsidP="00530C09">
            <w:pPr>
              <w:spacing w:line="440" w:lineRule="exact"/>
              <w:jc w:val="center"/>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說明</w:t>
            </w:r>
          </w:p>
        </w:tc>
      </w:tr>
      <w:tr w:rsidR="00B82940" w:rsidRPr="008F1E6B" w14:paraId="3CF50D05" w14:textId="77777777" w:rsidTr="006027D3">
        <w:trPr>
          <w:trHeight w:val="8925"/>
        </w:trPr>
        <w:tc>
          <w:tcPr>
            <w:tcW w:w="3397" w:type="dxa"/>
            <w:tcBorders>
              <w:bottom w:val="single" w:sz="4" w:space="0" w:color="000000" w:themeColor="text1"/>
            </w:tcBorders>
          </w:tcPr>
          <w:p w14:paraId="15DA32E1" w14:textId="77777777" w:rsidR="00B82940" w:rsidRPr="008F1E6B" w:rsidRDefault="000C0D96" w:rsidP="00DA3FF6">
            <w:pPr>
              <w:spacing w:line="360" w:lineRule="exact"/>
              <w:ind w:leftChars="-47" w:left="-113"/>
              <w:jc w:val="both"/>
              <w:rPr>
                <w:rFonts w:ascii="Times New Roman" w:eastAsia="標楷體" w:hAnsi="Times New Roman" w:cs="Times New Roman"/>
                <w:color w:val="000000" w:themeColor="text1"/>
                <w:szCs w:val="24"/>
              </w:rPr>
            </w:pPr>
            <w:hyperlink r:id="rId8" w:history="1">
              <w:r w:rsidR="00B82940" w:rsidRPr="008F1E6B">
                <w:rPr>
                  <w:rFonts w:ascii="Times New Roman" w:eastAsia="標楷體" w:hAnsi="Times New Roman" w:cs="Times New Roman"/>
                  <w:color w:val="000000" w:themeColor="text1"/>
                  <w:szCs w:val="24"/>
                </w:rPr>
                <w:t>第三條</w:t>
              </w:r>
            </w:hyperlink>
          </w:p>
          <w:p w14:paraId="6EDEA8EB" w14:textId="77777777" w:rsidR="00B82940" w:rsidRPr="008F1E6B" w:rsidRDefault="00B82940" w:rsidP="00DA3FF6">
            <w:pPr>
              <w:spacing w:line="360" w:lineRule="exact"/>
              <w:ind w:leftChars="-47" w:left="-113"/>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認購（售）權證發行人評等指標項目及權重如下：</w:t>
            </w:r>
          </w:p>
          <w:p w14:paraId="6F032EA3" w14:textId="77777777" w:rsidR="00802D7D" w:rsidRPr="008F1E6B" w:rsidRDefault="00B82940" w:rsidP="00802D7D">
            <w:pPr>
              <w:pStyle w:val="a8"/>
              <w:numPr>
                <w:ilvl w:val="0"/>
                <w:numId w:val="3"/>
              </w:numPr>
              <w:spacing w:line="360" w:lineRule="exact"/>
              <w:ind w:leftChars="0" w:left="454" w:hanging="593"/>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週轉率之指標及權重：發行人之上市（櫃）權證日平均成交金額週轉率占百分之</w:t>
            </w:r>
            <w:r w:rsidR="00E913D3" w:rsidRPr="008F1E6B">
              <w:rPr>
                <w:rFonts w:ascii="Times New Roman" w:eastAsia="標楷體" w:hAnsi="Times New Roman" w:cs="Times New Roman"/>
                <w:color w:val="000000" w:themeColor="text1"/>
                <w:u w:val="single"/>
              </w:rPr>
              <w:t>三</w:t>
            </w:r>
            <w:r w:rsidRPr="008F1E6B">
              <w:rPr>
                <w:rFonts w:ascii="Times New Roman" w:eastAsia="標楷體" w:hAnsi="Times New Roman" w:cs="Times New Roman"/>
                <w:color w:val="000000" w:themeColor="text1"/>
                <w:u w:val="single"/>
              </w:rPr>
              <w:t>十</w:t>
            </w:r>
            <w:r w:rsidRPr="008F1E6B">
              <w:rPr>
                <w:rFonts w:ascii="Times New Roman" w:eastAsia="標楷體" w:hAnsi="Times New Roman" w:cs="Times New Roman"/>
                <w:color w:val="000000" w:themeColor="text1"/>
              </w:rPr>
              <w:t>。</w:t>
            </w:r>
          </w:p>
          <w:p w14:paraId="68211960" w14:textId="77777777" w:rsidR="00802D7D" w:rsidRPr="008F1E6B" w:rsidRDefault="00802D7D" w:rsidP="007C2145">
            <w:pPr>
              <w:pStyle w:val="a8"/>
              <w:numPr>
                <w:ilvl w:val="0"/>
                <w:numId w:val="3"/>
              </w:numPr>
              <w:tabs>
                <w:tab w:val="left" w:pos="501"/>
              </w:tabs>
              <w:spacing w:line="360" w:lineRule="exact"/>
              <w:ind w:leftChars="-58" w:left="312" w:hangingChars="188" w:hanging="451"/>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造市品質之指標及權重：</w:t>
            </w:r>
          </w:p>
          <w:p w14:paraId="58D762F2" w14:textId="77777777" w:rsidR="00802D7D" w:rsidRPr="008F1E6B" w:rsidRDefault="009D5CF5" w:rsidP="00802D7D">
            <w:pPr>
              <w:spacing w:line="360" w:lineRule="exact"/>
              <w:ind w:left="737" w:hangingChars="307" w:hanging="737"/>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 xml:space="preserve"> </w:t>
            </w:r>
            <w:r w:rsidR="00802D7D" w:rsidRPr="008F1E6B">
              <w:rPr>
                <w:rFonts w:ascii="Times New Roman" w:eastAsia="標楷體" w:hAnsi="Times New Roman" w:cs="Times New Roman"/>
                <w:color w:val="000000" w:themeColor="text1"/>
              </w:rPr>
              <w:t>(</w:t>
            </w:r>
            <w:proofErr w:type="gramStart"/>
            <w:r w:rsidR="00802D7D" w:rsidRPr="008F1E6B">
              <w:rPr>
                <w:rFonts w:ascii="Times New Roman" w:eastAsia="標楷體" w:hAnsi="Times New Roman" w:cs="Times New Roman"/>
                <w:color w:val="000000" w:themeColor="text1"/>
              </w:rPr>
              <w:t>一</w:t>
            </w:r>
            <w:proofErr w:type="gramEnd"/>
            <w:r w:rsidR="00802D7D" w:rsidRPr="008F1E6B">
              <w:rPr>
                <w:rFonts w:ascii="Times New Roman" w:eastAsia="標楷體" w:hAnsi="Times New Roman" w:cs="Times New Roman"/>
                <w:color w:val="000000" w:themeColor="text1"/>
              </w:rPr>
              <w:t>)</w:t>
            </w:r>
            <w:r w:rsidRPr="008F1E6B">
              <w:rPr>
                <w:rFonts w:ascii="Times New Roman" w:eastAsia="標楷體" w:hAnsi="Times New Roman" w:cs="Times New Roman"/>
                <w:color w:val="000000" w:themeColor="text1"/>
              </w:rPr>
              <w:t xml:space="preserve"> </w:t>
            </w:r>
            <w:r w:rsidR="00B82940" w:rsidRPr="008F1E6B">
              <w:rPr>
                <w:rFonts w:ascii="Times New Roman" w:eastAsia="標楷體" w:hAnsi="Times New Roman" w:cs="Times New Roman"/>
                <w:color w:val="000000" w:themeColor="text1"/>
              </w:rPr>
              <w:t>每日之兩</w:t>
            </w:r>
            <w:proofErr w:type="gramStart"/>
            <w:r w:rsidR="00B82940" w:rsidRPr="008F1E6B">
              <w:rPr>
                <w:rFonts w:ascii="Times New Roman" w:eastAsia="標楷體" w:hAnsi="Times New Roman" w:cs="Times New Roman"/>
                <w:color w:val="000000" w:themeColor="text1"/>
              </w:rPr>
              <w:t>週</w:t>
            </w:r>
            <w:proofErr w:type="gramEnd"/>
            <w:r w:rsidR="00B82940" w:rsidRPr="008F1E6B">
              <w:rPr>
                <w:rFonts w:ascii="Times New Roman" w:eastAsia="標楷體" w:hAnsi="Times New Roman" w:cs="Times New Roman"/>
                <w:color w:val="000000" w:themeColor="text1"/>
              </w:rPr>
              <w:t>最佳一檔委託買進隱含波動率標準差（以下簡稱兩</w:t>
            </w:r>
            <w:proofErr w:type="gramStart"/>
            <w:r w:rsidR="00B82940" w:rsidRPr="008F1E6B">
              <w:rPr>
                <w:rFonts w:ascii="Times New Roman" w:eastAsia="標楷體" w:hAnsi="Times New Roman" w:cs="Times New Roman"/>
                <w:color w:val="000000" w:themeColor="text1"/>
              </w:rPr>
              <w:t>週</w:t>
            </w:r>
            <w:proofErr w:type="gramEnd"/>
            <w:r w:rsidR="00B82940" w:rsidRPr="008F1E6B">
              <w:rPr>
                <w:rFonts w:ascii="Times New Roman" w:eastAsia="標楷體" w:hAnsi="Times New Roman" w:cs="Times New Roman"/>
                <w:color w:val="000000" w:themeColor="text1"/>
              </w:rPr>
              <w:t>買</w:t>
            </w:r>
            <w:proofErr w:type="gramStart"/>
            <w:r w:rsidR="00B82940" w:rsidRPr="008F1E6B">
              <w:rPr>
                <w:rFonts w:ascii="Times New Roman" w:eastAsia="標楷體" w:hAnsi="Times New Roman" w:cs="Times New Roman"/>
                <w:color w:val="000000" w:themeColor="text1"/>
              </w:rPr>
              <w:t>一</w:t>
            </w:r>
            <w:proofErr w:type="gramEnd"/>
            <w:r w:rsidR="00B82940" w:rsidRPr="008F1E6B">
              <w:rPr>
                <w:rFonts w:ascii="Times New Roman" w:eastAsia="標楷體" w:hAnsi="Times New Roman" w:cs="Times New Roman"/>
                <w:color w:val="000000" w:themeColor="text1"/>
              </w:rPr>
              <w:t>隱波標準差）占百分之</w:t>
            </w:r>
            <w:r w:rsidR="00E913D3" w:rsidRPr="008F1E6B">
              <w:rPr>
                <w:rFonts w:ascii="Times New Roman" w:eastAsia="標楷體" w:hAnsi="Times New Roman" w:cs="Times New Roman"/>
                <w:color w:val="000000" w:themeColor="text1"/>
                <w:u w:val="single"/>
              </w:rPr>
              <w:t>三</w:t>
            </w:r>
            <w:r w:rsidR="00B82940" w:rsidRPr="008F1E6B">
              <w:rPr>
                <w:rFonts w:ascii="Times New Roman" w:eastAsia="標楷體" w:hAnsi="Times New Roman" w:cs="Times New Roman"/>
                <w:color w:val="000000" w:themeColor="text1"/>
                <w:u w:val="single"/>
              </w:rPr>
              <w:t>十</w:t>
            </w:r>
            <w:r w:rsidR="00B82940" w:rsidRPr="008F1E6B">
              <w:rPr>
                <w:rFonts w:ascii="Times New Roman" w:eastAsia="標楷體" w:hAnsi="Times New Roman" w:cs="Times New Roman"/>
                <w:color w:val="000000" w:themeColor="text1"/>
              </w:rPr>
              <w:t>。</w:t>
            </w:r>
          </w:p>
          <w:p w14:paraId="59FBCD68" w14:textId="77777777" w:rsidR="00802D7D" w:rsidRPr="008F1E6B" w:rsidRDefault="00B82940" w:rsidP="00802D7D">
            <w:pPr>
              <w:spacing w:line="360" w:lineRule="exact"/>
              <w:ind w:left="737" w:hangingChars="307" w:hanging="737"/>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（二）每日最佳一檔委託買進與賣出價差比（以下簡稱日買賣價差比）占百分之二十。</w:t>
            </w:r>
            <w:r w:rsidRPr="008F1E6B">
              <w:rPr>
                <w:rFonts w:ascii="Times New Roman" w:eastAsia="標楷體" w:hAnsi="Times New Roman" w:cs="Times New Roman"/>
                <w:color w:val="000000" w:themeColor="text1"/>
                <w:u w:val="single"/>
              </w:rPr>
              <w:t>如日買賣價差比低於</w:t>
            </w:r>
            <w:r w:rsidRPr="008F1E6B">
              <w:rPr>
                <w:rFonts w:ascii="Times New Roman" w:eastAsia="標楷體" w:hAnsi="Times New Roman" w:cs="Times New Roman"/>
                <w:color w:val="000000" w:themeColor="text1"/>
                <w:u w:val="single"/>
              </w:rPr>
              <w:t>0.5%</w:t>
            </w:r>
            <w:r w:rsidRPr="008F1E6B">
              <w:rPr>
                <w:rFonts w:ascii="Times New Roman" w:eastAsia="標楷體" w:hAnsi="Times New Roman" w:cs="Times New Roman"/>
                <w:color w:val="000000" w:themeColor="text1"/>
                <w:u w:val="single"/>
              </w:rPr>
              <w:t>時以</w:t>
            </w:r>
            <w:r w:rsidRPr="008F1E6B">
              <w:rPr>
                <w:rFonts w:ascii="Times New Roman" w:eastAsia="標楷體" w:hAnsi="Times New Roman" w:cs="Times New Roman"/>
                <w:color w:val="000000" w:themeColor="text1"/>
                <w:u w:val="single"/>
              </w:rPr>
              <w:t>0.5%</w:t>
            </w:r>
            <w:r w:rsidRPr="008F1E6B">
              <w:rPr>
                <w:rFonts w:ascii="Times New Roman" w:eastAsia="標楷體" w:hAnsi="Times New Roman" w:cs="Times New Roman"/>
                <w:color w:val="000000" w:themeColor="text1"/>
                <w:u w:val="single"/>
              </w:rPr>
              <w:t>計算</w:t>
            </w:r>
            <w:r w:rsidRPr="008F1E6B">
              <w:rPr>
                <w:rFonts w:ascii="Times New Roman" w:eastAsia="標楷體" w:hAnsi="Times New Roman" w:cs="Times New Roman"/>
                <w:color w:val="000000" w:themeColor="text1"/>
              </w:rPr>
              <w:t>。</w:t>
            </w:r>
            <w:r w:rsidRPr="008F1E6B">
              <w:rPr>
                <w:rFonts w:ascii="Times New Roman" w:eastAsia="標楷體" w:hAnsi="Times New Roman" w:cs="Times New Roman"/>
                <w:color w:val="000000" w:themeColor="text1"/>
              </w:rPr>
              <w:t xml:space="preserve"> </w:t>
            </w:r>
          </w:p>
          <w:p w14:paraId="2C03F369" w14:textId="77777777" w:rsidR="00B82940" w:rsidRPr="008F1E6B" w:rsidRDefault="00B82940" w:rsidP="00802D7D">
            <w:pPr>
              <w:spacing w:line="360" w:lineRule="exact"/>
              <w:ind w:left="737" w:hangingChars="307" w:hanging="737"/>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（三）每日最佳一檔委託買進金額（以下簡稱日買</w:t>
            </w:r>
            <w:proofErr w:type="gramStart"/>
            <w:r w:rsidRPr="008F1E6B">
              <w:rPr>
                <w:rFonts w:ascii="Times New Roman" w:eastAsia="標楷體" w:hAnsi="Times New Roman" w:cs="Times New Roman"/>
                <w:color w:val="000000" w:themeColor="text1"/>
              </w:rPr>
              <w:t>一</w:t>
            </w:r>
            <w:proofErr w:type="gramEnd"/>
            <w:r w:rsidRPr="008F1E6B">
              <w:rPr>
                <w:rFonts w:ascii="Times New Roman" w:eastAsia="標楷體" w:hAnsi="Times New Roman" w:cs="Times New Roman"/>
                <w:color w:val="000000" w:themeColor="text1"/>
              </w:rPr>
              <w:t>金額）占百分之二十。</w:t>
            </w:r>
            <w:r w:rsidRPr="008F1E6B">
              <w:rPr>
                <w:rFonts w:ascii="Times New Roman" w:eastAsia="標楷體" w:hAnsi="Times New Roman" w:cs="Times New Roman"/>
                <w:color w:val="000000" w:themeColor="text1"/>
                <w:u w:val="single"/>
              </w:rPr>
              <w:t>如日買</w:t>
            </w:r>
            <w:proofErr w:type="gramStart"/>
            <w:r w:rsidRPr="008F1E6B">
              <w:rPr>
                <w:rFonts w:ascii="Times New Roman" w:eastAsia="標楷體" w:hAnsi="Times New Roman" w:cs="Times New Roman"/>
                <w:color w:val="000000" w:themeColor="text1"/>
                <w:u w:val="single"/>
              </w:rPr>
              <w:t>一</w:t>
            </w:r>
            <w:proofErr w:type="gramEnd"/>
            <w:r w:rsidRPr="008F1E6B">
              <w:rPr>
                <w:rFonts w:ascii="Times New Roman" w:eastAsia="標楷體" w:hAnsi="Times New Roman" w:cs="Times New Roman"/>
                <w:color w:val="000000" w:themeColor="text1"/>
                <w:u w:val="single"/>
              </w:rPr>
              <w:t>金額高於</w:t>
            </w:r>
            <w:r w:rsidRPr="008F1E6B">
              <w:rPr>
                <w:rFonts w:ascii="Times New Roman" w:eastAsia="標楷體" w:hAnsi="Times New Roman" w:cs="Times New Roman"/>
                <w:color w:val="000000" w:themeColor="text1"/>
                <w:u w:val="single"/>
              </w:rPr>
              <w:t>50</w:t>
            </w:r>
            <w:r w:rsidRPr="008F1E6B">
              <w:rPr>
                <w:rFonts w:ascii="Times New Roman" w:eastAsia="標楷體" w:hAnsi="Times New Roman" w:cs="Times New Roman"/>
                <w:color w:val="000000" w:themeColor="text1"/>
                <w:u w:val="single"/>
              </w:rPr>
              <w:t>萬元時以</w:t>
            </w:r>
            <w:r w:rsidRPr="008F1E6B">
              <w:rPr>
                <w:rFonts w:ascii="Times New Roman" w:eastAsia="標楷體" w:hAnsi="Times New Roman" w:cs="Times New Roman"/>
                <w:color w:val="000000" w:themeColor="text1"/>
                <w:u w:val="single"/>
              </w:rPr>
              <w:t>50</w:t>
            </w:r>
            <w:r w:rsidRPr="008F1E6B">
              <w:rPr>
                <w:rFonts w:ascii="Times New Roman" w:eastAsia="標楷體" w:hAnsi="Times New Roman" w:cs="Times New Roman"/>
                <w:color w:val="000000" w:themeColor="text1"/>
                <w:u w:val="single"/>
              </w:rPr>
              <w:t>萬元計算</w:t>
            </w:r>
            <w:r w:rsidRPr="008F1E6B">
              <w:rPr>
                <w:rFonts w:ascii="Times New Roman" w:eastAsia="標楷體" w:hAnsi="Times New Roman" w:cs="Times New Roman"/>
                <w:color w:val="000000" w:themeColor="text1"/>
              </w:rPr>
              <w:t>。</w:t>
            </w:r>
          </w:p>
        </w:tc>
        <w:tc>
          <w:tcPr>
            <w:tcW w:w="3402" w:type="dxa"/>
            <w:tcBorders>
              <w:bottom w:val="single" w:sz="4" w:space="0" w:color="000000" w:themeColor="text1"/>
            </w:tcBorders>
          </w:tcPr>
          <w:p w14:paraId="2E9DDAD0" w14:textId="77777777" w:rsidR="00B82940" w:rsidRPr="008F1E6B" w:rsidRDefault="000C0D96" w:rsidP="00DA3FF6">
            <w:pPr>
              <w:spacing w:line="360" w:lineRule="exact"/>
              <w:ind w:leftChars="-42" w:left="-101"/>
              <w:jc w:val="both"/>
              <w:rPr>
                <w:rFonts w:ascii="Times New Roman" w:eastAsia="標楷體" w:hAnsi="Times New Roman" w:cs="Times New Roman"/>
                <w:color w:val="000000" w:themeColor="text1"/>
                <w:szCs w:val="24"/>
              </w:rPr>
            </w:pPr>
            <w:hyperlink r:id="rId9" w:history="1">
              <w:r w:rsidR="00B82940" w:rsidRPr="008F1E6B">
                <w:rPr>
                  <w:rFonts w:ascii="Times New Roman" w:eastAsia="標楷體" w:hAnsi="Times New Roman" w:cs="Times New Roman"/>
                  <w:color w:val="000000" w:themeColor="text1"/>
                  <w:szCs w:val="24"/>
                </w:rPr>
                <w:t>第三條</w:t>
              </w:r>
            </w:hyperlink>
            <w:r w:rsidR="00B82940" w:rsidRPr="008F1E6B">
              <w:rPr>
                <w:rFonts w:ascii="Times New Roman" w:eastAsia="標楷體" w:hAnsi="Times New Roman" w:cs="Times New Roman"/>
                <w:color w:val="000000" w:themeColor="text1"/>
                <w:szCs w:val="24"/>
              </w:rPr>
              <w:t xml:space="preserve"> </w:t>
            </w:r>
          </w:p>
          <w:p w14:paraId="78E024F7" w14:textId="77777777" w:rsidR="00B82940" w:rsidRPr="008F1E6B" w:rsidRDefault="00B82940" w:rsidP="00DA3FF6">
            <w:pPr>
              <w:spacing w:line="360" w:lineRule="exact"/>
              <w:ind w:leftChars="-42" w:left="-101"/>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認購（售）權證發行人評等指標項目及權重如下：</w:t>
            </w:r>
          </w:p>
          <w:p w14:paraId="49F71BE7" w14:textId="77777777" w:rsidR="00E36EDF" w:rsidRPr="008F1E6B" w:rsidRDefault="00B82940" w:rsidP="00E36EDF">
            <w:pPr>
              <w:pStyle w:val="a8"/>
              <w:numPr>
                <w:ilvl w:val="0"/>
                <w:numId w:val="5"/>
              </w:numPr>
              <w:spacing w:line="360" w:lineRule="exact"/>
              <w:ind w:leftChars="0" w:left="464" w:hanging="565"/>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週轉率之指標及權重：發行人之上市（櫃）權證日平均成交金額週轉率占百分之</w:t>
            </w:r>
            <w:r w:rsidRPr="008F1E6B">
              <w:rPr>
                <w:rFonts w:ascii="Times New Roman" w:eastAsia="標楷體" w:hAnsi="Times New Roman" w:cs="Times New Roman"/>
                <w:color w:val="000000" w:themeColor="text1"/>
                <w:u w:val="single"/>
              </w:rPr>
              <w:t>四十</w:t>
            </w:r>
            <w:r w:rsidRPr="008F1E6B">
              <w:rPr>
                <w:rFonts w:ascii="Times New Roman" w:eastAsia="標楷體" w:hAnsi="Times New Roman" w:cs="Times New Roman"/>
                <w:color w:val="000000" w:themeColor="text1"/>
              </w:rPr>
              <w:t>。</w:t>
            </w:r>
          </w:p>
          <w:p w14:paraId="27F656A5" w14:textId="77777777" w:rsidR="00B82940" w:rsidRPr="008F1E6B" w:rsidRDefault="00B82940" w:rsidP="00532100">
            <w:pPr>
              <w:pStyle w:val="a8"/>
              <w:numPr>
                <w:ilvl w:val="0"/>
                <w:numId w:val="5"/>
              </w:numPr>
              <w:spacing w:line="360" w:lineRule="exact"/>
              <w:ind w:leftChars="0"/>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造市品質之指標及權重：</w:t>
            </w:r>
          </w:p>
          <w:p w14:paraId="3066B6BC" w14:textId="77777777" w:rsidR="009D5CF5" w:rsidRPr="008F1E6B" w:rsidRDefault="009D5CF5" w:rsidP="009D5CF5">
            <w:pPr>
              <w:spacing w:line="360" w:lineRule="exact"/>
              <w:ind w:leftChars="-116" w:left="749" w:hangingChars="428" w:hanging="1027"/>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 xml:space="preserve">   (</w:t>
            </w:r>
            <w:proofErr w:type="gramStart"/>
            <w:r w:rsidRPr="008F1E6B">
              <w:rPr>
                <w:rFonts w:ascii="Times New Roman" w:eastAsia="標楷體" w:hAnsi="Times New Roman" w:cs="Times New Roman"/>
                <w:color w:val="000000" w:themeColor="text1"/>
              </w:rPr>
              <w:t>一</w:t>
            </w:r>
            <w:proofErr w:type="gramEnd"/>
            <w:r w:rsidRPr="008F1E6B">
              <w:rPr>
                <w:rFonts w:ascii="Times New Roman" w:eastAsia="標楷體" w:hAnsi="Times New Roman" w:cs="Times New Roman"/>
                <w:color w:val="000000" w:themeColor="text1"/>
              </w:rPr>
              <w:t xml:space="preserve">) </w:t>
            </w:r>
            <w:r w:rsidR="00B82940" w:rsidRPr="008F1E6B">
              <w:rPr>
                <w:rFonts w:ascii="Times New Roman" w:eastAsia="標楷體" w:hAnsi="Times New Roman" w:cs="Times New Roman"/>
                <w:color w:val="000000" w:themeColor="text1"/>
              </w:rPr>
              <w:t>每日之兩</w:t>
            </w:r>
            <w:proofErr w:type="gramStart"/>
            <w:r w:rsidR="00B82940" w:rsidRPr="008F1E6B">
              <w:rPr>
                <w:rFonts w:ascii="Times New Roman" w:eastAsia="標楷體" w:hAnsi="Times New Roman" w:cs="Times New Roman"/>
                <w:color w:val="000000" w:themeColor="text1"/>
              </w:rPr>
              <w:t>週</w:t>
            </w:r>
            <w:proofErr w:type="gramEnd"/>
            <w:r w:rsidR="00B82940" w:rsidRPr="008F1E6B">
              <w:rPr>
                <w:rFonts w:ascii="Times New Roman" w:eastAsia="標楷體" w:hAnsi="Times New Roman" w:cs="Times New Roman"/>
                <w:color w:val="000000" w:themeColor="text1"/>
              </w:rPr>
              <w:t>最佳一檔委託買進隱含波動率標準差（以下簡稱兩</w:t>
            </w:r>
            <w:proofErr w:type="gramStart"/>
            <w:r w:rsidR="00B82940" w:rsidRPr="008F1E6B">
              <w:rPr>
                <w:rFonts w:ascii="Times New Roman" w:eastAsia="標楷體" w:hAnsi="Times New Roman" w:cs="Times New Roman"/>
                <w:color w:val="000000" w:themeColor="text1"/>
              </w:rPr>
              <w:t>週</w:t>
            </w:r>
            <w:proofErr w:type="gramEnd"/>
            <w:r w:rsidR="00B82940" w:rsidRPr="008F1E6B">
              <w:rPr>
                <w:rFonts w:ascii="Times New Roman" w:eastAsia="標楷體" w:hAnsi="Times New Roman" w:cs="Times New Roman"/>
                <w:color w:val="000000" w:themeColor="text1"/>
              </w:rPr>
              <w:t>買</w:t>
            </w:r>
            <w:proofErr w:type="gramStart"/>
            <w:r w:rsidR="00B82940" w:rsidRPr="008F1E6B">
              <w:rPr>
                <w:rFonts w:ascii="Times New Roman" w:eastAsia="標楷體" w:hAnsi="Times New Roman" w:cs="Times New Roman"/>
                <w:color w:val="000000" w:themeColor="text1"/>
              </w:rPr>
              <w:t>一</w:t>
            </w:r>
            <w:proofErr w:type="gramEnd"/>
            <w:r w:rsidR="00B82940" w:rsidRPr="008F1E6B">
              <w:rPr>
                <w:rFonts w:ascii="Times New Roman" w:eastAsia="標楷體" w:hAnsi="Times New Roman" w:cs="Times New Roman"/>
                <w:color w:val="000000" w:themeColor="text1"/>
              </w:rPr>
              <w:t>隱波標準差）占百分之</w:t>
            </w:r>
            <w:r w:rsidR="00B82940" w:rsidRPr="008F1E6B">
              <w:rPr>
                <w:rFonts w:ascii="Times New Roman" w:eastAsia="標楷體" w:hAnsi="Times New Roman" w:cs="Times New Roman"/>
                <w:color w:val="000000" w:themeColor="text1"/>
                <w:u w:val="single"/>
              </w:rPr>
              <w:t>二十</w:t>
            </w:r>
            <w:r w:rsidR="00B82940" w:rsidRPr="008F1E6B">
              <w:rPr>
                <w:rFonts w:ascii="Times New Roman" w:eastAsia="標楷體" w:hAnsi="Times New Roman" w:cs="Times New Roman"/>
                <w:color w:val="000000" w:themeColor="text1"/>
              </w:rPr>
              <w:t>。</w:t>
            </w:r>
          </w:p>
          <w:p w14:paraId="6F7D0603" w14:textId="77777777" w:rsidR="009D5CF5" w:rsidRPr="008F1E6B" w:rsidRDefault="00B82940" w:rsidP="009D5CF5">
            <w:pPr>
              <w:spacing w:line="360" w:lineRule="exact"/>
              <w:ind w:leftChars="1" w:left="746" w:hangingChars="310" w:hanging="744"/>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（二）每日最佳一檔委託買進與賣出價差比（以下簡稱日買賣價差比）占百分之二十。</w:t>
            </w:r>
          </w:p>
          <w:p w14:paraId="2A5C9861" w14:textId="77777777" w:rsidR="00B82940" w:rsidRPr="008F1E6B" w:rsidRDefault="00B82940" w:rsidP="009D5CF5">
            <w:pPr>
              <w:spacing w:line="360" w:lineRule="exact"/>
              <w:ind w:leftChars="1" w:left="746" w:hangingChars="310" w:hanging="744"/>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（三）每日最佳一檔委託買進金額（以下簡稱日買</w:t>
            </w:r>
            <w:proofErr w:type="gramStart"/>
            <w:r w:rsidRPr="008F1E6B">
              <w:rPr>
                <w:rFonts w:ascii="Times New Roman" w:eastAsia="標楷體" w:hAnsi="Times New Roman" w:cs="Times New Roman"/>
                <w:color w:val="000000" w:themeColor="text1"/>
              </w:rPr>
              <w:t>一</w:t>
            </w:r>
            <w:proofErr w:type="gramEnd"/>
            <w:r w:rsidRPr="008F1E6B">
              <w:rPr>
                <w:rFonts w:ascii="Times New Roman" w:eastAsia="標楷體" w:hAnsi="Times New Roman" w:cs="Times New Roman"/>
                <w:color w:val="000000" w:themeColor="text1"/>
              </w:rPr>
              <w:t>金額）占百分之二十。</w:t>
            </w:r>
          </w:p>
        </w:tc>
        <w:tc>
          <w:tcPr>
            <w:tcW w:w="3402" w:type="dxa"/>
            <w:tcBorders>
              <w:bottom w:val="single" w:sz="4" w:space="0" w:color="000000" w:themeColor="text1"/>
            </w:tcBorders>
          </w:tcPr>
          <w:p w14:paraId="3D4E7B4F" w14:textId="77777777" w:rsidR="00B82940" w:rsidRPr="008F1E6B" w:rsidRDefault="00E913D3" w:rsidP="00942175">
            <w:pPr>
              <w:pStyle w:val="a8"/>
              <w:numPr>
                <w:ilvl w:val="0"/>
                <w:numId w:val="1"/>
              </w:numPr>
              <w:spacing w:line="360" w:lineRule="exact"/>
              <w:ind w:leftChars="0"/>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為提升權證報價穩定度之重要性，</w:t>
            </w:r>
            <w:proofErr w:type="gramStart"/>
            <w:r w:rsidR="00942175" w:rsidRPr="008F1E6B">
              <w:rPr>
                <w:rFonts w:ascii="Times New Roman" w:eastAsia="標楷體" w:hAnsi="Times New Roman" w:cs="Times New Roman"/>
                <w:color w:val="000000" w:themeColor="text1"/>
              </w:rPr>
              <w:t>爰</w:t>
            </w:r>
            <w:proofErr w:type="gramEnd"/>
            <w:r w:rsidR="00942175" w:rsidRPr="008F1E6B">
              <w:rPr>
                <w:rFonts w:ascii="Times New Roman" w:eastAsia="標楷體" w:hAnsi="Times New Roman" w:cs="Times New Roman"/>
                <w:color w:val="000000" w:themeColor="text1"/>
              </w:rPr>
              <w:t>修訂本條第一款及第二款</w:t>
            </w:r>
            <w:proofErr w:type="gramStart"/>
            <w:r w:rsidR="00942175" w:rsidRPr="008F1E6B">
              <w:rPr>
                <w:rFonts w:ascii="Times New Roman" w:eastAsia="標楷體" w:hAnsi="Times New Roman" w:cs="Times New Roman"/>
                <w:color w:val="000000" w:themeColor="text1"/>
              </w:rPr>
              <w:t>第一目評等</w:t>
            </w:r>
            <w:proofErr w:type="gramEnd"/>
            <w:r w:rsidR="00942175" w:rsidRPr="008F1E6B">
              <w:rPr>
                <w:rFonts w:ascii="Times New Roman" w:eastAsia="標楷體" w:hAnsi="Times New Roman" w:cs="Times New Roman"/>
                <w:color w:val="000000" w:themeColor="text1"/>
              </w:rPr>
              <w:t>指標之權重，</w:t>
            </w:r>
            <w:r w:rsidRPr="008F1E6B">
              <w:rPr>
                <w:rFonts w:ascii="Times New Roman" w:eastAsia="標楷體" w:hAnsi="Times New Roman" w:cs="Times New Roman"/>
                <w:color w:val="000000" w:themeColor="text1"/>
              </w:rPr>
              <w:t>將</w:t>
            </w:r>
            <w:r w:rsidR="005E523D" w:rsidRPr="008F1E6B">
              <w:rPr>
                <w:rFonts w:ascii="Times New Roman" w:eastAsia="標楷體" w:hAnsi="Times New Roman" w:cs="Times New Roman"/>
                <w:color w:val="000000" w:themeColor="text1"/>
              </w:rPr>
              <w:t>「週轉率」之權重調降為</w:t>
            </w:r>
            <w:r w:rsidR="005E523D" w:rsidRPr="008F1E6B">
              <w:rPr>
                <w:rFonts w:ascii="Times New Roman" w:eastAsia="標楷體" w:hAnsi="Times New Roman" w:cs="Times New Roman"/>
                <w:color w:val="000000" w:themeColor="text1"/>
              </w:rPr>
              <w:t>30%</w:t>
            </w:r>
            <w:r w:rsidR="005E523D" w:rsidRPr="008F1E6B">
              <w:rPr>
                <w:rFonts w:ascii="Times New Roman" w:eastAsia="標楷體" w:hAnsi="Times New Roman" w:cs="Times New Roman"/>
                <w:color w:val="000000" w:themeColor="text1"/>
              </w:rPr>
              <w:t>，</w:t>
            </w:r>
            <w:r w:rsidRPr="008F1E6B">
              <w:rPr>
                <w:rFonts w:ascii="Times New Roman" w:eastAsia="標楷體" w:hAnsi="Times New Roman" w:cs="Times New Roman"/>
                <w:color w:val="000000" w:themeColor="text1"/>
              </w:rPr>
              <w:t>「兩</w:t>
            </w:r>
            <w:proofErr w:type="gramStart"/>
            <w:r w:rsidRPr="008F1E6B">
              <w:rPr>
                <w:rFonts w:ascii="Times New Roman" w:eastAsia="標楷體" w:hAnsi="Times New Roman" w:cs="Times New Roman"/>
                <w:color w:val="000000" w:themeColor="text1"/>
              </w:rPr>
              <w:t>週</w:t>
            </w:r>
            <w:proofErr w:type="gramEnd"/>
            <w:r w:rsidRPr="008F1E6B">
              <w:rPr>
                <w:rFonts w:ascii="Times New Roman" w:eastAsia="標楷體" w:hAnsi="Times New Roman" w:cs="Times New Roman"/>
                <w:color w:val="000000" w:themeColor="text1"/>
              </w:rPr>
              <w:t>買</w:t>
            </w:r>
            <w:proofErr w:type="gramStart"/>
            <w:r w:rsidRPr="008F1E6B">
              <w:rPr>
                <w:rFonts w:ascii="Times New Roman" w:eastAsia="標楷體" w:hAnsi="Times New Roman" w:cs="Times New Roman"/>
                <w:color w:val="000000" w:themeColor="text1"/>
              </w:rPr>
              <w:t>一隱波標準</w:t>
            </w:r>
            <w:proofErr w:type="gramEnd"/>
            <w:r w:rsidRPr="008F1E6B">
              <w:rPr>
                <w:rFonts w:ascii="Times New Roman" w:eastAsia="標楷體" w:hAnsi="Times New Roman" w:cs="Times New Roman"/>
                <w:color w:val="000000" w:themeColor="text1"/>
              </w:rPr>
              <w:t>差」之權重調升為</w:t>
            </w:r>
            <w:r w:rsidRPr="008F1E6B">
              <w:rPr>
                <w:rFonts w:ascii="Times New Roman" w:eastAsia="標楷體" w:hAnsi="Times New Roman" w:cs="Times New Roman"/>
                <w:color w:val="000000" w:themeColor="text1"/>
              </w:rPr>
              <w:t>30%</w:t>
            </w:r>
            <w:r w:rsidR="00B82940" w:rsidRPr="008F1E6B">
              <w:rPr>
                <w:rFonts w:ascii="Times New Roman" w:eastAsia="標楷體" w:hAnsi="Times New Roman" w:cs="Times New Roman"/>
                <w:color w:val="000000" w:themeColor="text1"/>
              </w:rPr>
              <w:t>。</w:t>
            </w:r>
          </w:p>
          <w:p w14:paraId="06DD56C7" w14:textId="77777777" w:rsidR="00B82940" w:rsidRPr="008F1E6B" w:rsidRDefault="00E913D3" w:rsidP="00F23E44">
            <w:pPr>
              <w:pStyle w:val="a8"/>
              <w:numPr>
                <w:ilvl w:val="0"/>
                <w:numId w:val="1"/>
              </w:numPr>
              <w:spacing w:line="360" w:lineRule="exact"/>
              <w:ind w:leftChars="0"/>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另為增加評等指標之鑑別力，於「每日最佳一檔委託買進與賣出價差比」指標設定下限，新增價差比低於</w:t>
            </w:r>
            <w:r w:rsidRPr="008F1E6B">
              <w:rPr>
                <w:rFonts w:ascii="Times New Roman" w:eastAsia="標楷體" w:hAnsi="Times New Roman" w:cs="Times New Roman"/>
                <w:color w:val="000000" w:themeColor="text1"/>
              </w:rPr>
              <w:t>0.5%</w:t>
            </w:r>
            <w:r w:rsidRPr="008F1E6B">
              <w:rPr>
                <w:rFonts w:ascii="Times New Roman" w:eastAsia="標楷體" w:hAnsi="Times New Roman" w:cs="Times New Roman"/>
                <w:color w:val="000000" w:themeColor="text1"/>
              </w:rPr>
              <w:t>時以</w:t>
            </w:r>
            <w:r w:rsidRPr="008F1E6B">
              <w:rPr>
                <w:rFonts w:ascii="Times New Roman" w:eastAsia="標楷體" w:hAnsi="Times New Roman" w:cs="Times New Roman"/>
                <w:color w:val="000000" w:themeColor="text1"/>
              </w:rPr>
              <w:t>0.5%</w:t>
            </w:r>
            <w:r w:rsidRPr="008F1E6B">
              <w:rPr>
                <w:rFonts w:ascii="Times New Roman" w:eastAsia="標楷體" w:hAnsi="Times New Roman" w:cs="Times New Roman"/>
                <w:color w:val="000000" w:themeColor="text1"/>
              </w:rPr>
              <w:t>計算之規定，並於「每日最佳一檔委託買進金額」指標新增日買</w:t>
            </w:r>
            <w:proofErr w:type="gramStart"/>
            <w:r w:rsidRPr="008F1E6B">
              <w:rPr>
                <w:rFonts w:ascii="Times New Roman" w:eastAsia="標楷體" w:hAnsi="Times New Roman" w:cs="Times New Roman"/>
                <w:color w:val="000000" w:themeColor="text1"/>
              </w:rPr>
              <w:t>一</w:t>
            </w:r>
            <w:proofErr w:type="gramEnd"/>
            <w:r w:rsidRPr="008F1E6B">
              <w:rPr>
                <w:rFonts w:ascii="Times New Roman" w:eastAsia="標楷體" w:hAnsi="Times New Roman" w:cs="Times New Roman"/>
                <w:color w:val="000000" w:themeColor="text1"/>
              </w:rPr>
              <w:t>金額</w:t>
            </w:r>
            <w:r w:rsidRPr="008F1E6B">
              <w:rPr>
                <w:rFonts w:ascii="Times New Roman" w:eastAsia="標楷體" w:hAnsi="Times New Roman" w:cs="Times New Roman"/>
                <w:color w:val="000000" w:themeColor="text1"/>
              </w:rPr>
              <w:t>50</w:t>
            </w:r>
            <w:r w:rsidRPr="008F1E6B">
              <w:rPr>
                <w:rFonts w:ascii="Times New Roman" w:eastAsia="標楷體" w:hAnsi="Times New Roman" w:cs="Times New Roman"/>
                <w:color w:val="000000" w:themeColor="text1"/>
              </w:rPr>
              <w:t>萬元之上限</w:t>
            </w:r>
            <w:r w:rsidR="00F23E44" w:rsidRPr="008F1E6B">
              <w:rPr>
                <w:rFonts w:ascii="Times New Roman" w:eastAsia="標楷體" w:hAnsi="Times New Roman" w:cs="Times New Roman"/>
                <w:color w:val="000000" w:themeColor="text1"/>
              </w:rPr>
              <w:t>，</w:t>
            </w:r>
            <w:proofErr w:type="gramStart"/>
            <w:r w:rsidR="00F23E44" w:rsidRPr="008F1E6B">
              <w:rPr>
                <w:rFonts w:ascii="Times New Roman" w:eastAsia="標楷體" w:hAnsi="Times New Roman" w:cs="Times New Roman"/>
                <w:color w:val="000000" w:themeColor="text1"/>
              </w:rPr>
              <w:t>爰</w:t>
            </w:r>
            <w:proofErr w:type="gramEnd"/>
            <w:r w:rsidR="00F23E44" w:rsidRPr="008F1E6B">
              <w:rPr>
                <w:rFonts w:ascii="Times New Roman" w:eastAsia="標楷體" w:hAnsi="Times New Roman" w:cs="Times New Roman"/>
                <w:color w:val="000000" w:themeColor="text1"/>
              </w:rPr>
              <w:t>修訂本條第二款第二、三目之規定</w:t>
            </w:r>
            <w:r w:rsidR="00B82940" w:rsidRPr="008F1E6B">
              <w:rPr>
                <w:rFonts w:ascii="Times New Roman" w:eastAsia="標楷體" w:hAnsi="Times New Roman" w:cs="Times New Roman"/>
                <w:color w:val="000000" w:themeColor="text1"/>
              </w:rPr>
              <w:t>。</w:t>
            </w:r>
          </w:p>
          <w:p w14:paraId="7456B1EF" w14:textId="77777777" w:rsidR="00B82940" w:rsidRPr="008F1E6B" w:rsidRDefault="00B82940" w:rsidP="004E7F22">
            <w:pPr>
              <w:spacing w:line="360" w:lineRule="exact"/>
              <w:jc w:val="both"/>
              <w:rPr>
                <w:rFonts w:ascii="Times New Roman" w:eastAsia="標楷體" w:hAnsi="Times New Roman" w:cs="Times New Roman"/>
                <w:color w:val="000000" w:themeColor="text1"/>
              </w:rPr>
            </w:pPr>
          </w:p>
        </w:tc>
      </w:tr>
      <w:tr w:rsidR="006027D3" w:rsidRPr="008F1E6B" w14:paraId="6F7B3717" w14:textId="77777777" w:rsidTr="006027D3">
        <w:trPr>
          <w:trHeight w:val="2955"/>
        </w:trPr>
        <w:tc>
          <w:tcPr>
            <w:tcW w:w="3397" w:type="dxa"/>
            <w:tcBorders>
              <w:top w:val="single" w:sz="4" w:space="0" w:color="000000" w:themeColor="text1"/>
              <w:bottom w:val="single" w:sz="4" w:space="0" w:color="000000" w:themeColor="text1"/>
            </w:tcBorders>
          </w:tcPr>
          <w:p w14:paraId="20014193" w14:textId="77777777" w:rsidR="006027D3" w:rsidRPr="008F1E6B" w:rsidRDefault="000C0D96" w:rsidP="006027D3">
            <w:pPr>
              <w:spacing w:line="360" w:lineRule="exact"/>
              <w:ind w:leftChars="-47" w:left="-113"/>
              <w:jc w:val="both"/>
              <w:rPr>
                <w:rFonts w:ascii="Times New Roman" w:eastAsia="標楷體" w:hAnsi="Times New Roman" w:cs="Times New Roman"/>
                <w:color w:val="000000" w:themeColor="text1"/>
                <w:szCs w:val="24"/>
              </w:rPr>
            </w:pPr>
            <w:hyperlink r:id="rId10" w:history="1">
              <w:r w:rsidR="006027D3" w:rsidRPr="008F1E6B">
                <w:rPr>
                  <w:rFonts w:ascii="Times New Roman" w:eastAsia="標楷體" w:hAnsi="Times New Roman" w:cs="Times New Roman"/>
                  <w:color w:val="000000" w:themeColor="text1"/>
                  <w:szCs w:val="24"/>
                </w:rPr>
                <w:t>第四條</w:t>
              </w:r>
            </w:hyperlink>
            <w:r w:rsidR="006027D3" w:rsidRPr="008F1E6B">
              <w:rPr>
                <w:rFonts w:ascii="Times New Roman" w:eastAsia="標楷體" w:hAnsi="Times New Roman" w:cs="Times New Roman"/>
                <w:color w:val="000000" w:themeColor="text1"/>
                <w:szCs w:val="24"/>
              </w:rPr>
              <w:t xml:space="preserve"> </w:t>
            </w:r>
          </w:p>
          <w:p w14:paraId="6B3D6630" w14:textId="77777777" w:rsidR="006027D3" w:rsidRPr="008F1E6B" w:rsidRDefault="006027D3" w:rsidP="006027D3">
            <w:pPr>
              <w:spacing w:line="360" w:lineRule="exact"/>
              <w:ind w:leftChars="-47" w:left="-113"/>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對認購（售）權證發行人評等之資料來源與範圍包含下列各款：</w:t>
            </w:r>
          </w:p>
          <w:p w14:paraId="2D862BB6" w14:textId="77777777" w:rsidR="006027D3" w:rsidRPr="008F1E6B" w:rsidRDefault="006027D3" w:rsidP="006027D3">
            <w:pPr>
              <w:pStyle w:val="a8"/>
              <w:numPr>
                <w:ilvl w:val="0"/>
                <w:numId w:val="6"/>
              </w:numPr>
              <w:tabs>
                <w:tab w:val="left" w:pos="626"/>
              </w:tabs>
              <w:spacing w:line="360" w:lineRule="exact"/>
              <w:ind w:leftChars="0" w:left="454" w:hanging="593"/>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發行人之上市（櫃）權證成交金額。</w:t>
            </w:r>
          </w:p>
          <w:p w14:paraId="0F47AABB" w14:textId="77777777" w:rsidR="006027D3" w:rsidRPr="008F1E6B" w:rsidRDefault="006027D3" w:rsidP="006027D3">
            <w:pPr>
              <w:pStyle w:val="a8"/>
              <w:numPr>
                <w:ilvl w:val="0"/>
                <w:numId w:val="6"/>
              </w:numPr>
              <w:tabs>
                <w:tab w:val="left" w:pos="626"/>
              </w:tabs>
              <w:spacing w:line="360" w:lineRule="exact"/>
              <w:ind w:leftChars="0" w:left="454" w:hanging="593"/>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發行人之上市（櫃）權證市值。</w:t>
            </w:r>
          </w:p>
          <w:p w14:paraId="4B6D7198" w14:textId="77777777" w:rsidR="006027D3" w:rsidRPr="008F1E6B" w:rsidRDefault="006027D3" w:rsidP="006027D3">
            <w:pPr>
              <w:pStyle w:val="a8"/>
              <w:numPr>
                <w:ilvl w:val="0"/>
                <w:numId w:val="6"/>
              </w:numPr>
              <w:tabs>
                <w:tab w:val="left" w:pos="626"/>
              </w:tabs>
              <w:spacing w:line="360" w:lineRule="exact"/>
              <w:ind w:leftChars="0" w:left="454" w:hanging="593"/>
              <w:jc w:val="both"/>
              <w:rPr>
                <w:rFonts w:ascii="Times New Roman" w:hAnsi="Times New Roman" w:cs="Times New Roman"/>
              </w:rPr>
            </w:pPr>
            <w:r w:rsidRPr="008F1E6B">
              <w:rPr>
                <w:rFonts w:ascii="Times New Roman" w:eastAsia="標楷體" w:hAnsi="Times New Roman" w:cs="Times New Roman"/>
                <w:color w:val="000000" w:themeColor="text1"/>
              </w:rPr>
              <w:t>權證資訊揭露平台之資料中，選取價內</w:t>
            </w:r>
            <w:proofErr w:type="gramStart"/>
            <w:r w:rsidRPr="008F1E6B">
              <w:rPr>
                <w:rFonts w:ascii="Times New Roman" w:eastAsia="標楷體" w:hAnsi="Times New Roman" w:cs="Times New Roman"/>
                <w:color w:val="000000" w:themeColor="text1"/>
              </w:rPr>
              <w:t>百分之十至價外</w:t>
            </w:r>
            <w:proofErr w:type="gramEnd"/>
            <w:r w:rsidRPr="008F1E6B">
              <w:rPr>
                <w:rFonts w:ascii="Times New Roman" w:eastAsia="標楷體" w:hAnsi="Times New Roman" w:cs="Times New Roman"/>
                <w:color w:val="000000" w:themeColor="text1"/>
              </w:rPr>
              <w:t>百分之二十</w:t>
            </w:r>
            <w:r w:rsidRPr="008F1E6B">
              <w:rPr>
                <w:rFonts w:ascii="Times New Roman" w:eastAsia="標楷體" w:hAnsi="Times New Roman" w:cs="Times New Roman"/>
                <w:color w:val="000000" w:themeColor="text1"/>
                <w:u w:val="single"/>
              </w:rPr>
              <w:t>，</w:t>
            </w:r>
            <w:proofErr w:type="gramStart"/>
            <w:r w:rsidRPr="008F1E6B">
              <w:rPr>
                <w:rFonts w:ascii="Times New Roman" w:eastAsia="標楷體" w:hAnsi="Times New Roman" w:cs="Times New Roman"/>
                <w:color w:val="000000" w:themeColor="text1"/>
                <w:u w:val="single"/>
              </w:rPr>
              <w:t>及價外</w:t>
            </w:r>
            <w:proofErr w:type="gramEnd"/>
            <w:r w:rsidRPr="008F1E6B">
              <w:rPr>
                <w:rFonts w:ascii="Times New Roman" w:eastAsia="標楷體" w:hAnsi="Times New Roman" w:cs="Times New Roman"/>
                <w:color w:val="000000" w:themeColor="text1"/>
                <w:u w:val="single"/>
              </w:rPr>
              <w:lastRenderedPageBreak/>
              <w:t>超過百分之二十但發行人最佳一檔委託買進價格大於或等於</w:t>
            </w:r>
            <w:r w:rsidRPr="008F1E6B">
              <w:rPr>
                <w:rFonts w:ascii="Times New Roman" w:eastAsia="標楷體" w:hAnsi="Times New Roman" w:cs="Times New Roman"/>
                <w:color w:val="000000" w:themeColor="text1"/>
                <w:u w:val="single"/>
              </w:rPr>
              <w:t>0.6</w:t>
            </w:r>
            <w:r w:rsidRPr="008F1E6B">
              <w:rPr>
                <w:rFonts w:ascii="Times New Roman" w:eastAsia="標楷體" w:hAnsi="Times New Roman" w:cs="Times New Roman"/>
                <w:color w:val="000000" w:themeColor="text1"/>
                <w:u w:val="single"/>
              </w:rPr>
              <w:t>元</w:t>
            </w:r>
            <w:r w:rsidRPr="008F1E6B">
              <w:rPr>
                <w:rFonts w:ascii="Times New Roman" w:eastAsia="標楷體" w:hAnsi="Times New Roman" w:cs="Times New Roman"/>
                <w:color w:val="000000" w:themeColor="text1"/>
              </w:rPr>
              <w:t>，且各標的上市（櫃）檔數達十檔（含）以上之權證。但距到期日十五</w:t>
            </w:r>
            <w:proofErr w:type="gramStart"/>
            <w:r w:rsidRPr="008F1E6B">
              <w:rPr>
                <w:rFonts w:ascii="Times New Roman" w:eastAsia="標楷體" w:hAnsi="Times New Roman" w:cs="Times New Roman"/>
                <w:color w:val="000000" w:themeColor="text1"/>
              </w:rPr>
              <w:t>個</w:t>
            </w:r>
            <w:proofErr w:type="gramEnd"/>
            <w:r w:rsidRPr="008F1E6B">
              <w:rPr>
                <w:rFonts w:ascii="Times New Roman" w:eastAsia="標楷體" w:hAnsi="Times New Roman" w:cs="Times New Roman"/>
                <w:color w:val="000000" w:themeColor="text1"/>
              </w:rPr>
              <w:t>交易日以內之權證不列入前開選取範圍。</w:t>
            </w:r>
          </w:p>
        </w:tc>
        <w:tc>
          <w:tcPr>
            <w:tcW w:w="3402" w:type="dxa"/>
            <w:tcBorders>
              <w:top w:val="single" w:sz="4" w:space="0" w:color="000000" w:themeColor="text1"/>
              <w:bottom w:val="single" w:sz="4" w:space="0" w:color="000000" w:themeColor="text1"/>
            </w:tcBorders>
          </w:tcPr>
          <w:p w14:paraId="40ABADC2" w14:textId="77777777" w:rsidR="006027D3" w:rsidRPr="008F1E6B" w:rsidRDefault="000C0D96" w:rsidP="006027D3">
            <w:pPr>
              <w:spacing w:line="360" w:lineRule="exact"/>
              <w:ind w:leftChars="-42" w:left="-101"/>
              <w:jc w:val="both"/>
              <w:rPr>
                <w:rFonts w:ascii="Times New Roman" w:eastAsia="標楷體" w:hAnsi="Times New Roman" w:cs="Times New Roman"/>
                <w:color w:val="000000" w:themeColor="text1"/>
                <w:szCs w:val="24"/>
              </w:rPr>
            </w:pPr>
            <w:hyperlink r:id="rId11" w:history="1">
              <w:r w:rsidR="006027D3" w:rsidRPr="008F1E6B">
                <w:rPr>
                  <w:rFonts w:ascii="Times New Roman" w:eastAsia="標楷體" w:hAnsi="Times New Roman" w:cs="Times New Roman"/>
                  <w:color w:val="000000" w:themeColor="text1"/>
                  <w:szCs w:val="24"/>
                </w:rPr>
                <w:t>第四條</w:t>
              </w:r>
            </w:hyperlink>
            <w:r w:rsidR="006027D3" w:rsidRPr="008F1E6B">
              <w:rPr>
                <w:rFonts w:ascii="Times New Roman" w:eastAsia="標楷體" w:hAnsi="Times New Roman" w:cs="Times New Roman"/>
                <w:color w:val="000000" w:themeColor="text1"/>
                <w:szCs w:val="24"/>
              </w:rPr>
              <w:t xml:space="preserve"> </w:t>
            </w:r>
          </w:p>
          <w:p w14:paraId="1535C7A4" w14:textId="77777777" w:rsidR="006027D3" w:rsidRPr="008F1E6B" w:rsidRDefault="006027D3" w:rsidP="006027D3">
            <w:pPr>
              <w:spacing w:line="360" w:lineRule="exact"/>
              <w:ind w:leftChars="-42" w:left="-101"/>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對認購（售）權證發行人評等之資料來源與範圍包含下列各款：</w:t>
            </w:r>
          </w:p>
          <w:p w14:paraId="4B38A217" w14:textId="77777777" w:rsidR="006027D3" w:rsidRPr="008F1E6B" w:rsidRDefault="006027D3" w:rsidP="006027D3">
            <w:pPr>
              <w:pStyle w:val="a8"/>
              <w:numPr>
                <w:ilvl w:val="0"/>
                <w:numId w:val="7"/>
              </w:numPr>
              <w:spacing w:line="360" w:lineRule="exact"/>
              <w:ind w:leftChars="0"/>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發行人之上市（櫃）權證成交金額。</w:t>
            </w:r>
          </w:p>
          <w:p w14:paraId="56AF1915" w14:textId="77777777" w:rsidR="006027D3" w:rsidRPr="008F1E6B" w:rsidRDefault="006027D3" w:rsidP="006027D3">
            <w:pPr>
              <w:pStyle w:val="a8"/>
              <w:numPr>
                <w:ilvl w:val="0"/>
                <w:numId w:val="7"/>
              </w:numPr>
              <w:spacing w:line="360" w:lineRule="exact"/>
              <w:ind w:leftChars="0"/>
              <w:jc w:val="both"/>
              <w:rPr>
                <w:rFonts w:ascii="Times New Roman" w:hAnsi="Times New Roman" w:cs="Times New Roman"/>
              </w:rPr>
            </w:pPr>
            <w:r w:rsidRPr="008F1E6B">
              <w:rPr>
                <w:rFonts w:ascii="Times New Roman" w:eastAsia="標楷體" w:hAnsi="Times New Roman" w:cs="Times New Roman"/>
                <w:color w:val="000000" w:themeColor="text1"/>
              </w:rPr>
              <w:t>發行人之上市（櫃）權證市值。</w:t>
            </w:r>
          </w:p>
          <w:p w14:paraId="16621479" w14:textId="77777777" w:rsidR="006027D3" w:rsidRPr="008F1E6B" w:rsidRDefault="006027D3" w:rsidP="006027D3">
            <w:pPr>
              <w:pStyle w:val="a8"/>
              <w:numPr>
                <w:ilvl w:val="0"/>
                <w:numId w:val="7"/>
              </w:numPr>
              <w:spacing w:line="360" w:lineRule="exact"/>
              <w:ind w:leftChars="0"/>
              <w:jc w:val="both"/>
              <w:rPr>
                <w:rFonts w:ascii="Times New Roman" w:hAnsi="Times New Roman" w:cs="Times New Roman"/>
              </w:rPr>
            </w:pPr>
            <w:r w:rsidRPr="008F1E6B">
              <w:rPr>
                <w:rFonts w:ascii="Times New Roman" w:eastAsia="標楷體" w:hAnsi="Times New Roman" w:cs="Times New Roman"/>
                <w:color w:val="000000" w:themeColor="text1"/>
              </w:rPr>
              <w:t>權證資訊揭露平台之資料中，選取價內</w:t>
            </w:r>
            <w:proofErr w:type="gramStart"/>
            <w:r w:rsidRPr="008F1E6B">
              <w:rPr>
                <w:rFonts w:ascii="Times New Roman" w:eastAsia="標楷體" w:hAnsi="Times New Roman" w:cs="Times New Roman"/>
                <w:color w:val="000000" w:themeColor="text1"/>
              </w:rPr>
              <w:t>百分之十至價外</w:t>
            </w:r>
            <w:proofErr w:type="gramEnd"/>
            <w:r w:rsidRPr="008F1E6B">
              <w:rPr>
                <w:rFonts w:ascii="Times New Roman" w:eastAsia="標楷體" w:hAnsi="Times New Roman" w:cs="Times New Roman"/>
                <w:color w:val="000000" w:themeColor="text1"/>
              </w:rPr>
              <w:t>百分之二十，且各標的上</w:t>
            </w:r>
            <w:r w:rsidRPr="008F1E6B">
              <w:rPr>
                <w:rFonts w:ascii="Times New Roman" w:eastAsia="標楷體" w:hAnsi="Times New Roman" w:cs="Times New Roman"/>
                <w:color w:val="000000" w:themeColor="text1"/>
              </w:rPr>
              <w:lastRenderedPageBreak/>
              <w:t>市（櫃）檔數達十檔（含）以上之權證。但距到期日十五</w:t>
            </w:r>
            <w:proofErr w:type="gramStart"/>
            <w:r w:rsidRPr="008F1E6B">
              <w:rPr>
                <w:rFonts w:ascii="Times New Roman" w:eastAsia="標楷體" w:hAnsi="Times New Roman" w:cs="Times New Roman"/>
                <w:color w:val="000000" w:themeColor="text1"/>
              </w:rPr>
              <w:t>個</w:t>
            </w:r>
            <w:proofErr w:type="gramEnd"/>
            <w:r w:rsidRPr="008F1E6B">
              <w:rPr>
                <w:rFonts w:ascii="Times New Roman" w:eastAsia="標楷體" w:hAnsi="Times New Roman" w:cs="Times New Roman"/>
                <w:color w:val="000000" w:themeColor="text1"/>
              </w:rPr>
              <w:t>交易日以內之權證不列入前開選取範圍。</w:t>
            </w:r>
          </w:p>
        </w:tc>
        <w:tc>
          <w:tcPr>
            <w:tcW w:w="3402" w:type="dxa"/>
            <w:tcBorders>
              <w:top w:val="single" w:sz="4" w:space="0" w:color="000000" w:themeColor="text1"/>
              <w:bottom w:val="single" w:sz="4" w:space="0" w:color="000000" w:themeColor="text1"/>
            </w:tcBorders>
          </w:tcPr>
          <w:p w14:paraId="4BB81144"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lastRenderedPageBreak/>
              <w:t>擴大評等</w:t>
            </w:r>
            <w:proofErr w:type="gramStart"/>
            <w:r w:rsidRPr="008F1E6B">
              <w:rPr>
                <w:rFonts w:ascii="Times New Roman" w:eastAsia="標楷體" w:hAnsi="Times New Roman" w:cs="Times New Roman"/>
                <w:color w:val="000000" w:themeColor="text1"/>
              </w:rPr>
              <w:t>採</w:t>
            </w:r>
            <w:proofErr w:type="gramEnd"/>
            <w:r w:rsidRPr="008F1E6B">
              <w:rPr>
                <w:rFonts w:ascii="Times New Roman" w:eastAsia="標楷體" w:hAnsi="Times New Roman" w:cs="Times New Roman"/>
                <w:color w:val="000000" w:themeColor="text1"/>
              </w:rPr>
              <w:t>樣範圍，新增價外超過百分之二十但發行人最佳一檔委託買進價格大於或等於</w:t>
            </w:r>
            <w:r w:rsidRPr="008F1E6B">
              <w:rPr>
                <w:rFonts w:ascii="Times New Roman" w:eastAsia="標楷體" w:hAnsi="Times New Roman" w:cs="Times New Roman"/>
                <w:color w:val="000000" w:themeColor="text1"/>
              </w:rPr>
              <w:t>0.6</w:t>
            </w:r>
            <w:r w:rsidRPr="008F1E6B">
              <w:rPr>
                <w:rFonts w:ascii="Times New Roman" w:eastAsia="標楷體" w:hAnsi="Times New Roman" w:cs="Times New Roman"/>
                <w:color w:val="000000" w:themeColor="text1"/>
              </w:rPr>
              <w:t>元之權證，</w:t>
            </w:r>
            <w:proofErr w:type="gramStart"/>
            <w:r w:rsidRPr="008F1E6B">
              <w:rPr>
                <w:rFonts w:ascii="Times New Roman" w:eastAsia="標楷體" w:hAnsi="Times New Roman" w:cs="Times New Roman"/>
                <w:color w:val="000000" w:themeColor="text1"/>
              </w:rPr>
              <w:t>爰增列本條</w:t>
            </w:r>
            <w:proofErr w:type="gramEnd"/>
            <w:r w:rsidRPr="008F1E6B">
              <w:rPr>
                <w:rFonts w:ascii="Times New Roman" w:eastAsia="標楷體" w:hAnsi="Times New Roman" w:cs="Times New Roman"/>
                <w:color w:val="000000" w:themeColor="text1"/>
              </w:rPr>
              <w:t>第三款內容。</w:t>
            </w:r>
          </w:p>
        </w:tc>
      </w:tr>
      <w:tr w:rsidR="006027D3" w:rsidRPr="008F1E6B" w14:paraId="2EB02F18" w14:textId="77777777" w:rsidTr="006027D3">
        <w:trPr>
          <w:trHeight w:val="10174"/>
        </w:trPr>
        <w:tc>
          <w:tcPr>
            <w:tcW w:w="3397" w:type="dxa"/>
            <w:tcBorders>
              <w:top w:val="single" w:sz="4" w:space="0" w:color="000000" w:themeColor="text1"/>
            </w:tcBorders>
          </w:tcPr>
          <w:p w14:paraId="64FD61F1" w14:textId="77777777" w:rsidR="006027D3" w:rsidRPr="008F1E6B" w:rsidRDefault="000C0D96" w:rsidP="006027D3">
            <w:pPr>
              <w:spacing w:line="360" w:lineRule="exact"/>
              <w:ind w:leftChars="-47" w:left="-113"/>
              <w:jc w:val="both"/>
              <w:rPr>
                <w:rFonts w:ascii="Times New Roman" w:eastAsia="標楷體" w:hAnsi="Times New Roman" w:cs="Times New Roman"/>
                <w:color w:val="000000" w:themeColor="text1"/>
                <w:szCs w:val="24"/>
              </w:rPr>
            </w:pPr>
            <w:hyperlink r:id="rId12" w:history="1">
              <w:r w:rsidR="006027D3" w:rsidRPr="008F1E6B">
                <w:rPr>
                  <w:rFonts w:ascii="Times New Roman" w:eastAsia="標楷體" w:hAnsi="Times New Roman" w:cs="Times New Roman"/>
                  <w:color w:val="000000" w:themeColor="text1"/>
                  <w:szCs w:val="24"/>
                </w:rPr>
                <w:t>第五條</w:t>
              </w:r>
            </w:hyperlink>
            <w:r w:rsidR="006027D3" w:rsidRPr="008F1E6B">
              <w:rPr>
                <w:rFonts w:ascii="Times New Roman" w:eastAsia="標楷體" w:hAnsi="Times New Roman" w:cs="Times New Roman"/>
                <w:color w:val="000000" w:themeColor="text1"/>
                <w:szCs w:val="24"/>
              </w:rPr>
              <w:t xml:space="preserve"> </w:t>
            </w:r>
          </w:p>
          <w:p w14:paraId="67A34CAA" w14:textId="77777777" w:rsidR="006027D3" w:rsidRPr="008F1E6B" w:rsidRDefault="006027D3" w:rsidP="006027D3">
            <w:pPr>
              <w:spacing w:line="360" w:lineRule="exact"/>
              <w:ind w:leftChars="-47" w:left="-113"/>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認購（售）權證發行人評等方式如下：</w:t>
            </w:r>
          </w:p>
          <w:p w14:paraId="7EC10818" w14:textId="77777777" w:rsidR="006027D3" w:rsidRPr="008F1E6B" w:rsidRDefault="006027D3" w:rsidP="006027D3">
            <w:pPr>
              <w:pStyle w:val="a8"/>
              <w:numPr>
                <w:ilvl w:val="0"/>
                <w:numId w:val="8"/>
              </w:numPr>
              <w:spacing w:line="360" w:lineRule="exact"/>
              <w:ind w:leftChars="0"/>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證券交易所得於每一季之最後營業日，按下列原則計算發行人該季週轉率及造市品質各項指標分數：</w:t>
            </w:r>
          </w:p>
          <w:p w14:paraId="4E6087F7" w14:textId="77777777" w:rsidR="006027D3" w:rsidRPr="008F1E6B" w:rsidRDefault="006027D3" w:rsidP="006027D3">
            <w:pPr>
              <w:pStyle w:val="a8"/>
              <w:numPr>
                <w:ilvl w:val="0"/>
                <w:numId w:val="9"/>
              </w:numPr>
              <w:spacing w:line="360" w:lineRule="exact"/>
              <w:ind w:leftChars="0"/>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週轉率項目指標分數：先以每日每檔上市（櫃）權證成交金額除以該檔權證該日市值計算日成交金額週轉率，再計算該季各發行人之日平均成交金額週轉率，發行人該項指標之百分等級數值（以下簡稱</w:t>
            </w:r>
            <w:r w:rsidRPr="008F1E6B">
              <w:rPr>
                <w:rFonts w:ascii="Times New Roman" w:eastAsia="標楷體" w:hAnsi="Times New Roman" w:cs="Times New Roman"/>
                <w:color w:val="000000" w:themeColor="text1"/>
              </w:rPr>
              <w:t>PR</w:t>
            </w:r>
            <w:r w:rsidRPr="008F1E6B">
              <w:rPr>
                <w:rFonts w:ascii="Times New Roman" w:eastAsia="標楷體" w:hAnsi="Times New Roman" w:cs="Times New Roman"/>
                <w:color w:val="000000" w:themeColor="text1"/>
              </w:rPr>
              <w:t>值），即為其指標分數。</w:t>
            </w:r>
          </w:p>
          <w:p w14:paraId="684CE353" w14:textId="77777777" w:rsidR="006027D3" w:rsidRPr="008F1E6B" w:rsidRDefault="006027D3" w:rsidP="006027D3">
            <w:pPr>
              <w:pStyle w:val="a8"/>
              <w:numPr>
                <w:ilvl w:val="0"/>
                <w:numId w:val="9"/>
              </w:numPr>
              <w:spacing w:line="360" w:lineRule="exact"/>
              <w:ind w:leftChars="0"/>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造市品質各項指標分數：先計算每日相同標的之各檔權證兩</w:t>
            </w:r>
            <w:proofErr w:type="gramStart"/>
            <w:r w:rsidRPr="008F1E6B">
              <w:rPr>
                <w:rFonts w:ascii="Times New Roman" w:eastAsia="標楷體" w:hAnsi="Times New Roman" w:cs="Times New Roman"/>
                <w:color w:val="000000" w:themeColor="text1"/>
              </w:rPr>
              <w:t>週</w:t>
            </w:r>
            <w:proofErr w:type="gramEnd"/>
            <w:r w:rsidRPr="008F1E6B">
              <w:rPr>
                <w:rFonts w:ascii="Times New Roman" w:eastAsia="標楷體" w:hAnsi="Times New Roman" w:cs="Times New Roman"/>
                <w:color w:val="000000" w:themeColor="text1"/>
              </w:rPr>
              <w:t>買</w:t>
            </w:r>
            <w:proofErr w:type="gramStart"/>
            <w:r w:rsidRPr="008F1E6B">
              <w:rPr>
                <w:rFonts w:ascii="Times New Roman" w:eastAsia="標楷體" w:hAnsi="Times New Roman" w:cs="Times New Roman"/>
                <w:color w:val="000000" w:themeColor="text1"/>
              </w:rPr>
              <w:t>一隱波標準</w:t>
            </w:r>
            <w:proofErr w:type="gramEnd"/>
            <w:r w:rsidRPr="008F1E6B">
              <w:rPr>
                <w:rFonts w:ascii="Times New Roman" w:eastAsia="標楷體" w:hAnsi="Times New Roman" w:cs="Times New Roman"/>
                <w:color w:val="000000" w:themeColor="text1"/>
              </w:rPr>
              <w:t>差、日買賣價差比之</w:t>
            </w:r>
            <w:r w:rsidRPr="008F1E6B">
              <w:rPr>
                <w:rFonts w:ascii="Times New Roman" w:eastAsia="標楷體" w:hAnsi="Times New Roman" w:cs="Times New Roman"/>
                <w:color w:val="000000" w:themeColor="text1"/>
              </w:rPr>
              <w:t xml:space="preserve"> 1</w:t>
            </w:r>
            <w:r w:rsidRPr="008F1E6B">
              <w:rPr>
                <w:rFonts w:ascii="Times New Roman" w:eastAsia="標楷體" w:hAnsi="Times New Roman" w:cs="Times New Roman"/>
                <w:color w:val="000000" w:themeColor="text1"/>
              </w:rPr>
              <w:t>減去</w:t>
            </w:r>
            <w:r w:rsidRPr="008F1E6B">
              <w:rPr>
                <w:rFonts w:ascii="Times New Roman" w:eastAsia="標楷體" w:hAnsi="Times New Roman" w:cs="Times New Roman"/>
                <w:color w:val="000000" w:themeColor="text1"/>
              </w:rPr>
              <w:t>PR</w:t>
            </w:r>
            <w:r w:rsidRPr="008F1E6B">
              <w:rPr>
                <w:rFonts w:ascii="Times New Roman" w:eastAsia="標楷體" w:hAnsi="Times New Roman" w:cs="Times New Roman"/>
                <w:color w:val="000000" w:themeColor="text1"/>
              </w:rPr>
              <w:t>值、日買</w:t>
            </w:r>
            <w:proofErr w:type="gramStart"/>
            <w:r w:rsidRPr="008F1E6B">
              <w:rPr>
                <w:rFonts w:ascii="Times New Roman" w:eastAsia="標楷體" w:hAnsi="Times New Roman" w:cs="Times New Roman"/>
                <w:color w:val="000000" w:themeColor="text1"/>
              </w:rPr>
              <w:t>一</w:t>
            </w:r>
            <w:proofErr w:type="gramEnd"/>
            <w:r w:rsidRPr="008F1E6B">
              <w:rPr>
                <w:rFonts w:ascii="Times New Roman" w:eastAsia="標楷體" w:hAnsi="Times New Roman" w:cs="Times New Roman"/>
                <w:color w:val="000000" w:themeColor="text1"/>
              </w:rPr>
              <w:t>金額之</w:t>
            </w:r>
            <w:r w:rsidRPr="008F1E6B">
              <w:rPr>
                <w:rFonts w:ascii="Times New Roman" w:eastAsia="標楷體" w:hAnsi="Times New Roman" w:cs="Times New Roman"/>
                <w:color w:val="000000" w:themeColor="text1"/>
              </w:rPr>
              <w:t>PR</w:t>
            </w:r>
            <w:r w:rsidRPr="008F1E6B">
              <w:rPr>
                <w:rFonts w:ascii="Times New Roman" w:eastAsia="標楷體" w:hAnsi="Times New Roman" w:cs="Times New Roman"/>
                <w:color w:val="000000" w:themeColor="text1"/>
              </w:rPr>
              <w:t>值，再依發行人別計算前開三項數值之季平均值，發行人各項指標</w:t>
            </w:r>
            <w:r w:rsidRPr="008F1E6B">
              <w:rPr>
                <w:rFonts w:ascii="Times New Roman" w:eastAsia="標楷體" w:hAnsi="Times New Roman" w:cs="Times New Roman"/>
                <w:color w:val="000000" w:themeColor="text1"/>
              </w:rPr>
              <w:t xml:space="preserve">        </w:t>
            </w:r>
            <w:r w:rsidRPr="008F1E6B">
              <w:rPr>
                <w:rFonts w:ascii="Times New Roman" w:eastAsia="標楷體" w:hAnsi="Times New Roman" w:cs="Times New Roman"/>
                <w:color w:val="000000" w:themeColor="text1"/>
              </w:rPr>
              <w:t>季平均值之</w:t>
            </w:r>
            <w:r w:rsidRPr="008F1E6B">
              <w:rPr>
                <w:rFonts w:ascii="Times New Roman" w:eastAsia="標楷體" w:hAnsi="Times New Roman" w:cs="Times New Roman"/>
                <w:color w:val="000000" w:themeColor="text1"/>
              </w:rPr>
              <w:t>PR</w:t>
            </w:r>
            <w:r w:rsidRPr="008F1E6B">
              <w:rPr>
                <w:rFonts w:ascii="Times New Roman" w:eastAsia="標楷體" w:hAnsi="Times New Roman" w:cs="Times New Roman"/>
                <w:color w:val="000000" w:themeColor="text1"/>
              </w:rPr>
              <w:t>值，即為其各項指標分數。但經扣除前一交易日無流</w:t>
            </w:r>
            <w:r w:rsidRPr="008F1E6B">
              <w:rPr>
                <w:rFonts w:ascii="Times New Roman" w:eastAsia="標楷體" w:hAnsi="Times New Roman" w:cs="Times New Roman"/>
                <w:color w:val="000000" w:themeColor="text1"/>
              </w:rPr>
              <w:lastRenderedPageBreak/>
              <w:t>通在外單位之上市（櫃）權證後，各標的檔數達十檔（含）以上之權證始列入日買</w:t>
            </w:r>
            <w:proofErr w:type="gramStart"/>
            <w:r w:rsidRPr="008F1E6B">
              <w:rPr>
                <w:rFonts w:ascii="Times New Roman" w:eastAsia="標楷體" w:hAnsi="Times New Roman" w:cs="Times New Roman"/>
                <w:color w:val="000000" w:themeColor="text1"/>
              </w:rPr>
              <w:t>一</w:t>
            </w:r>
            <w:proofErr w:type="gramEnd"/>
            <w:r w:rsidRPr="008F1E6B">
              <w:rPr>
                <w:rFonts w:ascii="Times New Roman" w:eastAsia="標楷體" w:hAnsi="Times New Roman" w:cs="Times New Roman"/>
                <w:color w:val="000000" w:themeColor="text1"/>
              </w:rPr>
              <w:t>金額計算。</w:t>
            </w:r>
          </w:p>
          <w:p w14:paraId="68B9C3C3" w14:textId="77777777" w:rsidR="006027D3" w:rsidRPr="008F1E6B" w:rsidRDefault="006027D3" w:rsidP="006027D3">
            <w:pPr>
              <w:pStyle w:val="a8"/>
              <w:numPr>
                <w:ilvl w:val="0"/>
                <w:numId w:val="8"/>
              </w:numPr>
              <w:spacing w:line="360" w:lineRule="exact"/>
              <w:ind w:leftChars="0"/>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發行人依其週轉率及造市品質各項指標之加權分數，分為</w:t>
            </w:r>
            <w:proofErr w:type="gramStart"/>
            <w:r w:rsidRPr="008F1E6B">
              <w:rPr>
                <w:rFonts w:ascii="Times New Roman" w:eastAsia="標楷體" w:hAnsi="Times New Roman" w:cs="Times New Roman"/>
                <w:color w:val="000000" w:themeColor="text1"/>
              </w:rPr>
              <w:t>Ａ</w:t>
            </w:r>
            <w:proofErr w:type="gramEnd"/>
            <w:r w:rsidRPr="008F1E6B">
              <w:rPr>
                <w:rFonts w:ascii="Times New Roman" w:eastAsia="標楷體" w:hAnsi="Times New Roman" w:cs="Times New Roman"/>
                <w:color w:val="000000" w:themeColor="text1"/>
              </w:rPr>
              <w:t>、</w:t>
            </w:r>
            <w:proofErr w:type="gramStart"/>
            <w:r w:rsidRPr="008F1E6B">
              <w:rPr>
                <w:rFonts w:ascii="Times New Roman" w:eastAsia="標楷體" w:hAnsi="Times New Roman" w:cs="Times New Roman"/>
                <w:color w:val="000000" w:themeColor="text1"/>
              </w:rPr>
              <w:t>Ｂ</w:t>
            </w:r>
            <w:proofErr w:type="gramEnd"/>
            <w:r w:rsidRPr="008F1E6B">
              <w:rPr>
                <w:rFonts w:ascii="Times New Roman" w:eastAsia="標楷體" w:hAnsi="Times New Roman" w:cs="Times New Roman"/>
                <w:color w:val="000000" w:themeColor="text1"/>
              </w:rPr>
              <w:t>、</w:t>
            </w:r>
            <w:proofErr w:type="gramStart"/>
            <w:r w:rsidRPr="008F1E6B">
              <w:rPr>
                <w:rFonts w:ascii="Times New Roman" w:eastAsia="標楷體" w:hAnsi="Times New Roman" w:cs="Times New Roman"/>
                <w:color w:val="000000" w:themeColor="text1"/>
              </w:rPr>
              <w:t>Ｃ</w:t>
            </w:r>
            <w:proofErr w:type="gramEnd"/>
            <w:r w:rsidRPr="008F1E6B">
              <w:rPr>
                <w:rFonts w:ascii="Times New Roman" w:eastAsia="標楷體" w:hAnsi="Times New Roman" w:cs="Times New Roman"/>
                <w:color w:val="000000" w:themeColor="text1"/>
              </w:rPr>
              <w:t>、</w:t>
            </w:r>
            <w:proofErr w:type="gramStart"/>
            <w:r w:rsidRPr="008F1E6B">
              <w:rPr>
                <w:rFonts w:ascii="Times New Roman" w:eastAsia="標楷體" w:hAnsi="Times New Roman" w:cs="Times New Roman"/>
                <w:color w:val="000000" w:themeColor="text1"/>
              </w:rPr>
              <w:t>Ｄ</w:t>
            </w:r>
            <w:proofErr w:type="gramEnd"/>
            <w:r w:rsidRPr="008F1E6B">
              <w:rPr>
                <w:rFonts w:ascii="Times New Roman" w:eastAsia="標楷體" w:hAnsi="Times New Roman" w:cs="Times New Roman"/>
                <w:color w:val="000000" w:themeColor="text1"/>
              </w:rPr>
              <w:t>、</w:t>
            </w:r>
            <w:proofErr w:type="gramStart"/>
            <w:r w:rsidRPr="008F1E6B">
              <w:rPr>
                <w:rFonts w:ascii="Times New Roman" w:eastAsia="標楷體" w:hAnsi="Times New Roman" w:cs="Times New Roman"/>
                <w:color w:val="000000" w:themeColor="text1"/>
              </w:rPr>
              <w:t>Ｅ</w:t>
            </w:r>
            <w:proofErr w:type="gramEnd"/>
            <w:r w:rsidRPr="008F1E6B">
              <w:rPr>
                <w:rFonts w:ascii="Times New Roman" w:eastAsia="標楷體" w:hAnsi="Times New Roman" w:cs="Times New Roman"/>
                <w:color w:val="000000" w:themeColor="text1"/>
              </w:rPr>
              <w:t>五種等級，其分級標準如下表：</w:t>
            </w:r>
          </w:p>
          <w:p w14:paraId="3997FD29" w14:textId="77777777" w:rsidR="006027D3" w:rsidRPr="008F1E6B" w:rsidRDefault="006027D3" w:rsidP="006027D3">
            <w:pPr>
              <w:pStyle w:val="a8"/>
              <w:spacing w:line="360" w:lineRule="exact"/>
              <w:ind w:leftChars="0" w:left="502"/>
              <w:jc w:val="both"/>
              <w:rPr>
                <w:rFonts w:ascii="Times New Roman" w:eastAsia="標楷體" w:hAnsi="Times New Roman" w:cs="Times New Roman"/>
                <w:color w:val="000000" w:themeColor="text1"/>
              </w:rPr>
            </w:pPr>
          </w:p>
          <w:tbl>
            <w:tblPr>
              <w:tblStyle w:val="a3"/>
              <w:tblW w:w="0" w:type="auto"/>
              <w:tblLook w:val="04A0" w:firstRow="1" w:lastRow="0" w:firstColumn="1" w:lastColumn="0" w:noHBand="0" w:noVBand="1"/>
            </w:tblPr>
            <w:tblGrid>
              <w:gridCol w:w="862"/>
              <w:gridCol w:w="2126"/>
            </w:tblGrid>
            <w:tr w:rsidR="006027D3" w:rsidRPr="008F1E6B" w14:paraId="40A030B8" w14:textId="77777777" w:rsidTr="00C42DBC">
              <w:tc>
                <w:tcPr>
                  <w:tcW w:w="862" w:type="dxa"/>
                </w:tcPr>
                <w:p w14:paraId="16D7E843" w14:textId="77777777" w:rsidR="006027D3" w:rsidRPr="008F1E6B" w:rsidRDefault="006027D3" w:rsidP="006027D3">
                  <w:pPr>
                    <w:spacing w:line="360" w:lineRule="exact"/>
                    <w:jc w:val="center"/>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等級</w:t>
                  </w:r>
                </w:p>
              </w:tc>
              <w:tc>
                <w:tcPr>
                  <w:tcW w:w="2126" w:type="dxa"/>
                </w:tcPr>
                <w:p w14:paraId="73F60810" w14:textId="77777777" w:rsidR="006027D3" w:rsidRPr="008F1E6B" w:rsidRDefault="006027D3" w:rsidP="006027D3">
                  <w:pPr>
                    <w:spacing w:line="360" w:lineRule="exact"/>
                    <w:jc w:val="center"/>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分級標準</w:t>
                  </w:r>
                </w:p>
              </w:tc>
            </w:tr>
            <w:tr w:rsidR="006027D3" w:rsidRPr="008F1E6B" w14:paraId="49FF6265" w14:textId="77777777" w:rsidTr="00C42DBC">
              <w:tc>
                <w:tcPr>
                  <w:tcW w:w="862" w:type="dxa"/>
                </w:tcPr>
                <w:p w14:paraId="5C79D3B1"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A</w:t>
                  </w:r>
                  <w:r w:rsidRPr="008F1E6B">
                    <w:rPr>
                      <w:rFonts w:ascii="Times New Roman" w:eastAsia="標楷體" w:hAnsi="Times New Roman" w:cs="Times New Roman"/>
                      <w:color w:val="000000" w:themeColor="text1"/>
                    </w:rPr>
                    <w:t>級</w:t>
                  </w:r>
                </w:p>
              </w:tc>
              <w:tc>
                <w:tcPr>
                  <w:tcW w:w="2126" w:type="dxa"/>
                </w:tcPr>
                <w:p w14:paraId="48BB06C4" w14:textId="77777777" w:rsidR="006027D3" w:rsidRPr="008F1E6B" w:rsidRDefault="006027D3" w:rsidP="006027D3">
                  <w:pPr>
                    <w:spacing w:line="360" w:lineRule="exact"/>
                    <w:jc w:val="both"/>
                    <w:rPr>
                      <w:rFonts w:ascii="Times New Roman" w:eastAsia="標楷體" w:hAnsi="Times New Roman" w:cs="Times New Roman"/>
                      <w:color w:val="000000" w:themeColor="text1"/>
                      <w:u w:val="single"/>
                    </w:rPr>
                  </w:pPr>
                  <w:r w:rsidRPr="008F1E6B">
                    <w:rPr>
                      <w:rFonts w:ascii="Times New Roman" w:eastAsia="標楷體" w:hAnsi="Times New Roman" w:cs="Times New Roman"/>
                      <w:color w:val="000000" w:themeColor="text1"/>
                      <w:u w:val="single"/>
                    </w:rPr>
                    <w:t>週轉率及造市品質指標加權總分數</w:t>
                  </w:r>
                  <w:r w:rsidRPr="008F1E6B">
                    <w:rPr>
                      <w:rFonts w:ascii="Times New Roman" w:eastAsia="標楷體" w:hAnsi="Times New Roman" w:cs="Times New Roman"/>
                      <w:color w:val="000000" w:themeColor="text1"/>
                      <w:u w:val="single"/>
                    </w:rPr>
                    <w:t xml:space="preserve"> </w:t>
                  </w:r>
                  <w:proofErr w:type="gramStart"/>
                  <w:r w:rsidRPr="008F1E6B">
                    <w:rPr>
                      <w:rFonts w:ascii="新細明體" w:eastAsia="新細明體" w:hAnsi="新細明體" w:cs="新細明體" w:hint="eastAsia"/>
                      <w:color w:val="000000" w:themeColor="text1"/>
                      <w:u w:val="single"/>
                    </w:rPr>
                    <w:t>≧</w:t>
                  </w:r>
                  <w:proofErr w:type="gramEnd"/>
                  <w:r w:rsidRPr="008F1E6B">
                    <w:rPr>
                      <w:rFonts w:ascii="Times New Roman" w:eastAsia="標楷體" w:hAnsi="Times New Roman" w:cs="Times New Roman"/>
                      <w:color w:val="000000" w:themeColor="text1"/>
                      <w:u w:val="single"/>
                    </w:rPr>
                    <w:t xml:space="preserve"> 0.70</w:t>
                  </w:r>
                  <w:r w:rsidRPr="008F1E6B">
                    <w:rPr>
                      <w:rFonts w:ascii="Times New Roman" w:eastAsia="標楷體" w:hAnsi="Times New Roman" w:cs="Times New Roman"/>
                      <w:color w:val="000000" w:themeColor="text1"/>
                      <w:u w:val="single"/>
                    </w:rPr>
                    <w:t>分，且兩</w:t>
                  </w:r>
                  <w:proofErr w:type="gramStart"/>
                  <w:r w:rsidRPr="008F1E6B">
                    <w:rPr>
                      <w:rFonts w:ascii="Times New Roman" w:eastAsia="標楷體" w:hAnsi="Times New Roman" w:cs="Times New Roman"/>
                      <w:color w:val="000000" w:themeColor="text1"/>
                      <w:u w:val="single"/>
                    </w:rPr>
                    <w:t>週</w:t>
                  </w:r>
                  <w:proofErr w:type="gramEnd"/>
                  <w:r w:rsidRPr="008F1E6B">
                    <w:rPr>
                      <w:rFonts w:ascii="Times New Roman" w:eastAsia="標楷體" w:hAnsi="Times New Roman" w:cs="Times New Roman"/>
                      <w:color w:val="000000" w:themeColor="text1"/>
                      <w:u w:val="single"/>
                    </w:rPr>
                    <w:t>買</w:t>
                  </w:r>
                  <w:proofErr w:type="gramStart"/>
                  <w:r w:rsidRPr="008F1E6B">
                    <w:rPr>
                      <w:rFonts w:ascii="Times New Roman" w:eastAsia="標楷體" w:hAnsi="Times New Roman" w:cs="Times New Roman"/>
                      <w:color w:val="000000" w:themeColor="text1"/>
                      <w:u w:val="single"/>
                    </w:rPr>
                    <w:t>一隱波標準</w:t>
                  </w:r>
                  <w:proofErr w:type="gramEnd"/>
                  <w:r w:rsidRPr="008F1E6B">
                    <w:rPr>
                      <w:rFonts w:ascii="Times New Roman" w:eastAsia="標楷體" w:hAnsi="Times New Roman" w:cs="Times New Roman"/>
                      <w:color w:val="000000" w:themeColor="text1"/>
                      <w:u w:val="single"/>
                    </w:rPr>
                    <w:t>差指標加權分數</w:t>
                  </w:r>
                  <w:proofErr w:type="gramStart"/>
                  <w:r w:rsidRPr="008F1E6B">
                    <w:rPr>
                      <w:rFonts w:ascii="新細明體" w:eastAsia="新細明體" w:hAnsi="新細明體" w:cs="新細明體" w:hint="eastAsia"/>
                      <w:color w:val="000000" w:themeColor="text1"/>
                      <w:u w:val="single"/>
                    </w:rPr>
                    <w:t>≧</w:t>
                  </w:r>
                  <w:proofErr w:type="gramEnd"/>
                  <w:r w:rsidRPr="008F1E6B">
                    <w:rPr>
                      <w:rFonts w:ascii="Times New Roman" w:eastAsia="標楷體" w:hAnsi="Times New Roman" w:cs="Times New Roman"/>
                      <w:color w:val="000000" w:themeColor="text1"/>
                      <w:u w:val="single"/>
                    </w:rPr>
                    <w:t>0.21</w:t>
                  </w:r>
                  <w:r w:rsidRPr="008F1E6B">
                    <w:rPr>
                      <w:rFonts w:ascii="Times New Roman" w:eastAsia="標楷體" w:hAnsi="Times New Roman" w:cs="Times New Roman"/>
                      <w:color w:val="000000" w:themeColor="text1"/>
                      <w:u w:val="single"/>
                    </w:rPr>
                    <w:t>分。</w:t>
                  </w:r>
                </w:p>
              </w:tc>
            </w:tr>
            <w:tr w:rsidR="006027D3" w:rsidRPr="008F1E6B" w14:paraId="76406A3E" w14:textId="77777777" w:rsidTr="00C42DBC">
              <w:tc>
                <w:tcPr>
                  <w:tcW w:w="862" w:type="dxa"/>
                </w:tcPr>
                <w:p w14:paraId="656EAAAF"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B</w:t>
                  </w:r>
                  <w:r w:rsidRPr="008F1E6B">
                    <w:rPr>
                      <w:rFonts w:ascii="Times New Roman" w:eastAsia="標楷體" w:hAnsi="Times New Roman" w:cs="Times New Roman"/>
                      <w:color w:val="000000" w:themeColor="text1"/>
                    </w:rPr>
                    <w:t>級</w:t>
                  </w:r>
                </w:p>
              </w:tc>
              <w:tc>
                <w:tcPr>
                  <w:tcW w:w="2126" w:type="dxa"/>
                </w:tcPr>
                <w:p w14:paraId="6196EE4A" w14:textId="77777777" w:rsidR="006027D3" w:rsidRPr="008F1E6B" w:rsidRDefault="006027D3" w:rsidP="006027D3">
                  <w:pPr>
                    <w:spacing w:line="360" w:lineRule="exact"/>
                    <w:jc w:val="both"/>
                    <w:rPr>
                      <w:rFonts w:ascii="Times New Roman" w:eastAsia="標楷體" w:hAnsi="Times New Roman" w:cs="Times New Roman"/>
                      <w:color w:val="000000" w:themeColor="text1"/>
                      <w:u w:val="single"/>
                    </w:rPr>
                  </w:pPr>
                  <w:r w:rsidRPr="008F1E6B">
                    <w:rPr>
                      <w:rFonts w:ascii="Times New Roman" w:eastAsia="標楷體" w:hAnsi="Times New Roman" w:cs="Times New Roman"/>
                      <w:color w:val="000000" w:themeColor="text1"/>
                      <w:u w:val="single"/>
                    </w:rPr>
                    <w:t>週轉率及造市品質指標加權總分數</w:t>
                  </w:r>
                  <w:r w:rsidRPr="008F1E6B">
                    <w:rPr>
                      <w:rFonts w:ascii="Times New Roman" w:eastAsia="標楷體" w:hAnsi="Times New Roman" w:cs="Times New Roman"/>
                      <w:color w:val="000000" w:themeColor="text1"/>
                      <w:u w:val="single"/>
                    </w:rPr>
                    <w:t xml:space="preserve"> </w:t>
                  </w:r>
                  <w:proofErr w:type="gramStart"/>
                  <w:r w:rsidRPr="008F1E6B">
                    <w:rPr>
                      <w:rFonts w:ascii="新細明體" w:eastAsia="新細明體" w:hAnsi="新細明體" w:cs="新細明體" w:hint="eastAsia"/>
                      <w:color w:val="000000" w:themeColor="text1"/>
                      <w:u w:val="single"/>
                    </w:rPr>
                    <w:t>≧</w:t>
                  </w:r>
                  <w:proofErr w:type="gramEnd"/>
                  <w:r w:rsidRPr="008F1E6B">
                    <w:rPr>
                      <w:rFonts w:ascii="Times New Roman" w:eastAsia="標楷體" w:hAnsi="Times New Roman" w:cs="Times New Roman"/>
                      <w:color w:val="000000" w:themeColor="text1"/>
                      <w:u w:val="single"/>
                    </w:rPr>
                    <w:t xml:space="preserve"> 0.50 </w:t>
                  </w:r>
                  <w:r w:rsidRPr="008F1E6B">
                    <w:rPr>
                      <w:rFonts w:ascii="Times New Roman" w:eastAsia="標楷體" w:hAnsi="Times New Roman" w:cs="Times New Roman"/>
                      <w:color w:val="000000" w:themeColor="text1"/>
                      <w:u w:val="single"/>
                    </w:rPr>
                    <w:t>分，且兩</w:t>
                  </w:r>
                  <w:proofErr w:type="gramStart"/>
                  <w:r w:rsidRPr="008F1E6B">
                    <w:rPr>
                      <w:rFonts w:ascii="Times New Roman" w:eastAsia="標楷體" w:hAnsi="Times New Roman" w:cs="Times New Roman"/>
                      <w:color w:val="000000" w:themeColor="text1"/>
                      <w:u w:val="single"/>
                    </w:rPr>
                    <w:t>週</w:t>
                  </w:r>
                  <w:proofErr w:type="gramEnd"/>
                  <w:r w:rsidRPr="008F1E6B">
                    <w:rPr>
                      <w:rFonts w:ascii="Times New Roman" w:eastAsia="標楷體" w:hAnsi="Times New Roman" w:cs="Times New Roman"/>
                      <w:color w:val="000000" w:themeColor="text1"/>
                      <w:u w:val="single"/>
                    </w:rPr>
                    <w:t>買</w:t>
                  </w:r>
                  <w:proofErr w:type="gramStart"/>
                  <w:r w:rsidRPr="008F1E6B">
                    <w:rPr>
                      <w:rFonts w:ascii="Times New Roman" w:eastAsia="標楷體" w:hAnsi="Times New Roman" w:cs="Times New Roman"/>
                      <w:color w:val="000000" w:themeColor="text1"/>
                      <w:u w:val="single"/>
                    </w:rPr>
                    <w:t>一隱波標準</w:t>
                  </w:r>
                  <w:proofErr w:type="gramEnd"/>
                  <w:r w:rsidRPr="008F1E6B">
                    <w:rPr>
                      <w:rFonts w:ascii="Times New Roman" w:eastAsia="標楷體" w:hAnsi="Times New Roman" w:cs="Times New Roman"/>
                      <w:color w:val="000000" w:themeColor="text1"/>
                      <w:u w:val="single"/>
                    </w:rPr>
                    <w:t>差指標加權分數</w:t>
                  </w:r>
                  <w:proofErr w:type="gramStart"/>
                  <w:r w:rsidRPr="008F1E6B">
                    <w:rPr>
                      <w:rFonts w:ascii="新細明體" w:eastAsia="新細明體" w:hAnsi="新細明體" w:cs="新細明體" w:hint="eastAsia"/>
                      <w:color w:val="000000" w:themeColor="text1"/>
                      <w:u w:val="single"/>
                    </w:rPr>
                    <w:t>≧</w:t>
                  </w:r>
                  <w:proofErr w:type="gramEnd"/>
                  <w:r w:rsidRPr="008F1E6B">
                    <w:rPr>
                      <w:rFonts w:ascii="Times New Roman" w:eastAsia="標楷體" w:hAnsi="Times New Roman" w:cs="Times New Roman"/>
                      <w:color w:val="000000" w:themeColor="text1"/>
                      <w:u w:val="single"/>
                    </w:rPr>
                    <w:t>0.15</w:t>
                  </w:r>
                  <w:r w:rsidRPr="008F1E6B">
                    <w:rPr>
                      <w:rFonts w:ascii="Times New Roman" w:eastAsia="標楷體" w:hAnsi="Times New Roman" w:cs="Times New Roman"/>
                      <w:color w:val="000000" w:themeColor="text1"/>
                      <w:u w:val="single"/>
                    </w:rPr>
                    <w:t>分。</w:t>
                  </w:r>
                </w:p>
              </w:tc>
            </w:tr>
            <w:tr w:rsidR="006027D3" w:rsidRPr="008F1E6B" w14:paraId="67305E9D" w14:textId="77777777" w:rsidTr="00C42DBC">
              <w:tc>
                <w:tcPr>
                  <w:tcW w:w="862" w:type="dxa"/>
                </w:tcPr>
                <w:p w14:paraId="2038B2CE"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C</w:t>
                  </w:r>
                  <w:r w:rsidRPr="008F1E6B">
                    <w:rPr>
                      <w:rFonts w:ascii="Times New Roman" w:eastAsia="標楷體" w:hAnsi="Times New Roman" w:cs="Times New Roman"/>
                      <w:color w:val="000000" w:themeColor="text1"/>
                    </w:rPr>
                    <w:t>級</w:t>
                  </w:r>
                </w:p>
              </w:tc>
              <w:tc>
                <w:tcPr>
                  <w:tcW w:w="2126" w:type="dxa"/>
                </w:tcPr>
                <w:p w14:paraId="3A303A11"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未列入</w:t>
                  </w:r>
                  <w:r w:rsidRPr="008F1E6B">
                    <w:rPr>
                      <w:rFonts w:ascii="Times New Roman" w:eastAsia="標楷體" w:hAnsi="Times New Roman" w:cs="Times New Roman"/>
                      <w:color w:val="000000" w:themeColor="text1"/>
                    </w:rPr>
                    <w:t>A</w:t>
                  </w:r>
                  <w:r w:rsidRPr="008F1E6B">
                    <w:rPr>
                      <w:rFonts w:ascii="Times New Roman" w:eastAsia="標楷體" w:hAnsi="Times New Roman" w:cs="Times New Roman"/>
                      <w:color w:val="000000" w:themeColor="text1"/>
                    </w:rPr>
                    <w:t>、</w:t>
                  </w:r>
                  <w:r w:rsidRPr="008F1E6B">
                    <w:rPr>
                      <w:rFonts w:ascii="Times New Roman" w:eastAsia="標楷體" w:hAnsi="Times New Roman" w:cs="Times New Roman"/>
                      <w:color w:val="000000" w:themeColor="text1"/>
                    </w:rPr>
                    <w:t>B</w:t>
                  </w:r>
                  <w:r w:rsidRPr="008F1E6B">
                    <w:rPr>
                      <w:rFonts w:ascii="Times New Roman" w:eastAsia="標楷體" w:hAnsi="Times New Roman" w:cs="Times New Roman"/>
                      <w:color w:val="000000" w:themeColor="text1"/>
                    </w:rPr>
                    <w:t>、</w:t>
                  </w:r>
                  <w:r w:rsidRPr="008F1E6B">
                    <w:rPr>
                      <w:rFonts w:ascii="Times New Roman" w:eastAsia="標楷體" w:hAnsi="Times New Roman" w:cs="Times New Roman"/>
                      <w:color w:val="000000" w:themeColor="text1"/>
                    </w:rPr>
                    <w:t>D</w:t>
                  </w:r>
                  <w:r w:rsidRPr="008F1E6B">
                    <w:rPr>
                      <w:rFonts w:ascii="Times New Roman" w:eastAsia="標楷體" w:hAnsi="Times New Roman" w:cs="Times New Roman"/>
                      <w:color w:val="000000" w:themeColor="text1"/>
                    </w:rPr>
                    <w:t>、</w:t>
                  </w:r>
                  <w:r w:rsidRPr="008F1E6B">
                    <w:rPr>
                      <w:rFonts w:ascii="Times New Roman" w:eastAsia="標楷體" w:hAnsi="Times New Roman" w:cs="Times New Roman"/>
                      <w:color w:val="000000" w:themeColor="text1"/>
                    </w:rPr>
                    <w:t>E</w:t>
                  </w:r>
                  <w:r w:rsidRPr="008F1E6B">
                    <w:rPr>
                      <w:rFonts w:ascii="Times New Roman" w:eastAsia="標楷體" w:hAnsi="Times New Roman" w:cs="Times New Roman"/>
                      <w:color w:val="000000" w:themeColor="text1"/>
                    </w:rPr>
                    <w:t>等級者。</w:t>
                  </w:r>
                </w:p>
              </w:tc>
            </w:tr>
            <w:tr w:rsidR="006027D3" w:rsidRPr="008F1E6B" w14:paraId="75207EF0" w14:textId="77777777" w:rsidTr="00C42DBC">
              <w:tc>
                <w:tcPr>
                  <w:tcW w:w="862" w:type="dxa"/>
                </w:tcPr>
                <w:p w14:paraId="45AA8EF7"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D</w:t>
                  </w:r>
                  <w:r w:rsidRPr="008F1E6B">
                    <w:rPr>
                      <w:rFonts w:ascii="Times New Roman" w:eastAsia="標楷體" w:hAnsi="Times New Roman" w:cs="Times New Roman"/>
                      <w:color w:val="000000" w:themeColor="text1"/>
                    </w:rPr>
                    <w:t>級</w:t>
                  </w:r>
                </w:p>
              </w:tc>
              <w:tc>
                <w:tcPr>
                  <w:tcW w:w="2126" w:type="dxa"/>
                </w:tcPr>
                <w:p w14:paraId="3B3B8315" w14:textId="77777777" w:rsidR="006027D3" w:rsidRPr="008F1E6B" w:rsidRDefault="006027D3" w:rsidP="000538E0">
                  <w:pPr>
                    <w:spacing w:line="360" w:lineRule="exact"/>
                    <w:jc w:val="both"/>
                    <w:rPr>
                      <w:rFonts w:ascii="Times New Roman" w:eastAsia="標楷體" w:hAnsi="Times New Roman" w:cs="Times New Roman"/>
                      <w:color w:val="000000" w:themeColor="text1"/>
                      <w:u w:val="single"/>
                    </w:rPr>
                  </w:pPr>
                  <w:r w:rsidRPr="008F1E6B">
                    <w:rPr>
                      <w:rFonts w:ascii="Times New Roman" w:eastAsia="標楷體" w:hAnsi="Times New Roman" w:cs="Times New Roman"/>
                      <w:color w:val="000000" w:themeColor="text1"/>
                      <w:u w:val="single"/>
                    </w:rPr>
                    <w:t>週轉率及造市品質指標加權總分數</w:t>
                  </w:r>
                  <w:r w:rsidRPr="008F1E6B">
                    <w:rPr>
                      <w:rFonts w:ascii="Times New Roman" w:eastAsia="標楷體" w:hAnsi="Times New Roman" w:cs="Times New Roman"/>
                      <w:color w:val="000000" w:themeColor="text1"/>
                      <w:u w:val="single"/>
                    </w:rPr>
                    <w:t xml:space="preserve"> &lt; 0.20</w:t>
                  </w:r>
                  <w:r w:rsidRPr="008F1E6B">
                    <w:rPr>
                      <w:rFonts w:ascii="Times New Roman" w:eastAsia="標楷體" w:hAnsi="Times New Roman" w:cs="Times New Roman"/>
                      <w:color w:val="000000" w:themeColor="text1"/>
                      <w:u w:val="single"/>
                    </w:rPr>
                    <w:t>分</w:t>
                  </w:r>
                  <w:r w:rsidR="000538E0" w:rsidRPr="008F1E6B">
                    <w:rPr>
                      <w:rFonts w:ascii="Times New Roman" w:eastAsia="標楷體" w:hAnsi="Times New Roman" w:cs="Times New Roman"/>
                      <w:color w:val="000000" w:themeColor="text1"/>
                      <w:u w:val="single"/>
                    </w:rPr>
                    <w:t>。</w:t>
                  </w:r>
                </w:p>
              </w:tc>
            </w:tr>
            <w:tr w:rsidR="006027D3" w:rsidRPr="008F1E6B" w14:paraId="2EAB8C5A" w14:textId="77777777" w:rsidTr="00C42DBC">
              <w:tc>
                <w:tcPr>
                  <w:tcW w:w="862" w:type="dxa"/>
                </w:tcPr>
                <w:p w14:paraId="7AB2B3DF"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E</w:t>
                  </w:r>
                  <w:r w:rsidRPr="008F1E6B">
                    <w:rPr>
                      <w:rFonts w:ascii="Times New Roman" w:eastAsia="標楷體" w:hAnsi="Times New Roman" w:cs="Times New Roman"/>
                      <w:color w:val="000000" w:themeColor="text1"/>
                    </w:rPr>
                    <w:t>級</w:t>
                  </w:r>
                </w:p>
              </w:tc>
              <w:tc>
                <w:tcPr>
                  <w:tcW w:w="2126" w:type="dxa"/>
                </w:tcPr>
                <w:p w14:paraId="34AB676D" w14:textId="77777777" w:rsidR="006027D3" w:rsidRPr="008F1E6B" w:rsidRDefault="006027D3" w:rsidP="006027D3">
                  <w:pPr>
                    <w:spacing w:line="360" w:lineRule="exact"/>
                    <w:jc w:val="both"/>
                    <w:rPr>
                      <w:rFonts w:ascii="Times New Roman" w:eastAsia="標楷體" w:hAnsi="Times New Roman" w:cs="Times New Roman"/>
                      <w:color w:val="000000" w:themeColor="text1"/>
                      <w:u w:val="single"/>
                    </w:rPr>
                  </w:pPr>
                  <w:r w:rsidRPr="008F1E6B">
                    <w:rPr>
                      <w:rFonts w:ascii="Times New Roman" w:eastAsia="標楷體" w:hAnsi="Times New Roman" w:cs="Times New Roman"/>
                      <w:color w:val="000000" w:themeColor="text1"/>
                      <w:u w:val="single"/>
                    </w:rPr>
                    <w:t>週轉率及造市品質指標加權總分數</w:t>
                  </w:r>
                  <w:r w:rsidRPr="008F1E6B">
                    <w:rPr>
                      <w:rFonts w:ascii="Times New Roman" w:eastAsia="標楷體" w:hAnsi="Times New Roman" w:cs="Times New Roman"/>
                      <w:color w:val="000000" w:themeColor="text1"/>
                      <w:u w:val="single"/>
                    </w:rPr>
                    <w:t>= 0</w:t>
                  </w:r>
                  <w:r w:rsidRPr="008F1E6B">
                    <w:rPr>
                      <w:rFonts w:ascii="Times New Roman" w:eastAsia="標楷體" w:hAnsi="Times New Roman" w:cs="Times New Roman"/>
                      <w:color w:val="000000" w:themeColor="text1"/>
                      <w:u w:val="single"/>
                    </w:rPr>
                    <w:t>分。</w:t>
                  </w:r>
                </w:p>
              </w:tc>
            </w:tr>
          </w:tbl>
          <w:p w14:paraId="063424AD" w14:textId="77777777" w:rsidR="006027D3" w:rsidRPr="008F1E6B" w:rsidRDefault="006027D3" w:rsidP="006027D3">
            <w:pPr>
              <w:spacing w:line="360" w:lineRule="exact"/>
              <w:ind w:leftChars="-47" w:left="-113"/>
              <w:jc w:val="both"/>
              <w:rPr>
                <w:rFonts w:ascii="Times New Roman" w:hAnsi="Times New Roman" w:cs="Times New Roman"/>
              </w:rPr>
            </w:pPr>
          </w:p>
        </w:tc>
        <w:tc>
          <w:tcPr>
            <w:tcW w:w="3402" w:type="dxa"/>
            <w:tcBorders>
              <w:top w:val="single" w:sz="4" w:space="0" w:color="000000" w:themeColor="text1"/>
            </w:tcBorders>
          </w:tcPr>
          <w:p w14:paraId="196FBB5F" w14:textId="77777777" w:rsidR="006027D3" w:rsidRPr="008F1E6B" w:rsidRDefault="000C0D96" w:rsidP="006027D3">
            <w:pPr>
              <w:spacing w:line="360" w:lineRule="exact"/>
              <w:ind w:leftChars="-42" w:left="-101"/>
              <w:jc w:val="both"/>
              <w:rPr>
                <w:rFonts w:ascii="Times New Roman" w:eastAsia="標楷體" w:hAnsi="Times New Roman" w:cs="Times New Roman"/>
                <w:color w:val="000000" w:themeColor="text1"/>
                <w:szCs w:val="24"/>
              </w:rPr>
            </w:pPr>
            <w:hyperlink r:id="rId13" w:history="1">
              <w:r w:rsidR="006027D3" w:rsidRPr="008F1E6B">
                <w:rPr>
                  <w:rFonts w:ascii="Times New Roman" w:eastAsia="標楷體" w:hAnsi="Times New Roman" w:cs="Times New Roman"/>
                  <w:color w:val="000000" w:themeColor="text1"/>
                  <w:szCs w:val="24"/>
                </w:rPr>
                <w:t>第五條</w:t>
              </w:r>
            </w:hyperlink>
            <w:r w:rsidR="006027D3" w:rsidRPr="008F1E6B">
              <w:rPr>
                <w:rFonts w:ascii="Times New Roman" w:eastAsia="標楷體" w:hAnsi="Times New Roman" w:cs="Times New Roman"/>
                <w:color w:val="000000" w:themeColor="text1"/>
                <w:szCs w:val="24"/>
              </w:rPr>
              <w:t xml:space="preserve"> </w:t>
            </w:r>
          </w:p>
          <w:p w14:paraId="6E73D9AA" w14:textId="77777777" w:rsidR="006027D3" w:rsidRPr="008F1E6B" w:rsidRDefault="006027D3" w:rsidP="006027D3">
            <w:pPr>
              <w:spacing w:line="360" w:lineRule="exact"/>
              <w:ind w:leftChars="-42" w:left="-101"/>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認購（售）權證發行人評等方式如下：</w:t>
            </w:r>
          </w:p>
          <w:p w14:paraId="6D724AC3" w14:textId="77777777" w:rsidR="006027D3" w:rsidRPr="008F1E6B" w:rsidRDefault="006027D3" w:rsidP="006027D3">
            <w:pPr>
              <w:pStyle w:val="a8"/>
              <w:numPr>
                <w:ilvl w:val="0"/>
                <w:numId w:val="10"/>
              </w:numPr>
              <w:spacing w:line="360" w:lineRule="exact"/>
              <w:ind w:leftChars="0"/>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證券交易所得於每一季之最後營業日，按下列原則計算發行人該季週轉率及造市品質各項指標分數：</w:t>
            </w:r>
          </w:p>
          <w:p w14:paraId="54AB0C5B" w14:textId="77777777" w:rsidR="006027D3" w:rsidRPr="008F1E6B" w:rsidRDefault="006027D3" w:rsidP="006027D3">
            <w:pPr>
              <w:pStyle w:val="a8"/>
              <w:numPr>
                <w:ilvl w:val="0"/>
                <w:numId w:val="11"/>
              </w:numPr>
              <w:spacing w:line="360" w:lineRule="exact"/>
              <w:ind w:leftChars="0" w:left="748"/>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週轉率項目指標分數：先以每日每檔上市（櫃）權證成交金額除以該檔權證該日市值計算日成交金額週轉率，再計算該季各發行人之日平均成交金額週轉率，發行人該項指標之百分等級數值（以下簡稱</w:t>
            </w:r>
            <w:r w:rsidRPr="008F1E6B">
              <w:rPr>
                <w:rFonts w:ascii="Times New Roman" w:eastAsia="標楷體" w:hAnsi="Times New Roman" w:cs="Times New Roman"/>
                <w:color w:val="000000" w:themeColor="text1"/>
              </w:rPr>
              <w:t>PR</w:t>
            </w:r>
            <w:r w:rsidRPr="008F1E6B">
              <w:rPr>
                <w:rFonts w:ascii="Times New Roman" w:eastAsia="標楷體" w:hAnsi="Times New Roman" w:cs="Times New Roman"/>
                <w:color w:val="000000" w:themeColor="text1"/>
              </w:rPr>
              <w:t>值），即為其指標分數。</w:t>
            </w:r>
          </w:p>
          <w:p w14:paraId="4105E017" w14:textId="77777777" w:rsidR="006027D3" w:rsidRPr="008F1E6B" w:rsidRDefault="006027D3" w:rsidP="006027D3">
            <w:pPr>
              <w:pStyle w:val="a8"/>
              <w:numPr>
                <w:ilvl w:val="0"/>
                <w:numId w:val="11"/>
              </w:numPr>
              <w:spacing w:line="360" w:lineRule="exact"/>
              <w:ind w:leftChars="0" w:left="748"/>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造市品質各項指標分數：先計算每日相同標的之各檔權證兩</w:t>
            </w:r>
            <w:proofErr w:type="gramStart"/>
            <w:r w:rsidRPr="008F1E6B">
              <w:rPr>
                <w:rFonts w:ascii="Times New Roman" w:eastAsia="標楷體" w:hAnsi="Times New Roman" w:cs="Times New Roman"/>
                <w:color w:val="000000" w:themeColor="text1"/>
              </w:rPr>
              <w:t>週</w:t>
            </w:r>
            <w:proofErr w:type="gramEnd"/>
            <w:r w:rsidRPr="008F1E6B">
              <w:rPr>
                <w:rFonts w:ascii="Times New Roman" w:eastAsia="標楷體" w:hAnsi="Times New Roman" w:cs="Times New Roman"/>
                <w:color w:val="000000" w:themeColor="text1"/>
              </w:rPr>
              <w:t>買</w:t>
            </w:r>
            <w:proofErr w:type="gramStart"/>
            <w:r w:rsidRPr="008F1E6B">
              <w:rPr>
                <w:rFonts w:ascii="Times New Roman" w:eastAsia="標楷體" w:hAnsi="Times New Roman" w:cs="Times New Roman"/>
                <w:color w:val="000000" w:themeColor="text1"/>
              </w:rPr>
              <w:t>一隱波標準</w:t>
            </w:r>
            <w:proofErr w:type="gramEnd"/>
            <w:r w:rsidRPr="008F1E6B">
              <w:rPr>
                <w:rFonts w:ascii="Times New Roman" w:eastAsia="標楷體" w:hAnsi="Times New Roman" w:cs="Times New Roman"/>
                <w:color w:val="000000" w:themeColor="text1"/>
              </w:rPr>
              <w:t>差、日買賣價差比之</w:t>
            </w:r>
            <w:r w:rsidRPr="008F1E6B">
              <w:rPr>
                <w:rFonts w:ascii="Times New Roman" w:eastAsia="標楷體" w:hAnsi="Times New Roman" w:cs="Times New Roman"/>
                <w:color w:val="000000" w:themeColor="text1"/>
              </w:rPr>
              <w:t xml:space="preserve"> 1</w:t>
            </w:r>
            <w:r w:rsidRPr="008F1E6B">
              <w:rPr>
                <w:rFonts w:ascii="Times New Roman" w:eastAsia="標楷體" w:hAnsi="Times New Roman" w:cs="Times New Roman"/>
                <w:color w:val="000000" w:themeColor="text1"/>
              </w:rPr>
              <w:t>減去</w:t>
            </w:r>
            <w:r w:rsidRPr="008F1E6B">
              <w:rPr>
                <w:rFonts w:ascii="Times New Roman" w:eastAsia="標楷體" w:hAnsi="Times New Roman" w:cs="Times New Roman"/>
                <w:color w:val="000000" w:themeColor="text1"/>
              </w:rPr>
              <w:t>PR</w:t>
            </w:r>
            <w:r w:rsidRPr="008F1E6B">
              <w:rPr>
                <w:rFonts w:ascii="Times New Roman" w:eastAsia="標楷體" w:hAnsi="Times New Roman" w:cs="Times New Roman"/>
                <w:color w:val="000000" w:themeColor="text1"/>
              </w:rPr>
              <w:t>值、日買</w:t>
            </w:r>
            <w:proofErr w:type="gramStart"/>
            <w:r w:rsidRPr="008F1E6B">
              <w:rPr>
                <w:rFonts w:ascii="Times New Roman" w:eastAsia="標楷體" w:hAnsi="Times New Roman" w:cs="Times New Roman"/>
                <w:color w:val="000000" w:themeColor="text1"/>
              </w:rPr>
              <w:t>一</w:t>
            </w:r>
            <w:proofErr w:type="gramEnd"/>
            <w:r w:rsidRPr="008F1E6B">
              <w:rPr>
                <w:rFonts w:ascii="Times New Roman" w:eastAsia="標楷體" w:hAnsi="Times New Roman" w:cs="Times New Roman"/>
                <w:color w:val="000000" w:themeColor="text1"/>
              </w:rPr>
              <w:t>金額之</w:t>
            </w:r>
            <w:r w:rsidRPr="008F1E6B">
              <w:rPr>
                <w:rFonts w:ascii="Times New Roman" w:eastAsia="標楷體" w:hAnsi="Times New Roman" w:cs="Times New Roman"/>
                <w:color w:val="000000" w:themeColor="text1"/>
              </w:rPr>
              <w:t>PR</w:t>
            </w:r>
            <w:r w:rsidRPr="008F1E6B">
              <w:rPr>
                <w:rFonts w:ascii="Times New Roman" w:eastAsia="標楷體" w:hAnsi="Times New Roman" w:cs="Times New Roman"/>
                <w:color w:val="000000" w:themeColor="text1"/>
              </w:rPr>
              <w:t>值，再依發行人別計算前開三項數值之季平均值，發行人各項指標</w:t>
            </w:r>
            <w:r w:rsidRPr="008F1E6B">
              <w:rPr>
                <w:rFonts w:ascii="Times New Roman" w:eastAsia="標楷體" w:hAnsi="Times New Roman" w:cs="Times New Roman"/>
                <w:color w:val="000000" w:themeColor="text1"/>
              </w:rPr>
              <w:t xml:space="preserve">        </w:t>
            </w:r>
            <w:r w:rsidRPr="008F1E6B">
              <w:rPr>
                <w:rFonts w:ascii="Times New Roman" w:eastAsia="標楷體" w:hAnsi="Times New Roman" w:cs="Times New Roman"/>
                <w:color w:val="000000" w:themeColor="text1"/>
              </w:rPr>
              <w:t>季平均值之</w:t>
            </w:r>
            <w:r w:rsidRPr="008F1E6B">
              <w:rPr>
                <w:rFonts w:ascii="Times New Roman" w:eastAsia="標楷體" w:hAnsi="Times New Roman" w:cs="Times New Roman"/>
                <w:color w:val="000000" w:themeColor="text1"/>
              </w:rPr>
              <w:t>PR</w:t>
            </w:r>
            <w:r w:rsidRPr="008F1E6B">
              <w:rPr>
                <w:rFonts w:ascii="Times New Roman" w:eastAsia="標楷體" w:hAnsi="Times New Roman" w:cs="Times New Roman"/>
                <w:color w:val="000000" w:themeColor="text1"/>
              </w:rPr>
              <w:t>值，即為其各項指標分數。但經扣除前一交易日無流</w:t>
            </w:r>
            <w:r w:rsidRPr="008F1E6B">
              <w:rPr>
                <w:rFonts w:ascii="Times New Roman" w:eastAsia="標楷體" w:hAnsi="Times New Roman" w:cs="Times New Roman"/>
                <w:color w:val="000000" w:themeColor="text1"/>
              </w:rPr>
              <w:lastRenderedPageBreak/>
              <w:t>通在外單位之上市（櫃）權證後，各標的檔數達十檔（含）以上之權證始列入日買</w:t>
            </w:r>
            <w:proofErr w:type="gramStart"/>
            <w:r w:rsidRPr="008F1E6B">
              <w:rPr>
                <w:rFonts w:ascii="Times New Roman" w:eastAsia="標楷體" w:hAnsi="Times New Roman" w:cs="Times New Roman"/>
                <w:color w:val="000000" w:themeColor="text1"/>
              </w:rPr>
              <w:t>一</w:t>
            </w:r>
            <w:proofErr w:type="gramEnd"/>
            <w:r w:rsidRPr="008F1E6B">
              <w:rPr>
                <w:rFonts w:ascii="Times New Roman" w:eastAsia="標楷體" w:hAnsi="Times New Roman" w:cs="Times New Roman"/>
                <w:color w:val="000000" w:themeColor="text1"/>
              </w:rPr>
              <w:t>金額計算。</w:t>
            </w:r>
          </w:p>
          <w:p w14:paraId="1972B4D0" w14:textId="77777777" w:rsidR="006027D3" w:rsidRPr="008F1E6B" w:rsidRDefault="006027D3" w:rsidP="006027D3">
            <w:pPr>
              <w:pStyle w:val="a8"/>
              <w:numPr>
                <w:ilvl w:val="0"/>
                <w:numId w:val="10"/>
              </w:numPr>
              <w:spacing w:line="360" w:lineRule="exact"/>
              <w:ind w:leftChars="0"/>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發行人依其週轉率及造市品質各項指標之加權分數，分為</w:t>
            </w:r>
            <w:proofErr w:type="gramStart"/>
            <w:r w:rsidRPr="008F1E6B">
              <w:rPr>
                <w:rFonts w:ascii="Times New Roman" w:eastAsia="標楷體" w:hAnsi="Times New Roman" w:cs="Times New Roman"/>
                <w:color w:val="000000" w:themeColor="text1"/>
              </w:rPr>
              <w:t>Ａ</w:t>
            </w:r>
            <w:proofErr w:type="gramEnd"/>
            <w:r w:rsidRPr="008F1E6B">
              <w:rPr>
                <w:rFonts w:ascii="Times New Roman" w:eastAsia="標楷體" w:hAnsi="Times New Roman" w:cs="Times New Roman"/>
                <w:color w:val="000000" w:themeColor="text1"/>
              </w:rPr>
              <w:t>、</w:t>
            </w:r>
            <w:proofErr w:type="gramStart"/>
            <w:r w:rsidRPr="008F1E6B">
              <w:rPr>
                <w:rFonts w:ascii="Times New Roman" w:eastAsia="標楷體" w:hAnsi="Times New Roman" w:cs="Times New Roman"/>
                <w:color w:val="000000" w:themeColor="text1"/>
              </w:rPr>
              <w:t>Ｂ</w:t>
            </w:r>
            <w:proofErr w:type="gramEnd"/>
            <w:r w:rsidRPr="008F1E6B">
              <w:rPr>
                <w:rFonts w:ascii="Times New Roman" w:eastAsia="標楷體" w:hAnsi="Times New Roman" w:cs="Times New Roman"/>
                <w:color w:val="000000" w:themeColor="text1"/>
              </w:rPr>
              <w:t>、</w:t>
            </w:r>
            <w:proofErr w:type="gramStart"/>
            <w:r w:rsidRPr="008F1E6B">
              <w:rPr>
                <w:rFonts w:ascii="Times New Roman" w:eastAsia="標楷體" w:hAnsi="Times New Roman" w:cs="Times New Roman"/>
                <w:color w:val="000000" w:themeColor="text1"/>
              </w:rPr>
              <w:t>Ｃ</w:t>
            </w:r>
            <w:proofErr w:type="gramEnd"/>
            <w:r w:rsidRPr="008F1E6B">
              <w:rPr>
                <w:rFonts w:ascii="Times New Roman" w:eastAsia="標楷體" w:hAnsi="Times New Roman" w:cs="Times New Roman"/>
                <w:color w:val="000000" w:themeColor="text1"/>
              </w:rPr>
              <w:t>、</w:t>
            </w:r>
            <w:proofErr w:type="gramStart"/>
            <w:r w:rsidRPr="008F1E6B">
              <w:rPr>
                <w:rFonts w:ascii="Times New Roman" w:eastAsia="標楷體" w:hAnsi="Times New Roman" w:cs="Times New Roman"/>
                <w:color w:val="000000" w:themeColor="text1"/>
              </w:rPr>
              <w:t>Ｄ</w:t>
            </w:r>
            <w:proofErr w:type="gramEnd"/>
            <w:r w:rsidRPr="008F1E6B">
              <w:rPr>
                <w:rFonts w:ascii="Times New Roman" w:eastAsia="標楷體" w:hAnsi="Times New Roman" w:cs="Times New Roman"/>
                <w:color w:val="000000" w:themeColor="text1"/>
              </w:rPr>
              <w:t>、</w:t>
            </w:r>
            <w:proofErr w:type="gramStart"/>
            <w:r w:rsidRPr="008F1E6B">
              <w:rPr>
                <w:rFonts w:ascii="Times New Roman" w:eastAsia="標楷體" w:hAnsi="Times New Roman" w:cs="Times New Roman"/>
                <w:color w:val="000000" w:themeColor="text1"/>
              </w:rPr>
              <w:t>Ｅ</w:t>
            </w:r>
            <w:proofErr w:type="gramEnd"/>
            <w:r w:rsidRPr="008F1E6B">
              <w:rPr>
                <w:rFonts w:ascii="Times New Roman" w:eastAsia="標楷體" w:hAnsi="Times New Roman" w:cs="Times New Roman"/>
                <w:color w:val="000000" w:themeColor="text1"/>
              </w:rPr>
              <w:t>五種等級，其分級標準如下表：</w:t>
            </w:r>
          </w:p>
          <w:p w14:paraId="608F5CF6" w14:textId="77777777" w:rsidR="006027D3" w:rsidRPr="008F1E6B" w:rsidRDefault="006027D3" w:rsidP="006027D3">
            <w:pPr>
              <w:pStyle w:val="a8"/>
              <w:spacing w:line="360" w:lineRule="exact"/>
              <w:ind w:leftChars="0" w:left="514"/>
              <w:jc w:val="both"/>
              <w:rPr>
                <w:rFonts w:ascii="Times New Roman" w:eastAsia="標楷體" w:hAnsi="Times New Roman" w:cs="Times New Roman"/>
                <w:color w:val="000000" w:themeColor="text1"/>
              </w:rPr>
            </w:pPr>
          </w:p>
          <w:tbl>
            <w:tblPr>
              <w:tblStyle w:val="a3"/>
              <w:tblW w:w="3123" w:type="dxa"/>
              <w:tblLook w:val="04A0" w:firstRow="1" w:lastRow="0" w:firstColumn="1" w:lastColumn="0" w:noHBand="0" w:noVBand="1"/>
            </w:tblPr>
            <w:tblGrid>
              <w:gridCol w:w="852"/>
              <w:gridCol w:w="2271"/>
            </w:tblGrid>
            <w:tr w:rsidR="006027D3" w:rsidRPr="008F1E6B" w14:paraId="53BBC107" w14:textId="77777777" w:rsidTr="00C42DBC">
              <w:tc>
                <w:tcPr>
                  <w:tcW w:w="852" w:type="dxa"/>
                </w:tcPr>
                <w:p w14:paraId="76EE3B8E" w14:textId="77777777" w:rsidR="006027D3" w:rsidRPr="008F1E6B" w:rsidRDefault="006027D3" w:rsidP="006027D3">
                  <w:pPr>
                    <w:spacing w:line="360" w:lineRule="exact"/>
                    <w:jc w:val="center"/>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等級</w:t>
                  </w:r>
                </w:p>
              </w:tc>
              <w:tc>
                <w:tcPr>
                  <w:tcW w:w="2271" w:type="dxa"/>
                </w:tcPr>
                <w:p w14:paraId="2C6FAFE5" w14:textId="77777777" w:rsidR="006027D3" w:rsidRPr="008F1E6B" w:rsidRDefault="006027D3" w:rsidP="006027D3">
                  <w:pPr>
                    <w:spacing w:line="360" w:lineRule="exact"/>
                    <w:jc w:val="center"/>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分級標準</w:t>
                  </w:r>
                </w:p>
              </w:tc>
            </w:tr>
            <w:tr w:rsidR="006027D3" w:rsidRPr="008F1E6B" w14:paraId="143151FE" w14:textId="77777777" w:rsidTr="00C42DBC">
              <w:tc>
                <w:tcPr>
                  <w:tcW w:w="852" w:type="dxa"/>
                </w:tcPr>
                <w:p w14:paraId="64E90567"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A</w:t>
                  </w:r>
                  <w:r w:rsidRPr="008F1E6B">
                    <w:rPr>
                      <w:rFonts w:ascii="Times New Roman" w:eastAsia="標楷體" w:hAnsi="Times New Roman" w:cs="Times New Roman"/>
                      <w:color w:val="000000" w:themeColor="text1"/>
                    </w:rPr>
                    <w:t>級</w:t>
                  </w:r>
                </w:p>
              </w:tc>
              <w:tc>
                <w:tcPr>
                  <w:tcW w:w="2271" w:type="dxa"/>
                </w:tcPr>
                <w:p w14:paraId="5A8134C8"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週轉率指標加權分數</w:t>
                  </w:r>
                  <w:proofErr w:type="gramStart"/>
                  <w:r w:rsidRPr="008F1E6B">
                    <w:rPr>
                      <w:rFonts w:ascii="新細明體" w:eastAsia="新細明體" w:hAnsi="新細明體" w:cs="新細明體" w:hint="eastAsia"/>
                      <w:color w:val="000000" w:themeColor="text1"/>
                    </w:rPr>
                    <w:t>≧</w:t>
                  </w:r>
                  <w:proofErr w:type="gramEnd"/>
                  <w:r w:rsidRPr="008F1E6B">
                    <w:rPr>
                      <w:rFonts w:ascii="Times New Roman" w:eastAsia="標楷體" w:hAnsi="Times New Roman" w:cs="Times New Roman"/>
                      <w:color w:val="000000" w:themeColor="text1"/>
                    </w:rPr>
                    <w:t>0.28</w:t>
                  </w:r>
                  <w:r w:rsidRPr="008F1E6B">
                    <w:rPr>
                      <w:rFonts w:ascii="Times New Roman" w:eastAsia="標楷體" w:hAnsi="Times New Roman" w:cs="Times New Roman"/>
                      <w:color w:val="000000" w:themeColor="text1"/>
                    </w:rPr>
                    <w:t>分</w:t>
                  </w:r>
                </w:p>
                <w:p w14:paraId="29D2B9DE"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造市品質指標加權分數</w:t>
                  </w:r>
                  <w:proofErr w:type="gramStart"/>
                  <w:r w:rsidRPr="008F1E6B">
                    <w:rPr>
                      <w:rFonts w:ascii="新細明體" w:eastAsia="新細明體" w:hAnsi="新細明體" w:cs="新細明體" w:hint="eastAsia"/>
                      <w:color w:val="000000" w:themeColor="text1"/>
                    </w:rPr>
                    <w:t>≧</w:t>
                  </w:r>
                  <w:proofErr w:type="gramEnd"/>
                  <w:r w:rsidRPr="008F1E6B">
                    <w:rPr>
                      <w:rFonts w:ascii="Times New Roman" w:eastAsia="標楷體" w:hAnsi="Times New Roman" w:cs="Times New Roman"/>
                      <w:color w:val="000000" w:themeColor="text1"/>
                    </w:rPr>
                    <w:t>0.42</w:t>
                  </w:r>
                  <w:r w:rsidRPr="008F1E6B">
                    <w:rPr>
                      <w:rFonts w:ascii="Times New Roman" w:eastAsia="標楷體" w:hAnsi="Times New Roman" w:cs="Times New Roman"/>
                      <w:color w:val="000000" w:themeColor="text1"/>
                    </w:rPr>
                    <w:t>分</w:t>
                  </w:r>
                  <w:r w:rsidRPr="008F1E6B">
                    <w:rPr>
                      <w:rFonts w:ascii="Times New Roman" w:eastAsia="標楷體" w:hAnsi="Times New Roman" w:cs="Times New Roman"/>
                      <w:color w:val="000000" w:themeColor="text1"/>
                    </w:rPr>
                    <w:t xml:space="preserve">  </w:t>
                  </w:r>
                </w:p>
              </w:tc>
            </w:tr>
            <w:tr w:rsidR="006027D3" w:rsidRPr="008F1E6B" w14:paraId="56BFEF5E" w14:textId="77777777" w:rsidTr="00C42DBC">
              <w:tc>
                <w:tcPr>
                  <w:tcW w:w="852" w:type="dxa"/>
                </w:tcPr>
                <w:p w14:paraId="432336AB"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B</w:t>
                  </w:r>
                  <w:r w:rsidRPr="008F1E6B">
                    <w:rPr>
                      <w:rFonts w:ascii="Times New Roman" w:eastAsia="標楷體" w:hAnsi="Times New Roman" w:cs="Times New Roman"/>
                      <w:color w:val="000000" w:themeColor="text1"/>
                    </w:rPr>
                    <w:t>級</w:t>
                  </w:r>
                </w:p>
              </w:tc>
              <w:tc>
                <w:tcPr>
                  <w:tcW w:w="2271" w:type="dxa"/>
                </w:tcPr>
                <w:p w14:paraId="38F51D35"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週轉率指標加權分數</w:t>
                  </w:r>
                  <w:proofErr w:type="gramStart"/>
                  <w:r w:rsidRPr="008F1E6B">
                    <w:rPr>
                      <w:rFonts w:ascii="新細明體" w:eastAsia="新細明體" w:hAnsi="新細明體" w:cs="新細明體" w:hint="eastAsia"/>
                      <w:color w:val="000000" w:themeColor="text1"/>
                    </w:rPr>
                    <w:t>≧</w:t>
                  </w:r>
                  <w:proofErr w:type="gramEnd"/>
                  <w:r w:rsidRPr="008F1E6B">
                    <w:rPr>
                      <w:rFonts w:ascii="Times New Roman" w:eastAsia="標楷體" w:hAnsi="Times New Roman" w:cs="Times New Roman"/>
                      <w:color w:val="000000" w:themeColor="text1"/>
                    </w:rPr>
                    <w:t>0.2</w:t>
                  </w:r>
                  <w:r w:rsidRPr="008F1E6B">
                    <w:rPr>
                      <w:rFonts w:ascii="Times New Roman" w:eastAsia="標楷體" w:hAnsi="Times New Roman" w:cs="Times New Roman"/>
                      <w:color w:val="000000" w:themeColor="text1"/>
                    </w:rPr>
                    <w:t>分</w:t>
                  </w:r>
                </w:p>
                <w:p w14:paraId="2E6E40FD"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造市品質指標加權分數</w:t>
                  </w:r>
                  <w:proofErr w:type="gramStart"/>
                  <w:r w:rsidRPr="008F1E6B">
                    <w:rPr>
                      <w:rFonts w:ascii="新細明體" w:eastAsia="新細明體" w:hAnsi="新細明體" w:cs="新細明體" w:hint="eastAsia"/>
                      <w:color w:val="000000" w:themeColor="text1"/>
                    </w:rPr>
                    <w:t>≧</w:t>
                  </w:r>
                  <w:proofErr w:type="gramEnd"/>
                  <w:r w:rsidRPr="008F1E6B">
                    <w:rPr>
                      <w:rFonts w:ascii="Times New Roman" w:eastAsia="標楷體" w:hAnsi="Times New Roman" w:cs="Times New Roman"/>
                      <w:color w:val="000000" w:themeColor="text1"/>
                    </w:rPr>
                    <w:t>0.3</w:t>
                  </w:r>
                  <w:r w:rsidRPr="008F1E6B">
                    <w:rPr>
                      <w:rFonts w:ascii="Times New Roman" w:eastAsia="標楷體" w:hAnsi="Times New Roman" w:cs="Times New Roman"/>
                      <w:color w:val="000000" w:themeColor="text1"/>
                    </w:rPr>
                    <w:t>分</w:t>
                  </w:r>
                  <w:r w:rsidRPr="008F1E6B">
                    <w:rPr>
                      <w:rFonts w:ascii="Times New Roman" w:eastAsia="標楷體" w:hAnsi="Times New Roman" w:cs="Times New Roman"/>
                      <w:color w:val="000000" w:themeColor="text1"/>
                    </w:rPr>
                    <w:t xml:space="preserve">   </w:t>
                  </w:r>
                </w:p>
              </w:tc>
            </w:tr>
            <w:tr w:rsidR="006027D3" w:rsidRPr="008F1E6B" w14:paraId="21061733" w14:textId="77777777" w:rsidTr="00C42DBC">
              <w:tc>
                <w:tcPr>
                  <w:tcW w:w="852" w:type="dxa"/>
                </w:tcPr>
                <w:p w14:paraId="1C4ED19A"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C</w:t>
                  </w:r>
                  <w:r w:rsidRPr="008F1E6B">
                    <w:rPr>
                      <w:rFonts w:ascii="Times New Roman" w:eastAsia="標楷體" w:hAnsi="Times New Roman" w:cs="Times New Roman"/>
                      <w:color w:val="000000" w:themeColor="text1"/>
                    </w:rPr>
                    <w:t>級</w:t>
                  </w:r>
                </w:p>
              </w:tc>
              <w:tc>
                <w:tcPr>
                  <w:tcW w:w="2271" w:type="dxa"/>
                </w:tcPr>
                <w:p w14:paraId="16CBBC5E"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未列入</w:t>
                  </w:r>
                  <w:r w:rsidRPr="008F1E6B">
                    <w:rPr>
                      <w:rFonts w:ascii="Times New Roman" w:eastAsia="標楷體" w:hAnsi="Times New Roman" w:cs="Times New Roman"/>
                      <w:color w:val="000000" w:themeColor="text1"/>
                    </w:rPr>
                    <w:t>A</w:t>
                  </w:r>
                  <w:r w:rsidRPr="008F1E6B">
                    <w:rPr>
                      <w:rFonts w:ascii="Times New Roman" w:eastAsia="標楷體" w:hAnsi="Times New Roman" w:cs="Times New Roman"/>
                      <w:color w:val="000000" w:themeColor="text1"/>
                    </w:rPr>
                    <w:t>、</w:t>
                  </w:r>
                  <w:r w:rsidRPr="008F1E6B">
                    <w:rPr>
                      <w:rFonts w:ascii="Times New Roman" w:eastAsia="標楷體" w:hAnsi="Times New Roman" w:cs="Times New Roman"/>
                      <w:color w:val="000000" w:themeColor="text1"/>
                    </w:rPr>
                    <w:t>B</w:t>
                  </w:r>
                  <w:r w:rsidRPr="008F1E6B">
                    <w:rPr>
                      <w:rFonts w:ascii="Times New Roman" w:eastAsia="標楷體" w:hAnsi="Times New Roman" w:cs="Times New Roman"/>
                      <w:color w:val="000000" w:themeColor="text1"/>
                    </w:rPr>
                    <w:t>、</w:t>
                  </w:r>
                  <w:r w:rsidRPr="008F1E6B">
                    <w:rPr>
                      <w:rFonts w:ascii="Times New Roman" w:eastAsia="標楷體" w:hAnsi="Times New Roman" w:cs="Times New Roman"/>
                      <w:color w:val="000000" w:themeColor="text1"/>
                    </w:rPr>
                    <w:t>D</w:t>
                  </w:r>
                  <w:r w:rsidRPr="008F1E6B">
                    <w:rPr>
                      <w:rFonts w:ascii="Times New Roman" w:eastAsia="標楷體" w:hAnsi="Times New Roman" w:cs="Times New Roman"/>
                      <w:color w:val="000000" w:themeColor="text1"/>
                    </w:rPr>
                    <w:t>、</w:t>
                  </w:r>
                  <w:r w:rsidRPr="008F1E6B">
                    <w:rPr>
                      <w:rFonts w:ascii="Times New Roman" w:eastAsia="標楷體" w:hAnsi="Times New Roman" w:cs="Times New Roman"/>
                      <w:color w:val="000000" w:themeColor="text1"/>
                    </w:rPr>
                    <w:t>E</w:t>
                  </w:r>
                  <w:r w:rsidRPr="008F1E6B">
                    <w:rPr>
                      <w:rFonts w:ascii="Times New Roman" w:eastAsia="標楷體" w:hAnsi="Times New Roman" w:cs="Times New Roman"/>
                      <w:color w:val="000000" w:themeColor="text1"/>
                    </w:rPr>
                    <w:t>等級者</w:t>
                  </w:r>
                </w:p>
              </w:tc>
            </w:tr>
            <w:tr w:rsidR="006027D3" w:rsidRPr="008F1E6B" w14:paraId="54533BFC" w14:textId="77777777" w:rsidTr="00C42DBC">
              <w:tc>
                <w:tcPr>
                  <w:tcW w:w="852" w:type="dxa"/>
                </w:tcPr>
                <w:p w14:paraId="01B4CA16"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D</w:t>
                  </w:r>
                  <w:r w:rsidRPr="008F1E6B">
                    <w:rPr>
                      <w:rFonts w:ascii="Times New Roman" w:eastAsia="標楷體" w:hAnsi="Times New Roman" w:cs="Times New Roman"/>
                      <w:color w:val="000000" w:themeColor="text1"/>
                    </w:rPr>
                    <w:t>級</w:t>
                  </w:r>
                </w:p>
              </w:tc>
              <w:tc>
                <w:tcPr>
                  <w:tcW w:w="2271" w:type="dxa"/>
                </w:tcPr>
                <w:p w14:paraId="0FB95735"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造市品質指標加權分數＜</w:t>
                  </w:r>
                  <w:r w:rsidRPr="008F1E6B">
                    <w:rPr>
                      <w:rFonts w:ascii="Times New Roman" w:eastAsia="標楷體" w:hAnsi="Times New Roman" w:cs="Times New Roman"/>
                      <w:color w:val="000000" w:themeColor="text1"/>
                    </w:rPr>
                    <w:t>0.12</w:t>
                  </w:r>
                  <w:r w:rsidRPr="008F1E6B">
                    <w:rPr>
                      <w:rFonts w:ascii="Times New Roman" w:eastAsia="標楷體" w:hAnsi="Times New Roman" w:cs="Times New Roman"/>
                      <w:color w:val="000000" w:themeColor="text1"/>
                    </w:rPr>
                    <w:t>分</w:t>
                  </w:r>
                </w:p>
              </w:tc>
            </w:tr>
            <w:tr w:rsidR="006027D3" w:rsidRPr="008F1E6B" w14:paraId="6A41E48C" w14:textId="77777777" w:rsidTr="00C42DBC">
              <w:tc>
                <w:tcPr>
                  <w:tcW w:w="852" w:type="dxa"/>
                </w:tcPr>
                <w:p w14:paraId="18311814"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E</w:t>
                  </w:r>
                  <w:r w:rsidRPr="008F1E6B">
                    <w:rPr>
                      <w:rFonts w:ascii="Times New Roman" w:eastAsia="標楷體" w:hAnsi="Times New Roman" w:cs="Times New Roman"/>
                      <w:color w:val="000000" w:themeColor="text1"/>
                    </w:rPr>
                    <w:t>級</w:t>
                  </w:r>
                </w:p>
              </w:tc>
              <w:tc>
                <w:tcPr>
                  <w:tcW w:w="2271" w:type="dxa"/>
                </w:tcPr>
                <w:p w14:paraId="2E756F77"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造市品質指標加權分數＝</w:t>
                  </w:r>
                  <w:r w:rsidRPr="008F1E6B">
                    <w:rPr>
                      <w:rFonts w:ascii="Times New Roman" w:eastAsia="標楷體" w:hAnsi="Times New Roman" w:cs="Times New Roman"/>
                      <w:color w:val="000000" w:themeColor="text1"/>
                    </w:rPr>
                    <w:t>0</w:t>
                  </w:r>
                  <w:r w:rsidRPr="008F1E6B">
                    <w:rPr>
                      <w:rFonts w:ascii="Times New Roman" w:eastAsia="標楷體" w:hAnsi="Times New Roman" w:cs="Times New Roman"/>
                      <w:color w:val="000000" w:themeColor="text1"/>
                    </w:rPr>
                    <w:t>分</w:t>
                  </w:r>
                  <w:r w:rsidRPr="008F1E6B">
                    <w:rPr>
                      <w:rFonts w:ascii="Times New Roman" w:eastAsia="標楷體" w:hAnsi="Times New Roman" w:cs="Times New Roman"/>
                      <w:color w:val="000000" w:themeColor="text1"/>
                    </w:rPr>
                    <w:t xml:space="preserve">  </w:t>
                  </w:r>
                </w:p>
              </w:tc>
            </w:tr>
          </w:tbl>
          <w:p w14:paraId="7CE9B129" w14:textId="77777777" w:rsidR="006027D3" w:rsidRPr="008F1E6B" w:rsidRDefault="006027D3" w:rsidP="006027D3">
            <w:pPr>
              <w:spacing w:line="360" w:lineRule="exact"/>
              <w:ind w:leftChars="-42" w:left="-101"/>
              <w:jc w:val="both"/>
              <w:rPr>
                <w:rFonts w:ascii="Times New Roman" w:hAnsi="Times New Roman" w:cs="Times New Roman"/>
              </w:rPr>
            </w:pPr>
          </w:p>
        </w:tc>
        <w:tc>
          <w:tcPr>
            <w:tcW w:w="3402" w:type="dxa"/>
            <w:tcBorders>
              <w:top w:val="single" w:sz="4" w:space="0" w:color="000000" w:themeColor="text1"/>
            </w:tcBorders>
          </w:tcPr>
          <w:p w14:paraId="2C3E7E16"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lastRenderedPageBreak/>
              <w:t>改以</w:t>
            </w:r>
            <w:proofErr w:type="gramStart"/>
            <w:r w:rsidRPr="008F1E6B">
              <w:rPr>
                <w:rFonts w:ascii="Times New Roman" w:eastAsia="標楷體" w:hAnsi="Times New Roman" w:cs="Times New Roman"/>
                <w:color w:val="000000" w:themeColor="text1"/>
              </w:rPr>
              <w:t>第三條評等</w:t>
            </w:r>
            <w:proofErr w:type="gramEnd"/>
            <w:r w:rsidRPr="008F1E6B">
              <w:rPr>
                <w:rFonts w:ascii="Times New Roman" w:eastAsia="標楷體" w:hAnsi="Times New Roman" w:cs="Times New Roman"/>
                <w:color w:val="000000" w:themeColor="text1"/>
              </w:rPr>
              <w:t>指標加權總分數作為分級標準，即</w:t>
            </w:r>
            <w:r w:rsidRPr="008F1E6B">
              <w:rPr>
                <w:rFonts w:ascii="Times New Roman" w:eastAsia="標楷體" w:hAnsi="Times New Roman" w:cs="Times New Roman"/>
                <w:color w:val="000000" w:themeColor="text1"/>
              </w:rPr>
              <w:t>A</w:t>
            </w:r>
            <w:r w:rsidRPr="008F1E6B">
              <w:rPr>
                <w:rFonts w:ascii="Times New Roman" w:eastAsia="標楷體" w:hAnsi="Times New Roman" w:cs="Times New Roman"/>
                <w:color w:val="000000" w:themeColor="text1"/>
              </w:rPr>
              <w:t>、</w:t>
            </w:r>
            <w:r w:rsidRPr="008F1E6B">
              <w:rPr>
                <w:rFonts w:ascii="Times New Roman" w:eastAsia="標楷體" w:hAnsi="Times New Roman" w:cs="Times New Roman"/>
                <w:color w:val="000000" w:themeColor="text1"/>
              </w:rPr>
              <w:t>B</w:t>
            </w:r>
            <w:r w:rsidRPr="008F1E6B">
              <w:rPr>
                <w:rFonts w:ascii="Times New Roman" w:eastAsia="標楷體" w:hAnsi="Times New Roman" w:cs="Times New Roman"/>
                <w:color w:val="000000" w:themeColor="text1"/>
              </w:rPr>
              <w:t>級發行人為市場前</w:t>
            </w:r>
            <w:r w:rsidRPr="008F1E6B">
              <w:rPr>
                <w:rFonts w:ascii="Times New Roman" w:eastAsia="標楷體" w:hAnsi="Times New Roman" w:cs="Times New Roman"/>
                <w:color w:val="000000" w:themeColor="text1"/>
              </w:rPr>
              <w:t>30%</w:t>
            </w:r>
            <w:r w:rsidRPr="008F1E6B">
              <w:rPr>
                <w:rFonts w:ascii="Times New Roman" w:eastAsia="標楷體" w:hAnsi="Times New Roman" w:cs="Times New Roman"/>
                <w:color w:val="000000" w:themeColor="text1"/>
              </w:rPr>
              <w:t>及</w:t>
            </w:r>
            <w:r w:rsidRPr="008F1E6B">
              <w:rPr>
                <w:rFonts w:ascii="Times New Roman" w:eastAsia="標楷體" w:hAnsi="Times New Roman" w:cs="Times New Roman"/>
                <w:color w:val="000000" w:themeColor="text1"/>
              </w:rPr>
              <w:t>50%</w:t>
            </w:r>
            <w:r w:rsidRPr="008F1E6B">
              <w:rPr>
                <w:rFonts w:ascii="Times New Roman" w:eastAsia="標楷體" w:hAnsi="Times New Roman" w:cs="Times New Roman"/>
                <w:color w:val="000000" w:themeColor="text1"/>
              </w:rPr>
              <w:t>者，其加權總分數分別為</w:t>
            </w:r>
            <w:r w:rsidRPr="008F1E6B">
              <w:rPr>
                <w:rFonts w:ascii="Times New Roman" w:eastAsia="標楷體" w:hAnsi="Times New Roman" w:cs="Times New Roman"/>
                <w:color w:val="000000" w:themeColor="text1"/>
              </w:rPr>
              <w:t>A</w:t>
            </w:r>
            <w:r w:rsidRPr="008F1E6B">
              <w:rPr>
                <w:rFonts w:ascii="Times New Roman" w:eastAsia="標楷體" w:hAnsi="Times New Roman" w:cs="Times New Roman"/>
                <w:color w:val="000000" w:themeColor="text1"/>
              </w:rPr>
              <w:t>級</w:t>
            </w:r>
            <w:r w:rsidRPr="008F1E6B">
              <w:rPr>
                <w:rFonts w:ascii="Times New Roman" w:eastAsia="標楷體" w:hAnsi="Times New Roman" w:cs="Times New Roman"/>
                <w:color w:val="000000" w:themeColor="text1"/>
              </w:rPr>
              <w:t>0.7</w:t>
            </w:r>
            <w:r w:rsidRPr="008F1E6B">
              <w:rPr>
                <w:rFonts w:ascii="Times New Roman" w:eastAsia="標楷體" w:hAnsi="Times New Roman" w:cs="Times New Roman"/>
                <w:color w:val="000000" w:themeColor="text1"/>
              </w:rPr>
              <w:t>分</w:t>
            </w:r>
            <w:r w:rsidRPr="008F1E6B">
              <w:rPr>
                <w:rFonts w:ascii="Times New Roman" w:eastAsia="標楷體" w:hAnsi="Times New Roman" w:cs="Times New Roman"/>
                <w:color w:val="000000" w:themeColor="text1"/>
              </w:rPr>
              <w:t>[(1-30%)*100%]</w:t>
            </w:r>
            <w:r w:rsidRPr="008F1E6B">
              <w:rPr>
                <w:rFonts w:ascii="Times New Roman" w:eastAsia="標楷體" w:hAnsi="Times New Roman" w:cs="Times New Roman"/>
                <w:color w:val="000000" w:themeColor="text1"/>
              </w:rPr>
              <w:t>以上及</w:t>
            </w:r>
            <w:r w:rsidRPr="008F1E6B">
              <w:rPr>
                <w:rFonts w:ascii="Times New Roman" w:eastAsia="標楷體" w:hAnsi="Times New Roman" w:cs="Times New Roman"/>
                <w:color w:val="000000" w:themeColor="text1"/>
              </w:rPr>
              <w:t>B</w:t>
            </w:r>
            <w:r w:rsidRPr="008F1E6B">
              <w:rPr>
                <w:rFonts w:ascii="Times New Roman" w:eastAsia="標楷體" w:hAnsi="Times New Roman" w:cs="Times New Roman"/>
                <w:color w:val="000000" w:themeColor="text1"/>
              </w:rPr>
              <w:t>級</w:t>
            </w:r>
            <w:r w:rsidRPr="008F1E6B">
              <w:rPr>
                <w:rFonts w:ascii="Times New Roman" w:eastAsia="標楷體" w:hAnsi="Times New Roman" w:cs="Times New Roman"/>
                <w:color w:val="000000" w:themeColor="text1"/>
              </w:rPr>
              <w:t>0.5</w:t>
            </w:r>
            <w:r w:rsidRPr="008F1E6B">
              <w:rPr>
                <w:rFonts w:ascii="Times New Roman" w:eastAsia="標楷體" w:hAnsi="Times New Roman" w:cs="Times New Roman"/>
                <w:color w:val="000000" w:themeColor="text1"/>
              </w:rPr>
              <w:t>分</w:t>
            </w:r>
            <w:r w:rsidRPr="008F1E6B">
              <w:rPr>
                <w:rFonts w:ascii="Times New Roman" w:eastAsia="標楷體" w:hAnsi="Times New Roman" w:cs="Times New Roman"/>
                <w:color w:val="000000" w:themeColor="text1"/>
              </w:rPr>
              <w:t>[(1-50%)*100%]</w:t>
            </w:r>
            <w:r w:rsidRPr="008F1E6B">
              <w:rPr>
                <w:rFonts w:ascii="Times New Roman" w:eastAsia="標楷體" w:hAnsi="Times New Roman" w:cs="Times New Roman"/>
                <w:color w:val="000000" w:themeColor="text1"/>
              </w:rPr>
              <w:t>以上；</w:t>
            </w:r>
            <w:r w:rsidRPr="008F1E6B">
              <w:rPr>
                <w:rFonts w:ascii="Times New Roman" w:eastAsia="標楷體" w:hAnsi="Times New Roman" w:cs="Times New Roman"/>
                <w:color w:val="000000" w:themeColor="text1"/>
              </w:rPr>
              <w:t>D</w:t>
            </w:r>
            <w:r w:rsidRPr="008F1E6B">
              <w:rPr>
                <w:rFonts w:ascii="Times New Roman" w:eastAsia="標楷體" w:hAnsi="Times New Roman" w:cs="Times New Roman"/>
                <w:color w:val="000000" w:themeColor="text1"/>
              </w:rPr>
              <w:t>級發行人為市場後</w:t>
            </w:r>
            <w:r w:rsidRPr="008F1E6B">
              <w:rPr>
                <w:rFonts w:ascii="Times New Roman" w:eastAsia="標楷體" w:hAnsi="Times New Roman" w:cs="Times New Roman"/>
                <w:color w:val="000000" w:themeColor="text1"/>
              </w:rPr>
              <w:t>20%</w:t>
            </w:r>
            <w:r w:rsidRPr="008F1E6B">
              <w:rPr>
                <w:rFonts w:ascii="Times New Roman" w:eastAsia="標楷體" w:hAnsi="Times New Roman" w:cs="Times New Roman"/>
                <w:color w:val="000000" w:themeColor="text1"/>
              </w:rPr>
              <w:t>者，其加權總分數為低於</w:t>
            </w:r>
            <w:r w:rsidRPr="008F1E6B">
              <w:rPr>
                <w:rFonts w:ascii="Times New Roman" w:eastAsia="標楷體" w:hAnsi="Times New Roman" w:cs="Times New Roman"/>
                <w:color w:val="000000" w:themeColor="text1"/>
              </w:rPr>
              <w:t>0.2</w:t>
            </w:r>
            <w:r w:rsidRPr="008F1E6B">
              <w:rPr>
                <w:rFonts w:ascii="Times New Roman" w:eastAsia="標楷體" w:hAnsi="Times New Roman" w:cs="Times New Roman"/>
                <w:color w:val="000000" w:themeColor="text1"/>
              </w:rPr>
              <w:t>分</w:t>
            </w:r>
            <w:r w:rsidRPr="008F1E6B">
              <w:rPr>
                <w:rFonts w:ascii="Times New Roman" w:eastAsia="標楷體" w:hAnsi="Times New Roman" w:cs="Times New Roman"/>
                <w:color w:val="000000" w:themeColor="text1"/>
              </w:rPr>
              <w:t>[(1-80%)* 100%]</w:t>
            </w:r>
            <w:r w:rsidRPr="008F1E6B">
              <w:rPr>
                <w:rFonts w:ascii="Times New Roman" w:eastAsia="標楷體" w:hAnsi="Times New Roman" w:cs="Times New Roman"/>
                <w:color w:val="000000" w:themeColor="text1"/>
              </w:rPr>
              <w:t>；</w:t>
            </w:r>
            <w:r w:rsidRPr="008F1E6B">
              <w:rPr>
                <w:rFonts w:ascii="Times New Roman" w:eastAsia="標楷體" w:hAnsi="Times New Roman" w:cs="Times New Roman"/>
                <w:color w:val="000000" w:themeColor="text1"/>
              </w:rPr>
              <w:t>E</w:t>
            </w:r>
            <w:r w:rsidRPr="008F1E6B">
              <w:rPr>
                <w:rFonts w:ascii="Times New Roman" w:eastAsia="標楷體" w:hAnsi="Times New Roman" w:cs="Times New Roman"/>
                <w:color w:val="000000" w:themeColor="text1"/>
              </w:rPr>
              <w:t>級發行人各項</w:t>
            </w:r>
            <w:proofErr w:type="gramStart"/>
            <w:r w:rsidRPr="008F1E6B">
              <w:rPr>
                <w:rFonts w:ascii="Times New Roman" w:eastAsia="標楷體" w:hAnsi="Times New Roman" w:cs="Times New Roman"/>
                <w:color w:val="000000" w:themeColor="text1"/>
              </w:rPr>
              <w:t>指標均為市場</w:t>
            </w:r>
            <w:proofErr w:type="gramEnd"/>
            <w:r w:rsidRPr="008F1E6B">
              <w:rPr>
                <w:rFonts w:ascii="Times New Roman" w:eastAsia="標楷體" w:hAnsi="Times New Roman" w:cs="Times New Roman"/>
                <w:color w:val="000000" w:themeColor="text1"/>
              </w:rPr>
              <w:t>之末，加權總分數為</w:t>
            </w:r>
            <w:r w:rsidRPr="008F1E6B">
              <w:rPr>
                <w:rFonts w:ascii="Times New Roman" w:eastAsia="標楷體" w:hAnsi="Times New Roman" w:cs="Times New Roman"/>
                <w:color w:val="000000" w:themeColor="text1"/>
              </w:rPr>
              <w:t>0</w:t>
            </w:r>
            <w:r w:rsidRPr="008F1E6B">
              <w:rPr>
                <w:rFonts w:ascii="Times New Roman" w:eastAsia="標楷體" w:hAnsi="Times New Roman" w:cs="Times New Roman"/>
                <w:color w:val="000000" w:themeColor="text1"/>
              </w:rPr>
              <w:t>分。</w:t>
            </w:r>
          </w:p>
          <w:p w14:paraId="7477E622"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r w:rsidRPr="008F1E6B">
              <w:rPr>
                <w:rFonts w:ascii="Times New Roman" w:eastAsia="標楷體" w:hAnsi="Times New Roman" w:cs="Times New Roman"/>
                <w:color w:val="000000" w:themeColor="text1"/>
              </w:rPr>
              <w:t>另增加</w:t>
            </w:r>
            <w:r w:rsidRPr="008F1E6B">
              <w:rPr>
                <w:rFonts w:ascii="Times New Roman" w:eastAsia="標楷體" w:hAnsi="Times New Roman" w:cs="Times New Roman"/>
                <w:color w:val="000000" w:themeColor="text1"/>
              </w:rPr>
              <w:t>A</w:t>
            </w:r>
            <w:r w:rsidRPr="008F1E6B">
              <w:rPr>
                <w:rFonts w:ascii="Times New Roman" w:eastAsia="標楷體" w:hAnsi="Times New Roman" w:cs="Times New Roman"/>
                <w:color w:val="000000" w:themeColor="text1"/>
              </w:rPr>
              <w:t>、</w:t>
            </w:r>
            <w:r w:rsidRPr="008F1E6B">
              <w:rPr>
                <w:rFonts w:ascii="Times New Roman" w:eastAsia="標楷體" w:hAnsi="Times New Roman" w:cs="Times New Roman"/>
                <w:color w:val="000000" w:themeColor="text1"/>
              </w:rPr>
              <w:t>B</w:t>
            </w:r>
            <w:r w:rsidRPr="008F1E6B">
              <w:rPr>
                <w:rFonts w:ascii="Times New Roman" w:eastAsia="標楷體" w:hAnsi="Times New Roman" w:cs="Times New Roman"/>
                <w:color w:val="000000" w:themeColor="text1"/>
              </w:rPr>
              <w:t>級發行人之「兩</w:t>
            </w:r>
            <w:proofErr w:type="gramStart"/>
            <w:r w:rsidRPr="008F1E6B">
              <w:rPr>
                <w:rFonts w:ascii="Times New Roman" w:eastAsia="標楷體" w:hAnsi="Times New Roman" w:cs="Times New Roman"/>
                <w:color w:val="000000" w:themeColor="text1"/>
              </w:rPr>
              <w:t>週</w:t>
            </w:r>
            <w:proofErr w:type="gramEnd"/>
            <w:r w:rsidRPr="008F1E6B">
              <w:rPr>
                <w:rFonts w:ascii="Times New Roman" w:eastAsia="標楷體" w:hAnsi="Times New Roman" w:cs="Times New Roman"/>
                <w:color w:val="000000" w:themeColor="text1"/>
              </w:rPr>
              <w:t>買</w:t>
            </w:r>
            <w:proofErr w:type="gramStart"/>
            <w:r w:rsidRPr="008F1E6B">
              <w:rPr>
                <w:rFonts w:ascii="Times New Roman" w:eastAsia="標楷體" w:hAnsi="Times New Roman" w:cs="Times New Roman"/>
                <w:color w:val="000000" w:themeColor="text1"/>
              </w:rPr>
              <w:t>一隱波標準</w:t>
            </w:r>
            <w:proofErr w:type="gramEnd"/>
            <w:r w:rsidRPr="008F1E6B">
              <w:rPr>
                <w:rFonts w:ascii="Times New Roman" w:eastAsia="標楷體" w:hAnsi="Times New Roman" w:cs="Times New Roman"/>
                <w:color w:val="000000" w:themeColor="text1"/>
              </w:rPr>
              <w:t>差」指標同時須分別為市場前</w:t>
            </w:r>
            <w:r w:rsidRPr="008F1E6B">
              <w:rPr>
                <w:rFonts w:ascii="Times New Roman" w:eastAsia="標楷體" w:hAnsi="Times New Roman" w:cs="Times New Roman"/>
                <w:color w:val="000000" w:themeColor="text1"/>
              </w:rPr>
              <w:t>30%</w:t>
            </w:r>
            <w:r w:rsidRPr="008F1E6B">
              <w:rPr>
                <w:rFonts w:ascii="Times New Roman" w:eastAsia="標楷體" w:hAnsi="Times New Roman" w:cs="Times New Roman"/>
                <w:color w:val="000000" w:themeColor="text1"/>
              </w:rPr>
              <w:t>及</w:t>
            </w:r>
            <w:r w:rsidRPr="008F1E6B">
              <w:rPr>
                <w:rFonts w:ascii="Times New Roman" w:eastAsia="標楷體" w:hAnsi="Times New Roman" w:cs="Times New Roman"/>
                <w:color w:val="000000" w:themeColor="text1"/>
              </w:rPr>
              <w:t>50%</w:t>
            </w:r>
            <w:r w:rsidRPr="008F1E6B">
              <w:rPr>
                <w:rFonts w:ascii="Times New Roman" w:eastAsia="標楷體" w:hAnsi="Times New Roman" w:cs="Times New Roman"/>
                <w:color w:val="000000" w:themeColor="text1"/>
              </w:rPr>
              <w:t>者，即「兩</w:t>
            </w:r>
            <w:proofErr w:type="gramStart"/>
            <w:r w:rsidRPr="008F1E6B">
              <w:rPr>
                <w:rFonts w:ascii="Times New Roman" w:eastAsia="標楷體" w:hAnsi="Times New Roman" w:cs="Times New Roman"/>
                <w:color w:val="000000" w:themeColor="text1"/>
              </w:rPr>
              <w:t>週</w:t>
            </w:r>
            <w:proofErr w:type="gramEnd"/>
            <w:r w:rsidRPr="008F1E6B">
              <w:rPr>
                <w:rFonts w:ascii="Times New Roman" w:eastAsia="標楷體" w:hAnsi="Times New Roman" w:cs="Times New Roman"/>
                <w:color w:val="000000" w:themeColor="text1"/>
              </w:rPr>
              <w:t>買</w:t>
            </w:r>
            <w:proofErr w:type="gramStart"/>
            <w:r w:rsidRPr="008F1E6B">
              <w:rPr>
                <w:rFonts w:ascii="Times New Roman" w:eastAsia="標楷體" w:hAnsi="Times New Roman" w:cs="Times New Roman"/>
                <w:color w:val="000000" w:themeColor="text1"/>
              </w:rPr>
              <w:t>一隱波標準</w:t>
            </w:r>
            <w:proofErr w:type="gramEnd"/>
            <w:r w:rsidRPr="008F1E6B">
              <w:rPr>
                <w:rFonts w:ascii="Times New Roman" w:eastAsia="標楷體" w:hAnsi="Times New Roman" w:cs="Times New Roman"/>
                <w:color w:val="000000" w:themeColor="text1"/>
              </w:rPr>
              <w:t>差」指標加權分數為</w:t>
            </w:r>
            <w:r w:rsidRPr="008F1E6B">
              <w:rPr>
                <w:rFonts w:ascii="Times New Roman" w:eastAsia="標楷體" w:hAnsi="Times New Roman" w:cs="Times New Roman"/>
                <w:color w:val="000000" w:themeColor="text1"/>
              </w:rPr>
              <w:t>A</w:t>
            </w:r>
            <w:r w:rsidRPr="008F1E6B">
              <w:rPr>
                <w:rFonts w:ascii="Times New Roman" w:eastAsia="標楷體" w:hAnsi="Times New Roman" w:cs="Times New Roman"/>
                <w:color w:val="000000" w:themeColor="text1"/>
              </w:rPr>
              <w:t>級</w:t>
            </w:r>
            <w:r w:rsidRPr="008F1E6B">
              <w:rPr>
                <w:rFonts w:ascii="Times New Roman" w:eastAsia="標楷體" w:hAnsi="Times New Roman" w:cs="Times New Roman"/>
                <w:color w:val="000000" w:themeColor="text1"/>
              </w:rPr>
              <w:t>0.21</w:t>
            </w:r>
            <w:r w:rsidRPr="008F1E6B">
              <w:rPr>
                <w:rFonts w:ascii="Times New Roman" w:eastAsia="標楷體" w:hAnsi="Times New Roman" w:cs="Times New Roman"/>
                <w:color w:val="000000" w:themeColor="text1"/>
              </w:rPr>
              <w:t>分</w:t>
            </w:r>
            <w:r w:rsidRPr="008F1E6B">
              <w:rPr>
                <w:rFonts w:ascii="Times New Roman" w:eastAsia="標楷體" w:hAnsi="Times New Roman" w:cs="Times New Roman"/>
                <w:color w:val="000000" w:themeColor="text1"/>
              </w:rPr>
              <w:t>[(1-30%)*30%]</w:t>
            </w:r>
            <w:r w:rsidRPr="008F1E6B">
              <w:rPr>
                <w:rFonts w:ascii="Times New Roman" w:eastAsia="標楷體" w:hAnsi="Times New Roman" w:cs="Times New Roman"/>
                <w:color w:val="000000" w:themeColor="text1"/>
              </w:rPr>
              <w:t>以上及</w:t>
            </w:r>
            <w:r w:rsidRPr="008F1E6B">
              <w:rPr>
                <w:rFonts w:ascii="Times New Roman" w:eastAsia="標楷體" w:hAnsi="Times New Roman" w:cs="Times New Roman"/>
                <w:color w:val="000000" w:themeColor="text1"/>
              </w:rPr>
              <w:t>B</w:t>
            </w:r>
            <w:r w:rsidRPr="008F1E6B">
              <w:rPr>
                <w:rFonts w:ascii="Times New Roman" w:eastAsia="標楷體" w:hAnsi="Times New Roman" w:cs="Times New Roman"/>
                <w:color w:val="000000" w:themeColor="text1"/>
              </w:rPr>
              <w:t>級</w:t>
            </w:r>
            <w:r w:rsidRPr="008F1E6B">
              <w:rPr>
                <w:rFonts w:ascii="Times New Roman" w:eastAsia="標楷體" w:hAnsi="Times New Roman" w:cs="Times New Roman"/>
                <w:color w:val="000000" w:themeColor="text1"/>
              </w:rPr>
              <w:t>0.15</w:t>
            </w:r>
            <w:r w:rsidRPr="008F1E6B">
              <w:rPr>
                <w:rFonts w:ascii="Times New Roman" w:eastAsia="標楷體" w:hAnsi="Times New Roman" w:cs="Times New Roman"/>
                <w:color w:val="000000" w:themeColor="text1"/>
              </w:rPr>
              <w:t>分</w:t>
            </w:r>
            <w:r w:rsidRPr="008F1E6B">
              <w:rPr>
                <w:rFonts w:ascii="Times New Roman" w:eastAsia="標楷體" w:hAnsi="Times New Roman" w:cs="Times New Roman"/>
                <w:color w:val="000000" w:themeColor="text1"/>
              </w:rPr>
              <w:t>[(1-50%)*30%]</w:t>
            </w:r>
            <w:r w:rsidRPr="008F1E6B">
              <w:rPr>
                <w:rFonts w:ascii="Times New Roman" w:eastAsia="標楷體" w:hAnsi="Times New Roman" w:cs="Times New Roman"/>
                <w:color w:val="000000" w:themeColor="text1"/>
              </w:rPr>
              <w:t>以上之規定，</w:t>
            </w:r>
            <w:proofErr w:type="gramStart"/>
            <w:r w:rsidRPr="008F1E6B">
              <w:rPr>
                <w:rFonts w:ascii="Times New Roman" w:eastAsia="標楷體" w:hAnsi="Times New Roman" w:cs="Times New Roman"/>
                <w:color w:val="000000" w:themeColor="text1"/>
              </w:rPr>
              <w:t>爰</w:t>
            </w:r>
            <w:proofErr w:type="gramEnd"/>
            <w:r w:rsidRPr="008F1E6B">
              <w:rPr>
                <w:rFonts w:ascii="Times New Roman" w:eastAsia="標楷體" w:hAnsi="Times New Roman" w:cs="Times New Roman"/>
                <w:color w:val="000000" w:themeColor="text1"/>
              </w:rPr>
              <w:t>修訂本條第二款之分級標準表內容。</w:t>
            </w:r>
          </w:p>
          <w:p w14:paraId="36C4A5E1" w14:textId="77777777" w:rsidR="006027D3" w:rsidRPr="008F1E6B" w:rsidRDefault="006027D3" w:rsidP="006027D3">
            <w:pPr>
              <w:spacing w:line="360" w:lineRule="exact"/>
              <w:jc w:val="both"/>
              <w:rPr>
                <w:rFonts w:ascii="Times New Roman" w:eastAsia="標楷體" w:hAnsi="Times New Roman" w:cs="Times New Roman"/>
                <w:color w:val="000000" w:themeColor="text1"/>
                <w:u w:val="single"/>
              </w:rPr>
            </w:pPr>
          </w:p>
          <w:p w14:paraId="311C8893" w14:textId="77777777" w:rsidR="006027D3" w:rsidRPr="008F1E6B" w:rsidRDefault="006027D3" w:rsidP="006027D3">
            <w:pPr>
              <w:spacing w:line="360" w:lineRule="exact"/>
              <w:jc w:val="both"/>
              <w:rPr>
                <w:rFonts w:ascii="Times New Roman" w:eastAsia="標楷體" w:hAnsi="Times New Roman" w:cs="Times New Roman"/>
                <w:color w:val="000000" w:themeColor="text1"/>
              </w:rPr>
            </w:pPr>
          </w:p>
        </w:tc>
      </w:tr>
    </w:tbl>
    <w:p w14:paraId="380B6E55" w14:textId="77777777" w:rsidR="00B82940" w:rsidRPr="008F1E6B" w:rsidRDefault="00B82940" w:rsidP="004E7F22">
      <w:pPr>
        <w:spacing w:line="360" w:lineRule="exact"/>
        <w:jc w:val="both"/>
        <w:rPr>
          <w:rFonts w:ascii="Times New Roman" w:eastAsia="標楷體" w:hAnsi="Times New Roman" w:cs="Times New Roman"/>
          <w:color w:val="000000" w:themeColor="text1"/>
        </w:rPr>
      </w:pPr>
    </w:p>
    <w:p w14:paraId="299478B7" w14:textId="77777777" w:rsidR="00B82940" w:rsidRPr="008F1E6B" w:rsidRDefault="00B82940" w:rsidP="007407F5">
      <w:pPr>
        <w:rPr>
          <w:rFonts w:ascii="Times New Roman" w:hAnsi="Times New Roman" w:cs="Times New Roman"/>
        </w:rPr>
      </w:pPr>
    </w:p>
    <w:sectPr w:rsidR="00B82940" w:rsidRPr="008F1E6B" w:rsidSect="007407F5">
      <w:pgSz w:w="11906" w:h="16838"/>
      <w:pgMar w:top="1440" w:right="1800"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5C02C" w14:textId="77777777" w:rsidR="000C0D96" w:rsidRDefault="000C0D96" w:rsidP="006F6923">
      <w:r>
        <w:separator/>
      </w:r>
    </w:p>
  </w:endnote>
  <w:endnote w:type="continuationSeparator" w:id="0">
    <w:p w14:paraId="6C90CA33" w14:textId="77777777" w:rsidR="000C0D96" w:rsidRDefault="000C0D96" w:rsidP="006F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6F478" w14:textId="77777777" w:rsidR="000C0D96" w:rsidRDefault="000C0D96" w:rsidP="006F6923">
      <w:r>
        <w:separator/>
      </w:r>
    </w:p>
  </w:footnote>
  <w:footnote w:type="continuationSeparator" w:id="0">
    <w:p w14:paraId="4DC9363E" w14:textId="77777777" w:rsidR="000C0D96" w:rsidRDefault="000C0D96" w:rsidP="006F6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489F"/>
    <w:multiLevelType w:val="hybridMultilevel"/>
    <w:tmpl w:val="598A763E"/>
    <w:lvl w:ilvl="0" w:tplc="EABCC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4B3C4C"/>
    <w:multiLevelType w:val="hybridMultilevel"/>
    <w:tmpl w:val="8DF6AEAA"/>
    <w:lvl w:ilvl="0" w:tplc="38A6B874">
      <w:start w:val="1"/>
      <w:numFmt w:val="taiwaneseCountingThousand"/>
      <w:lvlText w:val="%1、"/>
      <w:lvlJc w:val="left"/>
      <w:pPr>
        <w:ind w:left="341" w:hanging="480"/>
      </w:pPr>
      <w:rPr>
        <w:rFonts w:ascii="標楷體" w:eastAsia="標楷體" w:hAnsi="標楷體" w:hint="default"/>
      </w:rPr>
    </w:lvl>
    <w:lvl w:ilvl="1" w:tplc="04090019" w:tentative="1">
      <w:start w:val="1"/>
      <w:numFmt w:val="ideographTraditional"/>
      <w:lvlText w:val="%2、"/>
      <w:lvlJc w:val="left"/>
      <w:pPr>
        <w:ind w:left="821" w:hanging="480"/>
      </w:pPr>
    </w:lvl>
    <w:lvl w:ilvl="2" w:tplc="0409001B" w:tentative="1">
      <w:start w:val="1"/>
      <w:numFmt w:val="lowerRoman"/>
      <w:lvlText w:val="%3."/>
      <w:lvlJc w:val="right"/>
      <w:pPr>
        <w:ind w:left="1301" w:hanging="480"/>
      </w:pPr>
    </w:lvl>
    <w:lvl w:ilvl="3" w:tplc="0409000F" w:tentative="1">
      <w:start w:val="1"/>
      <w:numFmt w:val="decimal"/>
      <w:lvlText w:val="%4."/>
      <w:lvlJc w:val="left"/>
      <w:pPr>
        <w:ind w:left="1781" w:hanging="480"/>
      </w:pPr>
    </w:lvl>
    <w:lvl w:ilvl="4" w:tplc="04090019" w:tentative="1">
      <w:start w:val="1"/>
      <w:numFmt w:val="ideographTraditional"/>
      <w:lvlText w:val="%5、"/>
      <w:lvlJc w:val="left"/>
      <w:pPr>
        <w:ind w:left="2261" w:hanging="480"/>
      </w:pPr>
    </w:lvl>
    <w:lvl w:ilvl="5" w:tplc="0409001B" w:tentative="1">
      <w:start w:val="1"/>
      <w:numFmt w:val="lowerRoman"/>
      <w:lvlText w:val="%6."/>
      <w:lvlJc w:val="right"/>
      <w:pPr>
        <w:ind w:left="2741" w:hanging="480"/>
      </w:pPr>
    </w:lvl>
    <w:lvl w:ilvl="6" w:tplc="0409000F" w:tentative="1">
      <w:start w:val="1"/>
      <w:numFmt w:val="decimal"/>
      <w:lvlText w:val="%7."/>
      <w:lvlJc w:val="left"/>
      <w:pPr>
        <w:ind w:left="3221" w:hanging="480"/>
      </w:pPr>
    </w:lvl>
    <w:lvl w:ilvl="7" w:tplc="04090019" w:tentative="1">
      <w:start w:val="1"/>
      <w:numFmt w:val="ideographTraditional"/>
      <w:lvlText w:val="%8、"/>
      <w:lvlJc w:val="left"/>
      <w:pPr>
        <w:ind w:left="3701" w:hanging="480"/>
      </w:pPr>
    </w:lvl>
    <w:lvl w:ilvl="8" w:tplc="0409001B" w:tentative="1">
      <w:start w:val="1"/>
      <w:numFmt w:val="lowerRoman"/>
      <w:lvlText w:val="%9."/>
      <w:lvlJc w:val="right"/>
      <w:pPr>
        <w:ind w:left="4181" w:hanging="480"/>
      </w:pPr>
    </w:lvl>
  </w:abstractNum>
  <w:abstractNum w:abstractNumId="2" w15:restartNumberingAfterBreak="0">
    <w:nsid w:val="1D9934FD"/>
    <w:multiLevelType w:val="hybridMultilevel"/>
    <w:tmpl w:val="933E5FF8"/>
    <w:lvl w:ilvl="0" w:tplc="3E4AE632">
      <w:start w:val="1"/>
      <w:numFmt w:val="taiwaneseCountingThousand"/>
      <w:lvlText w:val="%1、"/>
      <w:lvlJc w:val="left"/>
      <w:pPr>
        <w:ind w:left="502" w:hanging="615"/>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3" w15:restartNumberingAfterBreak="0">
    <w:nsid w:val="23041390"/>
    <w:multiLevelType w:val="hybridMultilevel"/>
    <w:tmpl w:val="27984870"/>
    <w:lvl w:ilvl="0" w:tplc="B2FAB57E">
      <w:start w:val="1"/>
      <w:numFmt w:val="taiwaneseCountingThousand"/>
      <w:lvlText w:val="（%1）"/>
      <w:lvlJc w:val="left"/>
      <w:pPr>
        <w:ind w:left="844" w:hanging="825"/>
      </w:pPr>
      <w:rPr>
        <w:rFonts w:hint="default"/>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4" w15:restartNumberingAfterBreak="0">
    <w:nsid w:val="2F2B5102"/>
    <w:multiLevelType w:val="hybridMultilevel"/>
    <w:tmpl w:val="0D049B1E"/>
    <w:lvl w:ilvl="0" w:tplc="D954117C">
      <w:start w:val="1"/>
      <w:numFmt w:val="taiwaneseCountingThousand"/>
      <w:lvlText w:val="%1、"/>
      <w:lvlJc w:val="left"/>
      <w:pPr>
        <w:ind w:left="349" w:hanging="45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5" w15:restartNumberingAfterBreak="0">
    <w:nsid w:val="326054BB"/>
    <w:multiLevelType w:val="hybridMultilevel"/>
    <w:tmpl w:val="B3E4DC88"/>
    <w:lvl w:ilvl="0" w:tplc="EEFCF33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594B64"/>
    <w:multiLevelType w:val="hybridMultilevel"/>
    <w:tmpl w:val="E96A1102"/>
    <w:lvl w:ilvl="0" w:tplc="D5AE0B18">
      <w:start w:val="1"/>
      <w:numFmt w:val="taiwaneseCountingThousand"/>
      <w:lvlText w:val="%1、"/>
      <w:lvlJc w:val="left"/>
      <w:pPr>
        <w:ind w:left="418" w:hanging="555"/>
      </w:pPr>
      <w:rPr>
        <w:rFonts w:ascii="標楷體" w:eastAsia="標楷體" w:hAnsi="標楷體" w:hint="default"/>
      </w:rPr>
    </w:lvl>
    <w:lvl w:ilvl="1" w:tplc="04090019" w:tentative="1">
      <w:start w:val="1"/>
      <w:numFmt w:val="ideographTraditional"/>
      <w:lvlText w:val="%2、"/>
      <w:lvlJc w:val="left"/>
      <w:pPr>
        <w:ind w:left="823" w:hanging="480"/>
      </w:pPr>
    </w:lvl>
    <w:lvl w:ilvl="2" w:tplc="0409001B" w:tentative="1">
      <w:start w:val="1"/>
      <w:numFmt w:val="lowerRoman"/>
      <w:lvlText w:val="%3."/>
      <w:lvlJc w:val="right"/>
      <w:pPr>
        <w:ind w:left="1303" w:hanging="480"/>
      </w:pPr>
    </w:lvl>
    <w:lvl w:ilvl="3" w:tplc="0409000F" w:tentative="1">
      <w:start w:val="1"/>
      <w:numFmt w:val="decimal"/>
      <w:lvlText w:val="%4."/>
      <w:lvlJc w:val="left"/>
      <w:pPr>
        <w:ind w:left="1783" w:hanging="480"/>
      </w:pPr>
    </w:lvl>
    <w:lvl w:ilvl="4" w:tplc="04090019" w:tentative="1">
      <w:start w:val="1"/>
      <w:numFmt w:val="ideographTraditional"/>
      <w:lvlText w:val="%5、"/>
      <w:lvlJc w:val="left"/>
      <w:pPr>
        <w:ind w:left="2263" w:hanging="480"/>
      </w:pPr>
    </w:lvl>
    <w:lvl w:ilvl="5" w:tplc="0409001B" w:tentative="1">
      <w:start w:val="1"/>
      <w:numFmt w:val="lowerRoman"/>
      <w:lvlText w:val="%6."/>
      <w:lvlJc w:val="right"/>
      <w:pPr>
        <w:ind w:left="2743" w:hanging="480"/>
      </w:pPr>
    </w:lvl>
    <w:lvl w:ilvl="6" w:tplc="0409000F" w:tentative="1">
      <w:start w:val="1"/>
      <w:numFmt w:val="decimal"/>
      <w:lvlText w:val="%7."/>
      <w:lvlJc w:val="left"/>
      <w:pPr>
        <w:ind w:left="3223" w:hanging="480"/>
      </w:pPr>
    </w:lvl>
    <w:lvl w:ilvl="7" w:tplc="04090019" w:tentative="1">
      <w:start w:val="1"/>
      <w:numFmt w:val="ideographTraditional"/>
      <w:lvlText w:val="%8、"/>
      <w:lvlJc w:val="left"/>
      <w:pPr>
        <w:ind w:left="3703" w:hanging="480"/>
      </w:pPr>
    </w:lvl>
    <w:lvl w:ilvl="8" w:tplc="0409001B" w:tentative="1">
      <w:start w:val="1"/>
      <w:numFmt w:val="lowerRoman"/>
      <w:lvlText w:val="%9."/>
      <w:lvlJc w:val="right"/>
      <w:pPr>
        <w:ind w:left="4183" w:hanging="480"/>
      </w:pPr>
    </w:lvl>
  </w:abstractNum>
  <w:abstractNum w:abstractNumId="7" w15:restartNumberingAfterBreak="0">
    <w:nsid w:val="5A6D4A9F"/>
    <w:multiLevelType w:val="hybridMultilevel"/>
    <w:tmpl w:val="08BC9714"/>
    <w:lvl w:ilvl="0" w:tplc="75A6F4EE">
      <w:start w:val="1"/>
      <w:numFmt w:val="taiwaneseCountingThousand"/>
      <w:lvlText w:val="%1、"/>
      <w:lvlJc w:val="left"/>
      <w:pPr>
        <w:ind w:left="311" w:hanging="450"/>
      </w:pPr>
      <w:rPr>
        <w:rFonts w:hint="default"/>
      </w:rPr>
    </w:lvl>
    <w:lvl w:ilvl="1" w:tplc="04090019" w:tentative="1">
      <w:start w:val="1"/>
      <w:numFmt w:val="ideographTraditional"/>
      <w:lvlText w:val="%2、"/>
      <w:lvlJc w:val="left"/>
      <w:pPr>
        <w:ind w:left="821" w:hanging="480"/>
      </w:pPr>
    </w:lvl>
    <w:lvl w:ilvl="2" w:tplc="0409001B" w:tentative="1">
      <w:start w:val="1"/>
      <w:numFmt w:val="lowerRoman"/>
      <w:lvlText w:val="%3."/>
      <w:lvlJc w:val="right"/>
      <w:pPr>
        <w:ind w:left="1301" w:hanging="480"/>
      </w:pPr>
    </w:lvl>
    <w:lvl w:ilvl="3" w:tplc="0409000F" w:tentative="1">
      <w:start w:val="1"/>
      <w:numFmt w:val="decimal"/>
      <w:lvlText w:val="%4."/>
      <w:lvlJc w:val="left"/>
      <w:pPr>
        <w:ind w:left="1781" w:hanging="480"/>
      </w:pPr>
    </w:lvl>
    <w:lvl w:ilvl="4" w:tplc="04090019" w:tentative="1">
      <w:start w:val="1"/>
      <w:numFmt w:val="ideographTraditional"/>
      <w:lvlText w:val="%5、"/>
      <w:lvlJc w:val="left"/>
      <w:pPr>
        <w:ind w:left="2261" w:hanging="480"/>
      </w:pPr>
    </w:lvl>
    <w:lvl w:ilvl="5" w:tplc="0409001B" w:tentative="1">
      <w:start w:val="1"/>
      <w:numFmt w:val="lowerRoman"/>
      <w:lvlText w:val="%6."/>
      <w:lvlJc w:val="right"/>
      <w:pPr>
        <w:ind w:left="2741" w:hanging="480"/>
      </w:pPr>
    </w:lvl>
    <w:lvl w:ilvl="6" w:tplc="0409000F" w:tentative="1">
      <w:start w:val="1"/>
      <w:numFmt w:val="decimal"/>
      <w:lvlText w:val="%7."/>
      <w:lvlJc w:val="left"/>
      <w:pPr>
        <w:ind w:left="3221" w:hanging="480"/>
      </w:pPr>
    </w:lvl>
    <w:lvl w:ilvl="7" w:tplc="04090019" w:tentative="1">
      <w:start w:val="1"/>
      <w:numFmt w:val="ideographTraditional"/>
      <w:lvlText w:val="%8、"/>
      <w:lvlJc w:val="left"/>
      <w:pPr>
        <w:ind w:left="3701" w:hanging="480"/>
      </w:pPr>
    </w:lvl>
    <w:lvl w:ilvl="8" w:tplc="0409001B" w:tentative="1">
      <w:start w:val="1"/>
      <w:numFmt w:val="lowerRoman"/>
      <w:lvlText w:val="%9."/>
      <w:lvlJc w:val="right"/>
      <w:pPr>
        <w:ind w:left="4181" w:hanging="480"/>
      </w:pPr>
    </w:lvl>
  </w:abstractNum>
  <w:abstractNum w:abstractNumId="8" w15:restartNumberingAfterBreak="0">
    <w:nsid w:val="65D86443"/>
    <w:multiLevelType w:val="hybridMultilevel"/>
    <w:tmpl w:val="802ECBFA"/>
    <w:lvl w:ilvl="0" w:tplc="81FC0E5E">
      <w:start w:val="1"/>
      <w:numFmt w:val="taiwaneseCountingThousand"/>
      <w:lvlText w:val="（%1）"/>
      <w:lvlJc w:val="left"/>
      <w:pPr>
        <w:ind w:left="749" w:hanging="72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9" w15:restartNumberingAfterBreak="0">
    <w:nsid w:val="67EA363C"/>
    <w:multiLevelType w:val="hybridMultilevel"/>
    <w:tmpl w:val="B84E3F72"/>
    <w:lvl w:ilvl="0" w:tplc="A48C2098">
      <w:start w:val="1"/>
      <w:numFmt w:val="taiwaneseCountingThousand"/>
      <w:lvlText w:val="%1、"/>
      <w:lvlJc w:val="left"/>
      <w:pPr>
        <w:ind w:left="311" w:hanging="450"/>
      </w:pPr>
      <w:rPr>
        <w:rFonts w:hint="default"/>
      </w:rPr>
    </w:lvl>
    <w:lvl w:ilvl="1" w:tplc="04090019" w:tentative="1">
      <w:start w:val="1"/>
      <w:numFmt w:val="ideographTraditional"/>
      <w:lvlText w:val="%2、"/>
      <w:lvlJc w:val="left"/>
      <w:pPr>
        <w:ind w:left="821" w:hanging="480"/>
      </w:pPr>
    </w:lvl>
    <w:lvl w:ilvl="2" w:tplc="0409001B" w:tentative="1">
      <w:start w:val="1"/>
      <w:numFmt w:val="lowerRoman"/>
      <w:lvlText w:val="%3."/>
      <w:lvlJc w:val="right"/>
      <w:pPr>
        <w:ind w:left="1301" w:hanging="480"/>
      </w:pPr>
    </w:lvl>
    <w:lvl w:ilvl="3" w:tplc="0409000F" w:tentative="1">
      <w:start w:val="1"/>
      <w:numFmt w:val="decimal"/>
      <w:lvlText w:val="%4."/>
      <w:lvlJc w:val="left"/>
      <w:pPr>
        <w:ind w:left="1781" w:hanging="480"/>
      </w:pPr>
    </w:lvl>
    <w:lvl w:ilvl="4" w:tplc="04090019" w:tentative="1">
      <w:start w:val="1"/>
      <w:numFmt w:val="ideographTraditional"/>
      <w:lvlText w:val="%5、"/>
      <w:lvlJc w:val="left"/>
      <w:pPr>
        <w:ind w:left="2261" w:hanging="480"/>
      </w:pPr>
    </w:lvl>
    <w:lvl w:ilvl="5" w:tplc="0409001B" w:tentative="1">
      <w:start w:val="1"/>
      <w:numFmt w:val="lowerRoman"/>
      <w:lvlText w:val="%6."/>
      <w:lvlJc w:val="right"/>
      <w:pPr>
        <w:ind w:left="2741" w:hanging="480"/>
      </w:pPr>
    </w:lvl>
    <w:lvl w:ilvl="6" w:tplc="0409000F" w:tentative="1">
      <w:start w:val="1"/>
      <w:numFmt w:val="decimal"/>
      <w:lvlText w:val="%7."/>
      <w:lvlJc w:val="left"/>
      <w:pPr>
        <w:ind w:left="3221" w:hanging="480"/>
      </w:pPr>
    </w:lvl>
    <w:lvl w:ilvl="7" w:tplc="04090019" w:tentative="1">
      <w:start w:val="1"/>
      <w:numFmt w:val="ideographTraditional"/>
      <w:lvlText w:val="%8、"/>
      <w:lvlJc w:val="left"/>
      <w:pPr>
        <w:ind w:left="3701" w:hanging="480"/>
      </w:pPr>
    </w:lvl>
    <w:lvl w:ilvl="8" w:tplc="0409001B" w:tentative="1">
      <w:start w:val="1"/>
      <w:numFmt w:val="lowerRoman"/>
      <w:lvlText w:val="%9."/>
      <w:lvlJc w:val="right"/>
      <w:pPr>
        <w:ind w:left="4181" w:hanging="480"/>
      </w:pPr>
    </w:lvl>
  </w:abstractNum>
  <w:abstractNum w:abstractNumId="10" w15:restartNumberingAfterBreak="0">
    <w:nsid w:val="6C8A45F9"/>
    <w:multiLevelType w:val="hybridMultilevel"/>
    <w:tmpl w:val="177AF50E"/>
    <w:lvl w:ilvl="0" w:tplc="6D84C08A">
      <w:start w:val="1"/>
      <w:numFmt w:val="taiwaneseCountingThousand"/>
      <w:lvlText w:val="%1、"/>
      <w:lvlJc w:val="left"/>
      <w:pPr>
        <w:ind w:left="514" w:hanging="615"/>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num w:numId="1">
    <w:abstractNumId w:val="5"/>
  </w:num>
  <w:num w:numId="2">
    <w:abstractNumId w:val="0"/>
  </w:num>
  <w:num w:numId="3">
    <w:abstractNumId w:val="9"/>
  </w:num>
  <w:num w:numId="4">
    <w:abstractNumId w:val="7"/>
  </w:num>
  <w:num w:numId="5">
    <w:abstractNumId w:val="4"/>
  </w:num>
  <w:num w:numId="6">
    <w:abstractNumId w:val="1"/>
  </w:num>
  <w:num w:numId="7">
    <w:abstractNumId w:val="6"/>
  </w:num>
  <w:num w:numId="8">
    <w:abstractNumId w:val="2"/>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F5"/>
    <w:rsid w:val="000219E5"/>
    <w:rsid w:val="000224EE"/>
    <w:rsid w:val="00031D57"/>
    <w:rsid w:val="00036409"/>
    <w:rsid w:val="0003704E"/>
    <w:rsid w:val="000538E0"/>
    <w:rsid w:val="00054F0C"/>
    <w:rsid w:val="00057445"/>
    <w:rsid w:val="000653BA"/>
    <w:rsid w:val="00067697"/>
    <w:rsid w:val="000720F6"/>
    <w:rsid w:val="000730D4"/>
    <w:rsid w:val="000A53AF"/>
    <w:rsid w:val="000B22C8"/>
    <w:rsid w:val="000B7B4F"/>
    <w:rsid w:val="000C0D96"/>
    <w:rsid w:val="000D4132"/>
    <w:rsid w:val="00113642"/>
    <w:rsid w:val="001D2D3C"/>
    <w:rsid w:val="001F315F"/>
    <w:rsid w:val="002200BB"/>
    <w:rsid w:val="00222B37"/>
    <w:rsid w:val="00242E7B"/>
    <w:rsid w:val="00262731"/>
    <w:rsid w:val="00270873"/>
    <w:rsid w:val="002875CD"/>
    <w:rsid w:val="00295B3D"/>
    <w:rsid w:val="002A037E"/>
    <w:rsid w:val="002B3606"/>
    <w:rsid w:val="002C5EFF"/>
    <w:rsid w:val="00323AB9"/>
    <w:rsid w:val="003416EE"/>
    <w:rsid w:val="0038502F"/>
    <w:rsid w:val="003E6F01"/>
    <w:rsid w:val="00414985"/>
    <w:rsid w:val="00414E5D"/>
    <w:rsid w:val="00423140"/>
    <w:rsid w:val="00427C57"/>
    <w:rsid w:val="00486237"/>
    <w:rsid w:val="004A1A36"/>
    <w:rsid w:val="004E6CD9"/>
    <w:rsid w:val="004E7F22"/>
    <w:rsid w:val="004F6255"/>
    <w:rsid w:val="005129C5"/>
    <w:rsid w:val="00520BCD"/>
    <w:rsid w:val="005215F0"/>
    <w:rsid w:val="00535D64"/>
    <w:rsid w:val="0055153A"/>
    <w:rsid w:val="0055532D"/>
    <w:rsid w:val="00571B79"/>
    <w:rsid w:val="005739DC"/>
    <w:rsid w:val="0058302F"/>
    <w:rsid w:val="00592527"/>
    <w:rsid w:val="005A39D0"/>
    <w:rsid w:val="005B54E8"/>
    <w:rsid w:val="005E523D"/>
    <w:rsid w:val="006027D3"/>
    <w:rsid w:val="00627E98"/>
    <w:rsid w:val="006535B1"/>
    <w:rsid w:val="0066249B"/>
    <w:rsid w:val="006719B3"/>
    <w:rsid w:val="00673E2C"/>
    <w:rsid w:val="00676DF4"/>
    <w:rsid w:val="00680E95"/>
    <w:rsid w:val="00690D7E"/>
    <w:rsid w:val="006963A3"/>
    <w:rsid w:val="006A3878"/>
    <w:rsid w:val="006C67C3"/>
    <w:rsid w:val="006E43FA"/>
    <w:rsid w:val="006F67AC"/>
    <w:rsid w:val="006F6923"/>
    <w:rsid w:val="00715B07"/>
    <w:rsid w:val="00725ED3"/>
    <w:rsid w:val="00737415"/>
    <w:rsid w:val="007407F5"/>
    <w:rsid w:val="00746746"/>
    <w:rsid w:val="00752391"/>
    <w:rsid w:val="007A5ED4"/>
    <w:rsid w:val="007B7DFE"/>
    <w:rsid w:val="007C2145"/>
    <w:rsid w:val="007D2E9B"/>
    <w:rsid w:val="008026A8"/>
    <w:rsid w:val="00802D7D"/>
    <w:rsid w:val="00804E7A"/>
    <w:rsid w:val="008231B0"/>
    <w:rsid w:val="00842386"/>
    <w:rsid w:val="008438D6"/>
    <w:rsid w:val="00890414"/>
    <w:rsid w:val="008A58F2"/>
    <w:rsid w:val="008A69B0"/>
    <w:rsid w:val="008D6177"/>
    <w:rsid w:val="008E5982"/>
    <w:rsid w:val="008F1E6B"/>
    <w:rsid w:val="00910F04"/>
    <w:rsid w:val="00921E13"/>
    <w:rsid w:val="00941466"/>
    <w:rsid w:val="00942175"/>
    <w:rsid w:val="00967373"/>
    <w:rsid w:val="00996B0A"/>
    <w:rsid w:val="009A299F"/>
    <w:rsid w:val="009C0EC3"/>
    <w:rsid w:val="009C1008"/>
    <w:rsid w:val="009D5CF5"/>
    <w:rsid w:val="00A04CCC"/>
    <w:rsid w:val="00A27055"/>
    <w:rsid w:val="00A43BEF"/>
    <w:rsid w:val="00A462FC"/>
    <w:rsid w:val="00A51662"/>
    <w:rsid w:val="00A53D96"/>
    <w:rsid w:val="00A61C87"/>
    <w:rsid w:val="00A76E1F"/>
    <w:rsid w:val="00A87C05"/>
    <w:rsid w:val="00A91F15"/>
    <w:rsid w:val="00A956BC"/>
    <w:rsid w:val="00AA24F1"/>
    <w:rsid w:val="00AD5951"/>
    <w:rsid w:val="00B030FA"/>
    <w:rsid w:val="00B17D1B"/>
    <w:rsid w:val="00B20B09"/>
    <w:rsid w:val="00B81DEF"/>
    <w:rsid w:val="00B82940"/>
    <w:rsid w:val="00B97B1B"/>
    <w:rsid w:val="00BA0CD5"/>
    <w:rsid w:val="00BA556F"/>
    <w:rsid w:val="00BE35A6"/>
    <w:rsid w:val="00BF41B1"/>
    <w:rsid w:val="00BF52E4"/>
    <w:rsid w:val="00C05C20"/>
    <w:rsid w:val="00C106C8"/>
    <w:rsid w:val="00C2488D"/>
    <w:rsid w:val="00C412F1"/>
    <w:rsid w:val="00C43213"/>
    <w:rsid w:val="00C676AD"/>
    <w:rsid w:val="00C825AE"/>
    <w:rsid w:val="00C924DF"/>
    <w:rsid w:val="00C94C78"/>
    <w:rsid w:val="00CB0BBE"/>
    <w:rsid w:val="00CB5203"/>
    <w:rsid w:val="00D04687"/>
    <w:rsid w:val="00D15D33"/>
    <w:rsid w:val="00D637CE"/>
    <w:rsid w:val="00D66885"/>
    <w:rsid w:val="00D765F2"/>
    <w:rsid w:val="00D76A9B"/>
    <w:rsid w:val="00D77CCC"/>
    <w:rsid w:val="00D96594"/>
    <w:rsid w:val="00DA3FF6"/>
    <w:rsid w:val="00DB4389"/>
    <w:rsid w:val="00DC1567"/>
    <w:rsid w:val="00DD0639"/>
    <w:rsid w:val="00DD6AD8"/>
    <w:rsid w:val="00DE27E6"/>
    <w:rsid w:val="00DE7E1B"/>
    <w:rsid w:val="00E235E8"/>
    <w:rsid w:val="00E36EDF"/>
    <w:rsid w:val="00E454A6"/>
    <w:rsid w:val="00E56A3B"/>
    <w:rsid w:val="00E913D3"/>
    <w:rsid w:val="00EC3431"/>
    <w:rsid w:val="00F04DED"/>
    <w:rsid w:val="00F23E44"/>
    <w:rsid w:val="00F370F8"/>
    <w:rsid w:val="00FA16A5"/>
    <w:rsid w:val="00FC1BAA"/>
    <w:rsid w:val="00FF6F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2C23D"/>
  <w15:chartTrackingRefBased/>
  <w15:docId w15:val="{4118B4A4-0451-4BEF-B1CD-8F809A1C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6923"/>
    <w:pPr>
      <w:tabs>
        <w:tab w:val="center" w:pos="4153"/>
        <w:tab w:val="right" w:pos="8306"/>
      </w:tabs>
      <w:snapToGrid w:val="0"/>
    </w:pPr>
    <w:rPr>
      <w:sz w:val="20"/>
      <w:szCs w:val="20"/>
    </w:rPr>
  </w:style>
  <w:style w:type="character" w:customStyle="1" w:styleId="a5">
    <w:name w:val="頁首 字元"/>
    <w:basedOn w:val="a0"/>
    <w:link w:val="a4"/>
    <w:uiPriority w:val="99"/>
    <w:rsid w:val="006F6923"/>
    <w:rPr>
      <w:sz w:val="20"/>
      <w:szCs w:val="20"/>
    </w:rPr>
  </w:style>
  <w:style w:type="paragraph" w:styleId="a6">
    <w:name w:val="footer"/>
    <w:basedOn w:val="a"/>
    <w:link w:val="a7"/>
    <w:uiPriority w:val="99"/>
    <w:unhideWhenUsed/>
    <w:rsid w:val="006F6923"/>
    <w:pPr>
      <w:tabs>
        <w:tab w:val="center" w:pos="4153"/>
        <w:tab w:val="right" w:pos="8306"/>
      </w:tabs>
      <w:snapToGrid w:val="0"/>
    </w:pPr>
    <w:rPr>
      <w:sz w:val="20"/>
      <w:szCs w:val="20"/>
    </w:rPr>
  </w:style>
  <w:style w:type="character" w:customStyle="1" w:styleId="a7">
    <w:name w:val="頁尾 字元"/>
    <w:basedOn w:val="a0"/>
    <w:link w:val="a6"/>
    <w:uiPriority w:val="99"/>
    <w:rsid w:val="006F6923"/>
    <w:rPr>
      <w:sz w:val="20"/>
      <w:szCs w:val="20"/>
    </w:rPr>
  </w:style>
  <w:style w:type="paragraph" w:styleId="a8">
    <w:name w:val="List Paragraph"/>
    <w:basedOn w:val="a"/>
    <w:uiPriority w:val="34"/>
    <w:qFormat/>
    <w:rsid w:val="00222B37"/>
    <w:pPr>
      <w:ind w:leftChars="200" w:left="480"/>
    </w:pPr>
  </w:style>
  <w:style w:type="paragraph" w:styleId="a9">
    <w:name w:val="Balloon Text"/>
    <w:basedOn w:val="a"/>
    <w:link w:val="aa"/>
    <w:uiPriority w:val="99"/>
    <w:semiHidden/>
    <w:unhideWhenUsed/>
    <w:rsid w:val="00DE7E1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E7E1B"/>
    <w:rPr>
      <w:rFonts w:asciiTheme="majorHAnsi" w:eastAsiaTheme="majorEastAsia" w:hAnsiTheme="majorHAnsi" w:cstheme="majorBidi"/>
      <w:sz w:val="18"/>
      <w:szCs w:val="18"/>
    </w:rPr>
  </w:style>
  <w:style w:type="character" w:styleId="ab">
    <w:name w:val="Placeholder Text"/>
    <w:basedOn w:val="a0"/>
    <w:uiPriority w:val="99"/>
    <w:semiHidden/>
    <w:rsid w:val="00D965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85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aw.com.tw/LawArticleRef.aspx?LawID=G0101852&amp;ModifyDate=1070214&amp;LawNO=3000&amp;k1=&amp;k2=&amp;k3=&amp;c1=&amp;c2=&amp;ak1=&amp;ak2=&amp;ak3=&amp;ac1=&amp;ac2=&amp;rng=&amp;SLawNO=&amp;ELawNO=" TargetMode="External"/><Relationship Id="rId13" Type="http://schemas.openxmlformats.org/officeDocument/2006/relationships/hyperlink" Target="http://www.selaw.com.tw/LawArticleRef.aspx?LawID=G0101852&amp;ModifyDate=1070214&amp;LawNO=5000&amp;k1=&amp;k2=&amp;k3=&amp;c1=&amp;c2=&amp;ak1=&amp;ak2=&amp;ak3=&amp;ac1=&amp;ac2=&amp;rng=&amp;SLawNO=&amp;ELaw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law.com.tw/LawArticleRef.aspx?LawID=G0101852&amp;ModifyDate=1070214&amp;LawNO=5000&amp;k1=&amp;k2=&amp;k3=&amp;c1=&amp;c2=&amp;ak1=&amp;ak2=&amp;ak3=&amp;ac1=&amp;ac2=&amp;rng=&amp;SLawNO=&amp;ELaw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aw.com.tw/LawArticleRef.aspx?LawID=G0101852&amp;ModifyDate=1070214&amp;LawNO=4000&amp;k1=&amp;k2=&amp;k3=&amp;c1=&amp;c2=&amp;ak1=&amp;ak2=&amp;ak3=&amp;ac1=&amp;ac2=&amp;rng=&amp;SLawNO=&amp;ELaw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law.com.tw/LawArticleRef.aspx?LawID=G0101852&amp;ModifyDate=1070214&amp;LawNO=4000&amp;k1=&amp;k2=&amp;k3=&amp;c1=&amp;c2=&amp;ak1=&amp;ak2=&amp;ak3=&amp;ac1=&amp;ac2=&amp;rng=&amp;SLawNO=&amp;ELawNO=" TargetMode="External"/><Relationship Id="rId4" Type="http://schemas.openxmlformats.org/officeDocument/2006/relationships/settings" Target="settings.xml"/><Relationship Id="rId9" Type="http://schemas.openxmlformats.org/officeDocument/2006/relationships/hyperlink" Target="http://www.selaw.com.tw/LawArticleRef.aspx?LawID=G0101852&amp;ModifyDate=1070214&amp;LawNO=3000&amp;k1=&amp;k2=&amp;k3=&amp;c1=&amp;c2=&amp;ak1=&amp;ak2=&amp;ak3=&amp;ac1=&amp;ac2=&amp;rng=&amp;SLawNO=&amp;ELawNO="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4D10D-D0D9-44E5-85ED-3FA8149A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2970</Characters>
  <Application>Microsoft Office Word</Application>
  <DocSecurity>0</DocSecurity>
  <Lines>24</Lines>
  <Paragraphs>6</Paragraphs>
  <ScaleCrop>false</ScaleCrop>
  <Company>TWSE 臺灣證券交易所</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吳心怡</dc:creator>
  <cp:keywords/>
  <dc:description/>
  <cp:lastModifiedBy>陳家羽</cp:lastModifiedBy>
  <cp:revision>3</cp:revision>
  <cp:lastPrinted>2020-09-21T09:04:00Z</cp:lastPrinted>
  <dcterms:created xsi:type="dcterms:W3CDTF">2020-09-27T05:46:00Z</dcterms:created>
  <dcterms:modified xsi:type="dcterms:W3CDTF">2020-09-27T06:45:00Z</dcterms:modified>
</cp:coreProperties>
</file>