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09115" w14:textId="77777777" w:rsidR="00A21363" w:rsidRPr="00534128" w:rsidRDefault="00A21363" w:rsidP="00A21363">
      <w:pPr>
        <w:widowControl/>
        <w:spacing w:line="440" w:lineRule="exact"/>
        <w:jc w:val="center"/>
        <w:rPr>
          <w:rFonts w:ascii="Times New Roman" w:eastAsia="標楷體" w:hAnsi="Times New Roman" w:cs="Times New Roman"/>
          <w:b/>
          <w:kern w:val="0"/>
          <w:sz w:val="32"/>
          <w:szCs w:val="32"/>
        </w:rPr>
      </w:pPr>
      <w:r w:rsidRPr="00534128">
        <w:rPr>
          <w:rFonts w:ascii="Times New Roman" w:eastAsia="標楷體" w:hAnsi="Times New Roman" w:cs="Times New Roman"/>
          <w:b/>
          <w:kern w:val="0"/>
          <w:sz w:val="32"/>
          <w:szCs w:val="32"/>
        </w:rPr>
        <w:t>財團法人中華民國證券櫃檯買賣中心</w:t>
      </w:r>
    </w:p>
    <w:p w14:paraId="0C3A9C96" w14:textId="486907C4" w:rsidR="00A21363" w:rsidRPr="00534128" w:rsidRDefault="00A21363" w:rsidP="00A21363">
      <w:pPr>
        <w:widowControl/>
        <w:spacing w:line="440" w:lineRule="exact"/>
        <w:jc w:val="center"/>
        <w:rPr>
          <w:rFonts w:ascii="Times New Roman" w:eastAsia="標楷體" w:hAnsi="Times New Roman" w:cs="Times New Roman"/>
          <w:b/>
          <w:kern w:val="0"/>
          <w:sz w:val="32"/>
          <w:szCs w:val="32"/>
        </w:rPr>
      </w:pPr>
      <w:r w:rsidRPr="00534128">
        <w:rPr>
          <w:rFonts w:ascii="Times New Roman" w:eastAsia="標楷體" w:hAnsi="Times New Roman" w:cs="Times New Roman"/>
          <w:b/>
          <w:kern w:val="0"/>
          <w:sz w:val="32"/>
          <w:szCs w:val="32"/>
        </w:rPr>
        <w:t>可持續發展債券作業要點總說明</w:t>
      </w:r>
    </w:p>
    <w:p w14:paraId="3F95E4AF" w14:textId="77777777" w:rsidR="00A21363" w:rsidRPr="00534128" w:rsidRDefault="00A21363" w:rsidP="00A21363">
      <w:pPr>
        <w:widowControl/>
        <w:spacing w:line="480" w:lineRule="exact"/>
        <w:ind w:firstLineChars="195" w:firstLine="468"/>
        <w:jc w:val="both"/>
        <w:rPr>
          <w:rFonts w:ascii="Times New Roman" w:eastAsia="標楷體" w:hAnsi="Times New Roman" w:cs="Times New Roman"/>
          <w:kern w:val="0"/>
          <w:szCs w:val="24"/>
        </w:rPr>
      </w:pPr>
      <w:r w:rsidRPr="00534128">
        <w:rPr>
          <w:rFonts w:ascii="Times New Roman" w:eastAsia="標楷體" w:hAnsi="Times New Roman" w:cs="Times New Roman"/>
          <w:kern w:val="0"/>
          <w:szCs w:val="24"/>
        </w:rPr>
        <w:t>為發展永續金融，協助企業將資金投入環境、社會以及公司治理</w:t>
      </w:r>
      <w:r w:rsidRPr="00534128">
        <w:rPr>
          <w:rFonts w:ascii="Times New Roman" w:eastAsia="標楷體" w:hAnsi="Times New Roman" w:cs="Times New Roman"/>
          <w:kern w:val="0"/>
          <w:szCs w:val="24"/>
        </w:rPr>
        <w:t>(ESG)</w:t>
      </w:r>
      <w:r w:rsidRPr="00534128">
        <w:rPr>
          <w:rFonts w:ascii="Times New Roman" w:eastAsia="標楷體" w:hAnsi="Times New Roman" w:cs="Times New Roman"/>
          <w:kern w:val="0"/>
          <w:szCs w:val="24"/>
        </w:rPr>
        <w:t>等層面，爰建立我國可持續發展債券櫃檯買賣制度，以利市場參與者遵循。經衡酌當前金融市場對可持續發展債券之實際需要及參照國際金融慣例與實務，以及國內綠色債券作業要點，訂定「可持續發展債券作業要點」（以下簡稱本作業要點）以茲遵循。</w:t>
      </w:r>
    </w:p>
    <w:p w14:paraId="7472DE45" w14:textId="77777777" w:rsidR="00A21363" w:rsidRPr="00534128" w:rsidRDefault="00A21363" w:rsidP="00A21363">
      <w:pPr>
        <w:widowControl/>
        <w:spacing w:line="460" w:lineRule="exact"/>
        <w:ind w:firstLineChars="204" w:firstLine="490"/>
        <w:jc w:val="both"/>
        <w:rPr>
          <w:rFonts w:ascii="Times New Roman" w:eastAsia="標楷體" w:hAnsi="Times New Roman" w:cs="Times New Roman"/>
          <w:kern w:val="0"/>
          <w:szCs w:val="24"/>
        </w:rPr>
      </w:pPr>
      <w:r w:rsidRPr="00534128">
        <w:rPr>
          <w:rFonts w:ascii="Times New Roman" w:eastAsia="標楷體" w:hAnsi="Times New Roman" w:cs="Times New Roman"/>
          <w:kern w:val="0"/>
          <w:szCs w:val="24"/>
        </w:rPr>
        <w:t>本作業要點條文共十三條，條文要點臚列如下：</w:t>
      </w:r>
    </w:p>
    <w:p w14:paraId="75C5EEF4" w14:textId="77777777" w:rsidR="00A21363" w:rsidRPr="00534128" w:rsidRDefault="00A21363" w:rsidP="00A21363">
      <w:pPr>
        <w:widowControl/>
        <w:numPr>
          <w:ilvl w:val="0"/>
          <w:numId w:val="1"/>
        </w:numPr>
        <w:spacing w:line="480" w:lineRule="exact"/>
        <w:ind w:left="567" w:hanging="567"/>
        <w:jc w:val="both"/>
        <w:rPr>
          <w:rFonts w:ascii="Times New Roman" w:eastAsia="標楷體" w:hAnsi="Times New Roman" w:cs="Times New Roman"/>
          <w:kern w:val="0"/>
          <w:szCs w:val="24"/>
        </w:rPr>
      </w:pPr>
      <w:r w:rsidRPr="00534128">
        <w:rPr>
          <w:rFonts w:ascii="Times New Roman" w:eastAsia="標楷體" w:hAnsi="Times New Roman" w:cs="Times New Roman"/>
          <w:kern w:val="0"/>
          <w:szCs w:val="24"/>
          <w:lang w:val="zh-TW"/>
        </w:rPr>
        <w:t>揭櫫本作業要點訂定之意旨。</w:t>
      </w:r>
      <w:r w:rsidRPr="00534128">
        <w:rPr>
          <w:rFonts w:ascii="Times New Roman" w:eastAsia="標楷體" w:hAnsi="Times New Roman" w:cs="Times New Roman"/>
          <w:kern w:val="0"/>
          <w:szCs w:val="24"/>
        </w:rPr>
        <w:t>（第一條）</w:t>
      </w:r>
    </w:p>
    <w:p w14:paraId="456D0A71" w14:textId="77777777" w:rsidR="00A21363" w:rsidRPr="00534128" w:rsidRDefault="00A21363" w:rsidP="00A21363">
      <w:pPr>
        <w:widowControl/>
        <w:numPr>
          <w:ilvl w:val="0"/>
          <w:numId w:val="1"/>
        </w:numPr>
        <w:spacing w:line="460" w:lineRule="exact"/>
        <w:ind w:left="567" w:hanging="567"/>
        <w:jc w:val="both"/>
        <w:rPr>
          <w:rFonts w:ascii="Times New Roman" w:eastAsia="標楷體" w:hAnsi="Times New Roman" w:cs="Times New Roman"/>
          <w:kern w:val="0"/>
          <w:szCs w:val="24"/>
        </w:rPr>
      </w:pPr>
      <w:r w:rsidRPr="00534128">
        <w:rPr>
          <w:rFonts w:ascii="Times New Roman" w:eastAsia="標楷體" w:hAnsi="Times New Roman" w:cs="Times New Roman"/>
          <w:kern w:val="0"/>
          <w:szCs w:val="24"/>
          <w:lang w:val="zh-TW"/>
        </w:rPr>
        <w:t>定義可持續發展債券。</w:t>
      </w:r>
      <w:r w:rsidRPr="00534128">
        <w:rPr>
          <w:rFonts w:ascii="Times New Roman" w:eastAsia="標楷體" w:hAnsi="Times New Roman" w:cs="Times New Roman"/>
          <w:kern w:val="0"/>
          <w:szCs w:val="24"/>
        </w:rPr>
        <w:t>（第二條）</w:t>
      </w:r>
    </w:p>
    <w:p w14:paraId="03365803" w14:textId="77777777" w:rsidR="00A21363" w:rsidRPr="00534128" w:rsidRDefault="00A21363" w:rsidP="00A21363">
      <w:pPr>
        <w:widowControl/>
        <w:numPr>
          <w:ilvl w:val="0"/>
          <w:numId w:val="1"/>
        </w:numPr>
        <w:spacing w:line="460" w:lineRule="exact"/>
        <w:ind w:left="567" w:hanging="567"/>
        <w:jc w:val="both"/>
        <w:rPr>
          <w:rFonts w:ascii="Times New Roman" w:eastAsia="標楷體" w:hAnsi="Times New Roman" w:cs="Times New Roman"/>
          <w:kern w:val="0"/>
          <w:szCs w:val="24"/>
        </w:rPr>
      </w:pPr>
      <w:r w:rsidRPr="00534128">
        <w:rPr>
          <w:rFonts w:ascii="Times New Roman" w:eastAsia="標楷體" w:hAnsi="Times New Roman" w:cs="Times New Roman"/>
          <w:kern w:val="0"/>
          <w:szCs w:val="24"/>
        </w:rPr>
        <w:t>界定</w:t>
      </w:r>
      <w:r w:rsidRPr="00534128">
        <w:rPr>
          <w:rFonts w:ascii="Times New Roman" w:eastAsia="標楷體" w:hAnsi="Times New Roman" w:cs="Times New Roman"/>
          <w:kern w:val="0"/>
          <w:szCs w:val="24"/>
          <w:lang w:val="zh-TW"/>
        </w:rPr>
        <w:t>得申請</w:t>
      </w:r>
      <w:r w:rsidRPr="00534128">
        <w:rPr>
          <w:rFonts w:ascii="Times New Roman" w:eastAsia="標楷體" w:hAnsi="Times New Roman" w:cs="Times New Roman"/>
          <w:kern w:val="0"/>
          <w:szCs w:val="24"/>
        </w:rPr>
        <w:t>可持續發展債券資格認可</w:t>
      </w:r>
      <w:r w:rsidRPr="00534128">
        <w:rPr>
          <w:rFonts w:ascii="Times New Roman" w:eastAsia="標楷體" w:hAnsi="Times New Roman" w:cs="Times New Roman"/>
          <w:kern w:val="0"/>
          <w:szCs w:val="24"/>
          <w:lang w:val="zh-TW"/>
        </w:rPr>
        <w:t>之有價證券種類。</w:t>
      </w:r>
      <w:r w:rsidRPr="00534128">
        <w:rPr>
          <w:rFonts w:ascii="Times New Roman" w:eastAsia="標楷體" w:hAnsi="Times New Roman" w:cs="Times New Roman"/>
          <w:kern w:val="0"/>
          <w:szCs w:val="24"/>
        </w:rPr>
        <w:t>（第三條）</w:t>
      </w:r>
    </w:p>
    <w:p w14:paraId="56DB1F17" w14:textId="77777777" w:rsidR="00A21363" w:rsidRPr="00534128" w:rsidRDefault="00A21363" w:rsidP="00A21363">
      <w:pPr>
        <w:widowControl/>
        <w:numPr>
          <w:ilvl w:val="0"/>
          <w:numId w:val="1"/>
        </w:numPr>
        <w:spacing w:line="460" w:lineRule="exact"/>
        <w:ind w:left="567" w:hanging="567"/>
        <w:jc w:val="both"/>
        <w:rPr>
          <w:rFonts w:ascii="Times New Roman" w:eastAsia="標楷體" w:hAnsi="Times New Roman" w:cs="Times New Roman"/>
          <w:kern w:val="0"/>
          <w:szCs w:val="24"/>
        </w:rPr>
      </w:pPr>
      <w:r w:rsidRPr="00534128">
        <w:rPr>
          <w:rFonts w:ascii="Times New Roman" w:eastAsia="標楷體" w:hAnsi="Times New Roman" w:cs="Times New Roman"/>
          <w:kern w:val="0"/>
          <w:szCs w:val="24"/>
          <w:lang w:val="zh-TW"/>
        </w:rPr>
        <w:t>規範可持續發展債券之資金用途。</w:t>
      </w:r>
      <w:r w:rsidRPr="00534128">
        <w:rPr>
          <w:rFonts w:ascii="Times New Roman" w:eastAsia="標楷體" w:hAnsi="Times New Roman" w:cs="Times New Roman"/>
          <w:kern w:val="0"/>
          <w:szCs w:val="24"/>
        </w:rPr>
        <w:t>（第四條）</w:t>
      </w:r>
    </w:p>
    <w:p w14:paraId="2F449172" w14:textId="5045CD7A" w:rsidR="00A21363" w:rsidRPr="00534128" w:rsidRDefault="00A21363" w:rsidP="00A21363">
      <w:pPr>
        <w:widowControl/>
        <w:numPr>
          <w:ilvl w:val="0"/>
          <w:numId w:val="1"/>
        </w:numPr>
        <w:spacing w:line="460" w:lineRule="exact"/>
        <w:ind w:left="567" w:hanging="567"/>
        <w:jc w:val="both"/>
        <w:rPr>
          <w:rFonts w:ascii="Times New Roman" w:eastAsia="標楷體" w:hAnsi="Times New Roman" w:cs="Times New Roman"/>
          <w:kern w:val="0"/>
          <w:szCs w:val="24"/>
        </w:rPr>
      </w:pPr>
      <w:r w:rsidRPr="00534128">
        <w:rPr>
          <w:rFonts w:ascii="Times New Roman" w:eastAsia="標楷體" w:hAnsi="Times New Roman" w:cs="Times New Roman"/>
          <w:kern w:val="0"/>
          <w:szCs w:val="24"/>
          <w:lang w:val="zh-TW"/>
        </w:rPr>
        <w:t>明定綠色</w:t>
      </w:r>
      <w:r w:rsidR="00D750DD" w:rsidRPr="00534128">
        <w:rPr>
          <w:rFonts w:ascii="Times New Roman" w:eastAsia="標楷體" w:hAnsi="Times New Roman" w:cs="Times New Roman" w:hint="eastAsia"/>
          <w:kern w:val="0"/>
          <w:szCs w:val="24"/>
          <w:lang w:val="zh-TW"/>
        </w:rPr>
        <w:t>投資計畫</w:t>
      </w:r>
      <w:r w:rsidRPr="00534128">
        <w:rPr>
          <w:rFonts w:ascii="Times New Roman" w:eastAsia="標楷體" w:hAnsi="Times New Roman" w:cs="Times New Roman"/>
          <w:kern w:val="0"/>
          <w:szCs w:val="24"/>
          <w:lang w:val="zh-TW"/>
        </w:rPr>
        <w:t>及社會效益投資計畫之範圍及認定方式。</w:t>
      </w:r>
      <w:r w:rsidRPr="00534128">
        <w:rPr>
          <w:rFonts w:ascii="Times New Roman" w:eastAsia="標楷體" w:hAnsi="Times New Roman" w:cs="Times New Roman"/>
          <w:kern w:val="0"/>
          <w:szCs w:val="24"/>
        </w:rPr>
        <w:t>（第五條）</w:t>
      </w:r>
    </w:p>
    <w:p w14:paraId="748C95F5" w14:textId="77777777" w:rsidR="00A21363" w:rsidRPr="00534128" w:rsidRDefault="00A21363" w:rsidP="00A21363">
      <w:pPr>
        <w:widowControl/>
        <w:numPr>
          <w:ilvl w:val="0"/>
          <w:numId w:val="1"/>
        </w:numPr>
        <w:spacing w:line="460" w:lineRule="exact"/>
        <w:ind w:left="567" w:hanging="567"/>
        <w:jc w:val="both"/>
        <w:rPr>
          <w:rFonts w:ascii="Times New Roman" w:eastAsia="標楷體" w:hAnsi="Times New Roman" w:cs="Times New Roman"/>
          <w:kern w:val="0"/>
          <w:szCs w:val="24"/>
        </w:rPr>
      </w:pPr>
      <w:r w:rsidRPr="00534128">
        <w:rPr>
          <w:rFonts w:ascii="Times New Roman" w:eastAsia="標楷體" w:hAnsi="Times New Roman" w:cs="Times New Roman"/>
          <w:kern w:val="0"/>
          <w:szCs w:val="24"/>
          <w:lang w:val="zh-TW"/>
        </w:rPr>
        <w:t>明定本作業要點所稱認證機構之資格條件，及對認證機構有虛偽或隱匿之情事者之處置。</w:t>
      </w:r>
      <w:r w:rsidRPr="00534128">
        <w:rPr>
          <w:rFonts w:ascii="Times New Roman" w:eastAsia="標楷體" w:hAnsi="Times New Roman" w:cs="Times New Roman"/>
          <w:kern w:val="0"/>
          <w:szCs w:val="24"/>
        </w:rPr>
        <w:t>（第六條）</w:t>
      </w:r>
    </w:p>
    <w:p w14:paraId="5061C626" w14:textId="77777777" w:rsidR="00A21363" w:rsidRPr="00534128" w:rsidRDefault="00A21363" w:rsidP="00A21363">
      <w:pPr>
        <w:widowControl/>
        <w:numPr>
          <w:ilvl w:val="0"/>
          <w:numId w:val="1"/>
        </w:numPr>
        <w:spacing w:line="460" w:lineRule="exact"/>
        <w:ind w:left="567" w:hanging="567"/>
        <w:jc w:val="both"/>
        <w:rPr>
          <w:rFonts w:ascii="Times New Roman" w:eastAsia="標楷體" w:hAnsi="Times New Roman" w:cs="Times New Roman"/>
          <w:kern w:val="0"/>
          <w:szCs w:val="24"/>
        </w:rPr>
      </w:pPr>
      <w:r w:rsidRPr="00534128">
        <w:rPr>
          <w:rFonts w:ascii="Times New Roman" w:eastAsia="標楷體" w:hAnsi="Times New Roman" w:cs="Times New Roman"/>
          <w:kern w:val="0"/>
          <w:szCs w:val="24"/>
          <w:lang w:val="zh-TW"/>
        </w:rPr>
        <w:t>明定發行人</w:t>
      </w:r>
      <w:r w:rsidRPr="00534128">
        <w:rPr>
          <w:rFonts w:ascii="Times New Roman" w:eastAsia="標楷體" w:hAnsi="Times New Roman" w:cs="Times New Roman"/>
          <w:kern w:val="0"/>
          <w:szCs w:val="24"/>
        </w:rPr>
        <w:t>申請可持續發展債券資格認可之申請書件與作業程序。（第七條）</w:t>
      </w:r>
    </w:p>
    <w:p w14:paraId="51FB7A3E" w14:textId="3B0DED03" w:rsidR="00A21363" w:rsidRPr="00534128" w:rsidRDefault="00A21363" w:rsidP="00A21363">
      <w:pPr>
        <w:widowControl/>
        <w:numPr>
          <w:ilvl w:val="0"/>
          <w:numId w:val="1"/>
        </w:numPr>
        <w:spacing w:line="460" w:lineRule="exact"/>
        <w:ind w:left="567" w:hanging="567"/>
        <w:jc w:val="both"/>
        <w:rPr>
          <w:rFonts w:ascii="Times New Roman" w:eastAsia="標楷體" w:hAnsi="Times New Roman" w:cs="Times New Roman"/>
          <w:kern w:val="0"/>
          <w:szCs w:val="24"/>
        </w:rPr>
      </w:pPr>
      <w:r w:rsidRPr="00534128">
        <w:rPr>
          <w:rFonts w:ascii="Times New Roman" w:eastAsia="標楷體" w:hAnsi="Times New Roman" w:cs="Times New Roman"/>
          <w:kern w:val="0"/>
          <w:szCs w:val="24"/>
        </w:rPr>
        <w:t>明定</w:t>
      </w:r>
      <w:r w:rsidRPr="00534128">
        <w:rPr>
          <w:rFonts w:ascii="Times New Roman" w:eastAsia="標楷體" w:hAnsi="Times New Roman" w:cs="Times New Roman"/>
          <w:kern w:val="0"/>
          <w:szCs w:val="24"/>
          <w:lang w:val="zh-TW"/>
        </w:rPr>
        <w:t>本中心就可持續發展債券</w:t>
      </w:r>
      <w:r w:rsidRPr="00534128">
        <w:rPr>
          <w:rFonts w:ascii="Times New Roman" w:eastAsia="標楷體" w:hAnsi="Times New Roman" w:cs="Times New Roman"/>
          <w:kern w:val="0"/>
          <w:szCs w:val="24"/>
        </w:rPr>
        <w:t>資格認可</w:t>
      </w:r>
      <w:r w:rsidRPr="00534128">
        <w:rPr>
          <w:rFonts w:ascii="Times New Roman" w:eastAsia="標楷體" w:hAnsi="Times New Roman" w:cs="Times New Roman"/>
          <w:kern w:val="0"/>
          <w:szCs w:val="24"/>
          <w:lang w:val="zh-TW"/>
        </w:rPr>
        <w:t>申請案之審查要點</w:t>
      </w:r>
      <w:r w:rsidRPr="00534128">
        <w:rPr>
          <w:rFonts w:ascii="Times New Roman" w:hAnsi="Times New Roman" w:cs="Times New Roman"/>
          <w:kern w:val="0"/>
          <w:szCs w:val="24"/>
          <w:lang w:val="zh-TW"/>
        </w:rPr>
        <w:t>、</w:t>
      </w:r>
      <w:r w:rsidRPr="00534128">
        <w:rPr>
          <w:rFonts w:ascii="Times New Roman" w:eastAsia="標楷體" w:hAnsi="Times New Roman" w:cs="Times New Roman"/>
          <w:kern w:val="0"/>
          <w:szCs w:val="24"/>
          <w:lang w:val="zh-TW"/>
        </w:rPr>
        <w:t>程序及期限，以及可持續發展債券</w:t>
      </w:r>
      <w:r w:rsidRPr="00534128">
        <w:rPr>
          <w:rFonts w:ascii="Times New Roman" w:eastAsia="標楷體" w:hAnsi="Times New Roman" w:cs="Times New Roman"/>
          <w:kern w:val="0"/>
          <w:szCs w:val="24"/>
        </w:rPr>
        <w:t>資格認可</w:t>
      </w:r>
      <w:r w:rsidRPr="00534128">
        <w:rPr>
          <w:rFonts w:ascii="Times New Roman" w:eastAsia="標楷體" w:hAnsi="Times New Roman" w:cs="Times New Roman"/>
          <w:kern w:val="0"/>
          <w:szCs w:val="24"/>
          <w:lang w:val="zh-TW"/>
        </w:rPr>
        <w:t>文件</w:t>
      </w:r>
      <w:r w:rsidRPr="00534128">
        <w:rPr>
          <w:rFonts w:ascii="Times New Roman" w:eastAsia="標楷體" w:hAnsi="Times New Roman" w:cs="Times New Roman"/>
          <w:kern w:val="0"/>
          <w:szCs w:val="24"/>
        </w:rPr>
        <w:t>之時間效力</w:t>
      </w:r>
      <w:r w:rsidR="00AD1AA5">
        <w:rPr>
          <w:rFonts w:ascii="Times New Roman" w:eastAsia="標楷體" w:hAnsi="Times New Roman" w:cs="Times New Roman" w:hint="eastAsia"/>
          <w:kern w:val="0"/>
          <w:szCs w:val="24"/>
        </w:rPr>
        <w:t>。</w:t>
      </w:r>
      <w:r w:rsidRPr="00534128">
        <w:rPr>
          <w:rFonts w:ascii="Times New Roman" w:eastAsia="標楷體" w:hAnsi="Times New Roman" w:cs="Times New Roman"/>
          <w:kern w:val="0"/>
          <w:szCs w:val="24"/>
        </w:rPr>
        <w:t>（第八條）</w:t>
      </w:r>
    </w:p>
    <w:p w14:paraId="378D7F94" w14:textId="77777777" w:rsidR="00A21363" w:rsidRPr="00534128" w:rsidRDefault="00A21363" w:rsidP="00A21363">
      <w:pPr>
        <w:widowControl/>
        <w:numPr>
          <w:ilvl w:val="0"/>
          <w:numId w:val="1"/>
        </w:numPr>
        <w:spacing w:line="460" w:lineRule="exact"/>
        <w:ind w:left="567" w:hanging="567"/>
        <w:jc w:val="both"/>
        <w:rPr>
          <w:rFonts w:ascii="Times New Roman" w:eastAsia="標楷體" w:hAnsi="Times New Roman" w:cs="Times New Roman"/>
          <w:kern w:val="0"/>
          <w:szCs w:val="24"/>
        </w:rPr>
      </w:pPr>
      <w:r w:rsidRPr="00534128">
        <w:rPr>
          <w:rFonts w:ascii="Times New Roman" w:eastAsia="標楷體" w:hAnsi="Times New Roman" w:cs="Times New Roman"/>
          <w:kern w:val="0"/>
          <w:szCs w:val="24"/>
          <w:lang w:val="zh-TW"/>
        </w:rPr>
        <w:t>明定發行人應訂定可持續發展債券投資計畫書及投資計畫書之應記載事項，且應經</w:t>
      </w:r>
      <w:bookmarkStart w:id="0" w:name="_Hlk43735729"/>
      <w:r w:rsidRPr="00534128">
        <w:rPr>
          <w:rFonts w:ascii="Times New Roman" w:eastAsia="標楷體" w:hAnsi="Times New Roman" w:cs="Times New Roman"/>
          <w:kern w:val="0"/>
          <w:szCs w:val="24"/>
          <w:lang w:val="zh-TW"/>
        </w:rPr>
        <w:t>認證機構出具評估意見或認證報告</w:t>
      </w:r>
      <w:bookmarkEnd w:id="0"/>
      <w:r w:rsidRPr="00534128">
        <w:rPr>
          <w:rFonts w:ascii="Times New Roman" w:eastAsia="標楷體" w:hAnsi="Times New Roman" w:cs="Times New Roman"/>
          <w:kern w:val="0"/>
          <w:szCs w:val="24"/>
          <w:lang w:val="zh-TW"/>
        </w:rPr>
        <w:t>。</w:t>
      </w:r>
      <w:r w:rsidRPr="00534128">
        <w:rPr>
          <w:rFonts w:ascii="Times New Roman" w:eastAsia="標楷體" w:hAnsi="Times New Roman" w:cs="Times New Roman"/>
          <w:kern w:val="0"/>
          <w:szCs w:val="24"/>
        </w:rPr>
        <w:t>（第九條）</w:t>
      </w:r>
    </w:p>
    <w:p w14:paraId="4A642F8D" w14:textId="084E011C" w:rsidR="00A21363" w:rsidRPr="00534128" w:rsidRDefault="00A21363" w:rsidP="00A21363">
      <w:pPr>
        <w:widowControl/>
        <w:numPr>
          <w:ilvl w:val="0"/>
          <w:numId w:val="1"/>
        </w:numPr>
        <w:spacing w:line="460" w:lineRule="exact"/>
        <w:ind w:left="567" w:hanging="567"/>
        <w:jc w:val="both"/>
        <w:rPr>
          <w:rFonts w:ascii="Times New Roman" w:eastAsia="標楷體" w:hAnsi="Times New Roman" w:cs="Times New Roman"/>
          <w:kern w:val="0"/>
          <w:szCs w:val="24"/>
        </w:rPr>
      </w:pPr>
      <w:r w:rsidRPr="00534128">
        <w:rPr>
          <w:rFonts w:ascii="Times New Roman" w:eastAsia="標楷體" w:hAnsi="Times New Roman" w:cs="Times New Roman"/>
          <w:kern w:val="0"/>
          <w:szCs w:val="24"/>
          <w:lang w:val="zh-TW"/>
        </w:rPr>
        <w:t>明定發行人</w:t>
      </w:r>
      <w:r w:rsidR="00962AB7" w:rsidRPr="00534128">
        <w:rPr>
          <w:rFonts w:ascii="Times New Roman" w:eastAsia="標楷體" w:hAnsi="Times New Roman" w:cs="Times New Roman" w:hint="eastAsia"/>
          <w:kern w:val="0"/>
          <w:szCs w:val="24"/>
          <w:lang w:val="zh-TW"/>
        </w:rPr>
        <w:t>應於</w:t>
      </w:r>
      <w:r w:rsidR="00CD0146" w:rsidRPr="00534128">
        <w:rPr>
          <w:rFonts w:ascii="Times New Roman" w:eastAsia="標楷體" w:hAnsi="Times New Roman" w:cs="Times New Roman" w:hint="eastAsia"/>
          <w:kern w:val="0"/>
          <w:szCs w:val="24"/>
          <w:lang w:val="zh-TW"/>
        </w:rPr>
        <w:t>公開說明書</w:t>
      </w:r>
      <w:r w:rsidR="00962AB7" w:rsidRPr="00534128">
        <w:rPr>
          <w:rFonts w:ascii="Times New Roman" w:eastAsia="標楷體" w:hAnsi="Times New Roman" w:cs="Times New Roman" w:hint="eastAsia"/>
          <w:kern w:val="0"/>
          <w:szCs w:val="24"/>
          <w:lang w:val="zh-TW"/>
        </w:rPr>
        <w:t>中</w:t>
      </w:r>
      <w:r w:rsidRPr="00534128">
        <w:rPr>
          <w:rFonts w:ascii="Times New Roman" w:eastAsia="標楷體" w:hAnsi="Times New Roman" w:cs="Times New Roman"/>
          <w:kern w:val="0"/>
          <w:szCs w:val="24"/>
          <w:lang w:val="zh-TW"/>
        </w:rPr>
        <w:t>揭露可持續發展債券投資計畫書</w:t>
      </w:r>
      <w:r w:rsidR="007C7AF0" w:rsidRPr="00534128">
        <w:rPr>
          <w:rFonts w:ascii="Times New Roman" w:eastAsia="標楷體" w:hAnsi="Times New Roman" w:cs="Times New Roman" w:hint="eastAsia"/>
          <w:kern w:val="0"/>
          <w:szCs w:val="24"/>
          <w:lang w:val="zh-TW"/>
        </w:rPr>
        <w:t>內容</w:t>
      </w:r>
      <w:r w:rsidR="00643C06" w:rsidRPr="00534128">
        <w:rPr>
          <w:rFonts w:ascii="Times New Roman" w:eastAsia="標楷體" w:hAnsi="Times New Roman" w:cs="Times New Roman" w:hint="eastAsia"/>
          <w:kern w:val="0"/>
          <w:szCs w:val="24"/>
          <w:lang w:val="zh-TW"/>
        </w:rPr>
        <w:t>，並於發行前將</w:t>
      </w:r>
      <w:r w:rsidR="00643C06" w:rsidRPr="00534128">
        <w:rPr>
          <w:rFonts w:ascii="Times New Roman" w:eastAsia="標楷體" w:hAnsi="Times New Roman" w:cs="Times New Roman"/>
          <w:kern w:val="0"/>
          <w:szCs w:val="24"/>
          <w:lang w:val="zh-TW"/>
        </w:rPr>
        <w:t>可持續發展債券投資計畫書</w:t>
      </w:r>
      <w:r w:rsidR="00643C06" w:rsidRPr="00534128">
        <w:rPr>
          <w:rFonts w:ascii="Times New Roman" w:eastAsia="標楷體" w:hAnsi="Times New Roman" w:cs="Times New Roman" w:hint="eastAsia"/>
          <w:kern w:val="0"/>
          <w:szCs w:val="24"/>
          <w:lang w:val="zh-TW"/>
        </w:rPr>
        <w:t>及</w:t>
      </w:r>
      <w:r w:rsidRPr="00534128">
        <w:rPr>
          <w:rFonts w:ascii="Times New Roman" w:eastAsia="標楷體" w:hAnsi="Times New Roman" w:cs="Times New Roman"/>
          <w:kern w:val="0"/>
          <w:szCs w:val="24"/>
          <w:lang w:val="zh-TW"/>
        </w:rPr>
        <w:t>認證機構出具之評估意見或認證報告</w:t>
      </w:r>
      <w:r w:rsidR="00643C06" w:rsidRPr="00534128">
        <w:rPr>
          <w:rFonts w:ascii="Times New Roman" w:eastAsia="標楷體" w:hAnsi="Times New Roman" w:cs="Times New Roman" w:hint="eastAsia"/>
          <w:kern w:val="0"/>
          <w:szCs w:val="24"/>
        </w:rPr>
        <w:t>輸入</w:t>
      </w:r>
      <w:r w:rsidR="00D63A11" w:rsidRPr="00534128">
        <w:rPr>
          <w:rFonts w:ascii="Times New Roman" w:eastAsia="標楷體" w:hAnsi="Times New Roman" w:cs="Times New Roman" w:hint="eastAsia"/>
          <w:kern w:val="0"/>
          <w:szCs w:val="24"/>
        </w:rPr>
        <w:t>指定之</w:t>
      </w:r>
      <w:r w:rsidR="00643C06" w:rsidRPr="00534128">
        <w:rPr>
          <w:rFonts w:ascii="Times New Roman" w:eastAsia="標楷體" w:hAnsi="Times New Roman" w:cs="Times New Roman" w:hint="eastAsia"/>
          <w:kern w:val="0"/>
          <w:szCs w:val="24"/>
        </w:rPr>
        <w:t>資訊申報系統</w:t>
      </w:r>
      <w:r w:rsidRPr="00534128">
        <w:rPr>
          <w:rFonts w:ascii="Times New Roman" w:eastAsia="標楷體" w:hAnsi="Times New Roman" w:cs="Times New Roman"/>
          <w:kern w:val="0"/>
          <w:szCs w:val="24"/>
          <w:lang w:val="zh-TW"/>
        </w:rPr>
        <w:t>。</w:t>
      </w:r>
      <w:r w:rsidRPr="00534128">
        <w:rPr>
          <w:rFonts w:ascii="Times New Roman" w:eastAsia="標楷體" w:hAnsi="Times New Roman" w:cs="Times New Roman"/>
          <w:kern w:val="0"/>
          <w:szCs w:val="24"/>
        </w:rPr>
        <w:t>（第十條）</w:t>
      </w:r>
    </w:p>
    <w:p w14:paraId="00810573" w14:textId="704F0F27" w:rsidR="00A21363" w:rsidRPr="00534128" w:rsidRDefault="00A21363" w:rsidP="00A21363">
      <w:pPr>
        <w:widowControl/>
        <w:numPr>
          <w:ilvl w:val="0"/>
          <w:numId w:val="1"/>
        </w:numPr>
        <w:spacing w:line="460" w:lineRule="exact"/>
        <w:ind w:left="737" w:hanging="737"/>
        <w:jc w:val="both"/>
        <w:rPr>
          <w:rFonts w:ascii="Times New Roman" w:eastAsia="標楷體" w:hAnsi="Times New Roman" w:cs="Times New Roman"/>
          <w:kern w:val="0"/>
          <w:szCs w:val="24"/>
        </w:rPr>
      </w:pPr>
      <w:r w:rsidRPr="00534128">
        <w:rPr>
          <w:rFonts w:ascii="Times New Roman" w:eastAsia="標楷體" w:hAnsi="Times New Roman" w:cs="Times New Roman"/>
          <w:kern w:val="0"/>
          <w:szCs w:val="24"/>
          <w:lang w:val="zh-TW"/>
        </w:rPr>
        <w:t>明定發行人</w:t>
      </w:r>
      <w:r w:rsidRPr="00534128">
        <w:rPr>
          <w:rFonts w:ascii="Times New Roman" w:eastAsia="標楷體" w:hAnsi="Times New Roman" w:cs="Times New Roman"/>
          <w:kern w:val="0"/>
          <w:szCs w:val="24"/>
        </w:rPr>
        <w:t>應於可持續發展債券存續期間或所募資金運用期間，</w:t>
      </w:r>
      <w:r w:rsidR="00D969B2" w:rsidRPr="00534128">
        <w:rPr>
          <w:rFonts w:ascii="Times New Roman" w:eastAsia="標楷體" w:hAnsi="Times New Roman" w:cs="Times New Roman" w:hint="eastAsia"/>
          <w:kern w:val="0"/>
          <w:szCs w:val="24"/>
        </w:rPr>
        <w:t>每年</w:t>
      </w:r>
      <w:r w:rsidRPr="00534128">
        <w:rPr>
          <w:rFonts w:ascii="Times New Roman" w:eastAsia="標楷體" w:hAnsi="Times New Roman" w:cs="Times New Roman"/>
          <w:kern w:val="0"/>
          <w:szCs w:val="24"/>
        </w:rPr>
        <w:t>定期辦理資金運用情形</w:t>
      </w:r>
      <w:r w:rsidR="00D969B2" w:rsidRPr="00534128">
        <w:rPr>
          <w:rFonts w:ascii="Times New Roman" w:eastAsia="標楷體" w:hAnsi="Times New Roman" w:cs="Times New Roman" w:hint="eastAsia"/>
          <w:kern w:val="0"/>
          <w:szCs w:val="24"/>
        </w:rPr>
        <w:t>且</w:t>
      </w:r>
      <w:r w:rsidRPr="00534128">
        <w:rPr>
          <w:rFonts w:ascii="Times New Roman" w:eastAsia="標楷體" w:hAnsi="Times New Roman" w:cs="Times New Roman"/>
          <w:kern w:val="0"/>
          <w:szCs w:val="24"/>
        </w:rPr>
        <w:t>由認證機構出具評估意見或認證報告</w:t>
      </w:r>
      <w:r w:rsidR="00D969B2" w:rsidRPr="00534128">
        <w:rPr>
          <w:rFonts w:ascii="Times New Roman" w:eastAsia="標楷體" w:hAnsi="Times New Roman" w:cs="Times New Roman" w:hint="eastAsia"/>
          <w:kern w:val="0"/>
          <w:szCs w:val="24"/>
        </w:rPr>
        <w:t>，並將資金運用情形及其評估意見或認證報告輸入</w:t>
      </w:r>
      <w:r w:rsidR="00D63A11" w:rsidRPr="00534128">
        <w:rPr>
          <w:rFonts w:ascii="Times New Roman" w:eastAsia="標楷體" w:hAnsi="Times New Roman" w:cs="Times New Roman" w:hint="eastAsia"/>
          <w:kern w:val="0"/>
          <w:szCs w:val="24"/>
        </w:rPr>
        <w:t>指定之</w:t>
      </w:r>
      <w:r w:rsidR="00D969B2" w:rsidRPr="00534128">
        <w:rPr>
          <w:rFonts w:ascii="Times New Roman" w:eastAsia="標楷體" w:hAnsi="Times New Roman" w:cs="Times New Roman" w:hint="eastAsia"/>
          <w:kern w:val="0"/>
          <w:szCs w:val="24"/>
        </w:rPr>
        <w:t>資訊申報系統</w:t>
      </w:r>
      <w:r w:rsidRPr="00534128">
        <w:rPr>
          <w:rFonts w:ascii="Times New Roman" w:eastAsia="標楷體" w:hAnsi="Times New Roman" w:cs="Times New Roman"/>
          <w:kern w:val="0"/>
          <w:szCs w:val="24"/>
        </w:rPr>
        <w:t>。（第十一條）</w:t>
      </w:r>
    </w:p>
    <w:p w14:paraId="70BABC5B" w14:textId="2EBB6900" w:rsidR="00A21363" w:rsidRPr="00534128" w:rsidRDefault="00A21363" w:rsidP="00A21363">
      <w:pPr>
        <w:widowControl/>
        <w:numPr>
          <w:ilvl w:val="0"/>
          <w:numId w:val="1"/>
        </w:numPr>
        <w:spacing w:line="460" w:lineRule="exact"/>
        <w:ind w:left="737" w:hanging="737"/>
        <w:jc w:val="both"/>
        <w:rPr>
          <w:rFonts w:ascii="Times New Roman" w:eastAsia="標楷體" w:hAnsi="Times New Roman" w:cs="Times New Roman"/>
          <w:kern w:val="0"/>
          <w:szCs w:val="24"/>
        </w:rPr>
      </w:pPr>
      <w:r w:rsidRPr="00534128">
        <w:rPr>
          <w:rFonts w:ascii="Times New Roman" w:eastAsia="標楷體" w:hAnsi="Times New Roman" w:cs="Times New Roman"/>
          <w:kern w:val="0"/>
          <w:szCs w:val="24"/>
        </w:rPr>
        <w:t>明定發行人所申請之書件或資訊申報有虛偽、隱匿之情事者</w:t>
      </w:r>
      <w:r w:rsidR="00F6400F" w:rsidRPr="00534128">
        <w:rPr>
          <w:rFonts w:ascii="Times New Roman" w:eastAsia="標楷體" w:hAnsi="Times New Roman" w:cs="Times New Roman" w:hint="eastAsia"/>
          <w:kern w:val="0"/>
          <w:szCs w:val="24"/>
        </w:rPr>
        <w:t>，</w:t>
      </w:r>
      <w:r w:rsidRPr="00534128">
        <w:rPr>
          <w:rFonts w:ascii="Times New Roman" w:eastAsia="標楷體" w:hAnsi="Times New Roman" w:cs="Times New Roman"/>
          <w:kern w:val="0"/>
          <w:szCs w:val="24"/>
        </w:rPr>
        <w:t>及</w:t>
      </w:r>
      <w:r w:rsidRPr="00534128">
        <w:rPr>
          <w:rFonts w:ascii="Times New Roman" w:eastAsia="標楷體" w:hAnsi="Times New Roman" w:cs="Times New Roman"/>
          <w:kern w:val="0"/>
          <w:szCs w:val="24"/>
          <w:lang w:val="zh-TW"/>
        </w:rPr>
        <w:t>發行人</w:t>
      </w:r>
      <w:r w:rsidRPr="00534128">
        <w:rPr>
          <w:rFonts w:ascii="Times New Roman" w:eastAsia="標楷體" w:hAnsi="Times New Roman" w:cs="Times New Roman"/>
          <w:kern w:val="0"/>
          <w:szCs w:val="24"/>
        </w:rPr>
        <w:t>未依規定辦理資訊申報或未將資金運用於所訂投資計畫者，</w:t>
      </w:r>
      <w:r w:rsidRPr="00534128">
        <w:rPr>
          <w:rFonts w:ascii="Times New Roman" w:eastAsia="標楷體" w:hAnsi="Times New Roman" w:cs="Times New Roman"/>
          <w:kern w:val="0"/>
          <w:szCs w:val="24"/>
          <w:lang w:val="zh-TW"/>
        </w:rPr>
        <w:t>本中心得撤銷或廢止其可持續發展債券資格</w:t>
      </w:r>
      <w:r w:rsidRPr="00534128">
        <w:rPr>
          <w:rFonts w:ascii="Times New Roman" w:hAnsi="Times New Roman" w:cs="Times New Roman"/>
          <w:kern w:val="0"/>
          <w:szCs w:val="24"/>
          <w:lang w:val="zh-TW"/>
        </w:rPr>
        <w:t>；</w:t>
      </w:r>
      <w:r w:rsidRPr="00534128">
        <w:rPr>
          <w:rFonts w:ascii="Times New Roman" w:eastAsia="標楷體" w:hAnsi="Times New Roman" w:cs="Times New Roman"/>
          <w:kern w:val="0"/>
          <w:szCs w:val="24"/>
          <w:lang w:val="zh-TW"/>
        </w:rPr>
        <w:t>發行人因資金運用計畫變更以致不符合投資計畫者，發行人應向本中心申請廢止其可持續發展債券資格。</w:t>
      </w:r>
      <w:r w:rsidRPr="00534128">
        <w:rPr>
          <w:rFonts w:ascii="Times New Roman" w:eastAsia="標楷體" w:hAnsi="Times New Roman" w:cs="Times New Roman"/>
          <w:kern w:val="0"/>
          <w:szCs w:val="24"/>
        </w:rPr>
        <w:t>（第十二條）</w:t>
      </w:r>
    </w:p>
    <w:p w14:paraId="46D8D603" w14:textId="66B7EE47" w:rsidR="00A21363" w:rsidRPr="00534128" w:rsidRDefault="00A21363" w:rsidP="00A21363">
      <w:pPr>
        <w:widowControl/>
        <w:numPr>
          <w:ilvl w:val="0"/>
          <w:numId w:val="1"/>
        </w:numPr>
        <w:spacing w:line="460" w:lineRule="exact"/>
        <w:ind w:left="737" w:hanging="737"/>
        <w:jc w:val="both"/>
        <w:rPr>
          <w:rFonts w:ascii="Times New Roman" w:eastAsia="標楷體" w:hAnsi="Times New Roman" w:cs="Times New Roman"/>
          <w:kern w:val="0"/>
          <w:szCs w:val="24"/>
        </w:rPr>
      </w:pPr>
      <w:r w:rsidRPr="00534128">
        <w:rPr>
          <w:rFonts w:ascii="Times New Roman" w:eastAsia="標楷體" w:hAnsi="Times New Roman" w:cs="Times New Roman"/>
          <w:kern w:val="0"/>
          <w:szCs w:val="24"/>
          <w:lang w:val="zh-TW"/>
        </w:rPr>
        <w:t>本作業要點之</w:t>
      </w:r>
      <w:r w:rsidR="00F6400F" w:rsidRPr="00534128">
        <w:rPr>
          <w:rFonts w:ascii="Times New Roman" w:eastAsia="標楷體" w:hAnsi="Times New Roman" w:cs="Times New Roman" w:hint="eastAsia"/>
          <w:kern w:val="0"/>
          <w:szCs w:val="24"/>
          <w:lang w:val="zh-TW"/>
        </w:rPr>
        <w:t>公告施行</w:t>
      </w:r>
      <w:r w:rsidRPr="00534128">
        <w:rPr>
          <w:rFonts w:ascii="Times New Roman" w:eastAsia="標楷體" w:hAnsi="Times New Roman" w:cs="Times New Roman"/>
          <w:kern w:val="0"/>
          <w:szCs w:val="24"/>
          <w:lang w:val="zh-TW"/>
        </w:rPr>
        <w:t>及修正程序。</w:t>
      </w:r>
      <w:r w:rsidRPr="00534128">
        <w:rPr>
          <w:rFonts w:ascii="Times New Roman" w:eastAsia="標楷體" w:hAnsi="Times New Roman" w:cs="Times New Roman"/>
          <w:kern w:val="0"/>
          <w:szCs w:val="24"/>
        </w:rPr>
        <w:t>（第十三條）</w:t>
      </w:r>
    </w:p>
    <w:p w14:paraId="046A9AB2" w14:textId="77777777" w:rsidR="00C31987" w:rsidRPr="00534128" w:rsidRDefault="00C31987" w:rsidP="00C31987">
      <w:pPr>
        <w:spacing w:afterLines="50" w:after="180" w:line="340" w:lineRule="exact"/>
        <w:jc w:val="center"/>
        <w:rPr>
          <w:rFonts w:ascii="標楷體" w:eastAsia="標楷體" w:hAnsi="標楷體"/>
          <w:b/>
          <w:sz w:val="32"/>
          <w:szCs w:val="32"/>
        </w:rPr>
      </w:pPr>
      <w:r w:rsidRPr="00534128">
        <w:rPr>
          <w:rFonts w:ascii="標楷體" w:eastAsia="標楷體" w:hAnsi="標楷體" w:hint="eastAsia"/>
          <w:b/>
          <w:sz w:val="32"/>
          <w:szCs w:val="32"/>
        </w:rPr>
        <w:lastRenderedPageBreak/>
        <w:t xml:space="preserve"> 財團法人中華民國證券櫃檯買賣中心</w:t>
      </w:r>
    </w:p>
    <w:p w14:paraId="08BD507F" w14:textId="1F384B29" w:rsidR="00C31987" w:rsidRPr="00534128" w:rsidRDefault="00C31987" w:rsidP="00C31987">
      <w:pPr>
        <w:spacing w:afterLines="50" w:after="180" w:line="340" w:lineRule="exact"/>
        <w:jc w:val="center"/>
        <w:rPr>
          <w:rFonts w:ascii="標楷體" w:eastAsia="標楷體" w:hAnsi="標楷體"/>
          <w:b/>
          <w:sz w:val="32"/>
          <w:szCs w:val="32"/>
        </w:rPr>
      </w:pPr>
      <w:r w:rsidRPr="00534128">
        <w:rPr>
          <w:rFonts w:ascii="標楷體" w:eastAsia="標楷體" w:hAnsi="標楷體" w:hint="eastAsia"/>
          <w:b/>
          <w:sz w:val="32"/>
          <w:szCs w:val="32"/>
        </w:rPr>
        <w:t>可持續發展債券作業要點</w:t>
      </w:r>
    </w:p>
    <w:p w14:paraId="01553FFE" w14:textId="6FA54EFC" w:rsidR="00C900AF" w:rsidRPr="00534128" w:rsidRDefault="00C900AF" w:rsidP="00C900AF">
      <w:pPr>
        <w:spacing w:afterLines="50" w:after="180" w:line="340" w:lineRule="exact"/>
        <w:ind w:right="200"/>
        <w:jc w:val="right"/>
        <w:rPr>
          <w:rFonts w:ascii="標楷體" w:eastAsia="標楷體" w:hAnsi="標楷體"/>
          <w:b/>
          <w:sz w:val="20"/>
          <w:szCs w:val="20"/>
        </w:rPr>
      </w:pPr>
      <w:r w:rsidRPr="00534128">
        <w:rPr>
          <w:rFonts w:ascii="標楷體" w:eastAsia="標楷體" w:hAnsi="標楷體" w:hint="eastAsia"/>
          <w:b/>
          <w:sz w:val="20"/>
          <w:szCs w:val="20"/>
        </w:rPr>
        <w:t>金融監督管理委員會</w:t>
      </w:r>
      <w:r w:rsidR="00A57C5A" w:rsidRPr="00534128">
        <w:rPr>
          <w:rFonts w:ascii="標楷體" w:eastAsia="標楷體" w:hAnsi="標楷體" w:hint="eastAsia"/>
          <w:b/>
          <w:sz w:val="20"/>
          <w:szCs w:val="20"/>
        </w:rPr>
        <w:t>109年9月25日金管證發字第1090358598號函</w:t>
      </w:r>
      <w:r w:rsidRPr="00534128">
        <w:rPr>
          <w:rFonts w:ascii="標楷體" w:eastAsia="標楷體" w:hAnsi="標楷體" w:hint="eastAsia"/>
          <w:b/>
          <w:sz w:val="20"/>
          <w:szCs w:val="20"/>
        </w:rPr>
        <w:t>准予備查</w:t>
      </w:r>
    </w:p>
    <w:tbl>
      <w:tblPr>
        <w:tblW w:w="5000" w:type="pct"/>
        <w:tblCellMar>
          <w:left w:w="28" w:type="dxa"/>
          <w:right w:w="28" w:type="dxa"/>
        </w:tblCellMar>
        <w:tblLook w:val="0000" w:firstRow="0" w:lastRow="0" w:firstColumn="0" w:lastColumn="0" w:noHBand="0" w:noVBand="0"/>
      </w:tblPr>
      <w:tblGrid>
        <w:gridCol w:w="4670"/>
        <w:gridCol w:w="4671"/>
      </w:tblGrid>
      <w:tr w:rsidR="00534128" w:rsidRPr="00534128" w14:paraId="139E5820" w14:textId="77777777" w:rsidTr="00DC4F98">
        <w:trPr>
          <w:tblHeader/>
        </w:trPr>
        <w:tc>
          <w:tcPr>
            <w:tcW w:w="2500" w:type="pct"/>
            <w:tcBorders>
              <w:top w:val="single" w:sz="6" w:space="0" w:color="auto"/>
              <w:left w:val="single" w:sz="6" w:space="0" w:color="auto"/>
              <w:bottom w:val="single" w:sz="6" w:space="0" w:color="auto"/>
              <w:right w:val="single" w:sz="4" w:space="0" w:color="auto"/>
            </w:tcBorders>
          </w:tcPr>
          <w:p w14:paraId="61C5C398" w14:textId="77777777" w:rsidR="00DC4F98" w:rsidRPr="00534128" w:rsidRDefault="00DC4F98" w:rsidP="005E3F99">
            <w:pPr>
              <w:autoSpaceDE w:val="0"/>
              <w:autoSpaceDN w:val="0"/>
              <w:adjustRightInd w:val="0"/>
              <w:jc w:val="center"/>
              <w:rPr>
                <w:rFonts w:ascii="標楷體" w:eastAsia="標楷體" w:hAnsi="標楷體"/>
              </w:rPr>
            </w:pPr>
            <w:r w:rsidRPr="00534128">
              <w:rPr>
                <w:rFonts w:ascii="標楷體" w:eastAsia="標楷體" w:hAnsi="標楷體"/>
                <w:lang w:val="zh-TW"/>
              </w:rPr>
              <w:t>條             文</w:t>
            </w:r>
          </w:p>
        </w:tc>
        <w:tc>
          <w:tcPr>
            <w:tcW w:w="2500" w:type="pct"/>
            <w:tcBorders>
              <w:top w:val="single" w:sz="6" w:space="0" w:color="auto"/>
              <w:left w:val="single" w:sz="6" w:space="0" w:color="auto"/>
              <w:bottom w:val="single" w:sz="6" w:space="0" w:color="auto"/>
              <w:right w:val="single" w:sz="4" w:space="0" w:color="auto"/>
            </w:tcBorders>
          </w:tcPr>
          <w:p w14:paraId="052911D9" w14:textId="77777777" w:rsidR="00DC4F98" w:rsidRPr="00534128" w:rsidRDefault="00DC4F98" w:rsidP="005E3F99">
            <w:pPr>
              <w:autoSpaceDE w:val="0"/>
              <w:autoSpaceDN w:val="0"/>
              <w:adjustRightInd w:val="0"/>
              <w:jc w:val="center"/>
              <w:rPr>
                <w:rFonts w:ascii="標楷體" w:eastAsia="標楷體" w:hAnsi="標楷體"/>
              </w:rPr>
            </w:pPr>
            <w:r w:rsidRPr="00534128">
              <w:rPr>
                <w:rFonts w:ascii="標楷體" w:eastAsia="標楷體" w:hAnsi="標楷體"/>
              </w:rPr>
              <w:t>說               明</w:t>
            </w:r>
          </w:p>
        </w:tc>
      </w:tr>
      <w:tr w:rsidR="00534128" w:rsidRPr="00534128" w14:paraId="406201C7" w14:textId="77777777" w:rsidTr="00DC4F98">
        <w:trPr>
          <w:trHeight w:val="641"/>
        </w:trPr>
        <w:tc>
          <w:tcPr>
            <w:tcW w:w="2500" w:type="pct"/>
            <w:tcBorders>
              <w:top w:val="single" w:sz="4" w:space="0" w:color="auto"/>
              <w:left w:val="single" w:sz="6" w:space="0" w:color="auto"/>
              <w:bottom w:val="single" w:sz="6" w:space="0" w:color="auto"/>
              <w:right w:val="single" w:sz="4" w:space="0" w:color="auto"/>
            </w:tcBorders>
          </w:tcPr>
          <w:p w14:paraId="3CA77022" w14:textId="77777777" w:rsidR="00DC4F98" w:rsidRPr="00534128" w:rsidRDefault="00DC4F98" w:rsidP="005E3F99">
            <w:pPr>
              <w:jc w:val="both"/>
              <w:rPr>
                <w:rFonts w:ascii="標楷體" w:eastAsia="標楷體" w:hAnsi="標楷體"/>
              </w:rPr>
            </w:pPr>
            <w:r w:rsidRPr="00534128">
              <w:rPr>
                <w:rFonts w:ascii="標楷體" w:eastAsia="標楷體" w:hAnsi="標楷體" w:hint="eastAsia"/>
              </w:rPr>
              <w:t>第一條</w:t>
            </w:r>
          </w:p>
          <w:p w14:paraId="7E859E24" w14:textId="77777777" w:rsidR="00DC4F98" w:rsidRPr="00534128" w:rsidRDefault="00DC4F98" w:rsidP="005E3F99">
            <w:pPr>
              <w:ind w:firstLineChars="200" w:firstLine="480"/>
              <w:jc w:val="both"/>
              <w:rPr>
                <w:rFonts w:ascii="標楷體" w:eastAsia="標楷體" w:hAnsi="標楷體"/>
              </w:rPr>
            </w:pPr>
            <w:r w:rsidRPr="00534128">
              <w:rPr>
                <w:rFonts w:ascii="標楷體" w:eastAsia="標楷體" w:hAnsi="標楷體" w:hint="eastAsia"/>
              </w:rPr>
              <w:t>為發展永續金融，並建立我國可持續發展債券櫃檯買賣制度，特訂定本作業要點。</w:t>
            </w:r>
          </w:p>
        </w:tc>
        <w:tc>
          <w:tcPr>
            <w:tcW w:w="2500" w:type="pct"/>
            <w:tcBorders>
              <w:top w:val="single" w:sz="4" w:space="0" w:color="auto"/>
              <w:left w:val="single" w:sz="6" w:space="0" w:color="auto"/>
              <w:bottom w:val="single" w:sz="6" w:space="0" w:color="auto"/>
              <w:right w:val="single" w:sz="4" w:space="0" w:color="auto"/>
            </w:tcBorders>
          </w:tcPr>
          <w:p w14:paraId="7DC9C39B" w14:textId="77777777" w:rsidR="00DC4F98" w:rsidRPr="00534128" w:rsidRDefault="00DC4F98" w:rsidP="005E3F99">
            <w:pPr>
              <w:autoSpaceDE w:val="0"/>
              <w:autoSpaceDN w:val="0"/>
              <w:adjustRightInd w:val="0"/>
              <w:jc w:val="both"/>
              <w:rPr>
                <w:rFonts w:ascii="標楷體" w:eastAsia="標楷體" w:hAnsi="標楷體"/>
                <w:lang w:val="zh-TW"/>
              </w:rPr>
            </w:pPr>
            <w:r w:rsidRPr="00534128">
              <w:rPr>
                <w:rFonts w:ascii="標楷體" w:eastAsia="標楷體" w:hAnsi="標楷體" w:hint="eastAsia"/>
                <w:lang w:val="zh-TW"/>
              </w:rPr>
              <w:t>揭櫫本作業要點訂定之意旨</w:t>
            </w:r>
            <w:r w:rsidRPr="00534128">
              <w:rPr>
                <w:rFonts w:ascii="標楷體" w:eastAsia="標楷體" w:hAnsi="標楷體"/>
                <w:lang w:val="zh-TW"/>
              </w:rPr>
              <w:t>。</w:t>
            </w:r>
          </w:p>
        </w:tc>
      </w:tr>
      <w:tr w:rsidR="00534128" w:rsidRPr="00534128" w14:paraId="6057517A" w14:textId="77777777" w:rsidTr="00DC4F98">
        <w:trPr>
          <w:trHeight w:val="641"/>
        </w:trPr>
        <w:tc>
          <w:tcPr>
            <w:tcW w:w="2500" w:type="pct"/>
            <w:tcBorders>
              <w:top w:val="single" w:sz="4" w:space="0" w:color="auto"/>
              <w:left w:val="single" w:sz="6" w:space="0" w:color="auto"/>
              <w:bottom w:val="single" w:sz="6" w:space="0" w:color="auto"/>
              <w:right w:val="single" w:sz="4" w:space="0" w:color="auto"/>
            </w:tcBorders>
          </w:tcPr>
          <w:p w14:paraId="0AEAFB80" w14:textId="77777777" w:rsidR="00DC4F98" w:rsidRPr="00534128" w:rsidRDefault="00DC4F98" w:rsidP="005E3F99">
            <w:pPr>
              <w:jc w:val="both"/>
              <w:rPr>
                <w:rFonts w:ascii="標楷體" w:eastAsia="標楷體" w:hAnsi="標楷體"/>
              </w:rPr>
            </w:pPr>
            <w:r w:rsidRPr="00534128">
              <w:rPr>
                <w:rFonts w:ascii="標楷體" w:eastAsia="標楷體" w:hAnsi="標楷體" w:hint="eastAsia"/>
              </w:rPr>
              <w:t>第二條</w:t>
            </w:r>
          </w:p>
          <w:p w14:paraId="73BF068F" w14:textId="77777777" w:rsidR="00DC4F98" w:rsidRPr="00534128" w:rsidRDefault="00DC4F98" w:rsidP="005E3F99">
            <w:pPr>
              <w:jc w:val="both"/>
              <w:rPr>
                <w:rFonts w:ascii="標楷體" w:eastAsia="標楷體" w:hAnsi="標楷體"/>
              </w:rPr>
            </w:pPr>
            <w:r w:rsidRPr="00534128">
              <w:rPr>
                <w:rFonts w:ascii="標楷體" w:eastAsia="標楷體" w:hAnsi="標楷體" w:hint="eastAsia"/>
              </w:rPr>
              <w:t xml:space="preserve">    本作業要點所稱可持續發展債券係指經本中心認可可持續發展債券資格之有價證券。</w:t>
            </w:r>
          </w:p>
        </w:tc>
        <w:tc>
          <w:tcPr>
            <w:tcW w:w="2500" w:type="pct"/>
            <w:tcBorders>
              <w:top w:val="single" w:sz="4" w:space="0" w:color="auto"/>
              <w:left w:val="single" w:sz="6" w:space="0" w:color="auto"/>
              <w:bottom w:val="single" w:sz="6" w:space="0" w:color="auto"/>
              <w:right w:val="single" w:sz="4" w:space="0" w:color="auto"/>
            </w:tcBorders>
          </w:tcPr>
          <w:p w14:paraId="49CD342C" w14:textId="77777777" w:rsidR="00DC4F98" w:rsidRPr="00534128" w:rsidRDefault="00DC4F98" w:rsidP="005E3F99">
            <w:pPr>
              <w:autoSpaceDE w:val="0"/>
              <w:autoSpaceDN w:val="0"/>
              <w:adjustRightInd w:val="0"/>
              <w:jc w:val="both"/>
              <w:rPr>
                <w:rFonts w:ascii="標楷體" w:eastAsia="標楷體" w:hAnsi="標楷體"/>
                <w:lang w:val="zh-TW"/>
              </w:rPr>
            </w:pPr>
            <w:r w:rsidRPr="00534128">
              <w:rPr>
                <w:rFonts w:ascii="標楷體" w:eastAsia="標楷體" w:hAnsi="標楷體" w:hint="eastAsia"/>
                <w:lang w:val="zh-TW"/>
              </w:rPr>
              <w:t>明定可持續發展債券之定義。</w:t>
            </w:r>
          </w:p>
        </w:tc>
      </w:tr>
      <w:tr w:rsidR="00534128" w:rsidRPr="00534128" w14:paraId="4D7BCCA4" w14:textId="77777777" w:rsidTr="00DC4F98">
        <w:trPr>
          <w:trHeight w:val="641"/>
        </w:trPr>
        <w:tc>
          <w:tcPr>
            <w:tcW w:w="2500" w:type="pct"/>
            <w:tcBorders>
              <w:top w:val="single" w:sz="4" w:space="0" w:color="auto"/>
              <w:left w:val="single" w:sz="6" w:space="0" w:color="auto"/>
              <w:bottom w:val="single" w:sz="6" w:space="0" w:color="auto"/>
              <w:right w:val="single" w:sz="4" w:space="0" w:color="auto"/>
            </w:tcBorders>
          </w:tcPr>
          <w:p w14:paraId="10DD98D4" w14:textId="77777777" w:rsidR="00DC4F98" w:rsidRPr="00534128" w:rsidRDefault="00DC4F98" w:rsidP="005E3F99">
            <w:pPr>
              <w:jc w:val="both"/>
              <w:rPr>
                <w:rFonts w:ascii="標楷體" w:eastAsia="標楷體" w:hAnsi="標楷體"/>
              </w:rPr>
            </w:pPr>
            <w:r w:rsidRPr="00534128">
              <w:rPr>
                <w:rFonts w:ascii="標楷體" w:eastAsia="標楷體" w:hAnsi="標楷體" w:hint="eastAsia"/>
              </w:rPr>
              <w:t xml:space="preserve">第三條   </w:t>
            </w:r>
          </w:p>
          <w:p w14:paraId="203CB8E3" w14:textId="77777777" w:rsidR="00DC4F98" w:rsidRPr="00534128" w:rsidRDefault="00DC4F98" w:rsidP="005E3F99">
            <w:pPr>
              <w:jc w:val="both"/>
              <w:rPr>
                <w:rFonts w:ascii="標楷體" w:eastAsia="標楷體" w:hAnsi="標楷體"/>
              </w:rPr>
            </w:pPr>
            <w:r w:rsidRPr="00534128">
              <w:rPr>
                <w:rFonts w:ascii="標楷體" w:eastAsia="標楷體" w:hAnsi="標楷體" w:hint="eastAsia"/>
              </w:rPr>
              <w:t xml:space="preserve">    發行人發行下列之有價證券，符合第四條規定者，得向本中心申請可持續發展債券資格認可：</w:t>
            </w:r>
          </w:p>
          <w:p w14:paraId="548D94F6" w14:textId="77777777" w:rsidR="00DC4F98" w:rsidRPr="00534128" w:rsidRDefault="00DC4F98" w:rsidP="005E3F99">
            <w:pPr>
              <w:numPr>
                <w:ilvl w:val="0"/>
                <w:numId w:val="6"/>
              </w:numPr>
              <w:jc w:val="both"/>
              <w:rPr>
                <w:rFonts w:ascii="標楷體" w:eastAsia="標楷體" w:hAnsi="標楷體"/>
              </w:rPr>
            </w:pPr>
            <w:r w:rsidRPr="00534128">
              <w:rPr>
                <w:rFonts w:ascii="標楷體" w:eastAsia="標楷體" w:hAnsi="標楷體" w:hint="eastAsia"/>
              </w:rPr>
              <w:t>依本中心證券商營業處所買賣有價證券審查準則第六條、第七條或第十五條規定，申請櫃檯買賣之普通公司債或金融債券。</w:t>
            </w:r>
          </w:p>
          <w:p w14:paraId="5698798F" w14:textId="77777777" w:rsidR="00DC4F98" w:rsidRPr="00534128" w:rsidRDefault="00DC4F98" w:rsidP="005E3F99">
            <w:pPr>
              <w:numPr>
                <w:ilvl w:val="0"/>
                <w:numId w:val="6"/>
              </w:numPr>
              <w:jc w:val="both"/>
              <w:rPr>
                <w:rFonts w:ascii="標楷體" w:eastAsia="標楷體" w:hAnsi="標楷體"/>
              </w:rPr>
            </w:pPr>
            <w:r w:rsidRPr="00534128">
              <w:rPr>
                <w:rFonts w:ascii="標楷體" w:eastAsia="標楷體" w:hAnsi="標楷體" w:hint="eastAsia"/>
              </w:rPr>
              <w:t>依本中心外國有價證券櫃檯買賣審查準則第三十六條規定，申請櫃檯買賣之新臺幣計價外國普通債券。</w:t>
            </w:r>
          </w:p>
          <w:p w14:paraId="327C34C6" w14:textId="77777777" w:rsidR="00DC4F98" w:rsidRPr="00534128" w:rsidRDefault="00DC4F98" w:rsidP="005E3F99">
            <w:pPr>
              <w:numPr>
                <w:ilvl w:val="0"/>
                <w:numId w:val="6"/>
              </w:numPr>
              <w:jc w:val="both"/>
              <w:rPr>
                <w:rFonts w:ascii="標楷體" w:eastAsia="標楷體" w:hAnsi="標楷體"/>
              </w:rPr>
            </w:pPr>
            <w:r w:rsidRPr="00534128">
              <w:rPr>
                <w:rFonts w:ascii="標楷體" w:eastAsia="標楷體" w:hAnsi="標楷體" w:hint="eastAsia"/>
              </w:rPr>
              <w:t>依本中心外幣計價國際債券管理規則第三條規定，申請櫃檯買賣之有價證券。但具股權性質之有價證券除外。</w:t>
            </w:r>
          </w:p>
          <w:p w14:paraId="620150E4" w14:textId="77777777" w:rsidR="00DC4F98" w:rsidRPr="00534128" w:rsidRDefault="00DC4F98" w:rsidP="005E3F99">
            <w:pPr>
              <w:numPr>
                <w:ilvl w:val="0"/>
                <w:numId w:val="6"/>
              </w:numPr>
              <w:jc w:val="both"/>
              <w:rPr>
                <w:rFonts w:ascii="標楷體" w:eastAsia="標楷體" w:hAnsi="標楷體"/>
              </w:rPr>
            </w:pPr>
            <w:r w:rsidRPr="00534128">
              <w:rPr>
                <w:rFonts w:ascii="標楷體" w:eastAsia="標楷體" w:hAnsi="標楷體" w:hint="eastAsia"/>
              </w:rPr>
              <w:t xml:space="preserve">依本中心證券商營業處所買賣有價證券審查準則第七條之一規定，申請櫃檯買賣之受益證券或資產基礎證券。   </w:t>
            </w:r>
          </w:p>
        </w:tc>
        <w:tc>
          <w:tcPr>
            <w:tcW w:w="2500" w:type="pct"/>
            <w:tcBorders>
              <w:top w:val="single" w:sz="4" w:space="0" w:color="auto"/>
              <w:left w:val="single" w:sz="6" w:space="0" w:color="auto"/>
              <w:bottom w:val="single" w:sz="6" w:space="0" w:color="auto"/>
              <w:right w:val="single" w:sz="4" w:space="0" w:color="auto"/>
            </w:tcBorders>
          </w:tcPr>
          <w:p w14:paraId="5923CCFC" w14:textId="39E29366" w:rsidR="00DC4F98" w:rsidRPr="00534128" w:rsidRDefault="00DC4F98" w:rsidP="005E3F99">
            <w:pPr>
              <w:autoSpaceDE w:val="0"/>
              <w:autoSpaceDN w:val="0"/>
              <w:adjustRightInd w:val="0"/>
              <w:jc w:val="both"/>
              <w:rPr>
                <w:rFonts w:ascii="標楷體" w:eastAsia="標楷體" w:hAnsi="標楷體"/>
                <w:lang w:val="zh-TW"/>
              </w:rPr>
            </w:pPr>
            <w:r w:rsidRPr="00534128">
              <w:rPr>
                <w:rFonts w:ascii="標楷體" w:eastAsia="標楷體" w:hAnsi="標楷體" w:hint="eastAsia"/>
              </w:rPr>
              <w:t>比照現行綠色債券作業要點之規定，</w:t>
            </w:r>
            <w:r w:rsidRPr="00534128">
              <w:rPr>
                <w:rFonts w:ascii="標楷體" w:eastAsia="標楷體" w:hAnsi="標楷體" w:hint="eastAsia"/>
                <w:lang w:val="zh-TW"/>
              </w:rPr>
              <w:t>明定得申請</w:t>
            </w:r>
            <w:r w:rsidRPr="00534128">
              <w:rPr>
                <w:rFonts w:ascii="標楷體" w:eastAsia="標楷體" w:hAnsi="標楷體" w:hint="eastAsia"/>
              </w:rPr>
              <w:t>可持續發展債券資格認可</w:t>
            </w:r>
            <w:r w:rsidRPr="00534128">
              <w:rPr>
                <w:rFonts w:ascii="標楷體" w:eastAsia="標楷體" w:hAnsi="標楷體" w:hint="eastAsia"/>
                <w:lang w:val="zh-TW"/>
              </w:rPr>
              <w:t>之有價證券，為不含股權性質之有價證券，包含國內外企業或銀行所發行之普通公司債或金融債券、國際債券、新台幣計價外國普通債券、受益證券、資產基礎證券及伊斯蘭固定收益證券等。</w:t>
            </w:r>
          </w:p>
        </w:tc>
      </w:tr>
      <w:tr w:rsidR="00534128" w:rsidRPr="00534128" w14:paraId="46D4A2D0" w14:textId="77777777" w:rsidTr="00DC4F98">
        <w:trPr>
          <w:trHeight w:val="641"/>
        </w:trPr>
        <w:tc>
          <w:tcPr>
            <w:tcW w:w="2500" w:type="pct"/>
            <w:tcBorders>
              <w:top w:val="single" w:sz="4" w:space="0" w:color="auto"/>
              <w:left w:val="single" w:sz="6" w:space="0" w:color="auto"/>
              <w:bottom w:val="single" w:sz="6" w:space="0" w:color="auto"/>
              <w:right w:val="single" w:sz="4" w:space="0" w:color="auto"/>
            </w:tcBorders>
          </w:tcPr>
          <w:p w14:paraId="21669B67" w14:textId="77777777" w:rsidR="00DC4F98" w:rsidRPr="00534128" w:rsidRDefault="00DC4F98" w:rsidP="005E3F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lang w:val="zh-TW"/>
              </w:rPr>
            </w:pPr>
            <w:r w:rsidRPr="00534128">
              <w:rPr>
                <w:rFonts w:ascii="標楷體" w:eastAsia="標楷體" w:hAnsi="標楷體" w:cs="細明體" w:hint="eastAsia"/>
              </w:rPr>
              <w:t>第四條</w:t>
            </w:r>
          </w:p>
          <w:p w14:paraId="78648080" w14:textId="77777777" w:rsidR="00DC4F98" w:rsidRPr="00534128" w:rsidRDefault="00DC4F98" w:rsidP="005E3F9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both"/>
              <w:rPr>
                <w:rFonts w:ascii="標楷體" w:eastAsia="標楷體" w:hAnsi="標楷體"/>
                <w:lang w:val="zh-TW"/>
              </w:rPr>
            </w:pPr>
            <w:r w:rsidRPr="00534128">
              <w:rPr>
                <w:rFonts w:ascii="標楷體" w:eastAsia="標楷體" w:hAnsi="標楷體" w:hint="eastAsia"/>
                <w:lang w:val="zh-TW"/>
              </w:rPr>
              <w:t>發行人申請可持續發展債券資格認可，其投資計畫應同時包含綠色投資計畫及社會效益投資計畫，且其有價證券種類應分別符合下列規定：</w:t>
            </w:r>
          </w:p>
          <w:p w14:paraId="42A2B6A5" w14:textId="77777777" w:rsidR="00DC4F98" w:rsidRPr="00534128" w:rsidRDefault="00DC4F98" w:rsidP="005E3F99">
            <w:pPr>
              <w:numPr>
                <w:ilvl w:val="0"/>
                <w:numId w:val="9"/>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lang w:val="zh-TW"/>
              </w:rPr>
            </w:pPr>
            <w:r w:rsidRPr="00534128">
              <w:rPr>
                <w:rFonts w:ascii="標楷體" w:eastAsia="標楷體" w:hAnsi="標楷體" w:hint="eastAsia"/>
                <w:lang w:val="zh-TW"/>
              </w:rPr>
              <w:t>普通公司債：發行人所募集之資金全部用於投資計畫支出或償還投資計畫之債務；外國金融機構所募集之資金全部用於投資計畫之放款、投資計畫支出或償</w:t>
            </w:r>
            <w:r w:rsidRPr="00534128">
              <w:rPr>
                <w:rFonts w:ascii="標楷體" w:eastAsia="標楷體" w:hAnsi="標楷體" w:hint="eastAsia"/>
                <w:lang w:val="zh-TW"/>
              </w:rPr>
              <w:lastRenderedPageBreak/>
              <w:t>還投資計畫之債務。</w:t>
            </w:r>
          </w:p>
          <w:p w14:paraId="7745B36D" w14:textId="77777777" w:rsidR="00DC4F98" w:rsidRPr="00534128" w:rsidRDefault="00DC4F98" w:rsidP="005E3F99">
            <w:pPr>
              <w:numPr>
                <w:ilvl w:val="0"/>
                <w:numId w:val="9"/>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lang w:val="zh-TW"/>
              </w:rPr>
            </w:pPr>
            <w:r w:rsidRPr="00534128">
              <w:rPr>
                <w:rFonts w:ascii="標楷體" w:eastAsia="標楷體" w:hAnsi="標楷體" w:hint="eastAsia"/>
                <w:lang w:val="zh-TW"/>
              </w:rPr>
              <w:t>金融債券：發行人所募集之資金全部用於投資計畫之放款、投資計畫支出或償還投資計畫之債務。</w:t>
            </w:r>
          </w:p>
          <w:p w14:paraId="4801547C" w14:textId="77777777" w:rsidR="00DC4F98" w:rsidRPr="00534128" w:rsidRDefault="00DC4F98" w:rsidP="005E3F99">
            <w:pPr>
              <w:numPr>
                <w:ilvl w:val="0"/>
                <w:numId w:val="9"/>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lang w:val="zh-TW"/>
              </w:rPr>
            </w:pPr>
            <w:r w:rsidRPr="00534128">
              <w:rPr>
                <w:rFonts w:ascii="標楷體" w:eastAsia="標楷體" w:hAnsi="標楷體" w:hint="eastAsia"/>
                <w:lang w:val="zh-TW"/>
              </w:rPr>
              <w:t>受益證券或資產基礎證券：資產池均源自投資計畫。</w:t>
            </w:r>
          </w:p>
          <w:p w14:paraId="7612E47F" w14:textId="77777777" w:rsidR="00DC4F98" w:rsidRPr="00534128" w:rsidRDefault="00DC4F98" w:rsidP="005E3F99">
            <w:pPr>
              <w:numPr>
                <w:ilvl w:val="0"/>
                <w:numId w:val="9"/>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lang w:val="zh-TW"/>
              </w:rPr>
            </w:pPr>
            <w:r w:rsidRPr="00534128">
              <w:rPr>
                <w:rFonts w:ascii="標楷體" w:eastAsia="標楷體" w:hAnsi="標楷體" w:hint="eastAsia"/>
                <w:lang w:val="zh-TW"/>
              </w:rPr>
              <w:t>伊斯蘭固定收益證券(Sukuk)：伊斯蘭固定收益證券之發起人所取得之資金全部用於投資計畫支出或償還投資計畫之債務；伊斯蘭固定收益證券之發起人為外國金融機構者，其所取得之資金全部用於投資計畫之放款、投資計畫支出或償還投資計畫之債務。</w:t>
            </w:r>
          </w:p>
          <w:p w14:paraId="79946D3E" w14:textId="77777777" w:rsidR="00DC4F98" w:rsidRPr="00534128" w:rsidRDefault="00DC4F98" w:rsidP="005E3F99">
            <w:pPr>
              <w:ind w:firstLineChars="200" w:firstLine="480"/>
              <w:jc w:val="both"/>
              <w:rPr>
                <w:rFonts w:ascii="標楷體" w:eastAsia="標楷體" w:hAnsi="標楷體"/>
              </w:rPr>
            </w:pPr>
            <w:r w:rsidRPr="00534128">
              <w:rPr>
                <w:rFonts w:ascii="標楷體" w:eastAsia="標楷體" w:hAnsi="標楷體" w:hint="eastAsia"/>
                <w:lang w:val="zh-TW"/>
              </w:rPr>
              <w:t>前項第三款所稱資產池，依金融資產證券化條例之規定認定之。</w:t>
            </w:r>
          </w:p>
        </w:tc>
        <w:tc>
          <w:tcPr>
            <w:tcW w:w="2500" w:type="pct"/>
            <w:tcBorders>
              <w:top w:val="single" w:sz="4" w:space="0" w:color="auto"/>
              <w:left w:val="single" w:sz="6" w:space="0" w:color="auto"/>
              <w:bottom w:val="single" w:sz="6" w:space="0" w:color="auto"/>
              <w:right w:val="single" w:sz="4" w:space="0" w:color="auto"/>
            </w:tcBorders>
          </w:tcPr>
          <w:p w14:paraId="0321CD8B" w14:textId="2FEAC6B5" w:rsidR="00DC4F98" w:rsidRPr="00534128" w:rsidRDefault="00DC4F98" w:rsidP="005E3F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lang w:val="zh-TW"/>
              </w:rPr>
            </w:pPr>
            <w:r w:rsidRPr="00534128">
              <w:rPr>
                <w:rFonts w:ascii="標楷體" w:eastAsia="標楷體" w:hAnsi="標楷體" w:hint="eastAsia"/>
                <w:lang w:val="zh-TW"/>
              </w:rPr>
              <w:lastRenderedPageBreak/>
              <w:t>參考國際金融市場慣例及</w:t>
            </w:r>
            <w:r w:rsidRPr="00534128">
              <w:rPr>
                <w:rFonts w:ascii="標楷體" w:eastAsia="標楷體" w:hAnsi="標楷體" w:hint="eastAsia"/>
              </w:rPr>
              <w:t>現行綠色債券作業要點之規範</w:t>
            </w:r>
            <w:r w:rsidRPr="00534128">
              <w:rPr>
                <w:rFonts w:ascii="標楷體" w:eastAsia="標楷體" w:hAnsi="標楷體" w:hint="eastAsia"/>
                <w:lang w:val="zh-TW"/>
              </w:rPr>
              <w:t>，訂定可持續發展債券之投資計畫應同時包含綠色投資計畫及社會效益投資計畫，其資金用途應全部用於投資計畫支出、償還投資計畫之債務</w:t>
            </w:r>
            <w:r w:rsidR="00A1466A" w:rsidRPr="00534128">
              <w:rPr>
                <w:rFonts w:ascii="標楷體" w:eastAsia="標楷體" w:hAnsi="標楷體" w:hint="eastAsia"/>
                <w:lang w:val="zh-TW"/>
              </w:rPr>
              <w:t>或</w:t>
            </w:r>
            <w:r w:rsidRPr="00534128">
              <w:rPr>
                <w:rFonts w:ascii="標楷體" w:eastAsia="標楷體" w:hAnsi="標楷體" w:hint="eastAsia"/>
                <w:lang w:val="zh-TW"/>
              </w:rPr>
              <w:t>投資計畫之放款。</w:t>
            </w:r>
          </w:p>
          <w:p w14:paraId="42D6F715" w14:textId="77777777" w:rsidR="00DC4F98" w:rsidRPr="00534128" w:rsidRDefault="00DC4F98" w:rsidP="005E3F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lang w:val="zh-TW"/>
              </w:rPr>
            </w:pPr>
          </w:p>
          <w:p w14:paraId="4BD1B334" w14:textId="77777777" w:rsidR="00DC4F98" w:rsidRPr="00534128" w:rsidRDefault="00DC4F98" w:rsidP="005E3F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lang w:val="zh-TW"/>
              </w:rPr>
            </w:pPr>
          </w:p>
        </w:tc>
      </w:tr>
      <w:tr w:rsidR="00534128" w:rsidRPr="00534128" w14:paraId="6F93A5E5" w14:textId="77777777" w:rsidTr="00DC4F98">
        <w:trPr>
          <w:trHeight w:val="641"/>
        </w:trPr>
        <w:tc>
          <w:tcPr>
            <w:tcW w:w="2500" w:type="pct"/>
            <w:tcBorders>
              <w:top w:val="single" w:sz="4" w:space="0" w:color="auto"/>
              <w:left w:val="single" w:sz="6" w:space="0" w:color="auto"/>
              <w:bottom w:val="single" w:sz="6" w:space="0" w:color="auto"/>
              <w:right w:val="single" w:sz="4" w:space="0" w:color="auto"/>
            </w:tcBorders>
          </w:tcPr>
          <w:p w14:paraId="6676E5FE" w14:textId="77777777" w:rsidR="00DC4F98" w:rsidRPr="00534128" w:rsidRDefault="00DC4F98" w:rsidP="005E3F99">
            <w:pPr>
              <w:jc w:val="both"/>
              <w:rPr>
                <w:rFonts w:ascii="標楷體" w:eastAsia="標楷體" w:hAnsi="標楷體"/>
              </w:rPr>
            </w:pPr>
            <w:r w:rsidRPr="00534128">
              <w:rPr>
                <w:rFonts w:ascii="標楷體" w:eastAsia="標楷體" w:hAnsi="標楷體" w:hint="eastAsia"/>
              </w:rPr>
              <w:t xml:space="preserve">第五條  </w:t>
            </w:r>
          </w:p>
          <w:p w14:paraId="7A6238B5" w14:textId="77777777" w:rsidR="00DC4F98" w:rsidRPr="00534128" w:rsidRDefault="00DC4F98" w:rsidP="005E3F99">
            <w:pPr>
              <w:ind w:firstLineChars="165" w:firstLine="396"/>
              <w:jc w:val="both"/>
              <w:rPr>
                <w:rFonts w:ascii="標楷體" w:eastAsia="標楷體" w:hAnsi="標楷體"/>
              </w:rPr>
            </w:pPr>
            <w:r w:rsidRPr="00534128">
              <w:rPr>
                <w:rFonts w:ascii="標楷體" w:eastAsia="標楷體" w:hAnsi="標楷體" w:hint="eastAsia"/>
              </w:rPr>
              <w:t xml:space="preserve"> 前條所稱綠色投資計畫係指符合本中心綠色債券作業要點第五條規定者；社會效益投資計畫係指投資於下列事項，並具實質社會效益者：</w:t>
            </w:r>
          </w:p>
          <w:p w14:paraId="25266620" w14:textId="77777777" w:rsidR="00DC4F98" w:rsidRPr="00534128" w:rsidRDefault="00DC4F98" w:rsidP="005E3F99">
            <w:pPr>
              <w:numPr>
                <w:ilvl w:val="0"/>
                <w:numId w:val="7"/>
              </w:numPr>
              <w:jc w:val="both"/>
              <w:rPr>
                <w:rFonts w:ascii="標楷體" w:eastAsia="標楷體" w:hAnsi="標楷體"/>
              </w:rPr>
            </w:pPr>
            <w:r w:rsidRPr="00534128">
              <w:rPr>
                <w:rFonts w:ascii="標楷體" w:eastAsia="標楷體" w:hAnsi="標楷體" w:hint="eastAsia"/>
              </w:rPr>
              <w:t>可負擔的基礎生活設施。</w:t>
            </w:r>
          </w:p>
          <w:p w14:paraId="4D28A288" w14:textId="77777777" w:rsidR="00DC4F98" w:rsidRPr="00534128" w:rsidRDefault="00DC4F98" w:rsidP="005E3F99">
            <w:pPr>
              <w:numPr>
                <w:ilvl w:val="0"/>
                <w:numId w:val="7"/>
              </w:numPr>
              <w:jc w:val="both"/>
              <w:rPr>
                <w:rFonts w:ascii="標楷體" w:eastAsia="標楷體" w:hAnsi="標楷體"/>
              </w:rPr>
            </w:pPr>
            <w:r w:rsidRPr="00534128">
              <w:rPr>
                <w:rFonts w:ascii="標楷體" w:eastAsia="標楷體" w:hAnsi="標楷體" w:hint="eastAsia"/>
              </w:rPr>
              <w:t>基本服務需求。</w:t>
            </w:r>
          </w:p>
          <w:p w14:paraId="2AF00B22" w14:textId="77777777" w:rsidR="00DC4F98" w:rsidRPr="00534128" w:rsidRDefault="00DC4F98" w:rsidP="005E3F99">
            <w:pPr>
              <w:numPr>
                <w:ilvl w:val="0"/>
                <w:numId w:val="7"/>
              </w:numPr>
              <w:jc w:val="both"/>
              <w:rPr>
                <w:rFonts w:ascii="標楷體" w:eastAsia="標楷體" w:hAnsi="標楷體"/>
              </w:rPr>
            </w:pPr>
            <w:r w:rsidRPr="00534128">
              <w:rPr>
                <w:rFonts w:ascii="標楷體" w:eastAsia="標楷體" w:hAnsi="標楷體" w:hint="eastAsia"/>
              </w:rPr>
              <w:t>可負擔的住宅。</w:t>
            </w:r>
          </w:p>
          <w:p w14:paraId="55E7D504" w14:textId="77777777" w:rsidR="00DC4F98" w:rsidRPr="00534128" w:rsidRDefault="00DC4F98" w:rsidP="005E3F99">
            <w:pPr>
              <w:numPr>
                <w:ilvl w:val="0"/>
                <w:numId w:val="7"/>
              </w:numPr>
              <w:jc w:val="both"/>
              <w:rPr>
                <w:rFonts w:ascii="標楷體" w:eastAsia="標楷體" w:hAnsi="標楷體"/>
              </w:rPr>
            </w:pPr>
            <w:r w:rsidRPr="00534128">
              <w:rPr>
                <w:rFonts w:ascii="標楷體" w:eastAsia="標楷體" w:hAnsi="標楷體" w:hint="eastAsia"/>
              </w:rPr>
              <w:t>創造就業及可以減輕或避免因社會經濟危機所導致失業的計畫。</w:t>
            </w:r>
          </w:p>
          <w:p w14:paraId="39E3E71A" w14:textId="77777777" w:rsidR="00DC4F98" w:rsidRPr="00534128" w:rsidRDefault="00DC4F98" w:rsidP="005E3F99">
            <w:pPr>
              <w:numPr>
                <w:ilvl w:val="0"/>
                <w:numId w:val="7"/>
              </w:numPr>
              <w:jc w:val="both"/>
              <w:rPr>
                <w:rFonts w:ascii="標楷體" w:eastAsia="標楷體" w:hAnsi="標楷體"/>
              </w:rPr>
            </w:pPr>
            <w:r w:rsidRPr="00534128">
              <w:rPr>
                <w:rFonts w:ascii="標楷體" w:eastAsia="標楷體" w:hAnsi="標楷體" w:hint="eastAsia"/>
              </w:rPr>
              <w:t>糧食安全及可持續糧食系統。</w:t>
            </w:r>
          </w:p>
          <w:p w14:paraId="77259274" w14:textId="204A6F26" w:rsidR="00DC4F98" w:rsidRPr="00534128" w:rsidRDefault="00DC4F98" w:rsidP="005E3F99">
            <w:pPr>
              <w:numPr>
                <w:ilvl w:val="0"/>
                <w:numId w:val="7"/>
              </w:numPr>
              <w:jc w:val="both"/>
              <w:rPr>
                <w:rFonts w:ascii="標楷體" w:eastAsia="標楷體" w:hAnsi="標楷體"/>
              </w:rPr>
            </w:pPr>
            <w:r w:rsidRPr="00534128">
              <w:rPr>
                <w:rFonts w:ascii="標楷體" w:eastAsia="標楷體" w:hAnsi="標楷體" w:hint="eastAsia"/>
              </w:rPr>
              <w:t>社會經濟發展和權利保障</w:t>
            </w:r>
            <w:r w:rsidR="00AD1AA5">
              <w:rPr>
                <w:rFonts w:ascii="標楷體" w:eastAsia="標楷體" w:hAnsi="標楷體" w:hint="eastAsia"/>
              </w:rPr>
              <w:t>。</w:t>
            </w:r>
          </w:p>
          <w:p w14:paraId="77706D50" w14:textId="77777777" w:rsidR="00DC4F98" w:rsidRPr="00534128" w:rsidRDefault="00DC4F98" w:rsidP="005E3F99">
            <w:pPr>
              <w:numPr>
                <w:ilvl w:val="0"/>
                <w:numId w:val="7"/>
              </w:numPr>
              <w:jc w:val="both"/>
              <w:rPr>
                <w:rFonts w:ascii="標楷體" w:eastAsia="標楷體" w:hAnsi="標楷體"/>
                <w:shd w:val="pct15" w:color="auto" w:fill="FFFFFF"/>
              </w:rPr>
            </w:pPr>
            <w:r w:rsidRPr="00534128">
              <w:rPr>
                <w:rFonts w:ascii="標楷體" w:eastAsia="標楷體" w:hAnsi="標楷體" w:hint="eastAsia"/>
              </w:rPr>
              <w:t>其他經本中心認可者。</w:t>
            </w:r>
          </w:p>
        </w:tc>
        <w:tc>
          <w:tcPr>
            <w:tcW w:w="2500" w:type="pct"/>
            <w:tcBorders>
              <w:top w:val="single" w:sz="4" w:space="0" w:color="auto"/>
              <w:left w:val="single" w:sz="6" w:space="0" w:color="auto"/>
              <w:bottom w:val="single" w:sz="6" w:space="0" w:color="auto"/>
              <w:right w:val="single" w:sz="4" w:space="0" w:color="auto"/>
            </w:tcBorders>
          </w:tcPr>
          <w:p w14:paraId="7CC6C69A" w14:textId="77777777" w:rsidR="00AD1AA5" w:rsidRPr="00820F3C" w:rsidRDefault="00AD1AA5" w:rsidP="00AD1AA5">
            <w:pPr>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lang w:val="zh-TW"/>
              </w:rPr>
            </w:pPr>
            <w:r w:rsidRPr="00820F3C">
              <w:rPr>
                <w:rFonts w:ascii="Times New Roman" w:eastAsia="標楷體" w:hAnsi="Times New Roman" w:cs="Times New Roman"/>
                <w:lang w:val="zh-TW"/>
              </w:rPr>
              <w:t>明定可持續債券投資計畫之範圍及認定方式。</w:t>
            </w:r>
          </w:p>
          <w:p w14:paraId="70BE0332" w14:textId="0EA922AF" w:rsidR="00AD1AA5" w:rsidRPr="00820F3C" w:rsidRDefault="00AD1AA5" w:rsidP="00AD1AA5">
            <w:pPr>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lang w:val="zh-TW"/>
              </w:rPr>
            </w:pPr>
            <w:r w:rsidRPr="00820F3C">
              <w:rPr>
                <w:rFonts w:ascii="Times New Roman" w:eastAsia="標楷體" w:hAnsi="Times New Roman" w:cs="Times New Roman"/>
                <w:lang w:val="zh-TW"/>
              </w:rPr>
              <w:t>綠色投資計畫之範圍及認定方式係依據</w:t>
            </w:r>
            <w:r w:rsidR="006D5181">
              <w:rPr>
                <w:rFonts w:ascii="Times New Roman" w:eastAsia="標楷體" w:hAnsi="Times New Roman" w:cs="Times New Roman" w:hint="eastAsia"/>
                <w:lang w:val="zh-TW"/>
              </w:rPr>
              <w:t>本中心</w:t>
            </w:r>
            <w:r w:rsidRPr="00820F3C">
              <w:rPr>
                <w:rFonts w:ascii="Times New Roman" w:eastAsia="標楷體" w:hAnsi="Times New Roman" w:cs="Times New Roman"/>
                <w:lang w:val="zh-TW"/>
              </w:rPr>
              <w:t>綠色債券作業要點第五條之規定，另參考國際資本市場協會（</w:t>
            </w:r>
            <w:r w:rsidRPr="00820F3C">
              <w:rPr>
                <w:rFonts w:ascii="Times New Roman" w:eastAsia="標楷體" w:hAnsi="Times New Roman" w:cs="Times New Roman"/>
                <w:lang w:val="zh-TW"/>
              </w:rPr>
              <w:t>ICMA</w:t>
            </w:r>
            <w:r w:rsidRPr="00820F3C">
              <w:rPr>
                <w:rFonts w:ascii="Times New Roman" w:eastAsia="標楷體" w:hAnsi="Times New Roman" w:cs="Times New Roman"/>
                <w:lang w:val="zh-TW"/>
              </w:rPr>
              <w:t>）社會責任債券原則</w:t>
            </w:r>
            <w:r w:rsidRPr="00820F3C">
              <w:rPr>
                <w:rFonts w:ascii="Times New Roman" w:eastAsia="標楷體" w:hAnsi="Times New Roman" w:cs="Times New Roman"/>
                <w:lang w:val="zh-TW"/>
              </w:rPr>
              <w:t>(SBP)</w:t>
            </w:r>
            <w:r w:rsidRPr="00820F3C">
              <w:rPr>
                <w:rFonts w:ascii="Times New Roman" w:eastAsia="標楷體" w:hAnsi="Times New Roman" w:cs="Times New Roman"/>
                <w:lang w:val="zh-TW"/>
              </w:rPr>
              <w:t>所定社會效益項目之範圍，訂定第一款至第六款及其他經本中心認可之社會效益投資計畫範圍，以資周延。</w:t>
            </w:r>
          </w:p>
          <w:p w14:paraId="448D7BBE" w14:textId="77777777" w:rsidR="00AD1AA5" w:rsidRPr="00820F3C" w:rsidRDefault="00AD1AA5" w:rsidP="00AD1AA5">
            <w:pPr>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lang w:val="zh-TW"/>
              </w:rPr>
            </w:pPr>
            <w:r w:rsidRPr="00820F3C">
              <w:rPr>
                <w:rFonts w:ascii="Times New Roman" w:eastAsia="標楷體" w:hAnsi="Times New Roman" w:cs="Times New Roman"/>
                <w:lang w:val="zh-TW"/>
              </w:rPr>
              <w:t>國際資本市場協會（</w:t>
            </w:r>
            <w:r w:rsidRPr="00820F3C">
              <w:rPr>
                <w:rFonts w:ascii="Times New Roman" w:eastAsia="標楷體" w:hAnsi="Times New Roman" w:cs="Times New Roman"/>
                <w:lang w:val="zh-TW"/>
              </w:rPr>
              <w:t>ICMA</w:t>
            </w:r>
            <w:r w:rsidRPr="00820F3C">
              <w:rPr>
                <w:rFonts w:ascii="Times New Roman" w:eastAsia="標楷體" w:hAnsi="Times New Roman" w:cs="Times New Roman"/>
                <w:lang w:val="zh-TW"/>
              </w:rPr>
              <w:t>）社會責任債券原則</w:t>
            </w:r>
            <w:r>
              <w:rPr>
                <w:rFonts w:ascii="Times New Roman" w:eastAsia="標楷體" w:hAnsi="Times New Roman" w:cs="Times New Roman" w:hint="eastAsia"/>
                <w:lang w:val="zh-TW"/>
              </w:rPr>
              <w:t>(SBP)</w:t>
            </w:r>
            <w:r>
              <w:rPr>
                <w:rFonts w:hint="eastAsia"/>
              </w:rPr>
              <w:t xml:space="preserve"> </w:t>
            </w:r>
            <w:r w:rsidRPr="00A378E2">
              <w:rPr>
                <w:rFonts w:ascii="Times New Roman" w:eastAsia="標楷體" w:hAnsi="Times New Roman" w:cs="Times New Roman" w:hint="eastAsia"/>
                <w:lang w:val="zh-TW"/>
              </w:rPr>
              <w:t>所定</w:t>
            </w:r>
            <w:r w:rsidRPr="00820F3C">
              <w:rPr>
                <w:rFonts w:ascii="Times New Roman" w:eastAsia="標楷體" w:hAnsi="Times New Roman" w:cs="Times New Roman"/>
                <w:lang w:val="zh-TW"/>
              </w:rPr>
              <w:t>之社會效益項目係指幫助特定目標人群</w:t>
            </w:r>
            <w:r w:rsidRPr="00820F3C">
              <w:rPr>
                <w:rFonts w:ascii="Times New Roman" w:eastAsia="標楷體" w:hAnsi="Times New Roman" w:cs="Times New Roman"/>
                <w:lang w:val="zh-TW"/>
              </w:rPr>
              <w:t>(</w:t>
            </w:r>
            <w:r w:rsidRPr="00820F3C">
              <w:rPr>
                <w:rFonts w:ascii="Times New Roman" w:eastAsia="標楷體" w:hAnsi="Times New Roman" w:cs="Times New Roman"/>
                <w:lang w:val="zh-TW"/>
              </w:rPr>
              <w:t>但不限於目標人群</w:t>
            </w:r>
            <w:r w:rsidRPr="00820F3C">
              <w:rPr>
                <w:rFonts w:ascii="Times New Roman" w:eastAsia="標楷體" w:hAnsi="Times New Roman" w:cs="Times New Roman"/>
                <w:lang w:val="zh-TW"/>
              </w:rPr>
              <w:t>)</w:t>
            </w:r>
            <w:r w:rsidRPr="00820F3C">
              <w:rPr>
                <w:rFonts w:ascii="Times New Roman" w:eastAsia="標楷體" w:hAnsi="Times New Roman" w:cs="Times New Roman"/>
                <w:lang w:val="zh-TW"/>
              </w:rPr>
              <w:t>解決或減輕特定社會問題並具實質社會效益者，包括但不限於以下六項：</w:t>
            </w:r>
          </w:p>
          <w:p w14:paraId="02D0F521" w14:textId="77777777" w:rsidR="00AD1AA5" w:rsidRPr="00A4787B" w:rsidRDefault="00AD1AA5" w:rsidP="00AD1AA5">
            <w:pPr>
              <w:pStyle w:val="a7"/>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lang w:val="zh-TW"/>
              </w:rPr>
            </w:pPr>
            <w:r w:rsidRPr="00A4787B">
              <w:rPr>
                <w:rFonts w:ascii="Times New Roman" w:eastAsia="標楷體" w:hAnsi="Times New Roman" w:cs="Times New Roman"/>
                <w:lang w:val="zh-TW"/>
              </w:rPr>
              <w:t>可負擔的基礎生活設施（例如清潔飲用水、地下排污管道、衛生設施、交通運輸、能源）。</w:t>
            </w:r>
          </w:p>
          <w:p w14:paraId="2558A2F2" w14:textId="77777777" w:rsidR="00AD1AA5" w:rsidRDefault="00AD1AA5" w:rsidP="00AD1AA5">
            <w:pPr>
              <w:pStyle w:val="a7"/>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lang w:val="zh-TW"/>
              </w:rPr>
            </w:pPr>
            <w:r w:rsidRPr="00A4787B">
              <w:rPr>
                <w:rFonts w:ascii="Times New Roman" w:eastAsia="標楷體" w:hAnsi="Times New Roman" w:cs="Times New Roman"/>
                <w:lang w:val="zh-TW"/>
              </w:rPr>
              <w:t>基本服務需求（例如健康、教育和職業培訓、醫療保健、融資和金融服務）</w:t>
            </w:r>
            <w:r>
              <w:rPr>
                <w:rFonts w:ascii="Times New Roman" w:eastAsia="標楷體" w:hAnsi="Times New Roman" w:cs="Times New Roman" w:hint="eastAsia"/>
                <w:lang w:val="zh-TW"/>
              </w:rPr>
              <w:t>。</w:t>
            </w:r>
          </w:p>
          <w:p w14:paraId="546FDAFB" w14:textId="77777777" w:rsidR="00AD1AA5" w:rsidRDefault="00AD1AA5" w:rsidP="00AD1AA5">
            <w:pPr>
              <w:pStyle w:val="a7"/>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lang w:val="zh-TW"/>
              </w:rPr>
            </w:pPr>
            <w:r w:rsidRPr="00A4787B">
              <w:rPr>
                <w:rFonts w:ascii="Times New Roman" w:eastAsia="標楷體" w:hAnsi="Times New Roman" w:cs="Times New Roman"/>
                <w:lang w:val="zh-TW"/>
              </w:rPr>
              <w:t>可負擔的住宅。</w:t>
            </w:r>
          </w:p>
          <w:p w14:paraId="6230C173" w14:textId="77777777" w:rsidR="00AD1AA5" w:rsidRDefault="00AD1AA5" w:rsidP="00AD1AA5">
            <w:pPr>
              <w:pStyle w:val="a7"/>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lang w:val="zh-TW"/>
              </w:rPr>
            </w:pPr>
            <w:r w:rsidRPr="00A4787B">
              <w:rPr>
                <w:rFonts w:ascii="Times New Roman" w:eastAsia="標楷體" w:hAnsi="Times New Roman" w:cs="Times New Roman"/>
                <w:lang w:val="zh-TW"/>
              </w:rPr>
              <w:t>創造就業機會及能夠減輕或避免因社會經濟危機所導致失業的計畫，包括</w:t>
            </w:r>
            <w:r w:rsidRPr="00A4787B">
              <w:rPr>
                <w:rFonts w:ascii="Times New Roman" w:eastAsia="標楷體" w:hAnsi="Times New Roman" w:cs="Times New Roman"/>
                <w:lang w:val="zh-TW"/>
              </w:rPr>
              <w:lastRenderedPageBreak/>
              <w:t>提供</w:t>
            </w:r>
            <w:r w:rsidRPr="00A4787B">
              <w:rPr>
                <w:rFonts w:ascii="標楷體" w:eastAsia="標楷體" w:hAnsi="標楷體"/>
                <w:lang w:val="zh-TW"/>
              </w:rPr>
              <w:t>中小企業</w:t>
            </w:r>
            <w:r w:rsidRPr="00A4787B">
              <w:rPr>
                <w:rFonts w:ascii="Times New Roman" w:eastAsia="標楷體" w:hAnsi="Times New Roman" w:cs="Times New Roman"/>
                <w:lang w:val="zh-TW"/>
              </w:rPr>
              <w:t>融資和小額信貸的方式。</w:t>
            </w:r>
          </w:p>
          <w:p w14:paraId="037A32B2" w14:textId="77777777" w:rsidR="00AD1AA5" w:rsidRDefault="00AD1AA5" w:rsidP="00AD1AA5">
            <w:pPr>
              <w:pStyle w:val="a7"/>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lang w:val="zh-TW"/>
              </w:rPr>
            </w:pPr>
            <w:r w:rsidRPr="00A4787B">
              <w:rPr>
                <w:rFonts w:ascii="Times New Roman" w:eastAsia="標楷體" w:hAnsi="Times New Roman" w:cs="Times New Roman"/>
                <w:lang w:val="zh-TW"/>
              </w:rPr>
              <w:t>糧食安全及可持續的糧食系統</w:t>
            </w:r>
            <w:r w:rsidRPr="00A4787B">
              <w:rPr>
                <w:rFonts w:ascii="Times New Roman" w:eastAsia="標楷體" w:hAnsi="Times New Roman" w:cs="Times New Roman"/>
                <w:lang w:val="zh-TW"/>
              </w:rPr>
              <w:t>(</w:t>
            </w:r>
            <w:r w:rsidRPr="00A4787B">
              <w:rPr>
                <w:rFonts w:ascii="Times New Roman" w:eastAsia="標楷體" w:hAnsi="Times New Roman" w:cs="Times New Roman"/>
                <w:lang w:val="zh-TW"/>
              </w:rPr>
              <w:t>例如透過有形、社會和經濟途徑獲得安全、營養及滿足飲食需要的足夠食物；有彈性的農業做法；減少糧食損失及浪費；提高小規模生產者的生產率</w:t>
            </w:r>
            <w:r w:rsidRPr="00A4787B">
              <w:rPr>
                <w:rFonts w:ascii="Times New Roman" w:eastAsia="標楷體" w:hAnsi="Times New Roman" w:cs="Times New Roman"/>
                <w:lang w:val="zh-TW"/>
              </w:rPr>
              <w:t>)</w:t>
            </w:r>
            <w:r w:rsidRPr="00A4787B">
              <w:rPr>
                <w:rFonts w:ascii="Times New Roman" w:eastAsia="標楷體" w:hAnsi="Times New Roman" w:cs="Times New Roman"/>
                <w:lang w:val="zh-TW"/>
              </w:rPr>
              <w:t>。</w:t>
            </w:r>
          </w:p>
          <w:p w14:paraId="01F788F2" w14:textId="77777777" w:rsidR="00AD1AA5" w:rsidRPr="00A4787B" w:rsidRDefault="00AD1AA5" w:rsidP="00AD1AA5">
            <w:pPr>
              <w:pStyle w:val="a7"/>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s="Times New Roman"/>
                <w:lang w:val="zh-TW"/>
              </w:rPr>
            </w:pPr>
            <w:r w:rsidRPr="00A4787B">
              <w:rPr>
                <w:rFonts w:ascii="Times New Roman" w:eastAsia="標楷體" w:hAnsi="Times New Roman" w:cs="Times New Roman"/>
                <w:lang w:val="zh-TW"/>
              </w:rPr>
              <w:t>社會經濟發展和權利保障</w:t>
            </w:r>
            <w:r w:rsidRPr="00A4787B">
              <w:rPr>
                <w:rFonts w:ascii="Times New Roman" w:eastAsia="標楷體" w:hAnsi="Times New Roman" w:cs="Times New Roman"/>
                <w:lang w:val="zh-TW"/>
              </w:rPr>
              <w:t>(</w:t>
            </w:r>
            <w:r w:rsidRPr="00A4787B">
              <w:rPr>
                <w:rFonts w:ascii="Times New Roman" w:eastAsia="標楷體" w:hAnsi="Times New Roman" w:cs="Times New Roman"/>
                <w:lang w:val="zh-TW"/>
              </w:rPr>
              <w:t>例如公平獲取和掌控資產、服務、資源和機會；公平參與和融入市場及社會，包括減少貧富差距</w:t>
            </w:r>
            <w:r w:rsidRPr="00A4787B">
              <w:rPr>
                <w:rFonts w:ascii="Times New Roman" w:eastAsia="標楷體" w:hAnsi="Times New Roman" w:cs="Times New Roman"/>
                <w:lang w:val="zh-TW"/>
              </w:rPr>
              <w:t>)</w:t>
            </w:r>
            <w:r w:rsidRPr="00A4787B">
              <w:rPr>
                <w:rFonts w:ascii="Times New Roman" w:eastAsia="標楷體" w:hAnsi="Times New Roman" w:cs="Times New Roman"/>
                <w:lang w:val="zh-TW"/>
              </w:rPr>
              <w:t>。</w:t>
            </w:r>
          </w:p>
          <w:p w14:paraId="104D5AD3" w14:textId="77777777" w:rsidR="00AD1AA5" w:rsidRPr="00820F3C" w:rsidRDefault="00AD1AA5" w:rsidP="00AD1AA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
              <w:jc w:val="both"/>
              <w:rPr>
                <w:rFonts w:ascii="Times New Roman" w:eastAsia="標楷體" w:hAnsi="Times New Roman" w:cs="Times New Roman"/>
                <w:lang w:val="zh-TW"/>
              </w:rPr>
            </w:pPr>
            <w:r w:rsidRPr="00820F3C">
              <w:rPr>
                <w:rFonts w:ascii="Times New Roman" w:eastAsia="標楷體" w:hAnsi="Times New Roman" w:cs="Times New Roman"/>
                <w:lang w:val="zh-TW"/>
              </w:rPr>
              <w:t>特定目標人群包含但不限於：</w:t>
            </w:r>
          </w:p>
          <w:p w14:paraId="02A1F8E5" w14:textId="77777777" w:rsidR="00AD1AA5" w:rsidRPr="00820F3C" w:rsidRDefault="00AD1AA5" w:rsidP="00AD1AA5">
            <w:pPr>
              <w:pStyle w:val="a7"/>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Times New Roman" w:cs="Times New Roman"/>
                <w:lang w:val="zh-TW"/>
              </w:rPr>
            </w:pPr>
            <w:r w:rsidRPr="00820F3C">
              <w:rPr>
                <w:rFonts w:ascii="Times New Roman" w:eastAsia="標楷體" w:hAnsi="Times New Roman" w:cs="Times New Roman"/>
                <w:lang w:val="zh-TW"/>
              </w:rPr>
              <w:t>生活在貧困線以下的人群。</w:t>
            </w:r>
          </w:p>
          <w:p w14:paraId="1AD62211" w14:textId="77777777" w:rsidR="00AD1AA5" w:rsidRPr="00820F3C" w:rsidRDefault="00AD1AA5" w:rsidP="00AD1AA5">
            <w:pPr>
              <w:pStyle w:val="a7"/>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Times New Roman" w:cs="Times New Roman"/>
                <w:lang w:val="zh-TW"/>
              </w:rPr>
            </w:pPr>
            <w:r w:rsidRPr="00820F3C">
              <w:rPr>
                <w:rFonts w:ascii="Times New Roman" w:eastAsia="標楷體" w:hAnsi="Times New Roman" w:cs="Times New Roman"/>
                <w:lang w:val="zh-TW"/>
              </w:rPr>
              <w:t>遭排斥或邊緣化的人群或社會群體。</w:t>
            </w:r>
          </w:p>
          <w:p w14:paraId="23E5947C" w14:textId="77777777" w:rsidR="00AD1AA5" w:rsidRDefault="00AD1AA5" w:rsidP="00AD1AA5">
            <w:pPr>
              <w:pStyle w:val="a7"/>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Times New Roman" w:cs="Times New Roman"/>
                <w:lang w:val="zh-TW"/>
              </w:rPr>
            </w:pPr>
            <w:r w:rsidRPr="00820F3C">
              <w:rPr>
                <w:rFonts w:ascii="Times New Roman" w:eastAsia="標楷體" w:hAnsi="Times New Roman" w:cs="Times New Roman"/>
                <w:lang w:val="zh-TW"/>
              </w:rPr>
              <w:t>殘障人士。</w:t>
            </w:r>
          </w:p>
          <w:p w14:paraId="397E2D44" w14:textId="77777777" w:rsidR="00AD1AA5" w:rsidRPr="00A4787B" w:rsidRDefault="00AD1AA5" w:rsidP="00AD1AA5">
            <w:pPr>
              <w:pStyle w:val="a7"/>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Times New Roman" w:cs="Times New Roman"/>
                <w:lang w:val="zh-TW"/>
              </w:rPr>
            </w:pPr>
            <w:r w:rsidRPr="00A4787B">
              <w:rPr>
                <w:rFonts w:ascii="Times New Roman" w:eastAsia="標楷體" w:hAnsi="Times New Roman" w:cs="Times New Roman"/>
                <w:lang w:val="zh-TW"/>
              </w:rPr>
              <w:t>移民或流離失所人群。</w:t>
            </w:r>
          </w:p>
          <w:p w14:paraId="389B69D6" w14:textId="77777777" w:rsidR="00AD1AA5" w:rsidRPr="00820F3C" w:rsidRDefault="00AD1AA5" w:rsidP="00AD1AA5">
            <w:pPr>
              <w:pStyle w:val="a7"/>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Times New Roman" w:cs="Times New Roman"/>
                <w:lang w:val="zh-TW"/>
              </w:rPr>
            </w:pPr>
            <w:r w:rsidRPr="00820F3C">
              <w:rPr>
                <w:rFonts w:ascii="Times New Roman" w:eastAsia="標楷體" w:hAnsi="Times New Roman" w:cs="Times New Roman"/>
                <w:lang w:val="zh-TW"/>
              </w:rPr>
              <w:t>低教育程度群體。</w:t>
            </w:r>
          </w:p>
          <w:p w14:paraId="3D38124E" w14:textId="77777777" w:rsidR="00AD1AA5" w:rsidRPr="00820F3C" w:rsidRDefault="00AD1AA5" w:rsidP="00AD1AA5">
            <w:pPr>
              <w:pStyle w:val="a7"/>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Times New Roman" w:cs="Times New Roman"/>
                <w:lang w:val="zh-TW"/>
              </w:rPr>
            </w:pPr>
            <w:r w:rsidRPr="00820F3C">
              <w:rPr>
                <w:rFonts w:ascii="Times New Roman" w:eastAsia="標楷體" w:hAnsi="Times New Roman" w:cs="Times New Roman"/>
                <w:lang w:val="zh-TW"/>
              </w:rPr>
              <w:t>因缺乏優質的基本物資和服務而出現的底層群體。</w:t>
            </w:r>
          </w:p>
          <w:p w14:paraId="2B2312D4" w14:textId="77777777" w:rsidR="00AD1AA5" w:rsidRPr="00820F3C" w:rsidRDefault="00AD1AA5" w:rsidP="00AD1AA5">
            <w:pPr>
              <w:pStyle w:val="a7"/>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Times New Roman" w:cs="Times New Roman"/>
                <w:lang w:val="zh-TW"/>
              </w:rPr>
            </w:pPr>
            <w:r w:rsidRPr="00820F3C">
              <w:rPr>
                <w:rFonts w:ascii="Times New Roman" w:eastAsia="標楷體" w:hAnsi="Times New Roman" w:cs="Times New Roman"/>
                <w:lang w:val="zh-TW"/>
              </w:rPr>
              <w:t>失業群體。</w:t>
            </w:r>
          </w:p>
          <w:p w14:paraId="7B961658" w14:textId="77777777" w:rsidR="00AD1AA5" w:rsidRPr="00820F3C" w:rsidRDefault="00AD1AA5" w:rsidP="00AD1AA5">
            <w:pPr>
              <w:pStyle w:val="a7"/>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Times New Roman" w:cs="Times New Roman"/>
                <w:lang w:val="zh-TW"/>
              </w:rPr>
            </w:pPr>
            <w:r w:rsidRPr="00820F3C">
              <w:rPr>
                <w:rFonts w:ascii="Times New Roman" w:eastAsia="標楷體" w:hAnsi="Times New Roman" w:cs="Times New Roman"/>
                <w:lang w:val="zh-TW"/>
              </w:rPr>
              <w:t>婦女和性少數群體。</w:t>
            </w:r>
          </w:p>
          <w:p w14:paraId="457822F6" w14:textId="77777777" w:rsidR="00AD1AA5" w:rsidRDefault="00AD1AA5" w:rsidP="00AD1AA5">
            <w:pPr>
              <w:pStyle w:val="a7"/>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Times New Roman" w:cs="Times New Roman"/>
                <w:lang w:val="zh-TW"/>
              </w:rPr>
            </w:pPr>
            <w:r w:rsidRPr="00820F3C">
              <w:rPr>
                <w:rFonts w:ascii="Times New Roman" w:eastAsia="標楷體" w:hAnsi="Times New Roman" w:cs="Times New Roman"/>
                <w:lang w:val="zh-TW"/>
              </w:rPr>
              <w:t>人口老齡化和弱勢青年。</w:t>
            </w:r>
          </w:p>
          <w:p w14:paraId="54BCF1C3" w14:textId="34CA06EB" w:rsidR="00DC4F98" w:rsidRPr="00AD1AA5" w:rsidRDefault="00AD1AA5" w:rsidP="00AD1AA5">
            <w:pPr>
              <w:pStyle w:val="a7"/>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Times New Roman" w:eastAsia="標楷體" w:hAnsi="Times New Roman" w:cs="Times New Roman"/>
                <w:lang w:val="zh-TW"/>
              </w:rPr>
            </w:pPr>
            <w:r w:rsidRPr="00AD1AA5">
              <w:rPr>
                <w:rFonts w:ascii="Times New Roman" w:eastAsia="標楷體" w:hAnsi="Times New Roman" w:cs="Times New Roman"/>
                <w:lang w:val="zh-TW"/>
              </w:rPr>
              <w:t>其他弱勢群體，如遭受自然災害的群體等。</w:t>
            </w:r>
          </w:p>
        </w:tc>
      </w:tr>
      <w:tr w:rsidR="00534128" w:rsidRPr="00534128" w14:paraId="1F4E423B" w14:textId="77777777" w:rsidTr="00DC4F98">
        <w:trPr>
          <w:trHeight w:val="641"/>
        </w:trPr>
        <w:tc>
          <w:tcPr>
            <w:tcW w:w="2500" w:type="pct"/>
            <w:tcBorders>
              <w:top w:val="single" w:sz="4" w:space="0" w:color="auto"/>
              <w:left w:val="single" w:sz="6" w:space="0" w:color="auto"/>
              <w:bottom w:val="single" w:sz="6" w:space="0" w:color="auto"/>
              <w:right w:val="single" w:sz="4" w:space="0" w:color="auto"/>
            </w:tcBorders>
          </w:tcPr>
          <w:p w14:paraId="0E503D27" w14:textId="77777777" w:rsidR="00DC4F98" w:rsidRPr="00534128" w:rsidRDefault="00DC4F98" w:rsidP="005E3F99">
            <w:pPr>
              <w:jc w:val="both"/>
              <w:rPr>
                <w:rFonts w:ascii="標楷體" w:eastAsia="標楷體" w:hAnsi="標楷體"/>
              </w:rPr>
            </w:pPr>
            <w:r w:rsidRPr="00534128">
              <w:rPr>
                <w:rFonts w:ascii="標楷體" w:eastAsia="標楷體" w:hAnsi="標楷體" w:hint="eastAsia"/>
              </w:rPr>
              <w:lastRenderedPageBreak/>
              <w:t>第六條</w:t>
            </w:r>
          </w:p>
          <w:p w14:paraId="3746B77E" w14:textId="77777777" w:rsidR="00DC4F98" w:rsidRPr="00534128" w:rsidRDefault="00DC4F98" w:rsidP="005E3F99">
            <w:pPr>
              <w:jc w:val="both"/>
              <w:rPr>
                <w:rFonts w:ascii="標楷體" w:eastAsia="標楷體" w:hAnsi="標楷體"/>
                <w:shd w:val="pct15" w:color="auto" w:fill="FFFFFF"/>
              </w:rPr>
            </w:pPr>
            <w:r w:rsidRPr="00534128">
              <w:rPr>
                <w:rFonts w:ascii="標楷體" w:eastAsia="標楷體" w:hAnsi="標楷體" w:hint="eastAsia"/>
              </w:rPr>
              <w:t xml:space="preserve">    本作業要點所稱認證機構，係指依</w:t>
            </w:r>
            <w:r w:rsidRPr="00534128">
              <w:rPr>
                <w:rFonts w:ascii="標楷體" w:eastAsia="標楷體" w:hAnsi="標楷體" w:hint="eastAsia"/>
                <w:lang w:val="zh-TW"/>
              </w:rPr>
              <w:t>國際金融市場慣例或國內實務狀況</w:t>
            </w:r>
            <w:r w:rsidRPr="00534128">
              <w:rPr>
                <w:rFonts w:ascii="標楷體" w:eastAsia="標楷體" w:hAnsi="標楷體" w:hint="eastAsia"/>
              </w:rPr>
              <w:t>，具備評估或認證可持續發展債券投資計畫書或資金運用情形之專業能力，並具相關評估或認證經驗者。</w:t>
            </w:r>
          </w:p>
          <w:p w14:paraId="2EFA2AB3" w14:textId="77777777" w:rsidR="00DC4F98" w:rsidRPr="00534128" w:rsidRDefault="00DC4F98" w:rsidP="005E3F99">
            <w:pPr>
              <w:jc w:val="both"/>
              <w:rPr>
                <w:rFonts w:ascii="標楷體" w:eastAsia="標楷體" w:hAnsi="標楷體"/>
              </w:rPr>
            </w:pPr>
            <w:r w:rsidRPr="00534128">
              <w:rPr>
                <w:rFonts w:ascii="標楷體" w:eastAsia="標楷體" w:hAnsi="標楷體" w:hint="eastAsia"/>
              </w:rPr>
              <w:t xml:space="preserve">    認證機構所出具之評估意見或認證報告有虛偽</w:t>
            </w:r>
            <w:r w:rsidRPr="00534128">
              <w:rPr>
                <w:rFonts w:ascii="新細明體" w:hAnsi="新細明體" w:hint="eastAsia"/>
              </w:rPr>
              <w:t>、</w:t>
            </w:r>
            <w:r w:rsidRPr="00534128">
              <w:rPr>
                <w:rFonts w:ascii="標楷體" w:eastAsia="標楷體" w:hAnsi="標楷體" w:hint="eastAsia"/>
              </w:rPr>
              <w:t>隱匿之情事者，本中心得撤銷或廢止經其評估或認證之相關可持續發展債券資格，並於一年內拒絕接受其出具之評估意見或認證報告。</w:t>
            </w:r>
          </w:p>
        </w:tc>
        <w:tc>
          <w:tcPr>
            <w:tcW w:w="2500" w:type="pct"/>
            <w:tcBorders>
              <w:top w:val="single" w:sz="4" w:space="0" w:color="auto"/>
              <w:left w:val="single" w:sz="6" w:space="0" w:color="auto"/>
              <w:bottom w:val="single" w:sz="6" w:space="0" w:color="auto"/>
              <w:right w:val="single" w:sz="4" w:space="0" w:color="auto"/>
            </w:tcBorders>
          </w:tcPr>
          <w:p w14:paraId="3A899999" w14:textId="41E3C7FC" w:rsidR="00DC4F98" w:rsidRPr="00534128" w:rsidRDefault="00DC4F98" w:rsidP="00383F6C">
            <w:pPr>
              <w:pStyle w:val="a7"/>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lang w:val="zh-TW"/>
              </w:rPr>
            </w:pPr>
            <w:r w:rsidRPr="00534128">
              <w:rPr>
                <w:rFonts w:ascii="標楷體" w:eastAsia="標楷體" w:hAnsi="標楷體" w:hint="eastAsia"/>
                <w:lang w:val="zh-TW"/>
              </w:rPr>
              <w:t>可持續發展債券投資計畫書</w:t>
            </w:r>
            <w:r w:rsidR="002666CA" w:rsidRPr="00534128">
              <w:rPr>
                <w:rFonts w:ascii="標楷體" w:eastAsia="標楷體" w:hAnsi="標楷體" w:hint="eastAsia"/>
                <w:lang w:val="zh-TW"/>
              </w:rPr>
              <w:t>依</w:t>
            </w:r>
            <w:r w:rsidRPr="00534128">
              <w:rPr>
                <w:rFonts w:ascii="標楷體" w:eastAsia="標楷體" w:hAnsi="標楷體" w:hint="eastAsia"/>
                <w:lang w:val="zh-TW"/>
              </w:rPr>
              <w:t>本要點第九條規定，內容包含：</w:t>
            </w:r>
          </w:p>
          <w:p w14:paraId="2E5E1285" w14:textId="69F9420B" w:rsidR="00DC4F98" w:rsidRPr="00534128" w:rsidRDefault="00DC4F98" w:rsidP="00383F6C">
            <w:pPr>
              <w:pStyle w:val="a7"/>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lang w:val="zh-TW"/>
              </w:rPr>
            </w:pPr>
            <w:r w:rsidRPr="00534128">
              <w:rPr>
                <w:rFonts w:ascii="標楷體" w:eastAsia="標楷體" w:hAnsi="標楷體" w:hint="eastAsia"/>
                <w:lang w:val="zh-TW"/>
              </w:rPr>
              <w:t>綠色投資計畫及社會效益投資計畫。</w:t>
            </w:r>
          </w:p>
          <w:p w14:paraId="45AE515C" w14:textId="77777777" w:rsidR="00DC4F98" w:rsidRPr="00534128" w:rsidRDefault="00DC4F98" w:rsidP="00383F6C">
            <w:pPr>
              <w:pStyle w:val="a7"/>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lang w:val="zh-TW"/>
              </w:rPr>
            </w:pPr>
            <w:r w:rsidRPr="00534128">
              <w:rPr>
                <w:rFonts w:ascii="標楷體" w:eastAsia="標楷體" w:hAnsi="標楷體" w:hint="eastAsia"/>
                <w:lang w:val="zh-TW"/>
              </w:rPr>
              <w:t>綠色投資計畫及社會效益投資計畫之篩選與評估流程。</w:t>
            </w:r>
          </w:p>
          <w:p w14:paraId="20079A3F" w14:textId="77777777" w:rsidR="00DC4F98" w:rsidRPr="00534128" w:rsidRDefault="00DC4F98" w:rsidP="00383F6C">
            <w:pPr>
              <w:pStyle w:val="a7"/>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lang w:val="zh-TW"/>
              </w:rPr>
            </w:pPr>
            <w:r w:rsidRPr="00534128">
              <w:rPr>
                <w:rFonts w:ascii="標楷體" w:eastAsia="標楷體" w:hAnsi="標楷體" w:hint="eastAsia"/>
                <w:lang w:val="zh-TW"/>
              </w:rPr>
              <w:t>資金運用計畫。</w:t>
            </w:r>
          </w:p>
          <w:p w14:paraId="698B6D5E" w14:textId="39F8FCD0" w:rsidR="00DC4F98" w:rsidRPr="00534128" w:rsidRDefault="00DC4F98" w:rsidP="00383F6C">
            <w:pPr>
              <w:pStyle w:val="a7"/>
              <w:numPr>
                <w:ilvl w:val="0"/>
                <w:numId w:val="1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lang w:val="zh-TW"/>
              </w:rPr>
            </w:pPr>
            <w:r w:rsidRPr="00534128">
              <w:rPr>
                <w:rFonts w:ascii="標楷體" w:eastAsia="標楷體" w:hAnsi="標楷體" w:hint="eastAsia"/>
                <w:lang w:val="zh-TW"/>
              </w:rPr>
              <w:t>發行後資金運用報告之相關事項。</w:t>
            </w:r>
          </w:p>
          <w:p w14:paraId="62CE4C34" w14:textId="7B75996A" w:rsidR="00DC4F98" w:rsidRPr="00534128" w:rsidRDefault="00DC4F98" w:rsidP="00383F6C">
            <w:pPr>
              <w:pStyle w:val="a7"/>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lang w:val="zh-TW"/>
              </w:rPr>
            </w:pPr>
            <w:r w:rsidRPr="00534128">
              <w:rPr>
                <w:rFonts w:ascii="標楷體" w:eastAsia="標楷體" w:hAnsi="標楷體" w:hint="eastAsia"/>
              </w:rPr>
              <w:t>比照現行綠色債券作業要點之規定，</w:t>
            </w:r>
            <w:r w:rsidRPr="00534128">
              <w:rPr>
                <w:rFonts w:ascii="標楷體" w:eastAsia="標楷體" w:hAnsi="標楷體" w:hint="eastAsia"/>
                <w:lang w:val="zh-TW"/>
              </w:rPr>
              <w:t>訂定認證機構之資格條件及</w:t>
            </w:r>
            <w:r w:rsidRPr="00534128">
              <w:rPr>
                <w:rFonts w:ascii="標楷體" w:eastAsia="標楷體" w:hAnsi="標楷體" w:cs="細明體" w:hint="eastAsia"/>
                <w:lang w:val="zh-TW"/>
              </w:rPr>
              <w:t>認證機構出具虛偽或隱匿之評估意見或認證報告等情形之處置，俾利市場管理。</w:t>
            </w:r>
          </w:p>
        </w:tc>
      </w:tr>
      <w:tr w:rsidR="00534128" w:rsidRPr="00534128" w14:paraId="2D551E40" w14:textId="77777777" w:rsidTr="00DC4F98">
        <w:trPr>
          <w:trHeight w:val="641"/>
        </w:trPr>
        <w:tc>
          <w:tcPr>
            <w:tcW w:w="2500" w:type="pct"/>
            <w:tcBorders>
              <w:top w:val="single" w:sz="4" w:space="0" w:color="auto"/>
              <w:left w:val="single" w:sz="6" w:space="0" w:color="auto"/>
              <w:bottom w:val="single" w:sz="6" w:space="0" w:color="auto"/>
              <w:right w:val="single" w:sz="4" w:space="0" w:color="auto"/>
            </w:tcBorders>
          </w:tcPr>
          <w:p w14:paraId="184F9506" w14:textId="77777777" w:rsidR="00DC4F98" w:rsidRPr="00534128" w:rsidRDefault="00DC4F98" w:rsidP="005E3F99">
            <w:pPr>
              <w:jc w:val="both"/>
              <w:rPr>
                <w:rFonts w:ascii="標楷體" w:eastAsia="標楷體" w:hAnsi="標楷體"/>
              </w:rPr>
            </w:pPr>
            <w:r w:rsidRPr="00534128">
              <w:rPr>
                <w:rFonts w:ascii="標楷體" w:eastAsia="標楷體" w:hAnsi="標楷體" w:hint="eastAsia"/>
              </w:rPr>
              <w:t>第七條</w:t>
            </w:r>
          </w:p>
          <w:p w14:paraId="4014B483" w14:textId="77777777" w:rsidR="00DC4F98" w:rsidRPr="00534128" w:rsidRDefault="00DC4F98" w:rsidP="005E3F99">
            <w:pPr>
              <w:jc w:val="both"/>
              <w:rPr>
                <w:rFonts w:ascii="標楷體" w:eastAsia="標楷體" w:hAnsi="標楷體"/>
              </w:rPr>
            </w:pPr>
            <w:r w:rsidRPr="00534128">
              <w:rPr>
                <w:rFonts w:ascii="標楷體" w:eastAsia="標楷體" w:hAnsi="標楷體" w:hint="eastAsia"/>
              </w:rPr>
              <w:t xml:space="preserve">    發行人申請可持續發展債券資格認可，</w:t>
            </w:r>
            <w:r w:rsidRPr="00534128">
              <w:rPr>
                <w:rFonts w:ascii="標楷體" w:eastAsia="標楷體" w:hAnsi="標楷體" w:hint="eastAsia"/>
              </w:rPr>
              <w:lastRenderedPageBreak/>
              <w:t>應檢具可持續發展債券資格認可申請書（附表一、附表二及附表三），連同應檢附書件，載明其應記載事項，向本中心申請。</w:t>
            </w:r>
          </w:p>
        </w:tc>
        <w:tc>
          <w:tcPr>
            <w:tcW w:w="2500" w:type="pct"/>
            <w:tcBorders>
              <w:top w:val="single" w:sz="4" w:space="0" w:color="auto"/>
              <w:left w:val="single" w:sz="6" w:space="0" w:color="auto"/>
              <w:bottom w:val="single" w:sz="6" w:space="0" w:color="auto"/>
              <w:right w:val="single" w:sz="4" w:space="0" w:color="auto"/>
            </w:tcBorders>
          </w:tcPr>
          <w:p w14:paraId="726E7054" w14:textId="77777777" w:rsidR="00DC4F98" w:rsidRPr="00534128" w:rsidRDefault="00DC4F98" w:rsidP="005E3F99">
            <w:pPr>
              <w:tabs>
                <w:tab w:val="left" w:pos="503"/>
              </w:tabs>
              <w:autoSpaceDE w:val="0"/>
              <w:autoSpaceDN w:val="0"/>
              <w:adjustRightInd w:val="0"/>
              <w:jc w:val="both"/>
              <w:rPr>
                <w:rFonts w:ascii="標楷體" w:eastAsia="標楷體" w:hAnsi="標楷體"/>
                <w:lang w:val="zh-TW"/>
              </w:rPr>
            </w:pPr>
            <w:r w:rsidRPr="00534128">
              <w:rPr>
                <w:rFonts w:ascii="標楷體" w:eastAsia="標楷體" w:hAnsi="標楷體" w:hint="eastAsia"/>
              </w:rPr>
              <w:lastRenderedPageBreak/>
              <w:t>比照現行綠色債券作業要點之規定，</w:t>
            </w:r>
            <w:r w:rsidRPr="00534128">
              <w:rPr>
                <w:rFonts w:ascii="標楷體" w:eastAsia="標楷體" w:hAnsi="標楷體" w:hint="eastAsia"/>
                <w:lang w:val="zh-TW"/>
              </w:rPr>
              <w:t>明定發行人向本中心</w:t>
            </w:r>
            <w:r w:rsidRPr="00534128">
              <w:rPr>
                <w:rFonts w:ascii="標楷體" w:eastAsia="標楷體" w:hAnsi="標楷體" w:hint="eastAsia"/>
              </w:rPr>
              <w:t>申請可持續發展債券資格認可</w:t>
            </w:r>
            <w:r w:rsidRPr="00534128">
              <w:rPr>
                <w:rFonts w:ascii="標楷體" w:eastAsia="標楷體" w:hAnsi="標楷體" w:hint="eastAsia"/>
              </w:rPr>
              <w:lastRenderedPageBreak/>
              <w:t>之申請書件與作業程序</w:t>
            </w:r>
            <w:r w:rsidRPr="00534128">
              <w:rPr>
                <w:rFonts w:ascii="標楷體" w:eastAsia="標楷體" w:hAnsi="標楷體" w:hint="eastAsia"/>
                <w:lang w:val="zh-TW"/>
              </w:rPr>
              <w:t>。</w:t>
            </w:r>
          </w:p>
          <w:p w14:paraId="11D82D78" w14:textId="77777777" w:rsidR="00DC4F98" w:rsidRPr="00534128" w:rsidRDefault="00DC4F98" w:rsidP="005E3F99">
            <w:pPr>
              <w:tabs>
                <w:tab w:val="left" w:pos="503"/>
              </w:tabs>
              <w:autoSpaceDE w:val="0"/>
              <w:autoSpaceDN w:val="0"/>
              <w:adjustRightInd w:val="0"/>
              <w:jc w:val="both"/>
              <w:rPr>
                <w:rFonts w:ascii="標楷體" w:eastAsia="標楷體" w:hAnsi="標楷體"/>
                <w:lang w:val="zh-TW"/>
              </w:rPr>
            </w:pPr>
          </w:p>
        </w:tc>
      </w:tr>
      <w:tr w:rsidR="00534128" w:rsidRPr="00534128" w14:paraId="6FA1DCF1" w14:textId="77777777" w:rsidTr="00DC4F98">
        <w:trPr>
          <w:trHeight w:val="641"/>
        </w:trPr>
        <w:tc>
          <w:tcPr>
            <w:tcW w:w="2500" w:type="pct"/>
            <w:tcBorders>
              <w:top w:val="single" w:sz="4" w:space="0" w:color="auto"/>
              <w:left w:val="single" w:sz="6" w:space="0" w:color="auto"/>
              <w:bottom w:val="single" w:sz="6" w:space="0" w:color="auto"/>
              <w:right w:val="single" w:sz="4" w:space="0" w:color="auto"/>
            </w:tcBorders>
          </w:tcPr>
          <w:p w14:paraId="357645EE" w14:textId="77777777" w:rsidR="00DC4F98" w:rsidRPr="00534128" w:rsidRDefault="00DC4F98" w:rsidP="005E3F99">
            <w:pPr>
              <w:jc w:val="both"/>
              <w:rPr>
                <w:rFonts w:ascii="標楷體" w:eastAsia="標楷體" w:hAnsi="標楷體"/>
              </w:rPr>
            </w:pPr>
            <w:r w:rsidRPr="00534128">
              <w:rPr>
                <w:rFonts w:ascii="標楷體" w:eastAsia="標楷體" w:hAnsi="標楷體" w:hint="eastAsia"/>
              </w:rPr>
              <w:lastRenderedPageBreak/>
              <w:t xml:space="preserve">第八條 </w:t>
            </w:r>
          </w:p>
          <w:p w14:paraId="15659CA5" w14:textId="77777777" w:rsidR="00DC4F98" w:rsidRPr="00534128" w:rsidRDefault="00DC4F98" w:rsidP="005E3F99">
            <w:pPr>
              <w:jc w:val="both"/>
              <w:rPr>
                <w:rFonts w:ascii="標楷體" w:eastAsia="標楷體" w:hAnsi="標楷體"/>
              </w:rPr>
            </w:pPr>
            <w:r w:rsidRPr="00534128">
              <w:rPr>
                <w:rFonts w:ascii="標楷體" w:eastAsia="標楷體" w:hAnsi="標楷體" w:hint="eastAsia"/>
              </w:rPr>
              <w:t xml:space="preserve">   發行人申請可持續發展債券資格認可，本中心於申請書件送達之日起三個營業日內完成審查。但有特殊情形，得簽報核准後延長審查。</w:t>
            </w:r>
          </w:p>
          <w:p w14:paraId="76372FF8" w14:textId="77777777" w:rsidR="00DC4F98" w:rsidRPr="00534128" w:rsidRDefault="00DC4F98" w:rsidP="005E3F99">
            <w:pPr>
              <w:ind w:firstLineChars="200" w:firstLine="480"/>
              <w:jc w:val="both"/>
              <w:rPr>
                <w:rFonts w:ascii="標楷體" w:eastAsia="標楷體" w:hAnsi="標楷體"/>
              </w:rPr>
            </w:pPr>
            <w:r w:rsidRPr="00534128">
              <w:rPr>
                <w:rFonts w:ascii="標楷體" w:eastAsia="標楷體" w:hAnsi="標楷體" w:hint="eastAsia"/>
              </w:rPr>
              <w:t>經本中心審查前項書件齊備，並符合本作業要點規定者，本中心得出具可持續發展債券資格認可文件；如審查發現有申請書件不完備或記載事項不充分者，應限期請其補正；逾期未補正者，即簽報予以退件。</w:t>
            </w:r>
          </w:p>
          <w:p w14:paraId="3E38289E" w14:textId="77777777" w:rsidR="00DC4F98" w:rsidRPr="00534128" w:rsidRDefault="00DC4F98" w:rsidP="005E3F99">
            <w:pPr>
              <w:ind w:firstLineChars="200" w:firstLine="480"/>
              <w:jc w:val="both"/>
              <w:rPr>
                <w:rFonts w:ascii="標楷體" w:eastAsia="標楷體" w:hAnsi="標楷體"/>
                <w:shd w:val="pct15" w:color="auto" w:fill="FFFFFF"/>
              </w:rPr>
            </w:pPr>
            <w:r w:rsidRPr="00534128">
              <w:rPr>
                <w:rFonts w:ascii="標楷體" w:eastAsia="標楷體" w:hAnsi="標楷體" w:hint="eastAsia"/>
              </w:rPr>
              <w:t>發行人應於前項認可文件發文日起兩個月內向本中心申請債券櫃檯買賣，逾期該認可文件失其效力。但其有正當理由申請延期，經本中心核准者，得再延長兩個月，並以一次為限。</w:t>
            </w:r>
          </w:p>
        </w:tc>
        <w:tc>
          <w:tcPr>
            <w:tcW w:w="2500" w:type="pct"/>
            <w:tcBorders>
              <w:top w:val="single" w:sz="4" w:space="0" w:color="auto"/>
              <w:left w:val="single" w:sz="6" w:space="0" w:color="auto"/>
              <w:bottom w:val="single" w:sz="6" w:space="0" w:color="auto"/>
              <w:right w:val="single" w:sz="4" w:space="0" w:color="auto"/>
            </w:tcBorders>
          </w:tcPr>
          <w:p w14:paraId="3279398E" w14:textId="77777777" w:rsidR="00DC4F98" w:rsidRPr="00534128" w:rsidRDefault="00DC4F98" w:rsidP="005E3F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lang w:val="zh-TW"/>
              </w:rPr>
            </w:pPr>
            <w:r w:rsidRPr="00534128">
              <w:rPr>
                <w:rFonts w:ascii="標楷體" w:eastAsia="標楷體" w:hAnsi="標楷體" w:cs="細明體" w:hint="eastAsia"/>
              </w:rPr>
              <w:t>比照現行綠色債券作業要點之規定，</w:t>
            </w:r>
            <w:r w:rsidRPr="00534128">
              <w:rPr>
                <w:rFonts w:ascii="標楷體" w:eastAsia="標楷體" w:hAnsi="標楷體" w:hint="eastAsia"/>
                <w:lang w:val="zh-TW"/>
              </w:rPr>
              <w:t>爰訂定本中心可持續發展債券</w:t>
            </w:r>
            <w:r w:rsidRPr="00534128">
              <w:rPr>
                <w:rFonts w:ascii="標楷體" w:eastAsia="標楷體" w:hAnsi="標楷體" w:cs="細明體" w:hint="eastAsia"/>
              </w:rPr>
              <w:t>資格</w:t>
            </w:r>
            <w:r w:rsidRPr="00534128">
              <w:rPr>
                <w:rFonts w:ascii="標楷體" w:eastAsia="標楷體" w:hAnsi="標楷體" w:hint="eastAsia"/>
                <w:lang w:val="zh-TW"/>
              </w:rPr>
              <w:t>認可申請案件之審查要點、程序及期限。</w:t>
            </w:r>
          </w:p>
        </w:tc>
      </w:tr>
      <w:tr w:rsidR="00534128" w:rsidRPr="00534128" w14:paraId="4054472F" w14:textId="77777777" w:rsidTr="00DC4F98">
        <w:trPr>
          <w:trHeight w:val="317"/>
        </w:trPr>
        <w:tc>
          <w:tcPr>
            <w:tcW w:w="2500" w:type="pct"/>
            <w:tcBorders>
              <w:top w:val="single" w:sz="4" w:space="0" w:color="auto"/>
              <w:left w:val="single" w:sz="6" w:space="0" w:color="auto"/>
              <w:bottom w:val="single" w:sz="6" w:space="0" w:color="auto"/>
              <w:right w:val="single" w:sz="4" w:space="0" w:color="auto"/>
            </w:tcBorders>
          </w:tcPr>
          <w:p w14:paraId="2FA5FA05" w14:textId="77777777" w:rsidR="00DC4F98" w:rsidRPr="00534128" w:rsidRDefault="00DC4F98" w:rsidP="005E3F99">
            <w:pPr>
              <w:jc w:val="both"/>
              <w:rPr>
                <w:rFonts w:ascii="標楷體" w:eastAsia="標楷體" w:hAnsi="標楷體"/>
              </w:rPr>
            </w:pPr>
            <w:bookmarkStart w:id="1" w:name="_Hlk43736722"/>
            <w:r w:rsidRPr="00534128">
              <w:rPr>
                <w:rFonts w:ascii="標楷體" w:eastAsia="標楷體" w:hAnsi="標楷體" w:hint="eastAsia"/>
              </w:rPr>
              <w:t>第九條</w:t>
            </w:r>
          </w:p>
          <w:p w14:paraId="0D755E06" w14:textId="77777777" w:rsidR="00DC4F98" w:rsidRPr="00534128" w:rsidRDefault="00DC4F98" w:rsidP="005E3F99">
            <w:pPr>
              <w:ind w:firstLineChars="200" w:firstLine="480"/>
              <w:jc w:val="both"/>
              <w:rPr>
                <w:rFonts w:ascii="標楷體" w:eastAsia="標楷體" w:hAnsi="標楷體"/>
                <w:lang w:val="zh-TW"/>
              </w:rPr>
            </w:pPr>
            <w:r w:rsidRPr="00534128">
              <w:rPr>
                <w:rFonts w:ascii="標楷體" w:eastAsia="標楷體" w:hAnsi="標楷體" w:hint="eastAsia"/>
              </w:rPr>
              <w:t>發行人申請</w:t>
            </w:r>
            <w:r w:rsidRPr="00534128">
              <w:rPr>
                <w:rFonts w:ascii="標楷體" w:eastAsia="標楷體" w:hAnsi="標楷體" w:hint="eastAsia"/>
                <w:lang w:val="zh-TW"/>
              </w:rPr>
              <w:t>可持續發展債券資格認可，應訂定可持續發展債券投資計畫書，其內容應記載事項如下：</w:t>
            </w:r>
          </w:p>
          <w:p w14:paraId="6AA4B53D" w14:textId="77777777" w:rsidR="00DC4F98" w:rsidRPr="00534128" w:rsidRDefault="00DC4F98" w:rsidP="005E3F99">
            <w:pPr>
              <w:numPr>
                <w:ilvl w:val="0"/>
                <w:numId w:val="8"/>
              </w:numPr>
              <w:jc w:val="both"/>
              <w:rPr>
                <w:rFonts w:ascii="標楷體" w:eastAsia="標楷體" w:hAnsi="標楷體"/>
              </w:rPr>
            </w:pPr>
            <w:r w:rsidRPr="00534128">
              <w:rPr>
                <w:rFonts w:ascii="標楷體" w:eastAsia="標楷體" w:hAnsi="標楷體" w:hint="eastAsia"/>
              </w:rPr>
              <w:t>符合第五條規定之綠色投資計畫及社會效益投資計畫。</w:t>
            </w:r>
          </w:p>
          <w:p w14:paraId="4BC9D3AE" w14:textId="77777777" w:rsidR="00DC4F98" w:rsidRPr="00534128" w:rsidRDefault="00DC4F98" w:rsidP="005E3F99">
            <w:pPr>
              <w:numPr>
                <w:ilvl w:val="0"/>
                <w:numId w:val="8"/>
              </w:numPr>
              <w:jc w:val="both"/>
              <w:rPr>
                <w:rFonts w:ascii="標楷體" w:eastAsia="標楷體" w:hAnsi="標楷體"/>
              </w:rPr>
            </w:pPr>
            <w:r w:rsidRPr="00534128">
              <w:rPr>
                <w:rFonts w:ascii="標楷體" w:eastAsia="標楷體" w:hAnsi="標楷體" w:hint="eastAsia"/>
              </w:rPr>
              <w:t>綠色投資計畫及社會效益投資計畫之篩選與評估流程。</w:t>
            </w:r>
          </w:p>
          <w:p w14:paraId="18CA90FB" w14:textId="77777777" w:rsidR="00DC4F98" w:rsidRPr="00534128" w:rsidRDefault="00DC4F98" w:rsidP="005E3F99">
            <w:pPr>
              <w:numPr>
                <w:ilvl w:val="0"/>
                <w:numId w:val="8"/>
              </w:numPr>
              <w:jc w:val="both"/>
              <w:rPr>
                <w:rFonts w:ascii="標楷體" w:eastAsia="標楷體" w:hAnsi="標楷體"/>
              </w:rPr>
            </w:pPr>
            <w:r w:rsidRPr="00534128">
              <w:rPr>
                <w:rFonts w:ascii="標楷體" w:eastAsia="標楷體" w:hAnsi="標楷體" w:hint="eastAsia"/>
              </w:rPr>
              <w:t>資金運用計畫。</w:t>
            </w:r>
          </w:p>
          <w:p w14:paraId="2E28ADB3" w14:textId="77777777" w:rsidR="00DC4F98" w:rsidRPr="00534128" w:rsidRDefault="00DC4F98" w:rsidP="005E3F99">
            <w:pPr>
              <w:numPr>
                <w:ilvl w:val="0"/>
                <w:numId w:val="8"/>
              </w:numPr>
              <w:jc w:val="both"/>
              <w:rPr>
                <w:rFonts w:ascii="標楷體" w:eastAsia="標楷體" w:hAnsi="標楷體"/>
              </w:rPr>
            </w:pPr>
            <w:r w:rsidRPr="00534128">
              <w:rPr>
                <w:rFonts w:ascii="標楷體" w:eastAsia="標楷體" w:hAnsi="標楷體" w:hint="eastAsia"/>
              </w:rPr>
              <w:t>發行後資金運用報告之相關事項。</w:t>
            </w:r>
          </w:p>
          <w:p w14:paraId="699C6E90" w14:textId="5F58D84E" w:rsidR="007474CD" w:rsidRPr="00534128" w:rsidRDefault="00DC4F98" w:rsidP="007474CD">
            <w:pPr>
              <w:ind w:firstLineChars="200" w:firstLine="480"/>
              <w:jc w:val="both"/>
              <w:rPr>
                <w:rFonts w:ascii="標楷體" w:eastAsia="標楷體" w:hAnsi="標楷體"/>
              </w:rPr>
            </w:pPr>
            <w:r w:rsidRPr="00534128">
              <w:rPr>
                <w:rFonts w:ascii="標楷體" w:eastAsia="標楷體" w:hAnsi="標楷體" w:hint="eastAsia"/>
              </w:rPr>
              <w:t>前項可持續發展債券投資計畫書應經認證機構出具</w:t>
            </w:r>
            <w:r w:rsidRPr="00534128">
              <w:rPr>
                <w:rFonts w:ascii="標楷體" w:eastAsia="標楷體" w:hAnsi="標楷體" w:hint="eastAsia"/>
                <w:lang w:val="zh-TW"/>
              </w:rPr>
              <w:t>符合本作業要點或國際金融市場慣例之可持續發展債券原則之</w:t>
            </w:r>
            <w:r w:rsidRPr="00534128">
              <w:rPr>
                <w:rFonts w:ascii="標楷體" w:eastAsia="標楷體" w:hAnsi="標楷體" w:hint="eastAsia"/>
              </w:rPr>
              <w:t>評估意見或認證報告。</w:t>
            </w:r>
          </w:p>
        </w:tc>
        <w:tc>
          <w:tcPr>
            <w:tcW w:w="2500" w:type="pct"/>
            <w:tcBorders>
              <w:top w:val="single" w:sz="4" w:space="0" w:color="auto"/>
              <w:left w:val="single" w:sz="6" w:space="0" w:color="auto"/>
              <w:bottom w:val="single" w:sz="6" w:space="0" w:color="auto"/>
              <w:right w:val="single" w:sz="4" w:space="0" w:color="auto"/>
            </w:tcBorders>
          </w:tcPr>
          <w:p w14:paraId="6B15D9E0" w14:textId="1EBAEA73" w:rsidR="00DC4F98" w:rsidRPr="00534128" w:rsidRDefault="000B3EBF" w:rsidP="005E3F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rPr>
            </w:pPr>
            <w:r w:rsidRPr="00534128">
              <w:rPr>
                <w:rFonts w:ascii="標楷體" w:eastAsia="標楷體" w:hAnsi="標楷體" w:hint="eastAsia"/>
              </w:rPr>
              <w:t>參考歐盟</w:t>
            </w:r>
            <w:r w:rsidR="00D63A11" w:rsidRPr="00534128">
              <w:rPr>
                <w:rFonts w:ascii="標楷體" w:eastAsia="標楷體" w:hAnsi="標楷體" w:hint="eastAsia"/>
              </w:rPr>
              <w:t>擬議之</w:t>
            </w:r>
            <w:r w:rsidRPr="00534128">
              <w:rPr>
                <w:rFonts w:ascii="標楷體" w:eastAsia="標楷體" w:hAnsi="標楷體" w:hint="eastAsia"/>
              </w:rPr>
              <w:t>綠色債券標準(EU GBS)及國際間各大交易所之規範，</w:t>
            </w:r>
            <w:r w:rsidR="00505D42" w:rsidRPr="00534128">
              <w:rPr>
                <w:rFonts w:ascii="標楷體" w:eastAsia="標楷體" w:hAnsi="標楷體" w:hint="eastAsia"/>
              </w:rPr>
              <w:t>規範</w:t>
            </w:r>
            <w:r w:rsidRPr="00534128">
              <w:rPr>
                <w:rFonts w:ascii="標楷體" w:eastAsia="標楷體" w:hAnsi="標楷體" w:hint="eastAsia"/>
              </w:rPr>
              <w:t>可持續發展債券之發行人應</w:t>
            </w:r>
            <w:r w:rsidR="00505D42" w:rsidRPr="00534128">
              <w:rPr>
                <w:rFonts w:ascii="標楷體" w:eastAsia="標楷體" w:hAnsi="標楷體" w:hint="eastAsia"/>
              </w:rPr>
              <w:t>訂</w:t>
            </w:r>
            <w:r w:rsidRPr="00534128">
              <w:rPr>
                <w:rFonts w:ascii="標楷體" w:eastAsia="標楷體" w:hAnsi="標楷體" w:hint="eastAsia"/>
              </w:rPr>
              <w:t>定投資計畫書，且投資計畫書之內容係參考ICMA的四大核心要素而制定，同時</w:t>
            </w:r>
            <w:r w:rsidR="00B35DCD" w:rsidRPr="00534128">
              <w:rPr>
                <w:rFonts w:ascii="標楷體" w:eastAsia="標楷體" w:hAnsi="標楷體" w:hint="eastAsia"/>
                <w:lang w:val="zh-TW"/>
              </w:rPr>
              <w:t>投資計畫書應經認證機構出具符合本作業要點及國際金融市場慣例之可持續發展債券原則之評估意見或認證報告，</w:t>
            </w:r>
            <w:r w:rsidRPr="00534128">
              <w:rPr>
                <w:rFonts w:ascii="標楷體" w:eastAsia="標楷體" w:hAnsi="標楷體" w:hint="eastAsia"/>
              </w:rPr>
              <w:t>以利我國實務作業規範與國際市場接軌</w:t>
            </w:r>
            <w:r w:rsidR="00DC4F98" w:rsidRPr="00534128">
              <w:rPr>
                <w:rFonts w:ascii="標楷體" w:eastAsia="標楷體" w:hAnsi="標楷體" w:hint="eastAsia"/>
                <w:lang w:val="zh-TW"/>
              </w:rPr>
              <w:t>。</w:t>
            </w:r>
          </w:p>
        </w:tc>
      </w:tr>
      <w:tr w:rsidR="00534128" w:rsidRPr="00534128" w14:paraId="55EF6C63" w14:textId="77777777" w:rsidTr="00DC4F98">
        <w:trPr>
          <w:trHeight w:val="641"/>
        </w:trPr>
        <w:tc>
          <w:tcPr>
            <w:tcW w:w="2500" w:type="pct"/>
            <w:tcBorders>
              <w:top w:val="single" w:sz="4" w:space="0" w:color="auto"/>
              <w:left w:val="single" w:sz="6" w:space="0" w:color="auto"/>
              <w:bottom w:val="single" w:sz="6" w:space="0" w:color="auto"/>
              <w:right w:val="single" w:sz="4" w:space="0" w:color="auto"/>
            </w:tcBorders>
          </w:tcPr>
          <w:p w14:paraId="7C3BA39F" w14:textId="77777777" w:rsidR="00DC4F98" w:rsidRPr="00534128" w:rsidRDefault="00DC4F98" w:rsidP="005E3F99">
            <w:pPr>
              <w:jc w:val="both"/>
              <w:rPr>
                <w:rFonts w:ascii="標楷體" w:eastAsia="標楷體" w:hAnsi="標楷體"/>
              </w:rPr>
            </w:pPr>
            <w:bookmarkStart w:id="2" w:name="_Hlk50366508"/>
            <w:r w:rsidRPr="00534128">
              <w:rPr>
                <w:rFonts w:ascii="標楷體" w:eastAsia="標楷體" w:hAnsi="標楷體" w:hint="eastAsia"/>
              </w:rPr>
              <w:t>第十條</w:t>
            </w:r>
          </w:p>
          <w:p w14:paraId="50A35DD1" w14:textId="67A93983" w:rsidR="00E3055F" w:rsidRPr="00534128" w:rsidRDefault="00DC4F98" w:rsidP="00E76D25">
            <w:pPr>
              <w:jc w:val="both"/>
              <w:rPr>
                <w:rFonts w:ascii="標楷體" w:eastAsia="標楷體" w:hAnsi="標楷體"/>
              </w:rPr>
            </w:pPr>
            <w:r w:rsidRPr="00534128">
              <w:rPr>
                <w:rFonts w:ascii="標楷體" w:eastAsia="標楷體" w:hAnsi="標楷體" w:hint="eastAsia"/>
              </w:rPr>
              <w:t xml:space="preserve">    發行人應於</w:t>
            </w:r>
            <w:r w:rsidR="00BC1C2C" w:rsidRPr="00534128">
              <w:rPr>
                <w:rFonts w:ascii="標楷體" w:eastAsia="標楷體" w:hAnsi="標楷體" w:hint="eastAsia"/>
              </w:rPr>
              <w:t>公開說明書</w:t>
            </w:r>
            <w:r w:rsidR="00A834C1" w:rsidRPr="00534128">
              <w:rPr>
                <w:rFonts w:ascii="標楷體" w:eastAsia="標楷體" w:hAnsi="標楷體" w:hint="eastAsia"/>
              </w:rPr>
              <w:t>中</w:t>
            </w:r>
            <w:r w:rsidRPr="00534128">
              <w:rPr>
                <w:rFonts w:ascii="標楷體" w:eastAsia="標楷體" w:hAnsi="標楷體" w:hint="eastAsia"/>
              </w:rPr>
              <w:t>揭露</w:t>
            </w:r>
            <w:r w:rsidR="006543E5" w:rsidRPr="00534128">
              <w:rPr>
                <w:rFonts w:ascii="標楷體" w:eastAsia="標楷體" w:hAnsi="標楷體" w:hint="eastAsia"/>
              </w:rPr>
              <w:t>可持續發展債券投資計畫書</w:t>
            </w:r>
            <w:r w:rsidR="00F50166" w:rsidRPr="00534128">
              <w:rPr>
                <w:rFonts w:ascii="標楷體" w:eastAsia="標楷體" w:hAnsi="標楷體" w:hint="eastAsia"/>
              </w:rPr>
              <w:t>內容</w:t>
            </w:r>
            <w:r w:rsidR="005F78F1" w:rsidRPr="00534128">
              <w:rPr>
                <w:rFonts w:ascii="標楷體" w:eastAsia="標楷體" w:hAnsi="標楷體" w:hint="eastAsia"/>
              </w:rPr>
              <w:t>。</w:t>
            </w:r>
            <w:r w:rsidR="00E3055F" w:rsidRPr="00534128">
              <w:rPr>
                <w:rFonts w:ascii="標楷體" w:eastAsia="標楷體" w:hAnsi="標楷體" w:hint="eastAsia"/>
              </w:rPr>
              <w:t>但發行人</w:t>
            </w:r>
            <w:r w:rsidR="001F6F23" w:rsidRPr="00534128">
              <w:rPr>
                <w:rFonts w:ascii="標楷體" w:eastAsia="標楷體" w:hAnsi="標楷體" w:hint="eastAsia"/>
              </w:rPr>
              <w:t>非</w:t>
            </w:r>
            <w:r w:rsidR="00E3055F" w:rsidRPr="00534128">
              <w:rPr>
                <w:rFonts w:ascii="標楷體" w:eastAsia="標楷體" w:hAnsi="標楷體" w:hint="eastAsia"/>
              </w:rPr>
              <w:t>依公司募集發行有價證券公開說明書應行記載事項準則</w:t>
            </w:r>
            <w:r w:rsidR="001970AA" w:rsidRPr="00534128">
              <w:rPr>
                <w:rFonts w:ascii="標楷體" w:eastAsia="標楷體" w:hAnsi="標楷體" w:hint="eastAsia"/>
              </w:rPr>
              <w:t>、金融業募集發行有價證券公開說明書</w:t>
            </w:r>
            <w:r w:rsidR="001970AA" w:rsidRPr="00534128">
              <w:rPr>
                <w:rFonts w:ascii="標楷體" w:eastAsia="標楷體" w:hAnsi="標楷體" w:hint="eastAsia"/>
              </w:rPr>
              <w:lastRenderedPageBreak/>
              <w:t>應行記載事項準則或受託機構公開招募受益證券特殊目的公司公開招募資產基礎證券公開說明書應行記載事項準則編制公開說明書者</w:t>
            </w:r>
            <w:r w:rsidR="00E3055F" w:rsidRPr="00534128">
              <w:rPr>
                <w:rFonts w:ascii="標楷體" w:eastAsia="標楷體" w:hAnsi="標楷體" w:hint="eastAsia"/>
              </w:rPr>
              <w:t>，得於</w:t>
            </w:r>
            <w:r w:rsidR="005F78F1" w:rsidRPr="00534128">
              <w:rPr>
                <w:rFonts w:ascii="標楷體" w:eastAsia="標楷體" w:hAnsi="標楷體" w:hint="eastAsia"/>
              </w:rPr>
              <w:t>其他</w:t>
            </w:r>
            <w:r w:rsidR="00E3055F" w:rsidRPr="00534128">
              <w:rPr>
                <w:rFonts w:ascii="標楷體" w:eastAsia="標楷體" w:hAnsi="標楷體" w:hint="eastAsia"/>
              </w:rPr>
              <w:t>發行文件中揭露可持續發展債券投資計畫書內容。</w:t>
            </w:r>
          </w:p>
          <w:p w14:paraId="17010AE4" w14:textId="60FBBC46" w:rsidR="00DC4F98" w:rsidRPr="00534128" w:rsidRDefault="00E3055F" w:rsidP="00E3055F">
            <w:pPr>
              <w:ind w:firstLineChars="200" w:firstLine="480"/>
              <w:jc w:val="both"/>
              <w:rPr>
                <w:rFonts w:ascii="標楷體" w:eastAsia="標楷體" w:hAnsi="標楷體"/>
              </w:rPr>
            </w:pPr>
            <w:r w:rsidRPr="00534128">
              <w:rPr>
                <w:rFonts w:ascii="標楷體" w:eastAsia="標楷體" w:hAnsi="標楷體" w:hint="eastAsia"/>
              </w:rPr>
              <w:t>發行人應於債券發行前將可持續發展債券投資計畫書及前條規定之評估意見或認證報告，於本中心指定之網際網路資訊申報系統申報。</w:t>
            </w:r>
          </w:p>
        </w:tc>
        <w:tc>
          <w:tcPr>
            <w:tcW w:w="2500" w:type="pct"/>
            <w:tcBorders>
              <w:top w:val="single" w:sz="4" w:space="0" w:color="auto"/>
              <w:left w:val="single" w:sz="6" w:space="0" w:color="auto"/>
              <w:bottom w:val="single" w:sz="6" w:space="0" w:color="auto"/>
              <w:right w:val="single" w:sz="4" w:space="0" w:color="auto"/>
            </w:tcBorders>
          </w:tcPr>
          <w:p w14:paraId="6887AC20" w14:textId="1DC0B0E7" w:rsidR="001F6F23" w:rsidRPr="00534128" w:rsidRDefault="001F6F23" w:rsidP="00E3055F">
            <w:pPr>
              <w:pStyle w:val="a7"/>
              <w:numPr>
                <w:ilvl w:val="0"/>
                <w:numId w:val="18"/>
              </w:numPr>
              <w:autoSpaceDE w:val="0"/>
              <w:autoSpaceDN w:val="0"/>
              <w:adjustRightInd w:val="0"/>
              <w:ind w:leftChars="0"/>
              <w:jc w:val="both"/>
              <w:rPr>
                <w:rFonts w:ascii="標楷體" w:eastAsia="標楷體" w:hAnsi="標楷體"/>
                <w:lang w:val="zh-TW"/>
              </w:rPr>
            </w:pPr>
            <w:r w:rsidRPr="00534128">
              <w:rPr>
                <w:rFonts w:ascii="標楷體" w:eastAsia="標楷體" w:hAnsi="標楷體" w:hint="eastAsia"/>
                <w:lang w:val="zh-TW"/>
              </w:rPr>
              <w:lastRenderedPageBreak/>
              <w:t>規定發行人應於可持續發展債券公開說明書</w:t>
            </w:r>
            <w:r w:rsidR="0003776F" w:rsidRPr="00534128">
              <w:rPr>
                <w:rFonts w:ascii="標楷體" w:eastAsia="標楷體" w:hAnsi="標楷體" w:hint="eastAsia"/>
                <w:lang w:val="zh-TW"/>
              </w:rPr>
              <w:t>揭露「可持續發展債券投資計畫書」或投資計畫書應記載事項之相關資訊內容</w:t>
            </w:r>
            <w:r w:rsidRPr="00534128">
              <w:rPr>
                <w:rFonts w:ascii="標楷體" w:eastAsia="標楷體" w:hAnsi="標楷體" w:hint="eastAsia"/>
                <w:lang w:val="zh-TW"/>
              </w:rPr>
              <w:t>，爰訂定第一項本文規定。另考量國際市場實務慣例，多係規範發行人於發行</w:t>
            </w:r>
            <w:r w:rsidRPr="00534128">
              <w:rPr>
                <w:rFonts w:ascii="標楷體" w:eastAsia="標楷體" w:hAnsi="標楷體" w:hint="eastAsia"/>
                <w:lang w:val="zh-TW"/>
              </w:rPr>
              <w:lastRenderedPageBreak/>
              <w:t>文件中揭露</w:t>
            </w:r>
            <w:r w:rsidR="00BD71F5" w:rsidRPr="00534128">
              <w:rPr>
                <w:rFonts w:ascii="標楷體" w:eastAsia="標楷體" w:hAnsi="標楷體" w:hint="eastAsia"/>
                <w:lang w:val="zh-TW"/>
              </w:rPr>
              <w:t>可持續發展債券相關資訊</w:t>
            </w:r>
            <w:r w:rsidRPr="00534128">
              <w:rPr>
                <w:rFonts w:ascii="標楷體" w:eastAsia="標楷體" w:hAnsi="標楷體" w:hint="eastAsia"/>
                <w:lang w:val="zh-TW"/>
              </w:rPr>
              <w:t>，故提供非依本條列舉規定編制公開說明書之發行人彈性，</w:t>
            </w:r>
            <w:r w:rsidR="00BD71F5" w:rsidRPr="00534128">
              <w:rPr>
                <w:rFonts w:ascii="標楷體" w:eastAsia="標楷體" w:hAnsi="標楷體" w:hint="eastAsia"/>
                <w:lang w:val="zh-TW"/>
              </w:rPr>
              <w:t>得於其他發行文件中揭露「可持續發展債券投資計畫書」或投資計畫書應記載事項之相關資訊內容，</w:t>
            </w:r>
            <w:r w:rsidRPr="00534128">
              <w:rPr>
                <w:rFonts w:ascii="標楷體" w:eastAsia="標楷體" w:hAnsi="標楷體" w:hint="eastAsia"/>
                <w:lang w:val="zh-TW"/>
              </w:rPr>
              <w:t>爰訂定第一項但書。</w:t>
            </w:r>
          </w:p>
          <w:p w14:paraId="1098EE02" w14:textId="1F8C82AF" w:rsidR="00DC4F98" w:rsidRPr="00534128" w:rsidRDefault="00D750DD" w:rsidP="00E3055F">
            <w:pPr>
              <w:pStyle w:val="a7"/>
              <w:numPr>
                <w:ilvl w:val="0"/>
                <w:numId w:val="18"/>
              </w:numPr>
              <w:autoSpaceDE w:val="0"/>
              <w:autoSpaceDN w:val="0"/>
              <w:adjustRightInd w:val="0"/>
              <w:ind w:leftChars="0"/>
              <w:jc w:val="both"/>
              <w:rPr>
                <w:rFonts w:ascii="標楷體" w:eastAsia="標楷體" w:hAnsi="標楷體"/>
                <w:lang w:val="zh-TW"/>
              </w:rPr>
            </w:pPr>
            <w:r w:rsidRPr="00534128">
              <w:rPr>
                <w:rFonts w:ascii="標楷體" w:eastAsia="標楷體" w:hAnsi="標楷體" w:hint="eastAsia"/>
                <w:lang w:val="zh-TW"/>
              </w:rPr>
              <w:t>為</w:t>
            </w:r>
            <w:r w:rsidR="00C0457E" w:rsidRPr="00534128">
              <w:rPr>
                <w:rFonts w:ascii="標楷體" w:eastAsia="標楷體" w:hAnsi="標楷體" w:hint="eastAsia"/>
                <w:lang w:val="zh-TW"/>
              </w:rPr>
              <w:t>提供投資人更充份之投資計畫資訊與專家意見，規範發行人應於本中心指定之系統揭露</w:t>
            </w:r>
            <w:r w:rsidR="00B32EB2" w:rsidRPr="00534128">
              <w:rPr>
                <w:rFonts w:ascii="標楷體" w:eastAsia="標楷體" w:hAnsi="標楷體" w:hint="eastAsia"/>
                <w:lang w:val="zh-TW"/>
              </w:rPr>
              <w:t>可持續發展債券</w:t>
            </w:r>
            <w:r w:rsidR="00C0457E" w:rsidRPr="00534128">
              <w:rPr>
                <w:rFonts w:ascii="標楷體" w:eastAsia="標楷體" w:hAnsi="標楷體" w:hint="eastAsia"/>
                <w:lang w:val="zh-TW"/>
              </w:rPr>
              <w:t>投資計畫書及外部認證報告</w:t>
            </w:r>
            <w:r w:rsidR="00E3055F" w:rsidRPr="00534128">
              <w:rPr>
                <w:rFonts w:ascii="標楷體" w:eastAsia="標楷體" w:hAnsi="標楷體" w:hint="eastAsia"/>
                <w:lang w:val="zh-TW"/>
              </w:rPr>
              <w:t>，爰訂定第</w:t>
            </w:r>
            <w:r w:rsidR="009F4A84" w:rsidRPr="00534128">
              <w:rPr>
                <w:rFonts w:ascii="標楷體" w:eastAsia="標楷體" w:hAnsi="標楷體" w:hint="eastAsia"/>
                <w:lang w:val="zh-TW"/>
              </w:rPr>
              <w:t>二</w:t>
            </w:r>
            <w:r w:rsidR="00E3055F" w:rsidRPr="00534128">
              <w:rPr>
                <w:rFonts w:ascii="標楷體" w:eastAsia="標楷體" w:hAnsi="標楷體" w:hint="eastAsia"/>
                <w:lang w:val="zh-TW"/>
              </w:rPr>
              <w:t>項本文規定。</w:t>
            </w:r>
          </w:p>
        </w:tc>
      </w:tr>
      <w:tr w:rsidR="00534128" w:rsidRPr="00534128" w14:paraId="51B6081F" w14:textId="77777777" w:rsidTr="00DC4F98">
        <w:trPr>
          <w:trHeight w:val="641"/>
        </w:trPr>
        <w:tc>
          <w:tcPr>
            <w:tcW w:w="2500" w:type="pct"/>
            <w:tcBorders>
              <w:top w:val="single" w:sz="4" w:space="0" w:color="auto"/>
              <w:left w:val="single" w:sz="6" w:space="0" w:color="auto"/>
              <w:bottom w:val="single" w:sz="6" w:space="0" w:color="auto"/>
              <w:right w:val="single" w:sz="4" w:space="0" w:color="auto"/>
            </w:tcBorders>
          </w:tcPr>
          <w:p w14:paraId="51DAB61B" w14:textId="1BBFC82B" w:rsidR="00E6566A" w:rsidRPr="00534128" w:rsidRDefault="00DC4F98" w:rsidP="00E6566A">
            <w:pPr>
              <w:jc w:val="both"/>
              <w:rPr>
                <w:rFonts w:ascii="標楷體" w:eastAsia="標楷體" w:hAnsi="標楷體"/>
              </w:rPr>
            </w:pPr>
            <w:bookmarkStart w:id="3" w:name="_Hlk48294763"/>
            <w:bookmarkStart w:id="4" w:name="_Hlk48211934"/>
            <w:bookmarkEnd w:id="1"/>
            <w:r w:rsidRPr="00534128">
              <w:rPr>
                <w:rFonts w:ascii="標楷體" w:eastAsia="標楷體" w:hAnsi="標楷體" w:hint="eastAsia"/>
              </w:rPr>
              <w:lastRenderedPageBreak/>
              <w:t>第十一條</w:t>
            </w:r>
          </w:p>
          <w:p w14:paraId="5F82E81B" w14:textId="6E298AC9" w:rsidR="009305CC" w:rsidRPr="00534128" w:rsidRDefault="009305CC" w:rsidP="009305CC">
            <w:pPr>
              <w:ind w:firstLineChars="200" w:firstLine="480"/>
              <w:jc w:val="both"/>
              <w:rPr>
                <w:rFonts w:ascii="標楷體" w:eastAsia="標楷體" w:hAnsi="標楷體"/>
              </w:rPr>
            </w:pPr>
            <w:r w:rsidRPr="00534128">
              <w:rPr>
                <w:rFonts w:ascii="標楷體" w:eastAsia="標楷體" w:hAnsi="標楷體" w:hint="eastAsia"/>
              </w:rPr>
              <w:t>發行人應於可持續發展債券存續期間或所募資金運用期間，於年度財務報告公告後三十日內，在本中心指定之網際網路資訊申報系統辦理資金運用情形公告。但有正當理由者，得向本中心申請每年依自行訂定之期限定期辦理公告。</w:t>
            </w:r>
          </w:p>
          <w:p w14:paraId="7DA57F29" w14:textId="731D3B10" w:rsidR="00DC4F98" w:rsidRPr="00534128" w:rsidRDefault="009305CC" w:rsidP="00E512F1">
            <w:pPr>
              <w:ind w:firstLineChars="200" w:firstLine="480"/>
              <w:jc w:val="both"/>
              <w:rPr>
                <w:rFonts w:ascii="標楷體" w:eastAsia="標楷體" w:hAnsi="標楷體"/>
              </w:rPr>
            </w:pPr>
            <w:r w:rsidRPr="00534128">
              <w:rPr>
                <w:rFonts w:ascii="標楷體" w:eastAsia="標楷體" w:hAnsi="標楷體" w:hint="eastAsia"/>
              </w:rPr>
              <w:t>發行人應每年於前項規定之期限內由認證機構出具對資金運用情形是否符合投資計畫書之評估意見或認證報告</w:t>
            </w:r>
            <w:r w:rsidR="00BC1C2C" w:rsidRPr="00534128">
              <w:rPr>
                <w:rFonts w:ascii="標楷體" w:eastAsia="標楷體" w:hAnsi="標楷體" w:hint="eastAsia"/>
              </w:rPr>
              <w:t>，並</w:t>
            </w:r>
            <w:r w:rsidRPr="00534128">
              <w:rPr>
                <w:rFonts w:ascii="標楷體" w:eastAsia="標楷體" w:hAnsi="標楷體" w:hint="eastAsia"/>
              </w:rPr>
              <w:t>將資金運用情形之評估意見或認證報告輸入本中心指定之網際網路資訊申報系統</w:t>
            </w:r>
            <w:bookmarkEnd w:id="3"/>
            <w:r w:rsidR="001A2D62" w:rsidRPr="00534128">
              <w:rPr>
                <w:rFonts w:ascii="標楷體" w:eastAsia="標楷體" w:hAnsi="標楷體" w:hint="eastAsia"/>
              </w:rPr>
              <w:t>。</w:t>
            </w:r>
          </w:p>
        </w:tc>
        <w:tc>
          <w:tcPr>
            <w:tcW w:w="2500" w:type="pct"/>
            <w:tcBorders>
              <w:top w:val="single" w:sz="4" w:space="0" w:color="auto"/>
              <w:left w:val="single" w:sz="6" w:space="0" w:color="auto"/>
              <w:bottom w:val="single" w:sz="6" w:space="0" w:color="auto"/>
              <w:right w:val="single" w:sz="4" w:space="0" w:color="auto"/>
            </w:tcBorders>
          </w:tcPr>
          <w:p w14:paraId="3D7E9489" w14:textId="74F24534" w:rsidR="009305CC" w:rsidRPr="00534128" w:rsidRDefault="009305CC" w:rsidP="009305CC">
            <w:pPr>
              <w:pStyle w:val="a7"/>
              <w:numPr>
                <w:ilvl w:val="0"/>
                <w:numId w:val="17"/>
              </w:numPr>
              <w:ind w:leftChars="0"/>
              <w:rPr>
                <w:rFonts w:ascii="標楷體" w:eastAsia="標楷體" w:hAnsi="標楷體"/>
                <w:lang w:val="zh-TW"/>
              </w:rPr>
            </w:pPr>
            <w:r w:rsidRPr="00534128">
              <w:rPr>
                <w:rFonts w:ascii="標楷體" w:eastAsia="標楷體" w:hAnsi="標楷體" w:hint="eastAsia"/>
                <w:lang w:val="zh-TW"/>
              </w:rPr>
              <w:t>為使投資人了解可持續發展債券存續期間或所募資金運用期間，發行人所募資金之執行情形，發行人應至少每年定期於本中心指定之網際網路資訊申報系統辦理資金運用情形公告，爰訂定第一項本文規定。另考量國際市場並無強制要求發行人每年辦理資金運用情形公告時限之規範，</w:t>
            </w:r>
            <w:r w:rsidR="002811B1" w:rsidRPr="00534128">
              <w:rPr>
                <w:rFonts w:ascii="標楷體" w:eastAsia="標楷體" w:hAnsi="標楷體" w:hint="eastAsia"/>
                <w:lang w:val="zh-TW"/>
              </w:rPr>
              <w:t>故在維持監理強度不變下</w:t>
            </w:r>
            <w:r w:rsidRPr="00534128">
              <w:rPr>
                <w:rFonts w:ascii="標楷體" w:eastAsia="標楷體" w:hAnsi="標楷體" w:hint="eastAsia"/>
                <w:lang w:val="zh-TW"/>
              </w:rPr>
              <w:t>，提供發行人辦理資金運用情形公告之彈性，</w:t>
            </w:r>
            <w:r w:rsidR="008C0C2C" w:rsidRPr="00534128">
              <w:rPr>
                <w:rFonts w:ascii="標楷體" w:eastAsia="標楷體" w:hAnsi="標楷體" w:hint="eastAsia"/>
                <w:lang w:val="zh-TW"/>
              </w:rPr>
              <w:t>訂定</w:t>
            </w:r>
            <w:r w:rsidRPr="00534128">
              <w:rPr>
                <w:rFonts w:ascii="標楷體" w:eastAsia="標楷體" w:hAnsi="標楷體" w:hint="eastAsia"/>
                <w:lang w:val="zh-TW"/>
              </w:rPr>
              <w:t>第一項但書規定，以利國內實務作業與國際接軌。</w:t>
            </w:r>
          </w:p>
          <w:p w14:paraId="419A2624" w14:textId="233101C6" w:rsidR="00DC4F98" w:rsidRPr="00534128" w:rsidRDefault="009305CC" w:rsidP="00493D97">
            <w:pPr>
              <w:pStyle w:val="a7"/>
              <w:numPr>
                <w:ilvl w:val="0"/>
                <w:numId w:val="17"/>
              </w:numPr>
              <w:ind w:leftChars="0"/>
              <w:rPr>
                <w:rFonts w:ascii="標楷體" w:eastAsia="標楷體" w:hAnsi="標楷體"/>
                <w:lang w:val="zh-TW"/>
              </w:rPr>
            </w:pPr>
            <w:r w:rsidRPr="00534128">
              <w:rPr>
                <w:rFonts w:ascii="標楷體" w:eastAsia="標楷體" w:hAnsi="標楷體" w:hint="eastAsia"/>
                <w:lang w:val="zh-TW"/>
              </w:rPr>
              <w:t>為客觀評估發行人所募資金是否依循投資計畫書確實運用，其資金運用情形應每年定期經外部認證機構出具評估意見或認證報告，</w:t>
            </w:r>
            <w:r w:rsidR="00493D97" w:rsidRPr="00534128">
              <w:rPr>
                <w:rFonts w:ascii="標楷體" w:eastAsia="標楷體" w:hAnsi="標楷體" w:hint="eastAsia"/>
                <w:lang w:val="zh-TW"/>
              </w:rPr>
              <w:t>並將其評估意見或認證報告輸入本中心指定之網際網路資訊申報系統，</w:t>
            </w:r>
            <w:r w:rsidR="008C0C2C" w:rsidRPr="00534128">
              <w:rPr>
                <w:rFonts w:ascii="標楷體" w:eastAsia="標楷體" w:hAnsi="標楷體" w:hint="eastAsia"/>
                <w:lang w:val="zh-TW"/>
              </w:rPr>
              <w:t>訂定</w:t>
            </w:r>
            <w:r w:rsidRPr="00534128">
              <w:rPr>
                <w:rFonts w:ascii="標楷體" w:eastAsia="標楷體" w:hAnsi="標楷體" w:hint="eastAsia"/>
                <w:lang w:val="zh-TW"/>
              </w:rPr>
              <w:t>第二項本文。</w:t>
            </w:r>
          </w:p>
        </w:tc>
      </w:tr>
      <w:bookmarkEnd w:id="2"/>
      <w:bookmarkEnd w:id="4"/>
      <w:tr w:rsidR="00534128" w:rsidRPr="00534128" w14:paraId="22AD2336" w14:textId="77777777" w:rsidTr="00DC4F98">
        <w:tc>
          <w:tcPr>
            <w:tcW w:w="2500" w:type="pct"/>
            <w:tcBorders>
              <w:top w:val="single" w:sz="6" w:space="0" w:color="auto"/>
              <w:left w:val="single" w:sz="6" w:space="0" w:color="auto"/>
              <w:bottom w:val="single" w:sz="6" w:space="0" w:color="auto"/>
              <w:right w:val="single" w:sz="4" w:space="0" w:color="auto"/>
            </w:tcBorders>
          </w:tcPr>
          <w:p w14:paraId="4F626D52" w14:textId="77777777" w:rsidR="00DC4F98" w:rsidRPr="00534128" w:rsidRDefault="00DC4F98" w:rsidP="005E3F99">
            <w:pPr>
              <w:jc w:val="both"/>
              <w:rPr>
                <w:rFonts w:ascii="標楷體" w:eastAsia="標楷體" w:hAnsi="標楷體"/>
              </w:rPr>
            </w:pPr>
            <w:r w:rsidRPr="00534128">
              <w:rPr>
                <w:rFonts w:ascii="標楷體" w:eastAsia="標楷體" w:hAnsi="標楷體" w:hint="eastAsia"/>
              </w:rPr>
              <w:t>第十二條</w:t>
            </w:r>
          </w:p>
          <w:p w14:paraId="0E08B763" w14:textId="77777777" w:rsidR="00DC4F98" w:rsidRPr="00534128" w:rsidRDefault="00DC4F98" w:rsidP="005E3F99">
            <w:pPr>
              <w:ind w:firstLineChars="200" w:firstLine="480"/>
              <w:jc w:val="both"/>
              <w:rPr>
                <w:rFonts w:ascii="標楷體" w:eastAsia="標楷體" w:hAnsi="標楷體"/>
              </w:rPr>
            </w:pPr>
            <w:r w:rsidRPr="00534128">
              <w:rPr>
                <w:rFonts w:ascii="標楷體" w:eastAsia="標楷體" w:hAnsi="標楷體" w:hint="eastAsia"/>
              </w:rPr>
              <w:t>發行人依第七條、第十條及前條規定檢送之相關申請書件或申報資訊，如有虛偽或隱匿之情事者，本中心得撤銷或廢止其可持續發展債券資格。</w:t>
            </w:r>
          </w:p>
          <w:p w14:paraId="7F700736" w14:textId="77777777" w:rsidR="00DC4F98" w:rsidRPr="00534128" w:rsidRDefault="00DC4F98" w:rsidP="005E3F99">
            <w:pPr>
              <w:ind w:firstLineChars="200" w:firstLine="480"/>
              <w:jc w:val="both"/>
              <w:rPr>
                <w:rFonts w:ascii="標楷體" w:eastAsia="標楷體" w:hAnsi="標楷體"/>
              </w:rPr>
            </w:pPr>
            <w:r w:rsidRPr="00534128">
              <w:rPr>
                <w:rFonts w:ascii="標楷體" w:eastAsia="標楷體" w:hAnsi="標楷體" w:hint="eastAsia"/>
              </w:rPr>
              <w:t>發行人未依前條規定辦理申報作業或資金用途不符合可持續發展債券投資計畫書者，本中心得通知發行人限期補正或改善，逾期未補正或改善者，本中心得廢止其可持續</w:t>
            </w:r>
            <w:r w:rsidRPr="00534128">
              <w:rPr>
                <w:rFonts w:ascii="標楷體" w:eastAsia="標楷體" w:hAnsi="標楷體" w:hint="eastAsia"/>
              </w:rPr>
              <w:lastRenderedPageBreak/>
              <w:t>發展債券資格。</w:t>
            </w:r>
          </w:p>
          <w:p w14:paraId="07D18FF1" w14:textId="77777777" w:rsidR="00DC4F98" w:rsidRPr="00534128" w:rsidRDefault="00DC4F98" w:rsidP="005E3F99">
            <w:pPr>
              <w:ind w:firstLineChars="200" w:firstLine="480"/>
              <w:jc w:val="both"/>
              <w:rPr>
                <w:rFonts w:ascii="標楷體" w:eastAsia="標楷體" w:hAnsi="標楷體"/>
              </w:rPr>
            </w:pPr>
            <w:r w:rsidRPr="00534128">
              <w:rPr>
                <w:rFonts w:ascii="標楷體" w:eastAsia="標楷體" w:hAnsi="標楷體" w:hint="eastAsia"/>
              </w:rPr>
              <w:t>發行人因資金用途變更，致有不符合第四條規定之情事者，應向本中心申請廢止其可持續發展債券資格。</w:t>
            </w:r>
          </w:p>
        </w:tc>
        <w:tc>
          <w:tcPr>
            <w:tcW w:w="2500" w:type="pct"/>
            <w:tcBorders>
              <w:top w:val="single" w:sz="6" w:space="0" w:color="auto"/>
              <w:left w:val="single" w:sz="6" w:space="0" w:color="auto"/>
              <w:bottom w:val="single" w:sz="6" w:space="0" w:color="auto"/>
              <w:right w:val="single" w:sz="4" w:space="0" w:color="auto"/>
            </w:tcBorders>
          </w:tcPr>
          <w:p w14:paraId="26C36286" w14:textId="77777777" w:rsidR="00AE326E" w:rsidRPr="00534128" w:rsidRDefault="00DC4F98" w:rsidP="00AE326E">
            <w:pPr>
              <w:pStyle w:val="a7"/>
              <w:numPr>
                <w:ilvl w:val="0"/>
                <w:numId w:val="19"/>
              </w:numPr>
              <w:ind w:leftChars="0"/>
              <w:rPr>
                <w:rFonts w:ascii="標楷體" w:eastAsia="標楷體" w:hAnsi="標楷體"/>
                <w:lang w:val="zh-TW"/>
              </w:rPr>
            </w:pPr>
            <w:r w:rsidRPr="00534128">
              <w:rPr>
                <w:rFonts w:ascii="標楷體" w:eastAsia="標楷體" w:hAnsi="標楷體" w:hint="eastAsia"/>
                <w:lang w:val="zh-TW"/>
              </w:rPr>
              <w:lastRenderedPageBreak/>
              <w:t>為強化對發行人之管理，比照現行綠色債券作業要點之規定，爰訂定發行人所檢送之相關書件或資訊申報作業有虛偽、隱匿之情事者，以及發行人未依前條規定辦理申報作業或資金用途不符合可持續發展債券投資計畫書者，本中心得撤銷或廢止其可持續發展債券資格之處置。</w:t>
            </w:r>
          </w:p>
          <w:p w14:paraId="12E2D25E" w14:textId="3288020C" w:rsidR="00DC4F98" w:rsidRPr="00534128" w:rsidRDefault="00DC4F98" w:rsidP="00AE326E">
            <w:pPr>
              <w:pStyle w:val="a7"/>
              <w:numPr>
                <w:ilvl w:val="0"/>
                <w:numId w:val="19"/>
              </w:numPr>
              <w:ind w:leftChars="0"/>
              <w:rPr>
                <w:rFonts w:ascii="標楷體" w:eastAsia="標楷體" w:hAnsi="標楷體"/>
                <w:lang w:val="zh-TW"/>
              </w:rPr>
            </w:pPr>
            <w:r w:rsidRPr="00534128">
              <w:rPr>
                <w:rFonts w:ascii="標楷體" w:eastAsia="標楷體" w:hAnsi="標楷體" w:hint="eastAsia"/>
                <w:lang w:val="zh-TW"/>
              </w:rPr>
              <w:t>明定發行人遇有</w:t>
            </w:r>
            <w:r w:rsidRPr="00534128">
              <w:rPr>
                <w:rFonts w:ascii="標楷體" w:eastAsia="標楷體" w:hAnsi="標楷體" w:hint="eastAsia"/>
              </w:rPr>
              <w:t>資金用途範圍</w:t>
            </w:r>
            <w:r w:rsidRPr="00534128">
              <w:rPr>
                <w:rFonts w:ascii="標楷體" w:eastAsia="標楷體" w:hAnsi="標楷體" w:hint="eastAsia"/>
                <w:lang w:val="zh-TW"/>
              </w:rPr>
              <w:t>變更，致</w:t>
            </w:r>
            <w:r w:rsidRPr="00534128">
              <w:rPr>
                <w:rFonts w:ascii="標楷體" w:eastAsia="標楷體" w:hAnsi="標楷體" w:hint="eastAsia"/>
                <w:lang w:val="zh-TW"/>
              </w:rPr>
              <w:lastRenderedPageBreak/>
              <w:t>不符合原約定之綠色投資計畫或社會效益投資計畫者，應向本中心申請廢止其有價證券之</w:t>
            </w:r>
            <w:r w:rsidRPr="00534128">
              <w:rPr>
                <w:rFonts w:ascii="標楷體" w:eastAsia="標楷體" w:hAnsi="標楷體" w:hint="eastAsia"/>
              </w:rPr>
              <w:t>債券資格</w:t>
            </w:r>
            <w:r w:rsidRPr="00534128">
              <w:rPr>
                <w:rFonts w:ascii="標楷體" w:eastAsia="標楷體" w:hAnsi="標楷體" w:hint="eastAsia"/>
                <w:lang w:val="zh-TW"/>
              </w:rPr>
              <w:t>。</w:t>
            </w:r>
          </w:p>
        </w:tc>
      </w:tr>
      <w:tr w:rsidR="00DC4F98" w:rsidRPr="00534128" w14:paraId="61A812FF" w14:textId="77777777" w:rsidTr="00DC4F98">
        <w:tc>
          <w:tcPr>
            <w:tcW w:w="2500" w:type="pct"/>
            <w:tcBorders>
              <w:top w:val="single" w:sz="6" w:space="0" w:color="auto"/>
              <w:left w:val="single" w:sz="6" w:space="0" w:color="auto"/>
              <w:bottom w:val="single" w:sz="6" w:space="0" w:color="auto"/>
              <w:right w:val="single" w:sz="4" w:space="0" w:color="auto"/>
            </w:tcBorders>
          </w:tcPr>
          <w:p w14:paraId="672C97E5" w14:textId="77777777" w:rsidR="00DC4F98" w:rsidRPr="00534128" w:rsidRDefault="00DC4F98" w:rsidP="005E3F99">
            <w:pPr>
              <w:jc w:val="both"/>
              <w:rPr>
                <w:rFonts w:ascii="標楷體" w:eastAsia="標楷體" w:hAnsi="標楷體"/>
              </w:rPr>
            </w:pPr>
            <w:r w:rsidRPr="00534128">
              <w:rPr>
                <w:rFonts w:ascii="標楷體" w:eastAsia="標楷體" w:hAnsi="標楷體" w:hint="eastAsia"/>
              </w:rPr>
              <w:lastRenderedPageBreak/>
              <w:t>第十三條</w:t>
            </w:r>
          </w:p>
          <w:p w14:paraId="34CC1EC2" w14:textId="77777777" w:rsidR="00DC4F98" w:rsidRPr="00534128" w:rsidRDefault="00DC4F98" w:rsidP="005E3F99">
            <w:pPr>
              <w:jc w:val="both"/>
              <w:rPr>
                <w:rFonts w:ascii="標楷體" w:eastAsia="標楷體" w:hAnsi="標楷體"/>
              </w:rPr>
            </w:pPr>
            <w:r w:rsidRPr="00534128">
              <w:rPr>
                <w:rFonts w:ascii="標楷體" w:eastAsia="標楷體" w:hAnsi="標楷體"/>
              </w:rPr>
              <w:t xml:space="preserve">    本</w:t>
            </w:r>
            <w:r w:rsidRPr="00534128">
              <w:rPr>
                <w:rFonts w:ascii="標楷體" w:eastAsia="標楷體" w:hAnsi="標楷體" w:hint="eastAsia"/>
              </w:rPr>
              <w:t>作業要點經報奉主管機關核定後公告施行，修正時亦同</w:t>
            </w:r>
            <w:r w:rsidRPr="00534128">
              <w:rPr>
                <w:rFonts w:ascii="新細明體" w:hAnsi="新細明體" w:hint="eastAsia"/>
              </w:rPr>
              <w:t>；</w:t>
            </w:r>
            <w:r w:rsidRPr="00534128">
              <w:rPr>
                <w:rFonts w:ascii="標楷體" w:eastAsia="標楷體" w:hAnsi="標楷體" w:hint="eastAsia"/>
              </w:rPr>
              <w:t>作業要點中相關附表之增刪或修正，則奉本中心總經理核定後施行。</w:t>
            </w:r>
          </w:p>
        </w:tc>
        <w:tc>
          <w:tcPr>
            <w:tcW w:w="2500" w:type="pct"/>
            <w:tcBorders>
              <w:top w:val="single" w:sz="6" w:space="0" w:color="auto"/>
              <w:left w:val="single" w:sz="6" w:space="0" w:color="auto"/>
              <w:bottom w:val="single" w:sz="6" w:space="0" w:color="auto"/>
              <w:right w:val="single" w:sz="4" w:space="0" w:color="auto"/>
            </w:tcBorders>
          </w:tcPr>
          <w:p w14:paraId="5BD6FCAB" w14:textId="77777777" w:rsidR="00DC4F98" w:rsidRPr="00534128" w:rsidRDefault="00DC4F98" w:rsidP="005E3F99">
            <w:pPr>
              <w:autoSpaceDE w:val="0"/>
              <w:autoSpaceDN w:val="0"/>
              <w:adjustRightInd w:val="0"/>
              <w:jc w:val="both"/>
              <w:rPr>
                <w:rFonts w:ascii="標楷體" w:eastAsia="標楷體" w:hAnsi="標楷體"/>
                <w:lang w:val="zh-TW"/>
              </w:rPr>
            </w:pPr>
            <w:r w:rsidRPr="00534128">
              <w:rPr>
                <w:rFonts w:ascii="標楷體" w:eastAsia="標楷體" w:hAnsi="標楷體" w:hint="eastAsia"/>
                <w:lang w:val="zh-TW"/>
              </w:rPr>
              <w:t>訂定</w:t>
            </w:r>
            <w:r w:rsidRPr="00534128">
              <w:rPr>
                <w:rFonts w:ascii="標楷體" w:eastAsia="標楷體" w:hAnsi="標楷體"/>
                <w:lang w:val="zh-TW"/>
              </w:rPr>
              <w:t>本</w:t>
            </w:r>
            <w:r w:rsidRPr="00534128">
              <w:rPr>
                <w:rFonts w:ascii="標楷體" w:eastAsia="標楷體" w:hAnsi="標楷體" w:hint="eastAsia"/>
                <w:lang w:val="zh-TW"/>
              </w:rPr>
              <w:t>作業要點之公告施行及修正程序</w:t>
            </w:r>
            <w:r w:rsidRPr="00534128">
              <w:rPr>
                <w:rFonts w:ascii="標楷體" w:eastAsia="標楷體" w:hAnsi="標楷體"/>
                <w:lang w:val="zh-TW"/>
              </w:rPr>
              <w:t>。</w:t>
            </w:r>
          </w:p>
        </w:tc>
      </w:tr>
    </w:tbl>
    <w:p w14:paraId="07EDA98A" w14:textId="77777777" w:rsidR="00C31987" w:rsidRPr="00534128" w:rsidRDefault="00C31987" w:rsidP="00C31987">
      <w:pPr>
        <w:rPr>
          <w:rFonts w:ascii="標楷體" w:eastAsia="標楷體" w:hAnsi="標楷體" w:cs="細明體"/>
        </w:rPr>
      </w:pPr>
    </w:p>
    <w:p w14:paraId="438DD1FF" w14:textId="77777777" w:rsidR="00C31987" w:rsidRPr="00534128" w:rsidRDefault="00C31987" w:rsidP="00C31987"/>
    <w:p w14:paraId="32BE0CB0" w14:textId="77777777" w:rsidR="00C31987" w:rsidRPr="00534128" w:rsidRDefault="00C31987" w:rsidP="00C31987">
      <w:pPr>
        <w:spacing w:line="460" w:lineRule="exact"/>
        <w:jc w:val="both"/>
        <w:rPr>
          <w:rFonts w:ascii="Times New Roman" w:eastAsia="標楷體" w:hAnsi="Times New Roman"/>
        </w:rPr>
      </w:pPr>
    </w:p>
    <w:p w14:paraId="3FF988BD" w14:textId="77777777" w:rsidR="00C31987" w:rsidRPr="00534128" w:rsidRDefault="00C31987" w:rsidP="00042B2E">
      <w:pPr>
        <w:widowControl/>
        <w:spacing w:afterLines="50" w:after="180" w:line="340" w:lineRule="exact"/>
        <w:rPr>
          <w:rFonts w:ascii="標楷體" w:eastAsia="標楷體" w:hAnsi="標楷體" w:cs="Times New Roman"/>
          <w:b/>
          <w:kern w:val="0"/>
          <w:sz w:val="32"/>
          <w:szCs w:val="32"/>
        </w:rPr>
      </w:pPr>
    </w:p>
    <w:p w14:paraId="1F77B892" w14:textId="62FF9B77" w:rsidR="00322C2D" w:rsidRPr="00534128" w:rsidRDefault="00322C2D" w:rsidP="00322C2D">
      <w:pPr>
        <w:rPr>
          <w:rFonts w:ascii="標楷體" w:eastAsia="標楷體" w:hAnsi="標楷體" w:cs="細明體"/>
        </w:rPr>
      </w:pPr>
    </w:p>
    <w:p w14:paraId="4EF06BC4" w14:textId="77777777" w:rsidR="00322C2D" w:rsidRPr="00534128" w:rsidRDefault="00322C2D" w:rsidP="00322C2D"/>
    <w:p w14:paraId="786316EA" w14:textId="77777777" w:rsidR="00322C2D" w:rsidRPr="00534128" w:rsidRDefault="00322C2D" w:rsidP="00322C2D">
      <w:pPr>
        <w:spacing w:line="460" w:lineRule="exact"/>
        <w:jc w:val="both"/>
        <w:rPr>
          <w:rFonts w:ascii="Times New Roman" w:eastAsia="標楷體" w:hAnsi="Times New Roman"/>
        </w:rPr>
      </w:pPr>
    </w:p>
    <w:p w14:paraId="1CDAF5B1" w14:textId="77777777" w:rsidR="00322C2D" w:rsidRPr="00534128" w:rsidRDefault="00322C2D" w:rsidP="00042B2E">
      <w:pPr>
        <w:widowControl/>
        <w:spacing w:afterLines="50" w:after="180" w:line="340" w:lineRule="exact"/>
        <w:rPr>
          <w:rFonts w:ascii="標楷體" w:eastAsia="標楷體" w:hAnsi="標楷體" w:cs="Times New Roman"/>
          <w:b/>
          <w:kern w:val="0"/>
          <w:sz w:val="32"/>
          <w:szCs w:val="32"/>
        </w:rPr>
      </w:pPr>
    </w:p>
    <w:sectPr w:rsidR="00322C2D" w:rsidRPr="00534128" w:rsidSect="00DB1053">
      <w:footerReference w:type="default" r:id="rId8"/>
      <w:pgSz w:w="11906" w:h="16838"/>
      <w:pgMar w:top="1440" w:right="1134"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BCE89" w14:textId="77777777" w:rsidR="005207E8" w:rsidRDefault="005207E8">
      <w:r>
        <w:separator/>
      </w:r>
    </w:p>
  </w:endnote>
  <w:endnote w:type="continuationSeparator" w:id="0">
    <w:p w14:paraId="7A6971CB" w14:textId="77777777" w:rsidR="005207E8" w:rsidRDefault="0052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19EA6" w14:textId="77777777" w:rsidR="00E30A47" w:rsidRDefault="00A21363">
    <w:pPr>
      <w:pStyle w:val="a3"/>
      <w:jc w:val="center"/>
    </w:pPr>
    <w:r>
      <w:fldChar w:fldCharType="begin"/>
    </w:r>
    <w:r>
      <w:instrText xml:space="preserve"> PAGE   \* MERGEFORMAT </w:instrText>
    </w:r>
    <w:r>
      <w:fldChar w:fldCharType="separate"/>
    </w:r>
    <w:r w:rsidR="00092502" w:rsidRPr="00092502">
      <w:rPr>
        <w:noProof/>
        <w:lang w:val="zh-TW"/>
      </w:rPr>
      <w:t>8</w:t>
    </w:r>
    <w:r>
      <w:rPr>
        <w:noProof/>
        <w:lang w:val="zh-TW"/>
      </w:rPr>
      <w:fldChar w:fldCharType="end"/>
    </w:r>
  </w:p>
  <w:p w14:paraId="58F003AB" w14:textId="77777777" w:rsidR="00E30A47" w:rsidRDefault="005207E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9E034" w14:textId="77777777" w:rsidR="005207E8" w:rsidRDefault="005207E8">
      <w:r>
        <w:separator/>
      </w:r>
    </w:p>
  </w:footnote>
  <w:footnote w:type="continuationSeparator" w:id="0">
    <w:p w14:paraId="28EB2ED8" w14:textId="77777777" w:rsidR="005207E8" w:rsidRDefault="00520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739"/>
    <w:multiLevelType w:val="hybridMultilevel"/>
    <w:tmpl w:val="6DCA5522"/>
    <w:lvl w:ilvl="0" w:tplc="41FE2B1E">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653008"/>
    <w:multiLevelType w:val="hybridMultilevel"/>
    <w:tmpl w:val="9C725F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AF222F"/>
    <w:multiLevelType w:val="hybridMultilevel"/>
    <w:tmpl w:val="BCA80030"/>
    <w:lvl w:ilvl="0" w:tplc="51DCDBFE">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F37372"/>
    <w:multiLevelType w:val="hybridMultilevel"/>
    <w:tmpl w:val="50CE79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6712F2"/>
    <w:multiLevelType w:val="hybridMultilevel"/>
    <w:tmpl w:val="E20A42F8"/>
    <w:lvl w:ilvl="0" w:tplc="859E908C">
      <w:start w:val="1"/>
      <w:numFmt w:val="decimal"/>
      <w:lvlText w:val="%1."/>
      <w:lvlJc w:val="left"/>
      <w:pPr>
        <w:ind w:left="744" w:hanging="26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B7969AA"/>
    <w:multiLevelType w:val="hybridMultilevel"/>
    <w:tmpl w:val="DA4C17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C8235C"/>
    <w:multiLevelType w:val="hybridMultilevel"/>
    <w:tmpl w:val="1FEC1AB2"/>
    <w:lvl w:ilvl="0" w:tplc="51DCDBFE">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F104454"/>
    <w:multiLevelType w:val="hybridMultilevel"/>
    <w:tmpl w:val="FE7C7D38"/>
    <w:lvl w:ilvl="0" w:tplc="04090015">
      <w:start w:val="1"/>
      <w:numFmt w:val="taiwaneseCountingThousand"/>
      <w:lvlText w:val="%1、"/>
      <w:lvlJc w:val="left"/>
      <w:pPr>
        <w:ind w:left="936" w:hanging="480"/>
      </w:p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8" w15:restartNumberingAfterBreak="0">
    <w:nsid w:val="333B2513"/>
    <w:multiLevelType w:val="hybridMultilevel"/>
    <w:tmpl w:val="295E6CC2"/>
    <w:lvl w:ilvl="0" w:tplc="7B6ED0A6">
      <w:start w:val="1"/>
      <w:numFmt w:val="taiwaneseCountingThousand"/>
      <w:suff w:val="nothing"/>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B27764B"/>
    <w:multiLevelType w:val="hybridMultilevel"/>
    <w:tmpl w:val="3398BB46"/>
    <w:lvl w:ilvl="0" w:tplc="DF2E8B68">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5D0A22"/>
    <w:multiLevelType w:val="hybridMultilevel"/>
    <w:tmpl w:val="0A28DE6A"/>
    <w:lvl w:ilvl="0" w:tplc="BC9E7FE6">
      <w:start w:val="1"/>
      <w:numFmt w:val="taiwaneseCountingThousand"/>
      <w:suff w:val="nothing"/>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590E23"/>
    <w:multiLevelType w:val="hybridMultilevel"/>
    <w:tmpl w:val="08C273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96265BD"/>
    <w:multiLevelType w:val="hybridMultilevel"/>
    <w:tmpl w:val="A1328E8A"/>
    <w:lvl w:ilvl="0" w:tplc="920660E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7272F58"/>
    <w:multiLevelType w:val="hybridMultilevel"/>
    <w:tmpl w:val="DA4C17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BE079D5"/>
    <w:multiLevelType w:val="hybridMultilevel"/>
    <w:tmpl w:val="130E567C"/>
    <w:lvl w:ilvl="0" w:tplc="3830DA74">
      <w:start w:val="1"/>
      <w:numFmt w:val="decimal"/>
      <w:lvlText w:val="%1."/>
      <w:lvlJc w:val="left"/>
      <w:pPr>
        <w:ind w:left="672" w:hanging="192"/>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D1F3A59"/>
    <w:multiLevelType w:val="hybridMultilevel"/>
    <w:tmpl w:val="4A92550C"/>
    <w:lvl w:ilvl="0" w:tplc="AD16C78E">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3033558"/>
    <w:multiLevelType w:val="hybridMultilevel"/>
    <w:tmpl w:val="7BB2BC8E"/>
    <w:lvl w:ilvl="0" w:tplc="3E04772C">
      <w:start w:val="1"/>
      <w:numFmt w:val="taiwaneseCountingThousand"/>
      <w:lvlText w:val="%1、"/>
      <w:lvlJc w:val="left"/>
      <w:pPr>
        <w:ind w:left="1190" w:hanging="480"/>
      </w:pPr>
      <w:rPr>
        <w:rFonts w:ascii="標楷體" w:eastAsia="標楷體" w:hAnsi="標楷體" w:hint="default"/>
        <w:lang w:val="en-US"/>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7" w15:restartNumberingAfterBreak="0">
    <w:nsid w:val="7045587F"/>
    <w:multiLevelType w:val="hybridMultilevel"/>
    <w:tmpl w:val="86C4AACE"/>
    <w:lvl w:ilvl="0" w:tplc="35FC8B4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4E83494"/>
    <w:multiLevelType w:val="hybridMultilevel"/>
    <w:tmpl w:val="439C3C1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57B476E"/>
    <w:multiLevelType w:val="hybridMultilevel"/>
    <w:tmpl w:val="3398BB46"/>
    <w:lvl w:ilvl="0" w:tplc="DF2E8B68">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82747ED"/>
    <w:multiLevelType w:val="hybridMultilevel"/>
    <w:tmpl w:val="CA5816EE"/>
    <w:lvl w:ilvl="0" w:tplc="7B8ABB88">
      <w:start w:val="1"/>
      <w:numFmt w:val="decimal"/>
      <w:suff w:val="nothing"/>
      <w:lvlText w:val="%1."/>
      <w:lvlJc w:val="left"/>
      <w:pPr>
        <w:ind w:left="672" w:hanging="192"/>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6"/>
  </w:num>
  <w:num w:numId="2">
    <w:abstractNumId w:val="9"/>
  </w:num>
  <w:num w:numId="3">
    <w:abstractNumId w:val="2"/>
  </w:num>
  <w:num w:numId="4">
    <w:abstractNumId w:val="19"/>
  </w:num>
  <w:num w:numId="5">
    <w:abstractNumId w:val="6"/>
  </w:num>
  <w:num w:numId="6">
    <w:abstractNumId w:val="11"/>
  </w:num>
  <w:num w:numId="7">
    <w:abstractNumId w:val="1"/>
  </w:num>
  <w:num w:numId="8">
    <w:abstractNumId w:val="3"/>
  </w:num>
  <w:num w:numId="9">
    <w:abstractNumId w:val="12"/>
  </w:num>
  <w:num w:numId="10">
    <w:abstractNumId w:val="8"/>
  </w:num>
  <w:num w:numId="11">
    <w:abstractNumId w:val="10"/>
  </w:num>
  <w:num w:numId="12">
    <w:abstractNumId w:val="15"/>
  </w:num>
  <w:num w:numId="13">
    <w:abstractNumId w:val="0"/>
  </w:num>
  <w:num w:numId="14">
    <w:abstractNumId w:val="17"/>
  </w:num>
  <w:num w:numId="15">
    <w:abstractNumId w:val="4"/>
  </w:num>
  <w:num w:numId="16">
    <w:abstractNumId w:val="7"/>
  </w:num>
  <w:num w:numId="17">
    <w:abstractNumId w:val="13"/>
  </w:num>
  <w:num w:numId="18">
    <w:abstractNumId w:val="18"/>
  </w:num>
  <w:num w:numId="19">
    <w:abstractNumId w:val="5"/>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363"/>
    <w:rsid w:val="00000B4F"/>
    <w:rsid w:val="00014803"/>
    <w:rsid w:val="0003776F"/>
    <w:rsid w:val="00042B2E"/>
    <w:rsid w:val="0006438D"/>
    <w:rsid w:val="00067CB5"/>
    <w:rsid w:val="00092502"/>
    <w:rsid w:val="000B3EBF"/>
    <w:rsid w:val="000E7259"/>
    <w:rsid w:val="000F5BC2"/>
    <w:rsid w:val="0010082D"/>
    <w:rsid w:val="001158CB"/>
    <w:rsid w:val="00121CF8"/>
    <w:rsid w:val="00136231"/>
    <w:rsid w:val="00142C98"/>
    <w:rsid w:val="00150D31"/>
    <w:rsid w:val="00180722"/>
    <w:rsid w:val="001877B6"/>
    <w:rsid w:val="00190DD8"/>
    <w:rsid w:val="001970AA"/>
    <w:rsid w:val="001A2D62"/>
    <w:rsid w:val="001E344A"/>
    <w:rsid w:val="001F6F23"/>
    <w:rsid w:val="00201DED"/>
    <w:rsid w:val="00227AD7"/>
    <w:rsid w:val="00235CE7"/>
    <w:rsid w:val="002666CA"/>
    <w:rsid w:val="002811B1"/>
    <w:rsid w:val="00293C11"/>
    <w:rsid w:val="00317737"/>
    <w:rsid w:val="00322C2D"/>
    <w:rsid w:val="00324F05"/>
    <w:rsid w:val="003600C8"/>
    <w:rsid w:val="003812CA"/>
    <w:rsid w:val="003833B2"/>
    <w:rsid w:val="00383F6C"/>
    <w:rsid w:val="003B53BB"/>
    <w:rsid w:val="003C6BF4"/>
    <w:rsid w:val="003D236D"/>
    <w:rsid w:val="003D348E"/>
    <w:rsid w:val="00403980"/>
    <w:rsid w:val="00436157"/>
    <w:rsid w:val="00493D97"/>
    <w:rsid w:val="004A0637"/>
    <w:rsid w:val="004D3FB3"/>
    <w:rsid w:val="00505D42"/>
    <w:rsid w:val="005207E8"/>
    <w:rsid w:val="00534128"/>
    <w:rsid w:val="005346ED"/>
    <w:rsid w:val="005353E9"/>
    <w:rsid w:val="005B427A"/>
    <w:rsid w:val="005B6234"/>
    <w:rsid w:val="005D02BC"/>
    <w:rsid w:val="005D2692"/>
    <w:rsid w:val="005F78F1"/>
    <w:rsid w:val="006106AF"/>
    <w:rsid w:val="00623DB9"/>
    <w:rsid w:val="00643C06"/>
    <w:rsid w:val="006543E5"/>
    <w:rsid w:val="006777BA"/>
    <w:rsid w:val="00677900"/>
    <w:rsid w:val="006C05A8"/>
    <w:rsid w:val="006C72AB"/>
    <w:rsid w:val="006D19B0"/>
    <w:rsid w:val="006D5181"/>
    <w:rsid w:val="007118AF"/>
    <w:rsid w:val="0072374C"/>
    <w:rsid w:val="0074499A"/>
    <w:rsid w:val="007474CD"/>
    <w:rsid w:val="00790EE4"/>
    <w:rsid w:val="007C7AF0"/>
    <w:rsid w:val="007D32DB"/>
    <w:rsid w:val="00802AA0"/>
    <w:rsid w:val="00874B2A"/>
    <w:rsid w:val="008A0CF5"/>
    <w:rsid w:val="008A0D2B"/>
    <w:rsid w:val="008A388C"/>
    <w:rsid w:val="008A480D"/>
    <w:rsid w:val="008B0A5B"/>
    <w:rsid w:val="008C0C2C"/>
    <w:rsid w:val="008C1328"/>
    <w:rsid w:val="008F1A63"/>
    <w:rsid w:val="008F1EB6"/>
    <w:rsid w:val="00905B3C"/>
    <w:rsid w:val="009201BA"/>
    <w:rsid w:val="009305CC"/>
    <w:rsid w:val="00940B4E"/>
    <w:rsid w:val="00945B42"/>
    <w:rsid w:val="00962AB7"/>
    <w:rsid w:val="00964E23"/>
    <w:rsid w:val="009C72FA"/>
    <w:rsid w:val="009E71C9"/>
    <w:rsid w:val="009F25B0"/>
    <w:rsid w:val="009F4A84"/>
    <w:rsid w:val="00A12097"/>
    <w:rsid w:val="00A1466A"/>
    <w:rsid w:val="00A21363"/>
    <w:rsid w:val="00A5652D"/>
    <w:rsid w:val="00A57C5A"/>
    <w:rsid w:val="00A67CA9"/>
    <w:rsid w:val="00A834C1"/>
    <w:rsid w:val="00AA2BDA"/>
    <w:rsid w:val="00AC2A87"/>
    <w:rsid w:val="00AD1AA5"/>
    <w:rsid w:val="00AE326E"/>
    <w:rsid w:val="00B066DF"/>
    <w:rsid w:val="00B06E61"/>
    <w:rsid w:val="00B32EB2"/>
    <w:rsid w:val="00B35DCD"/>
    <w:rsid w:val="00B46367"/>
    <w:rsid w:val="00B774AA"/>
    <w:rsid w:val="00BA2ECA"/>
    <w:rsid w:val="00BC1C2C"/>
    <w:rsid w:val="00BD71F5"/>
    <w:rsid w:val="00BE153D"/>
    <w:rsid w:val="00BE5B52"/>
    <w:rsid w:val="00BE74AC"/>
    <w:rsid w:val="00BF387D"/>
    <w:rsid w:val="00C0457E"/>
    <w:rsid w:val="00C31987"/>
    <w:rsid w:val="00C53F2A"/>
    <w:rsid w:val="00C54D58"/>
    <w:rsid w:val="00C7380E"/>
    <w:rsid w:val="00C831E6"/>
    <w:rsid w:val="00C900AF"/>
    <w:rsid w:val="00CA0F4F"/>
    <w:rsid w:val="00CB37E8"/>
    <w:rsid w:val="00CD0146"/>
    <w:rsid w:val="00CD3F25"/>
    <w:rsid w:val="00D016EE"/>
    <w:rsid w:val="00D12949"/>
    <w:rsid w:val="00D1453A"/>
    <w:rsid w:val="00D21BC1"/>
    <w:rsid w:val="00D338F6"/>
    <w:rsid w:val="00D63A11"/>
    <w:rsid w:val="00D750DD"/>
    <w:rsid w:val="00D76904"/>
    <w:rsid w:val="00D82204"/>
    <w:rsid w:val="00D969B2"/>
    <w:rsid w:val="00DC4F98"/>
    <w:rsid w:val="00DD7C2F"/>
    <w:rsid w:val="00E102AF"/>
    <w:rsid w:val="00E3055F"/>
    <w:rsid w:val="00E512F1"/>
    <w:rsid w:val="00E6405C"/>
    <w:rsid w:val="00E6566A"/>
    <w:rsid w:val="00E76D25"/>
    <w:rsid w:val="00E81E20"/>
    <w:rsid w:val="00EB0B1D"/>
    <w:rsid w:val="00EB48F6"/>
    <w:rsid w:val="00EC7697"/>
    <w:rsid w:val="00EF5720"/>
    <w:rsid w:val="00F046EB"/>
    <w:rsid w:val="00F42F38"/>
    <w:rsid w:val="00F50166"/>
    <w:rsid w:val="00F6400F"/>
    <w:rsid w:val="00F779F0"/>
    <w:rsid w:val="00F93BCC"/>
    <w:rsid w:val="00F95B34"/>
    <w:rsid w:val="00F96867"/>
    <w:rsid w:val="00FB20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209F9"/>
  <w15:chartTrackingRefBased/>
  <w15:docId w15:val="{656CFAA1-8D1B-4095-9351-6F32E667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21363"/>
    <w:pPr>
      <w:widowControl/>
      <w:tabs>
        <w:tab w:val="center" w:pos="4153"/>
        <w:tab w:val="right" w:pos="8306"/>
      </w:tabs>
      <w:snapToGrid w:val="0"/>
    </w:pPr>
    <w:rPr>
      <w:rFonts w:cs="Times New Roman"/>
      <w:kern w:val="0"/>
      <w:sz w:val="20"/>
      <w:szCs w:val="20"/>
    </w:rPr>
  </w:style>
  <w:style w:type="character" w:customStyle="1" w:styleId="a4">
    <w:name w:val="頁尾 字元"/>
    <w:basedOn w:val="a0"/>
    <w:link w:val="a3"/>
    <w:uiPriority w:val="99"/>
    <w:rsid w:val="00A21363"/>
    <w:rPr>
      <w:rFonts w:cs="Times New Roman"/>
      <w:kern w:val="0"/>
      <w:sz w:val="20"/>
      <w:szCs w:val="20"/>
    </w:rPr>
  </w:style>
  <w:style w:type="paragraph" w:styleId="a5">
    <w:name w:val="header"/>
    <w:basedOn w:val="a"/>
    <w:link w:val="a6"/>
    <w:uiPriority w:val="99"/>
    <w:unhideWhenUsed/>
    <w:rsid w:val="00BE5B52"/>
    <w:pPr>
      <w:tabs>
        <w:tab w:val="center" w:pos="4153"/>
        <w:tab w:val="right" w:pos="8306"/>
      </w:tabs>
      <w:snapToGrid w:val="0"/>
    </w:pPr>
    <w:rPr>
      <w:sz w:val="20"/>
      <w:szCs w:val="20"/>
    </w:rPr>
  </w:style>
  <w:style w:type="character" w:customStyle="1" w:styleId="a6">
    <w:name w:val="頁首 字元"/>
    <w:basedOn w:val="a0"/>
    <w:link w:val="a5"/>
    <w:uiPriority w:val="99"/>
    <w:rsid w:val="00BE5B52"/>
    <w:rPr>
      <w:sz w:val="20"/>
      <w:szCs w:val="20"/>
    </w:rPr>
  </w:style>
  <w:style w:type="paragraph" w:styleId="a7">
    <w:name w:val="List Paragraph"/>
    <w:basedOn w:val="a"/>
    <w:uiPriority w:val="34"/>
    <w:qFormat/>
    <w:rsid w:val="00FB2024"/>
    <w:pPr>
      <w:ind w:leftChars="200" w:left="480"/>
    </w:pPr>
  </w:style>
  <w:style w:type="paragraph" w:styleId="a8">
    <w:name w:val="Balloon Text"/>
    <w:basedOn w:val="a"/>
    <w:link w:val="a9"/>
    <w:uiPriority w:val="99"/>
    <w:semiHidden/>
    <w:unhideWhenUsed/>
    <w:rsid w:val="00F93BC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93B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595F7-BCA1-4F75-B1EE-4F236F348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779</Words>
  <Characters>4445</Characters>
  <Application>Microsoft Office Word</Application>
  <DocSecurity>0</DocSecurity>
  <Lines>37</Lines>
  <Paragraphs>10</Paragraphs>
  <ScaleCrop>false</ScaleCrop>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王熙碩</dc:creator>
  <cp:keywords/>
  <dc:description/>
  <cp:lastModifiedBy>王熙碩</cp:lastModifiedBy>
  <cp:revision>9</cp:revision>
  <cp:lastPrinted>2020-09-14T08:59:00Z</cp:lastPrinted>
  <dcterms:created xsi:type="dcterms:W3CDTF">2020-09-24T02:18:00Z</dcterms:created>
  <dcterms:modified xsi:type="dcterms:W3CDTF">2020-09-29T07:56:00Z</dcterms:modified>
</cp:coreProperties>
</file>