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9A0A" w14:textId="77777777" w:rsidR="002E60F6" w:rsidRDefault="007848A2" w:rsidP="000E754B">
      <w:pPr>
        <w:pStyle w:val="1"/>
        <w:spacing w:line="240" w:lineRule="auto"/>
        <w:rPr>
          <w:rFonts w:ascii="Times New Roman" w:hAnsi="Times New Roman"/>
        </w:rPr>
      </w:pPr>
      <w:bookmarkStart w:id="0" w:name="_Toc521333971"/>
      <w:proofErr w:type="spellStart"/>
      <w:r w:rsidRPr="002E433B">
        <w:rPr>
          <w:rFonts w:ascii="Times New Roman" w:hAnsi="Times New Roman" w:hint="eastAsia"/>
        </w:rPr>
        <w:t>財團法人中華民國證券櫃檯買賣中心</w:t>
      </w:r>
      <w:r w:rsidR="000E754B" w:rsidRPr="000E754B">
        <w:rPr>
          <w:rFonts w:ascii="Times New Roman" w:hAnsi="Times New Roman" w:hint="eastAsia"/>
        </w:rPr>
        <w:t>證券商營業處所</w:t>
      </w:r>
      <w:proofErr w:type="spellEnd"/>
    </w:p>
    <w:p w14:paraId="0E1B8B33" w14:textId="3E9E7BA1" w:rsidR="007848A2" w:rsidRPr="002E433B" w:rsidRDefault="000E754B" w:rsidP="000E754B">
      <w:pPr>
        <w:pStyle w:val="1"/>
        <w:spacing w:line="240" w:lineRule="auto"/>
        <w:rPr>
          <w:rFonts w:ascii="Times New Roman" w:hAnsi="Times New Roman"/>
        </w:rPr>
      </w:pPr>
      <w:proofErr w:type="spellStart"/>
      <w:r w:rsidRPr="000E754B">
        <w:rPr>
          <w:rFonts w:ascii="Times New Roman" w:hAnsi="Times New Roman" w:hint="eastAsia"/>
        </w:rPr>
        <w:t>買賣認購（售）權證審查準則</w:t>
      </w:r>
      <w:r w:rsidR="007848A2" w:rsidRPr="002E433B">
        <w:rPr>
          <w:rFonts w:ascii="Times New Roman" w:hAnsi="Times New Roman" w:hint="eastAsia"/>
        </w:rPr>
        <w:t>第</w:t>
      </w:r>
      <w:r>
        <w:rPr>
          <w:rFonts w:ascii="Times New Roman" w:hAnsi="Times New Roman" w:hint="eastAsia"/>
          <w:lang w:eastAsia="zh-TW"/>
        </w:rPr>
        <w:t>十一條</w:t>
      </w:r>
      <w:r w:rsidR="007848A2" w:rsidRPr="002E433B">
        <w:rPr>
          <w:rFonts w:ascii="Times New Roman" w:hAnsi="Times New Roman" w:hint="eastAsia"/>
        </w:rPr>
        <w:t>修正條文對照表</w:t>
      </w:r>
      <w:bookmarkEnd w:id="0"/>
      <w:proofErr w:type="spell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6"/>
        <w:gridCol w:w="3456"/>
        <w:gridCol w:w="3168"/>
      </w:tblGrid>
      <w:tr w:rsidR="007848A2" w:rsidRPr="005F3190" w14:paraId="0414CA0D" w14:textId="77777777" w:rsidTr="00052686">
        <w:trPr>
          <w:tblHeader/>
          <w:jc w:val="center"/>
        </w:trPr>
        <w:tc>
          <w:tcPr>
            <w:tcW w:w="3456" w:type="dxa"/>
          </w:tcPr>
          <w:p w14:paraId="51B7D25B" w14:textId="77777777" w:rsidR="007848A2" w:rsidRPr="005F3190" w:rsidRDefault="007848A2" w:rsidP="00223D11">
            <w:pPr>
              <w:jc w:val="center"/>
              <w:rPr>
                <w:rFonts w:ascii="Times New Roman" w:eastAsia="標楷體" w:hAnsi="Times New Roman"/>
                <w:bCs/>
                <w:color w:val="000000"/>
                <w:sz w:val="27"/>
                <w:szCs w:val="27"/>
              </w:rPr>
            </w:pPr>
            <w:r w:rsidRPr="005F3190">
              <w:rPr>
                <w:rFonts w:ascii="Times New Roman" w:eastAsia="標楷體" w:hAnsi="Times New Roman"/>
                <w:bCs/>
                <w:color w:val="000000"/>
                <w:sz w:val="27"/>
                <w:szCs w:val="27"/>
              </w:rPr>
              <w:t>修　　正　　條　　文</w:t>
            </w:r>
          </w:p>
        </w:tc>
        <w:tc>
          <w:tcPr>
            <w:tcW w:w="3456" w:type="dxa"/>
          </w:tcPr>
          <w:p w14:paraId="140DDB0E" w14:textId="77777777" w:rsidR="007848A2" w:rsidRPr="005F3190" w:rsidRDefault="007848A2" w:rsidP="00223D11">
            <w:pPr>
              <w:jc w:val="center"/>
              <w:rPr>
                <w:rFonts w:ascii="Times New Roman" w:eastAsia="標楷體" w:hAnsi="Times New Roman"/>
                <w:bCs/>
                <w:color w:val="000000"/>
                <w:sz w:val="27"/>
                <w:szCs w:val="27"/>
              </w:rPr>
            </w:pPr>
            <w:r w:rsidRPr="005F3190">
              <w:rPr>
                <w:rFonts w:ascii="Times New Roman" w:eastAsia="標楷體" w:hAnsi="Times New Roman"/>
                <w:bCs/>
                <w:color w:val="000000"/>
                <w:sz w:val="27"/>
                <w:szCs w:val="27"/>
              </w:rPr>
              <w:t>現　　行　　條　　文</w:t>
            </w:r>
          </w:p>
        </w:tc>
        <w:tc>
          <w:tcPr>
            <w:tcW w:w="3168" w:type="dxa"/>
          </w:tcPr>
          <w:p w14:paraId="7299746F" w14:textId="77777777" w:rsidR="007848A2" w:rsidRPr="005F3190" w:rsidRDefault="007848A2" w:rsidP="00223D11">
            <w:pPr>
              <w:jc w:val="center"/>
              <w:rPr>
                <w:rFonts w:ascii="Times New Roman" w:eastAsia="標楷體" w:hAnsi="Times New Roman"/>
                <w:bCs/>
                <w:color w:val="000000"/>
                <w:sz w:val="27"/>
                <w:szCs w:val="27"/>
              </w:rPr>
            </w:pPr>
            <w:r w:rsidRPr="005F3190">
              <w:rPr>
                <w:rFonts w:ascii="Times New Roman" w:eastAsia="標楷體" w:hAnsi="Times New Roman"/>
                <w:bCs/>
                <w:color w:val="000000"/>
                <w:sz w:val="27"/>
                <w:szCs w:val="27"/>
              </w:rPr>
              <w:t>說　　　　　　明</w:t>
            </w:r>
          </w:p>
        </w:tc>
      </w:tr>
      <w:tr w:rsidR="007848A2" w:rsidRPr="005F3190" w14:paraId="65F8FFD5" w14:textId="77777777" w:rsidTr="00553182">
        <w:trPr>
          <w:jc w:val="center"/>
        </w:trPr>
        <w:tc>
          <w:tcPr>
            <w:tcW w:w="3456" w:type="dxa"/>
          </w:tcPr>
          <w:p w14:paraId="2AD3E65D" w14:textId="71A044AE" w:rsidR="009B54A6" w:rsidRPr="005F3190" w:rsidRDefault="00553182" w:rsidP="009B54A6">
            <w:pPr>
              <w:pStyle w:val="HTML"/>
              <w:spacing w:line="360" w:lineRule="exact"/>
              <w:ind w:left="238" w:rightChars="10" w:right="24" w:hangingChars="88" w:hanging="238"/>
              <w:jc w:val="both"/>
              <w:rPr>
                <w:rFonts w:ascii="Times New Roman" w:eastAsia="標楷體" w:hAnsi="Times New Roman"/>
                <w:color w:val="auto"/>
                <w:sz w:val="27"/>
                <w:szCs w:val="27"/>
                <w:lang w:eastAsia="zh-TW"/>
              </w:rPr>
            </w:pPr>
            <w:r w:rsidRPr="005F3190">
              <w:rPr>
                <w:rFonts w:ascii="Times New Roman" w:eastAsia="標楷體" w:hAnsi="Times New Roman"/>
                <w:color w:val="auto"/>
                <w:sz w:val="27"/>
                <w:szCs w:val="27"/>
                <w:lang w:eastAsia="zh-TW"/>
              </w:rPr>
              <w:t>第</w:t>
            </w:r>
            <w:r w:rsidR="009B54A6" w:rsidRPr="005F3190">
              <w:rPr>
                <w:rFonts w:ascii="Times New Roman" w:eastAsia="標楷體" w:hAnsi="Times New Roman"/>
                <w:color w:val="auto"/>
                <w:sz w:val="27"/>
                <w:szCs w:val="27"/>
                <w:lang w:eastAsia="zh-TW"/>
              </w:rPr>
              <w:t>十一條</w:t>
            </w:r>
            <w:r w:rsidRPr="005F3190">
              <w:rPr>
                <w:rFonts w:ascii="Times New Roman" w:eastAsia="標楷體" w:hAnsi="Times New Roman"/>
                <w:color w:val="auto"/>
                <w:sz w:val="27"/>
                <w:szCs w:val="27"/>
                <w:lang w:eastAsia="zh-TW"/>
              </w:rPr>
              <w:t xml:space="preserve">  </w:t>
            </w:r>
            <w:r w:rsidR="009B54A6" w:rsidRPr="005F3190">
              <w:rPr>
                <w:rFonts w:ascii="Times New Roman" w:eastAsia="標楷體" w:hAnsi="Times New Roman"/>
                <w:color w:val="auto"/>
                <w:sz w:val="27"/>
                <w:szCs w:val="27"/>
                <w:lang w:eastAsia="zh-TW"/>
              </w:rPr>
              <w:t>證券商申請本中心同意上櫃之</w:t>
            </w:r>
            <w:r w:rsidR="00F92A6E" w:rsidRPr="005F3190">
              <w:rPr>
                <w:rFonts w:ascii="Times New Roman" w:eastAsia="標楷體" w:hAnsi="Times New Roman"/>
                <w:color w:val="auto"/>
                <w:sz w:val="27"/>
                <w:szCs w:val="27"/>
                <w:lang w:eastAsia="zh-TW"/>
              </w:rPr>
              <w:t>認購（售）</w:t>
            </w:r>
            <w:r w:rsidR="009B54A6" w:rsidRPr="005F3190">
              <w:rPr>
                <w:rFonts w:ascii="Times New Roman" w:eastAsia="標楷體" w:hAnsi="Times New Roman"/>
                <w:color w:val="auto"/>
                <w:sz w:val="27"/>
                <w:szCs w:val="27"/>
                <w:lang w:eastAsia="zh-TW"/>
              </w:rPr>
              <w:t>權證，應符合下列各款規定：</w:t>
            </w:r>
          </w:p>
          <w:p w14:paraId="61624879" w14:textId="59BF922A" w:rsidR="007848A2" w:rsidRPr="005F3190" w:rsidRDefault="007848A2" w:rsidP="007848A2">
            <w:pPr>
              <w:pStyle w:val="HTML"/>
              <w:spacing w:beforeLines="50" w:before="180" w:afterLines="50" w:after="180" w:line="360" w:lineRule="exact"/>
              <w:ind w:left="270" w:rightChars="10" w:right="24" w:hangingChars="100" w:hanging="27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第一</w:t>
            </w:r>
            <w:r w:rsidR="00F840EC">
              <w:rPr>
                <w:rFonts w:ascii="Times New Roman" w:eastAsia="標楷體" w:hAnsi="Times New Roman" w:hint="eastAsia"/>
                <w:color w:val="auto"/>
                <w:sz w:val="27"/>
                <w:szCs w:val="27"/>
                <w:lang w:eastAsia="zh-TW"/>
              </w:rPr>
              <w:t>款</w:t>
            </w:r>
            <w:r w:rsidRPr="005F3190">
              <w:rPr>
                <w:rFonts w:ascii="Times New Roman" w:eastAsia="標楷體" w:hAnsi="Times New Roman"/>
                <w:color w:val="auto"/>
                <w:sz w:val="27"/>
                <w:szCs w:val="27"/>
              </w:rPr>
              <w:t>及第二</w:t>
            </w:r>
            <w:r w:rsidR="00F840EC">
              <w:rPr>
                <w:rFonts w:ascii="Times New Roman" w:eastAsia="標楷體" w:hAnsi="Times New Roman" w:hint="eastAsia"/>
                <w:color w:val="auto"/>
                <w:sz w:val="27"/>
                <w:szCs w:val="27"/>
                <w:lang w:eastAsia="zh-TW"/>
              </w:rPr>
              <w:t>款</w:t>
            </w:r>
            <w:proofErr w:type="spellEnd"/>
            <w:r w:rsidRPr="005F3190">
              <w:rPr>
                <w:rFonts w:ascii="Times New Roman" w:eastAsia="標楷體" w:hAnsi="Times New Roman"/>
                <w:color w:val="auto"/>
                <w:sz w:val="27"/>
                <w:szCs w:val="27"/>
              </w:rPr>
              <w:t>略）</w:t>
            </w:r>
          </w:p>
          <w:p w14:paraId="261017D9" w14:textId="6CFE32E8" w:rsidR="009B54A6" w:rsidRPr="005F3190" w:rsidRDefault="009B54A6" w:rsidP="009B54A6">
            <w:pPr>
              <w:pStyle w:val="HTML"/>
              <w:spacing w:beforeLines="50" w:before="180" w:afterLines="50" w:after="180" w:line="360" w:lineRule="exact"/>
              <w:ind w:leftChars="62" w:left="689" w:rightChars="10" w:right="24" w:hangingChars="200" w:hanging="540"/>
              <w:rPr>
                <w:rFonts w:ascii="Times New Roman" w:eastAsia="標楷體" w:hAnsi="Times New Roman"/>
                <w:color w:val="auto"/>
                <w:sz w:val="27"/>
                <w:szCs w:val="27"/>
              </w:rPr>
            </w:pPr>
            <w:proofErr w:type="spellStart"/>
            <w:r w:rsidRPr="005F3190">
              <w:rPr>
                <w:rFonts w:ascii="Times New Roman" w:eastAsia="標楷體" w:hAnsi="Times New Roman"/>
                <w:color w:val="auto"/>
                <w:sz w:val="27"/>
                <w:szCs w:val="27"/>
              </w:rPr>
              <w:t>三、所表彰連結標的總發行額度限制</w:t>
            </w:r>
            <w:proofErr w:type="spellEnd"/>
            <w:r w:rsidRPr="005F3190">
              <w:rPr>
                <w:rFonts w:ascii="Times New Roman" w:eastAsia="標楷體" w:hAnsi="Times New Roman"/>
                <w:color w:val="auto"/>
                <w:sz w:val="27"/>
                <w:szCs w:val="27"/>
              </w:rPr>
              <w:t>：</w:t>
            </w:r>
          </w:p>
          <w:p w14:paraId="6712AFB3" w14:textId="77777777" w:rsidR="009B54A6" w:rsidRPr="005F3190" w:rsidRDefault="009B54A6" w:rsidP="003F4813">
            <w:pPr>
              <w:pStyle w:val="HTML"/>
              <w:spacing w:beforeLines="50" w:before="180" w:afterLines="50" w:after="180" w:line="360" w:lineRule="exact"/>
              <w:ind w:left="270" w:rightChars="10" w:right="24" w:hangingChars="100" w:hanging="27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第一目至第六目略</w:t>
            </w:r>
            <w:proofErr w:type="spellEnd"/>
            <w:r w:rsidRPr="005F3190">
              <w:rPr>
                <w:rFonts w:ascii="Times New Roman" w:eastAsia="標楷體" w:hAnsi="Times New Roman"/>
                <w:color w:val="auto"/>
                <w:sz w:val="27"/>
                <w:szCs w:val="27"/>
              </w:rPr>
              <w:t>）</w:t>
            </w:r>
          </w:p>
          <w:p w14:paraId="52EB5119" w14:textId="2C77B668" w:rsidR="009B54A6" w:rsidRPr="00F840EC"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u w:val="single"/>
              </w:rPr>
            </w:pP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七</w:t>
            </w:r>
            <w:r w:rsidRPr="005F3190">
              <w:rPr>
                <w:rFonts w:ascii="Times New Roman" w:eastAsia="標楷體" w:hAnsi="Times New Roman"/>
                <w:color w:val="auto"/>
                <w:sz w:val="27"/>
                <w:szCs w:val="27"/>
              </w:rPr>
              <w:t xml:space="preserve">) </w:t>
            </w:r>
            <w:r w:rsidR="008A5FA3" w:rsidRPr="00F92A6E">
              <w:rPr>
                <w:rFonts w:ascii="Times New Roman" w:eastAsia="標楷體" w:hAnsi="Times New Roman" w:hint="eastAsia"/>
                <w:color w:val="auto"/>
                <w:sz w:val="27"/>
                <w:szCs w:val="27"/>
                <w:u w:val="single"/>
                <w:lang w:eastAsia="zh-TW"/>
              </w:rPr>
              <w:t>連結</w:t>
            </w:r>
            <w:proofErr w:type="spellStart"/>
            <w:r w:rsidRPr="00F92A6E">
              <w:rPr>
                <w:rFonts w:ascii="Times New Roman" w:eastAsia="標楷體" w:hAnsi="Times New Roman"/>
                <w:color w:val="auto"/>
                <w:sz w:val="27"/>
                <w:szCs w:val="27"/>
                <w:u w:val="single"/>
              </w:rPr>
              <w:t>標的為指數</w:t>
            </w:r>
            <w:r w:rsidR="008A5FA3" w:rsidRPr="00F92A6E">
              <w:rPr>
                <w:rFonts w:ascii="Times New Roman" w:eastAsia="標楷體" w:hAnsi="Times New Roman" w:hint="eastAsia"/>
                <w:color w:val="auto"/>
                <w:sz w:val="27"/>
                <w:szCs w:val="27"/>
                <w:u w:val="single"/>
                <w:lang w:eastAsia="zh-TW"/>
              </w:rPr>
              <w:t>或</w:t>
            </w:r>
            <w:r w:rsidRPr="00F92A6E">
              <w:rPr>
                <w:rFonts w:ascii="Times New Roman" w:eastAsia="標楷體" w:hAnsi="Times New Roman"/>
                <w:color w:val="auto"/>
                <w:sz w:val="27"/>
                <w:szCs w:val="27"/>
                <w:u w:val="single"/>
              </w:rPr>
              <w:t>期貨者，其國內權證發行金額與已發行而未到期</w:t>
            </w:r>
            <w:r w:rsidR="008A5FA3" w:rsidRPr="00F92A6E">
              <w:rPr>
                <w:rFonts w:ascii="Times New Roman" w:eastAsia="標楷體" w:hAnsi="Times New Roman" w:hint="eastAsia"/>
                <w:color w:val="auto"/>
                <w:sz w:val="27"/>
                <w:szCs w:val="27"/>
                <w:u w:val="single"/>
                <w:lang w:eastAsia="zh-TW"/>
              </w:rPr>
              <w:t>且連結</w:t>
            </w:r>
            <w:r w:rsidRPr="00F92A6E">
              <w:rPr>
                <w:rFonts w:ascii="Times New Roman" w:eastAsia="標楷體" w:hAnsi="Times New Roman"/>
                <w:color w:val="auto"/>
                <w:sz w:val="27"/>
                <w:szCs w:val="27"/>
                <w:u w:val="single"/>
              </w:rPr>
              <w:t>標的為指數或期貨之上市、上櫃</w:t>
            </w:r>
            <w:r w:rsidR="00F92A6E" w:rsidRPr="00F92A6E">
              <w:rPr>
                <w:rFonts w:ascii="Times New Roman" w:eastAsia="標楷體" w:hAnsi="Times New Roman"/>
                <w:color w:val="auto"/>
                <w:sz w:val="27"/>
                <w:szCs w:val="27"/>
                <w:u w:val="single"/>
                <w:lang w:eastAsia="zh-TW"/>
              </w:rPr>
              <w:t>認購</w:t>
            </w:r>
            <w:proofErr w:type="spellEnd"/>
            <w:r w:rsidR="00F92A6E" w:rsidRPr="00F92A6E">
              <w:rPr>
                <w:rFonts w:ascii="Times New Roman" w:eastAsia="標楷體" w:hAnsi="Times New Roman"/>
                <w:color w:val="auto"/>
                <w:sz w:val="27"/>
                <w:szCs w:val="27"/>
                <w:u w:val="single"/>
                <w:lang w:eastAsia="zh-TW"/>
              </w:rPr>
              <w:t>（售）</w:t>
            </w:r>
            <w:proofErr w:type="spellStart"/>
            <w:r w:rsidRPr="00F92A6E">
              <w:rPr>
                <w:rFonts w:ascii="Times New Roman" w:eastAsia="標楷體" w:hAnsi="Times New Roman"/>
                <w:color w:val="auto"/>
                <w:sz w:val="27"/>
                <w:szCs w:val="27"/>
                <w:u w:val="single"/>
              </w:rPr>
              <w:t>權證發行市值合計數，不得超過發行人可發行額度之百分之三十。前述可發行額度依</w:t>
            </w:r>
            <w:r w:rsidR="008A5FA3" w:rsidRPr="00F92A6E">
              <w:rPr>
                <w:rFonts w:ascii="Times New Roman" w:eastAsia="標楷體" w:hAnsi="Times New Roman" w:hint="eastAsia"/>
                <w:color w:val="auto"/>
                <w:sz w:val="27"/>
                <w:szCs w:val="27"/>
                <w:u w:val="single"/>
                <w:lang w:eastAsia="zh-TW"/>
              </w:rPr>
              <w:t>本準則</w:t>
            </w:r>
            <w:r w:rsidRPr="00F92A6E">
              <w:rPr>
                <w:rFonts w:ascii="Times New Roman" w:eastAsia="標楷體" w:hAnsi="Times New Roman"/>
                <w:color w:val="auto"/>
                <w:sz w:val="27"/>
                <w:szCs w:val="27"/>
                <w:u w:val="single"/>
              </w:rPr>
              <w:t>第十二條第五款</w:t>
            </w:r>
            <w:r w:rsidR="008A5FA3" w:rsidRPr="00F92A6E">
              <w:rPr>
                <w:rFonts w:ascii="Times New Roman" w:eastAsia="標楷體" w:hAnsi="Times New Roman" w:hint="eastAsia"/>
                <w:color w:val="auto"/>
                <w:sz w:val="27"/>
                <w:szCs w:val="27"/>
                <w:u w:val="single"/>
                <w:lang w:eastAsia="zh-TW"/>
              </w:rPr>
              <w:t>第一目、第二目</w:t>
            </w:r>
            <w:r w:rsidRPr="00F840EC">
              <w:rPr>
                <w:rFonts w:ascii="Times New Roman" w:eastAsia="標楷體" w:hAnsi="Times New Roman"/>
                <w:color w:val="auto"/>
                <w:sz w:val="27"/>
                <w:szCs w:val="27"/>
                <w:u w:val="single"/>
              </w:rPr>
              <w:t>及認購（售）權證發行人評等辦法第六條、第七條等規定計算</w:t>
            </w:r>
            <w:proofErr w:type="spellEnd"/>
            <w:r w:rsidRPr="00F840EC">
              <w:rPr>
                <w:rFonts w:ascii="Times New Roman" w:eastAsia="標楷體" w:hAnsi="Times New Roman"/>
                <w:color w:val="auto"/>
                <w:sz w:val="27"/>
                <w:szCs w:val="27"/>
                <w:u w:val="single"/>
              </w:rPr>
              <w:t>。</w:t>
            </w:r>
          </w:p>
          <w:p w14:paraId="3900C665" w14:textId="0D2ABCA4" w:rsidR="008C434A" w:rsidRPr="005F3190" w:rsidRDefault="001813CF" w:rsidP="001813CF">
            <w:pPr>
              <w:pStyle w:val="HTML"/>
              <w:spacing w:beforeLines="50" w:before="180" w:afterLines="50" w:after="180" w:line="360" w:lineRule="exact"/>
              <w:ind w:leftChars="62" w:left="600" w:rightChars="10" w:right="24" w:hangingChars="167" w:hanging="451"/>
              <w:jc w:val="both"/>
              <w:rPr>
                <w:rFonts w:ascii="Times New Roman" w:eastAsia="標楷體" w:hAnsi="Times New Roman"/>
                <w:color w:val="auto"/>
                <w:sz w:val="27"/>
                <w:szCs w:val="27"/>
                <w:lang w:val="en-US"/>
              </w:rPr>
            </w:pPr>
            <w:r w:rsidRPr="005F3190">
              <w:rPr>
                <w:rFonts w:ascii="Times New Roman" w:eastAsia="標楷體" w:hAnsi="Times New Roman"/>
                <w:color w:val="auto"/>
                <w:sz w:val="27"/>
                <w:szCs w:val="27"/>
              </w:rPr>
              <w:t>(</w:t>
            </w:r>
            <w:r w:rsidR="008C434A" w:rsidRPr="005F3190">
              <w:rPr>
                <w:rFonts w:ascii="Times New Roman" w:eastAsia="標楷體" w:hAnsi="Times New Roman"/>
                <w:color w:val="auto"/>
                <w:sz w:val="27"/>
                <w:szCs w:val="27"/>
                <w:u w:val="single"/>
                <w:lang w:val="en-US"/>
              </w:rPr>
              <w:t>八</w:t>
            </w:r>
            <w:r w:rsidRPr="005F3190">
              <w:rPr>
                <w:rFonts w:ascii="Times New Roman" w:eastAsia="標楷體" w:hAnsi="Times New Roman"/>
                <w:color w:val="auto"/>
                <w:sz w:val="27"/>
                <w:szCs w:val="27"/>
              </w:rPr>
              <w:t>)</w:t>
            </w:r>
            <w:r w:rsidR="008C434A" w:rsidRPr="005F3190">
              <w:rPr>
                <w:rFonts w:ascii="Times New Roman" w:eastAsia="標楷體" w:hAnsi="Times New Roman"/>
                <w:color w:val="auto"/>
                <w:sz w:val="27"/>
                <w:szCs w:val="27"/>
                <w:lang w:val="en-US"/>
              </w:rPr>
              <w:t>連結標的為登錄櫃檯買賣之黃金現貨（以下簡稱黃金現貨）者，其發行單位所表彰之認購（售）標的單位數與現有其他已在本中心上櫃認購（售）權證同一標的之合計數，不得超過該</w:t>
            </w:r>
            <w:r w:rsidR="008C434A" w:rsidRPr="005F3190">
              <w:rPr>
                <w:rFonts w:ascii="Times New Roman" w:eastAsia="標楷體" w:hAnsi="Times New Roman"/>
                <w:color w:val="auto"/>
                <w:sz w:val="27"/>
                <w:szCs w:val="27"/>
                <w:lang w:val="en-US"/>
              </w:rPr>
              <w:lastRenderedPageBreak/>
              <w:t>標的申請日前一營業日黃金現貨保管機構受託保管之帳載總餘額。</w:t>
            </w:r>
          </w:p>
          <w:p w14:paraId="6EF3CE69" w14:textId="0B85B48C" w:rsidR="009B54A6" w:rsidRPr="005F3190" w:rsidRDefault="009B54A6" w:rsidP="008C434A">
            <w:pPr>
              <w:pStyle w:val="HTML"/>
              <w:spacing w:beforeLines="50" w:before="180" w:afterLines="50" w:after="180" w:line="360" w:lineRule="exact"/>
              <w:ind w:leftChars="62" w:left="689" w:rightChars="10" w:right="24" w:hangingChars="200" w:hanging="54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第四款至第五款略</w:t>
            </w:r>
            <w:proofErr w:type="spellEnd"/>
            <w:r w:rsidRPr="005F3190">
              <w:rPr>
                <w:rFonts w:ascii="Times New Roman" w:eastAsia="標楷體" w:hAnsi="Times New Roman"/>
                <w:color w:val="auto"/>
                <w:sz w:val="27"/>
                <w:szCs w:val="27"/>
              </w:rPr>
              <w:t>）</w:t>
            </w:r>
          </w:p>
          <w:p w14:paraId="3661EA9D" w14:textId="77777777" w:rsidR="009B54A6"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roofErr w:type="spellStart"/>
            <w:r w:rsidRPr="005F3190">
              <w:rPr>
                <w:rFonts w:ascii="Times New Roman" w:eastAsia="標楷體" w:hAnsi="Times New Roman"/>
                <w:color w:val="auto"/>
                <w:sz w:val="27"/>
                <w:szCs w:val="27"/>
              </w:rPr>
              <w:t>六、指數型認購（售）權證之標的結算指數，應按下列原則計算</w:t>
            </w:r>
            <w:proofErr w:type="spellEnd"/>
            <w:r w:rsidRPr="005F3190">
              <w:rPr>
                <w:rFonts w:ascii="Times New Roman" w:eastAsia="標楷體" w:hAnsi="Times New Roman"/>
                <w:color w:val="auto"/>
                <w:sz w:val="27"/>
                <w:szCs w:val="27"/>
              </w:rPr>
              <w:t>：</w:t>
            </w:r>
          </w:p>
          <w:p w14:paraId="6EB35B96" w14:textId="50FAC979" w:rsidR="009B54A6"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w:t>
            </w: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一）存續期間屆滿者，按收盤前三十分鐘內標的指數</w:t>
            </w:r>
            <w:proofErr w:type="spellEnd"/>
            <w:r w:rsidR="001813CF" w:rsidRPr="001813CF">
              <w:rPr>
                <w:rFonts w:ascii="Times New Roman" w:eastAsia="標楷體" w:hAnsi="Times New Roman" w:hint="eastAsia"/>
                <w:color w:val="auto"/>
                <w:sz w:val="27"/>
                <w:szCs w:val="27"/>
                <w:u w:val="single"/>
              </w:rPr>
              <w:t>(</w:t>
            </w:r>
            <w:proofErr w:type="spellStart"/>
            <w:r w:rsidR="001813CF" w:rsidRPr="001813CF">
              <w:rPr>
                <w:rFonts w:ascii="Times New Roman" w:eastAsia="標楷體" w:hAnsi="Times New Roman" w:hint="eastAsia"/>
                <w:color w:val="auto"/>
                <w:sz w:val="27"/>
                <w:szCs w:val="27"/>
                <w:u w:val="single"/>
              </w:rPr>
              <w:t>下午一時</w:t>
            </w:r>
            <w:proofErr w:type="spellEnd"/>
            <w:r w:rsidR="001813CF" w:rsidRPr="001813CF">
              <w:rPr>
                <w:rFonts w:ascii="Times New Roman" w:eastAsia="標楷體" w:hAnsi="Times New Roman" w:hint="eastAsia"/>
                <w:color w:val="auto"/>
                <w:sz w:val="27"/>
                <w:szCs w:val="27"/>
                <w:u w:val="single"/>
              </w:rPr>
              <w:t xml:space="preserve"> (</w:t>
            </w:r>
            <w:r w:rsidR="001813CF" w:rsidRPr="001813CF">
              <w:rPr>
                <w:rFonts w:ascii="Times New Roman" w:eastAsia="標楷體" w:hAnsi="Times New Roman" w:hint="eastAsia"/>
                <w:color w:val="auto"/>
                <w:sz w:val="27"/>
                <w:szCs w:val="27"/>
                <w:u w:val="single"/>
              </w:rPr>
              <w:t>不含</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至一時二十五分</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含</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，加計最後一筆收盤指數</w:t>
            </w:r>
            <w:r w:rsidR="001813CF" w:rsidRPr="001813CF">
              <w:rPr>
                <w:rFonts w:ascii="Times New Roman" w:eastAsia="標楷體" w:hAnsi="Times New Roman" w:hint="eastAsia"/>
                <w:color w:val="auto"/>
                <w:sz w:val="27"/>
                <w:szCs w:val="27"/>
                <w:u w:val="single"/>
              </w:rPr>
              <w:t>)</w:t>
            </w:r>
            <w:r w:rsidRPr="005F3190">
              <w:rPr>
                <w:rFonts w:ascii="Times New Roman" w:eastAsia="標楷體" w:hAnsi="Times New Roman"/>
                <w:color w:val="auto"/>
                <w:sz w:val="27"/>
                <w:szCs w:val="27"/>
              </w:rPr>
              <w:t>之簡單算術平均數計算，如有本中心業務規則第三十五條第四項規定情事時，延緩時間內之指數應一併列入計算。可展延下限型認購權證（牛證）或上限型認售權證（熊證）係以權證到期日標的報酬指數之報酬率調整結算基礎，按「權證發行日前一營業日標的指數之收盤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報酬率」計算，前揭報酬率以「權證到期日標的報酬指數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權證發行日前一營業日標的報酬指數」計算；如為展延期間屆滿者，前述權證發行日前一營業日以展延期間前一日替代。</w:t>
            </w:r>
          </w:p>
          <w:p w14:paraId="71CD86B2" w14:textId="77777777" w:rsidR="009B54A6"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lastRenderedPageBreak/>
              <w:t xml:space="preserve">  </w:t>
            </w: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二）標的指數之收盤指數達到上（下）限點數而提前到期者</w:t>
            </w:r>
            <w:proofErr w:type="spellEnd"/>
            <w:r w:rsidRPr="005F3190">
              <w:rPr>
                <w:rFonts w:ascii="Times New Roman" w:eastAsia="標楷體" w:hAnsi="Times New Roman"/>
                <w:color w:val="auto"/>
                <w:sz w:val="27"/>
                <w:szCs w:val="27"/>
              </w:rPr>
              <w:t>：</w:t>
            </w:r>
          </w:p>
          <w:p w14:paraId="69AE67F3" w14:textId="3FF00782" w:rsidR="009B54A6"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1.</w:t>
            </w:r>
            <w:r w:rsidRPr="005F3190">
              <w:rPr>
                <w:rFonts w:ascii="Times New Roman" w:eastAsia="標楷體" w:hAnsi="Times New Roman"/>
                <w:color w:val="auto"/>
                <w:sz w:val="27"/>
                <w:szCs w:val="27"/>
              </w:rPr>
              <w:t>上限型認購權證或下限型認售權證，按該權證最後交易日標的指數之收盤指數計算。</w:t>
            </w:r>
          </w:p>
          <w:p w14:paraId="633C4A38" w14:textId="1666E98F" w:rsidR="009B54A6"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2.</w:t>
            </w:r>
            <w:r w:rsidRPr="005F3190">
              <w:rPr>
                <w:rFonts w:ascii="Times New Roman" w:eastAsia="標楷體" w:hAnsi="Times New Roman"/>
                <w:color w:val="auto"/>
                <w:sz w:val="27"/>
                <w:szCs w:val="27"/>
              </w:rPr>
              <w:t>下限型認購權證（牛證）或上限型認售權證（熊證），按該權證最後交易日之次一營業日標的指數</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上午九時至下午一時二十五分</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含</w:t>
            </w:r>
            <w:r w:rsidR="001813CF" w:rsidRPr="001813CF">
              <w:rPr>
                <w:rFonts w:ascii="Times New Roman" w:eastAsia="標楷體" w:hAnsi="Times New Roman" w:hint="eastAsia"/>
                <w:color w:val="auto"/>
                <w:sz w:val="27"/>
                <w:szCs w:val="27"/>
                <w:u w:val="single"/>
              </w:rPr>
              <w:t>)</w:t>
            </w:r>
            <w:r w:rsidR="001813CF" w:rsidRPr="001813CF">
              <w:rPr>
                <w:rFonts w:ascii="Times New Roman" w:eastAsia="標楷體" w:hAnsi="Times New Roman" w:hint="eastAsia"/>
                <w:color w:val="auto"/>
                <w:sz w:val="27"/>
                <w:szCs w:val="27"/>
                <w:u w:val="single"/>
              </w:rPr>
              <w:t>，加計最後一筆收盤指數</w:t>
            </w:r>
            <w:r w:rsidR="001813CF" w:rsidRPr="001813CF">
              <w:rPr>
                <w:rFonts w:ascii="Times New Roman" w:eastAsia="標楷體" w:hAnsi="Times New Roman" w:hint="eastAsia"/>
                <w:color w:val="auto"/>
                <w:sz w:val="27"/>
                <w:szCs w:val="27"/>
                <w:u w:val="single"/>
              </w:rPr>
              <w:t>)</w:t>
            </w:r>
            <w:r w:rsidRPr="005F3190">
              <w:rPr>
                <w:rFonts w:ascii="Times New Roman" w:eastAsia="標楷體" w:hAnsi="Times New Roman"/>
                <w:color w:val="auto"/>
                <w:sz w:val="27"/>
                <w:szCs w:val="27"/>
              </w:rPr>
              <w:t>之簡單算術平均數計算。</w:t>
            </w:r>
          </w:p>
          <w:p w14:paraId="752CDB53" w14:textId="7931E385" w:rsidR="007848A2" w:rsidRPr="005F3190" w:rsidRDefault="009B54A6" w:rsidP="008C434A">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3.</w:t>
            </w:r>
            <w:r w:rsidRPr="005F3190">
              <w:rPr>
                <w:rFonts w:ascii="Times New Roman" w:eastAsia="標楷體" w:hAnsi="Times New Roman"/>
                <w:color w:val="auto"/>
                <w:sz w:val="27"/>
                <w:szCs w:val="27"/>
              </w:rPr>
              <w:t>可展延下限型認購權證（牛證）或上限型認售權證（熊證）係以權證最後交易日之次一營業日標的報酬指數之報酬率調整結算基礎，按「權證發行日前一營業日標的指數之收盤指數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報酬率」計算，前揭報酬率以「權證最後交易日次一營業日標的報酬指數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權證發行日前一營業日標的報酬指數」計算；如為展延期間提前到期者，前述權證發行日前一營業日以展延期間前一日替代。</w:t>
            </w:r>
          </w:p>
        </w:tc>
        <w:tc>
          <w:tcPr>
            <w:tcW w:w="3456" w:type="dxa"/>
          </w:tcPr>
          <w:p w14:paraId="54E6E880" w14:textId="087E1A60" w:rsidR="007848A2" w:rsidRPr="005F3190" w:rsidRDefault="00553182" w:rsidP="005531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283" w:rightChars="10" w:right="24" w:hangingChars="105" w:hanging="283"/>
              <w:jc w:val="both"/>
              <w:rPr>
                <w:rFonts w:ascii="Times New Roman" w:eastAsia="標楷體" w:hAnsi="Times New Roman"/>
                <w:color w:val="auto"/>
                <w:sz w:val="27"/>
                <w:szCs w:val="27"/>
              </w:rPr>
            </w:pPr>
            <w:r w:rsidRPr="005F3190">
              <w:rPr>
                <w:rFonts w:ascii="Times New Roman" w:eastAsia="標楷體" w:hAnsi="Times New Roman"/>
                <w:color w:val="auto"/>
                <w:sz w:val="27"/>
                <w:szCs w:val="27"/>
                <w:lang w:eastAsia="zh-TW"/>
              </w:rPr>
              <w:lastRenderedPageBreak/>
              <w:t>第</w:t>
            </w:r>
            <w:r w:rsidR="009B54A6" w:rsidRPr="005F3190">
              <w:rPr>
                <w:rFonts w:ascii="Times New Roman" w:eastAsia="標楷體" w:hAnsi="Times New Roman"/>
                <w:color w:val="auto"/>
                <w:sz w:val="27"/>
                <w:szCs w:val="27"/>
                <w:lang w:eastAsia="zh-TW"/>
              </w:rPr>
              <w:t>十一條</w:t>
            </w:r>
            <w:r w:rsidRPr="005F3190">
              <w:rPr>
                <w:rFonts w:ascii="Times New Roman" w:eastAsia="標楷體" w:hAnsi="Times New Roman"/>
                <w:color w:val="auto"/>
                <w:sz w:val="27"/>
                <w:szCs w:val="27"/>
                <w:lang w:eastAsia="zh-TW"/>
              </w:rPr>
              <w:t xml:space="preserve">  </w:t>
            </w:r>
            <w:r w:rsidR="009B54A6" w:rsidRPr="005F3190">
              <w:rPr>
                <w:rFonts w:ascii="Times New Roman" w:eastAsia="標楷體" w:hAnsi="Times New Roman"/>
                <w:color w:val="auto"/>
                <w:sz w:val="27"/>
                <w:szCs w:val="27"/>
                <w:lang w:eastAsia="zh-TW"/>
              </w:rPr>
              <w:t>證券商申請本中心同意上櫃之認購（售）權證，應符合下列各款規定：</w:t>
            </w:r>
          </w:p>
          <w:p w14:paraId="39725F53" w14:textId="544EB32B" w:rsidR="007848A2" w:rsidRPr="005F3190" w:rsidRDefault="007848A2" w:rsidP="00223D11">
            <w:pPr>
              <w:pStyle w:val="HTML"/>
              <w:spacing w:beforeLines="50" w:before="180" w:afterLines="50" w:after="180" w:line="360" w:lineRule="exact"/>
              <w:ind w:left="270" w:rightChars="10" w:right="24" w:hangingChars="100" w:hanging="27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第一</w:t>
            </w:r>
            <w:r w:rsidR="00F840EC">
              <w:rPr>
                <w:rFonts w:ascii="Times New Roman" w:eastAsia="標楷體" w:hAnsi="Times New Roman" w:hint="eastAsia"/>
                <w:color w:val="auto"/>
                <w:sz w:val="27"/>
                <w:szCs w:val="27"/>
                <w:lang w:eastAsia="zh-TW"/>
              </w:rPr>
              <w:t>款</w:t>
            </w:r>
            <w:r w:rsidRPr="005F3190">
              <w:rPr>
                <w:rFonts w:ascii="Times New Roman" w:eastAsia="標楷體" w:hAnsi="Times New Roman"/>
                <w:color w:val="auto"/>
                <w:sz w:val="27"/>
                <w:szCs w:val="27"/>
              </w:rPr>
              <w:t>及第二</w:t>
            </w:r>
            <w:r w:rsidR="00F840EC">
              <w:rPr>
                <w:rFonts w:ascii="Times New Roman" w:eastAsia="標楷體" w:hAnsi="Times New Roman" w:hint="eastAsia"/>
                <w:color w:val="auto"/>
                <w:sz w:val="27"/>
                <w:szCs w:val="27"/>
                <w:lang w:eastAsia="zh-TW"/>
              </w:rPr>
              <w:t>款</w:t>
            </w:r>
            <w:proofErr w:type="spellEnd"/>
            <w:r w:rsidRPr="005F3190">
              <w:rPr>
                <w:rFonts w:ascii="Times New Roman" w:eastAsia="標楷體" w:hAnsi="Times New Roman"/>
                <w:color w:val="auto"/>
                <w:sz w:val="27"/>
                <w:szCs w:val="27"/>
              </w:rPr>
              <w:t>略）</w:t>
            </w:r>
          </w:p>
          <w:p w14:paraId="67965972" w14:textId="77777777" w:rsidR="009B54A6" w:rsidRPr="005F3190" w:rsidRDefault="009B54A6" w:rsidP="009B54A6">
            <w:pPr>
              <w:pStyle w:val="HTML"/>
              <w:spacing w:beforeLines="50" w:before="180" w:afterLines="50" w:after="180" w:line="360" w:lineRule="exact"/>
              <w:ind w:leftChars="62" w:left="689" w:rightChars="10" w:right="24" w:hangingChars="200" w:hanging="540"/>
              <w:rPr>
                <w:rFonts w:ascii="Times New Roman" w:eastAsia="標楷體" w:hAnsi="Times New Roman"/>
                <w:color w:val="auto"/>
                <w:sz w:val="27"/>
                <w:szCs w:val="27"/>
              </w:rPr>
            </w:pPr>
            <w:proofErr w:type="spellStart"/>
            <w:r w:rsidRPr="005F3190">
              <w:rPr>
                <w:rFonts w:ascii="Times New Roman" w:eastAsia="標楷體" w:hAnsi="Times New Roman"/>
                <w:color w:val="auto"/>
                <w:sz w:val="27"/>
                <w:szCs w:val="27"/>
              </w:rPr>
              <w:t>三、所表彰連結標的總發行額度限制</w:t>
            </w:r>
            <w:proofErr w:type="spellEnd"/>
            <w:r w:rsidRPr="005F3190">
              <w:rPr>
                <w:rFonts w:ascii="Times New Roman" w:eastAsia="標楷體" w:hAnsi="Times New Roman"/>
                <w:color w:val="auto"/>
                <w:sz w:val="27"/>
                <w:szCs w:val="27"/>
              </w:rPr>
              <w:t>：</w:t>
            </w:r>
          </w:p>
          <w:p w14:paraId="36D13A03" w14:textId="77777777" w:rsidR="009B54A6" w:rsidRPr="005F3190" w:rsidRDefault="009B54A6" w:rsidP="003F4813">
            <w:pPr>
              <w:pStyle w:val="HTML"/>
              <w:spacing w:beforeLines="50" w:before="180" w:afterLines="50" w:after="180" w:line="360" w:lineRule="exact"/>
              <w:ind w:left="270" w:rightChars="10" w:right="24" w:hangingChars="100" w:hanging="27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第一目至第六目略</w:t>
            </w:r>
            <w:proofErr w:type="spellEnd"/>
            <w:r w:rsidRPr="005F3190">
              <w:rPr>
                <w:rFonts w:ascii="Times New Roman" w:eastAsia="標楷體" w:hAnsi="Times New Roman"/>
                <w:color w:val="auto"/>
                <w:sz w:val="27"/>
                <w:szCs w:val="27"/>
              </w:rPr>
              <w:t>）</w:t>
            </w:r>
          </w:p>
          <w:p w14:paraId="56BC51E5" w14:textId="77777777" w:rsidR="00633A3C" w:rsidRDefault="008A5FA3"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r w:rsidRPr="008A5FA3">
              <w:rPr>
                <w:rFonts w:ascii="Times New Roman" w:eastAsia="標楷體" w:hAnsi="Times New Roman" w:hint="eastAsia"/>
                <w:color w:val="FFFFFF" w:themeColor="background1"/>
                <w:sz w:val="27"/>
                <w:szCs w:val="27"/>
                <w:lang w:eastAsia="zh-TW"/>
              </w:rPr>
              <w:t>連結</w:t>
            </w:r>
            <w:r w:rsidR="00633A3C">
              <w:rPr>
                <w:rFonts w:ascii="Times New Roman" w:eastAsia="標楷體" w:hAnsi="Times New Roman" w:hint="eastAsia"/>
                <w:color w:val="FFFFFF" w:themeColor="background1"/>
                <w:sz w:val="27"/>
                <w:szCs w:val="27"/>
                <w:u w:val="single"/>
                <w:lang w:eastAsia="zh-TW"/>
              </w:rPr>
              <w:t xml:space="preserve"> </w:t>
            </w:r>
          </w:p>
          <w:p w14:paraId="0C3B3C95"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43A473C2"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0244946A"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08DD1E11"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4C9DC8E1"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414312C2"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5FF60E20" w14:textId="77777777" w:rsidR="00633A3C"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p>
          <w:p w14:paraId="3A3262FB" w14:textId="7542A9C7" w:rsidR="008A5FA3" w:rsidRDefault="00633A3C" w:rsidP="008A5FA3">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FFFFFF" w:themeColor="background1"/>
                <w:sz w:val="27"/>
                <w:szCs w:val="27"/>
                <w:u w:val="single"/>
              </w:rPr>
            </w:pPr>
            <w:r>
              <w:rPr>
                <w:rFonts w:ascii="Times New Roman" w:eastAsia="標楷體" w:hAnsi="Times New Roman" w:hint="eastAsia"/>
                <w:color w:val="FFFFFF" w:themeColor="background1"/>
                <w:sz w:val="27"/>
                <w:szCs w:val="27"/>
                <w:u w:val="single"/>
                <w:lang w:eastAsia="zh-TW"/>
              </w:rPr>
              <w:t xml:space="preserve"> </w:t>
            </w:r>
          </w:p>
          <w:p w14:paraId="19783A6C" w14:textId="77777777" w:rsidR="00633A3C" w:rsidRPr="008A5FA3" w:rsidRDefault="00633A3C" w:rsidP="00633A3C">
            <w:pPr>
              <w:pStyle w:val="HTML"/>
              <w:spacing w:beforeLines="50" w:before="180" w:afterLines="50" w:after="180" w:line="360" w:lineRule="auto"/>
              <w:ind w:leftChars="62" w:left="689" w:rightChars="10" w:right="24" w:hangingChars="200" w:hanging="540"/>
              <w:jc w:val="both"/>
              <w:rPr>
                <w:rFonts w:ascii="Times New Roman" w:eastAsia="標楷體" w:hAnsi="Times New Roman"/>
                <w:color w:val="FFFFFF" w:themeColor="background1"/>
                <w:sz w:val="27"/>
                <w:szCs w:val="27"/>
                <w:u w:val="single"/>
              </w:rPr>
            </w:pPr>
          </w:p>
          <w:p w14:paraId="2FE413D3" w14:textId="3CDA6AAC" w:rsidR="008C434A" w:rsidRPr="005F3190" w:rsidRDefault="008C434A" w:rsidP="001813CF">
            <w:pPr>
              <w:pStyle w:val="HTML"/>
              <w:spacing w:beforeLines="50" w:before="180" w:afterLines="50" w:after="180" w:line="360" w:lineRule="exact"/>
              <w:ind w:leftChars="61" w:left="551" w:rightChars="10" w:right="24" w:hangingChars="150" w:hanging="405"/>
              <w:jc w:val="both"/>
              <w:rPr>
                <w:rFonts w:ascii="Times New Roman" w:eastAsia="標楷體" w:hAnsi="Times New Roman"/>
                <w:color w:val="auto"/>
                <w:sz w:val="27"/>
                <w:szCs w:val="27"/>
                <w:lang w:val="en-US"/>
              </w:rPr>
            </w:pP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七</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lang w:val="en-US"/>
              </w:rPr>
              <w:t>連結標的為登錄櫃檯買賣之黃金現貨（以下簡稱黃金現貨）者，其發行單位所表彰之認購（售）標的單位數與現有其他已在本中心上櫃認購（售）權證同一標的之合計數，不得超過該</w:t>
            </w:r>
            <w:r w:rsidRPr="005F3190">
              <w:rPr>
                <w:rFonts w:ascii="Times New Roman" w:eastAsia="標楷體" w:hAnsi="Times New Roman"/>
                <w:color w:val="auto"/>
                <w:sz w:val="27"/>
                <w:szCs w:val="27"/>
                <w:lang w:val="en-US"/>
              </w:rPr>
              <w:lastRenderedPageBreak/>
              <w:t>標的申請日前一營業日</w:t>
            </w:r>
            <w:r w:rsidR="001813CF" w:rsidRPr="005F3190">
              <w:rPr>
                <w:rFonts w:ascii="Times New Roman" w:eastAsia="標楷體" w:hAnsi="Times New Roman"/>
                <w:color w:val="auto"/>
                <w:sz w:val="27"/>
                <w:szCs w:val="27"/>
                <w:lang w:val="en-US"/>
              </w:rPr>
              <w:t>黃金現貨保管機構受託保管之帳載總餘額。</w:t>
            </w:r>
          </w:p>
          <w:p w14:paraId="2D0748EF" w14:textId="77777777" w:rsidR="009B54A6" w:rsidRPr="005F3190" w:rsidRDefault="009B54A6" w:rsidP="008C434A">
            <w:pPr>
              <w:pStyle w:val="HTML"/>
              <w:spacing w:beforeLines="50" w:before="180" w:afterLines="50" w:after="180" w:line="360" w:lineRule="exact"/>
              <w:ind w:leftChars="62" w:left="689" w:rightChars="10" w:right="24" w:hangingChars="200" w:hanging="540"/>
              <w:jc w:val="center"/>
              <w:rPr>
                <w:rFonts w:ascii="Times New Roman" w:eastAsia="標楷體" w:hAnsi="Times New Roman"/>
                <w:color w:val="auto"/>
                <w:sz w:val="27"/>
                <w:szCs w:val="27"/>
              </w:rPr>
            </w:pP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第四款至第五款略</w:t>
            </w:r>
            <w:proofErr w:type="spellEnd"/>
            <w:r w:rsidRPr="005F3190">
              <w:rPr>
                <w:rFonts w:ascii="Times New Roman" w:eastAsia="標楷體" w:hAnsi="Times New Roman"/>
                <w:color w:val="auto"/>
                <w:sz w:val="27"/>
                <w:szCs w:val="27"/>
              </w:rPr>
              <w:t>）</w:t>
            </w:r>
          </w:p>
          <w:p w14:paraId="5669F29C" w14:textId="77777777" w:rsidR="001813CF" w:rsidRPr="005F3190" w:rsidRDefault="001813CF"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roofErr w:type="spellStart"/>
            <w:r w:rsidRPr="005F3190">
              <w:rPr>
                <w:rFonts w:ascii="Times New Roman" w:eastAsia="標楷體" w:hAnsi="Times New Roman"/>
                <w:color w:val="auto"/>
                <w:sz w:val="27"/>
                <w:szCs w:val="27"/>
              </w:rPr>
              <w:t>六、指數型認購（售）權證之標的結算指數，應按下列原則計算</w:t>
            </w:r>
            <w:proofErr w:type="spellEnd"/>
            <w:r w:rsidRPr="005F3190">
              <w:rPr>
                <w:rFonts w:ascii="Times New Roman" w:eastAsia="標楷體" w:hAnsi="Times New Roman"/>
                <w:color w:val="auto"/>
                <w:sz w:val="27"/>
                <w:szCs w:val="27"/>
              </w:rPr>
              <w:t>：</w:t>
            </w:r>
          </w:p>
          <w:p w14:paraId="398D2C01" w14:textId="3608FCD5" w:rsidR="001813CF" w:rsidRDefault="001813CF"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w:t>
            </w:r>
            <w:r w:rsidRPr="005F3190">
              <w:rPr>
                <w:rFonts w:ascii="Times New Roman" w:eastAsia="標楷體" w:hAnsi="Times New Roman"/>
                <w:color w:val="auto"/>
                <w:sz w:val="27"/>
                <w:szCs w:val="27"/>
              </w:rPr>
              <w:t>（一）存續期間屆滿者，按收盤前三十分鐘內標的指數之簡單算術平均數計算，如有本中心業務規則第三十五條第四項規定情事時，延緩時間內之指數應一併列入計算。可展延下限型認購權證（牛證）或上限型認售權證（熊證）係以權證到期日標的報酬指數之報酬率調整結算基礎，按「權證發行日前一營業日標的指數之收盤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報酬率」計算，前揭報酬率以「權證到期日標的報酬指數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權證發行日前一營業日標的報酬指數」計算；如為展延期間屆滿者，前述權證發行日前一營業日以展延期間前一日替代。</w:t>
            </w:r>
          </w:p>
          <w:p w14:paraId="11D84994" w14:textId="0818BC69" w:rsidR="001813CF" w:rsidRDefault="001813CF"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
          <w:p w14:paraId="3800CDDE" w14:textId="77777777" w:rsidR="008A5FA3" w:rsidRPr="005F3190" w:rsidRDefault="008A5FA3"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
          <w:p w14:paraId="77DDFA53" w14:textId="77777777" w:rsidR="001813CF" w:rsidRPr="005F3190" w:rsidRDefault="001813CF"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lastRenderedPageBreak/>
              <w:t xml:space="preserve">  </w:t>
            </w:r>
            <w:r w:rsidRPr="005F3190">
              <w:rPr>
                <w:rFonts w:ascii="Times New Roman" w:eastAsia="標楷體" w:hAnsi="Times New Roman"/>
                <w:color w:val="auto"/>
                <w:sz w:val="27"/>
                <w:szCs w:val="27"/>
              </w:rPr>
              <w:t>（</w:t>
            </w:r>
            <w:proofErr w:type="spellStart"/>
            <w:r w:rsidRPr="005F3190">
              <w:rPr>
                <w:rFonts w:ascii="Times New Roman" w:eastAsia="標楷體" w:hAnsi="Times New Roman"/>
                <w:color w:val="auto"/>
                <w:sz w:val="27"/>
                <w:szCs w:val="27"/>
              </w:rPr>
              <w:t>二）標的指數之收盤指數達到上（下）限點數而提前到期者</w:t>
            </w:r>
            <w:proofErr w:type="spellEnd"/>
            <w:r w:rsidRPr="005F3190">
              <w:rPr>
                <w:rFonts w:ascii="Times New Roman" w:eastAsia="標楷體" w:hAnsi="Times New Roman"/>
                <w:color w:val="auto"/>
                <w:sz w:val="27"/>
                <w:szCs w:val="27"/>
              </w:rPr>
              <w:t>：</w:t>
            </w:r>
          </w:p>
          <w:p w14:paraId="19D94BCC" w14:textId="77777777" w:rsidR="001813CF" w:rsidRPr="005F3190" w:rsidRDefault="001813CF" w:rsidP="001813CF">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1.</w:t>
            </w:r>
            <w:r w:rsidRPr="005F3190">
              <w:rPr>
                <w:rFonts w:ascii="Times New Roman" w:eastAsia="標楷體" w:hAnsi="Times New Roman"/>
                <w:color w:val="auto"/>
                <w:sz w:val="27"/>
                <w:szCs w:val="27"/>
              </w:rPr>
              <w:t>上限型認購權證或下限型認售權證，按該權證最後交易日標的指數之收盤指數計算。</w:t>
            </w:r>
          </w:p>
          <w:p w14:paraId="655E9BB2" w14:textId="77777777" w:rsidR="00F92A6E" w:rsidRDefault="001813CF" w:rsidP="00F92A6E">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 xml:space="preserve">    2.</w:t>
            </w:r>
            <w:r w:rsidRPr="005F3190">
              <w:rPr>
                <w:rFonts w:ascii="Times New Roman" w:eastAsia="標楷體" w:hAnsi="Times New Roman"/>
                <w:color w:val="auto"/>
                <w:sz w:val="27"/>
                <w:szCs w:val="27"/>
              </w:rPr>
              <w:t>下限型認購權證（牛證）或上限型認售權證（熊證），</w:t>
            </w:r>
            <w:proofErr w:type="spellStart"/>
            <w:r w:rsidRPr="005F3190">
              <w:rPr>
                <w:rFonts w:ascii="Times New Roman" w:eastAsia="標楷體" w:hAnsi="Times New Roman"/>
                <w:color w:val="auto"/>
                <w:sz w:val="27"/>
                <w:szCs w:val="27"/>
              </w:rPr>
              <w:t>按該權證最後交易日之次一營業日標的指數之簡單算術平均數計算</w:t>
            </w:r>
            <w:proofErr w:type="spellEnd"/>
            <w:r w:rsidRPr="005F3190">
              <w:rPr>
                <w:rFonts w:ascii="Times New Roman" w:eastAsia="標楷體" w:hAnsi="Times New Roman"/>
                <w:color w:val="auto"/>
                <w:sz w:val="27"/>
                <w:szCs w:val="27"/>
              </w:rPr>
              <w:t>。</w:t>
            </w:r>
          </w:p>
          <w:p w14:paraId="6FDF1071" w14:textId="77777777" w:rsidR="00F92A6E" w:rsidRDefault="00F92A6E" w:rsidP="00F92A6E">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
          <w:p w14:paraId="56F1A592" w14:textId="77777777" w:rsidR="00F92A6E" w:rsidRDefault="00F92A6E" w:rsidP="00F92A6E">
            <w:pPr>
              <w:pStyle w:val="HTML"/>
              <w:spacing w:beforeLines="50" w:before="180" w:afterLines="50" w:after="180" w:line="360" w:lineRule="exact"/>
              <w:ind w:leftChars="62" w:left="689" w:rightChars="10" w:right="24" w:hangingChars="200" w:hanging="540"/>
              <w:jc w:val="both"/>
              <w:rPr>
                <w:rFonts w:ascii="Times New Roman" w:eastAsia="標楷體" w:hAnsi="Times New Roman"/>
                <w:color w:val="auto"/>
                <w:sz w:val="27"/>
                <w:szCs w:val="27"/>
              </w:rPr>
            </w:pPr>
          </w:p>
          <w:p w14:paraId="23806DEE" w14:textId="5B86A195" w:rsidR="007848A2" w:rsidRPr="005F3190" w:rsidRDefault="001813CF" w:rsidP="00F92A6E">
            <w:pPr>
              <w:pStyle w:val="HTML"/>
              <w:spacing w:beforeLines="50" w:before="180" w:afterLines="50" w:after="180" w:line="360" w:lineRule="exact"/>
              <w:ind w:leftChars="270" w:left="686" w:rightChars="10" w:right="24" w:hangingChars="14" w:hanging="38"/>
              <w:jc w:val="both"/>
              <w:rPr>
                <w:rFonts w:ascii="Times New Roman" w:eastAsia="標楷體" w:hAnsi="Times New Roman"/>
                <w:color w:val="auto"/>
                <w:sz w:val="27"/>
                <w:szCs w:val="27"/>
              </w:rPr>
            </w:pPr>
            <w:r w:rsidRPr="005F3190">
              <w:rPr>
                <w:rFonts w:ascii="Times New Roman" w:eastAsia="標楷體" w:hAnsi="Times New Roman"/>
                <w:color w:val="auto"/>
                <w:sz w:val="27"/>
                <w:szCs w:val="27"/>
              </w:rPr>
              <w:t>3.</w:t>
            </w:r>
            <w:r w:rsidRPr="005F3190">
              <w:rPr>
                <w:rFonts w:ascii="Times New Roman" w:eastAsia="標楷體" w:hAnsi="Times New Roman"/>
                <w:color w:val="auto"/>
                <w:sz w:val="27"/>
                <w:szCs w:val="27"/>
              </w:rPr>
              <w:t>可展延下限型認購權證（牛證）或上限型認售權證（熊證）係以權證最後交易日之次一營業日標的報酬指數之報酬率調整結算基礎，按「權證發行日前一營業日標的指數之收盤指數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報酬率」計算，前揭報酬率以「權證最後交易日次一營業日標的報酬指數</w:t>
            </w:r>
            <w:r w:rsidRPr="005F3190">
              <w:rPr>
                <w:rFonts w:ascii="Times New Roman" w:eastAsia="標楷體" w:hAnsi="Times New Roman"/>
                <w:color w:val="auto"/>
                <w:sz w:val="27"/>
                <w:szCs w:val="27"/>
              </w:rPr>
              <w:t>÷</w:t>
            </w:r>
            <w:r w:rsidRPr="005F3190">
              <w:rPr>
                <w:rFonts w:ascii="Times New Roman" w:eastAsia="標楷體" w:hAnsi="Times New Roman"/>
                <w:color w:val="auto"/>
                <w:sz w:val="27"/>
                <w:szCs w:val="27"/>
              </w:rPr>
              <w:t>權證發行日前一營業日標的報酬指數」計算；如為展延期間提前到期者，前述權證發行日前一營業日以展延期間前一日替代。</w:t>
            </w:r>
          </w:p>
        </w:tc>
        <w:tc>
          <w:tcPr>
            <w:tcW w:w="3168" w:type="dxa"/>
          </w:tcPr>
          <w:p w14:paraId="4EB4F160" w14:textId="4E0986B7" w:rsidR="008C434A" w:rsidRPr="005F3190" w:rsidRDefault="008C434A" w:rsidP="005F3190">
            <w:pPr>
              <w:spacing w:line="360" w:lineRule="exact"/>
              <w:ind w:left="524" w:rightChars="10" w:right="24" w:hangingChars="194" w:hanging="524"/>
              <w:jc w:val="both"/>
              <w:rPr>
                <w:rFonts w:ascii="Times New Roman" w:eastAsia="標楷體" w:hAnsi="Times New Roman"/>
                <w:sz w:val="27"/>
                <w:szCs w:val="27"/>
              </w:rPr>
            </w:pPr>
            <w:r w:rsidRPr="005F3190">
              <w:rPr>
                <w:rFonts w:ascii="Times New Roman" w:eastAsia="標楷體" w:hAnsi="Times New Roman"/>
                <w:sz w:val="27"/>
                <w:szCs w:val="27"/>
              </w:rPr>
              <w:lastRenderedPageBreak/>
              <w:t>一、</w:t>
            </w:r>
            <w:r w:rsidR="00656F10" w:rsidRPr="00656F10">
              <w:rPr>
                <w:rFonts w:ascii="Times New Roman" w:eastAsia="標楷體" w:hAnsi="Times New Roman" w:hint="eastAsia"/>
                <w:sz w:val="27"/>
                <w:szCs w:val="27"/>
              </w:rPr>
              <w:t>為強化對指數及期貨型權證之管理與警示機制，訂定發行人發行連結指數或期貨為標的之權證時，其發行金額與已發行而未到期標的為指數或期貨之上市、上櫃權證發行市值合計數，不得超過發行人可發行額度之</w:t>
            </w:r>
            <w:r w:rsidR="00656F10" w:rsidRPr="00656F10">
              <w:rPr>
                <w:rFonts w:ascii="Times New Roman" w:eastAsia="標楷體" w:hAnsi="Times New Roman" w:hint="eastAsia"/>
                <w:sz w:val="27"/>
                <w:szCs w:val="27"/>
              </w:rPr>
              <w:t>30%</w:t>
            </w:r>
            <w:r w:rsidR="00656F10" w:rsidRPr="00656F10">
              <w:rPr>
                <w:rFonts w:ascii="Times New Roman" w:eastAsia="標楷體" w:hAnsi="Times New Roman" w:hint="eastAsia"/>
                <w:sz w:val="27"/>
                <w:szCs w:val="27"/>
              </w:rPr>
              <w:t>，以控管該等發行標的因集中度過高產生之風險，</w:t>
            </w:r>
            <w:proofErr w:type="gramStart"/>
            <w:r w:rsidR="00656F10" w:rsidRPr="00656F10">
              <w:rPr>
                <w:rFonts w:ascii="Times New Roman" w:eastAsia="標楷體" w:hAnsi="Times New Roman" w:hint="eastAsia"/>
                <w:sz w:val="27"/>
                <w:szCs w:val="27"/>
              </w:rPr>
              <w:t>爰</w:t>
            </w:r>
            <w:proofErr w:type="gramEnd"/>
            <w:r w:rsidR="00656F10" w:rsidRPr="00656F10">
              <w:rPr>
                <w:rFonts w:ascii="Times New Roman" w:eastAsia="標楷體" w:hAnsi="Times New Roman" w:hint="eastAsia"/>
                <w:sz w:val="27"/>
                <w:szCs w:val="27"/>
              </w:rPr>
              <w:t>新增本條第</w:t>
            </w:r>
            <w:r w:rsidR="00656F10">
              <w:rPr>
                <w:rFonts w:ascii="Times New Roman" w:eastAsia="標楷體" w:hAnsi="Times New Roman" w:hint="eastAsia"/>
                <w:sz w:val="27"/>
                <w:szCs w:val="27"/>
              </w:rPr>
              <w:t>一</w:t>
            </w:r>
            <w:r w:rsidR="00656F10" w:rsidRPr="00656F10">
              <w:rPr>
                <w:rFonts w:ascii="Times New Roman" w:eastAsia="標楷體" w:hAnsi="Times New Roman" w:hint="eastAsia"/>
                <w:sz w:val="27"/>
                <w:szCs w:val="27"/>
              </w:rPr>
              <w:t>項第</w:t>
            </w:r>
            <w:r w:rsidR="00656F10">
              <w:rPr>
                <w:rFonts w:ascii="Times New Roman" w:eastAsia="標楷體" w:hAnsi="Times New Roman" w:hint="eastAsia"/>
                <w:sz w:val="27"/>
                <w:szCs w:val="27"/>
              </w:rPr>
              <w:t>三</w:t>
            </w:r>
            <w:r w:rsidR="00656F10" w:rsidRPr="00656F10">
              <w:rPr>
                <w:rFonts w:ascii="Times New Roman" w:eastAsia="標楷體" w:hAnsi="Times New Roman" w:hint="eastAsia"/>
                <w:sz w:val="27"/>
                <w:szCs w:val="27"/>
              </w:rPr>
              <w:t>款第</w:t>
            </w:r>
            <w:r w:rsidR="00656F10">
              <w:rPr>
                <w:rFonts w:ascii="Times New Roman" w:eastAsia="標楷體" w:hAnsi="Times New Roman" w:hint="eastAsia"/>
                <w:sz w:val="27"/>
                <w:szCs w:val="27"/>
              </w:rPr>
              <w:t>七</w:t>
            </w:r>
            <w:r w:rsidR="00656F10" w:rsidRPr="00656F10">
              <w:rPr>
                <w:rFonts w:ascii="Times New Roman" w:eastAsia="標楷體" w:hAnsi="Times New Roman" w:hint="eastAsia"/>
                <w:sz w:val="27"/>
                <w:szCs w:val="27"/>
              </w:rPr>
              <w:t>目規定</w:t>
            </w:r>
            <w:r w:rsidR="005F3190" w:rsidRPr="005F3190">
              <w:rPr>
                <w:rFonts w:ascii="Times New Roman" w:eastAsia="標楷體" w:hAnsi="Times New Roman"/>
                <w:sz w:val="27"/>
                <w:szCs w:val="27"/>
              </w:rPr>
              <w:t>，並依序調整目次</w:t>
            </w:r>
            <w:r w:rsidRPr="005F3190">
              <w:rPr>
                <w:rFonts w:ascii="Times New Roman" w:eastAsia="標楷體" w:hAnsi="Times New Roman"/>
                <w:sz w:val="27"/>
                <w:szCs w:val="27"/>
              </w:rPr>
              <w:t>。</w:t>
            </w:r>
          </w:p>
          <w:p w14:paraId="2F7CE8BA" w14:textId="39E9C98F" w:rsidR="007848A2" w:rsidRPr="005F3190" w:rsidRDefault="008C434A" w:rsidP="005F3190">
            <w:pPr>
              <w:spacing w:line="360" w:lineRule="exact"/>
              <w:ind w:left="524" w:rightChars="10" w:right="24" w:hangingChars="194" w:hanging="524"/>
              <w:jc w:val="both"/>
              <w:rPr>
                <w:rFonts w:ascii="Times New Roman" w:eastAsia="標楷體" w:hAnsi="Times New Roman"/>
                <w:bCs/>
                <w:color w:val="000000"/>
                <w:sz w:val="27"/>
                <w:szCs w:val="27"/>
              </w:rPr>
            </w:pPr>
            <w:r w:rsidRPr="005F3190">
              <w:rPr>
                <w:rFonts w:ascii="Times New Roman" w:eastAsia="標楷體" w:hAnsi="Times New Roman"/>
                <w:sz w:val="27"/>
                <w:szCs w:val="27"/>
              </w:rPr>
              <w:t>二、</w:t>
            </w:r>
            <w:r w:rsidRPr="005F3190">
              <w:rPr>
                <w:rFonts w:ascii="Times New Roman" w:eastAsia="標楷體" w:hAnsi="Times New Roman"/>
                <w:bCs/>
                <w:color w:val="000000"/>
                <w:sz w:val="27"/>
                <w:szCs w:val="27"/>
              </w:rPr>
              <w:t>現行指數型權證之標的結算指數計算方式，屬存續期間屆滿者，係</w:t>
            </w:r>
            <w:proofErr w:type="gramStart"/>
            <w:r w:rsidRPr="005F3190">
              <w:rPr>
                <w:rFonts w:ascii="Times New Roman" w:eastAsia="標楷體" w:hAnsi="Times New Roman"/>
                <w:bCs/>
                <w:color w:val="000000"/>
                <w:sz w:val="27"/>
                <w:szCs w:val="27"/>
              </w:rPr>
              <w:t>採</w:t>
            </w:r>
            <w:proofErr w:type="gramEnd"/>
            <w:r w:rsidRPr="005F3190">
              <w:rPr>
                <w:rFonts w:ascii="Times New Roman" w:eastAsia="標楷體" w:hAnsi="Times New Roman"/>
                <w:bCs/>
                <w:color w:val="000000"/>
                <w:sz w:val="27"/>
                <w:szCs w:val="27"/>
              </w:rPr>
              <w:t>收盤前三十分鐘內所有揭示之標的指數簡單算術平均數計算，屬牛</w:t>
            </w:r>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熊</w:t>
            </w:r>
            <w:r w:rsidRPr="005F3190">
              <w:rPr>
                <w:rFonts w:ascii="Times New Roman" w:eastAsia="標楷體" w:hAnsi="Times New Roman"/>
                <w:bCs/>
                <w:color w:val="000000"/>
                <w:sz w:val="27"/>
                <w:szCs w:val="27"/>
              </w:rPr>
              <w:t>)</w:t>
            </w:r>
            <w:proofErr w:type="gramStart"/>
            <w:r w:rsidRPr="005F3190">
              <w:rPr>
                <w:rFonts w:ascii="Times New Roman" w:eastAsia="標楷體" w:hAnsi="Times New Roman"/>
                <w:bCs/>
                <w:color w:val="000000"/>
                <w:sz w:val="27"/>
                <w:szCs w:val="27"/>
              </w:rPr>
              <w:t>證達下</w:t>
            </w:r>
            <w:proofErr w:type="gramEnd"/>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上</w:t>
            </w:r>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限點數而提前到期者，</w:t>
            </w:r>
            <w:proofErr w:type="gramStart"/>
            <w:r w:rsidRPr="005F3190">
              <w:rPr>
                <w:rFonts w:ascii="Times New Roman" w:eastAsia="標楷體" w:hAnsi="Times New Roman"/>
                <w:bCs/>
                <w:color w:val="000000"/>
                <w:sz w:val="27"/>
                <w:szCs w:val="27"/>
              </w:rPr>
              <w:t>採</w:t>
            </w:r>
            <w:proofErr w:type="gramEnd"/>
            <w:r w:rsidRPr="005F3190">
              <w:rPr>
                <w:rFonts w:ascii="Times New Roman" w:eastAsia="標楷體" w:hAnsi="Times New Roman"/>
                <w:bCs/>
                <w:color w:val="000000"/>
                <w:sz w:val="27"/>
                <w:szCs w:val="27"/>
              </w:rPr>
              <w:t>該權證最後交易日之次一營業日標的指數之簡單算術平均數計算。由於</w:t>
            </w:r>
            <w:r w:rsidR="005F3190" w:rsidRPr="005F3190">
              <w:rPr>
                <w:rFonts w:ascii="Times New Roman" w:eastAsia="標楷體" w:hAnsi="Times New Roman"/>
                <w:bCs/>
                <w:color w:val="000000"/>
                <w:sz w:val="27"/>
                <w:szCs w:val="27"/>
              </w:rPr>
              <w:t>本中心上櫃股票市場</w:t>
            </w:r>
            <w:r w:rsidRPr="005F3190">
              <w:rPr>
                <w:rFonts w:ascii="Times New Roman" w:eastAsia="標楷體" w:hAnsi="Times New Roman"/>
                <w:bCs/>
                <w:color w:val="000000"/>
                <w:sz w:val="27"/>
                <w:szCs w:val="27"/>
              </w:rPr>
              <w:t>收盤前</w:t>
            </w:r>
            <w:r w:rsidRPr="005F3190">
              <w:rPr>
                <w:rFonts w:ascii="Times New Roman" w:eastAsia="標楷體" w:hAnsi="Times New Roman"/>
                <w:bCs/>
                <w:color w:val="000000"/>
                <w:sz w:val="27"/>
                <w:szCs w:val="27"/>
              </w:rPr>
              <w:t>5</w:t>
            </w:r>
            <w:r w:rsidRPr="005F3190">
              <w:rPr>
                <w:rFonts w:ascii="Times New Roman" w:eastAsia="標楷體" w:hAnsi="Times New Roman"/>
                <w:bCs/>
                <w:color w:val="000000"/>
                <w:sz w:val="27"/>
                <w:szCs w:val="27"/>
              </w:rPr>
              <w:t>分鐘係</w:t>
            </w:r>
            <w:proofErr w:type="gramStart"/>
            <w:r w:rsidRPr="005F3190">
              <w:rPr>
                <w:rFonts w:ascii="Times New Roman" w:eastAsia="標楷體" w:hAnsi="Times New Roman"/>
                <w:bCs/>
                <w:color w:val="000000"/>
                <w:sz w:val="27"/>
                <w:szCs w:val="27"/>
              </w:rPr>
              <w:t>採</w:t>
            </w:r>
            <w:proofErr w:type="gramEnd"/>
            <w:r w:rsidRPr="005F3190">
              <w:rPr>
                <w:rFonts w:ascii="Times New Roman" w:eastAsia="標楷體" w:hAnsi="Times New Roman"/>
                <w:bCs/>
                <w:color w:val="000000"/>
                <w:sz w:val="27"/>
                <w:szCs w:val="27"/>
              </w:rPr>
              <w:t>集合</w:t>
            </w:r>
            <w:r w:rsidR="001136A6">
              <w:rPr>
                <w:rFonts w:ascii="Times New Roman" w:eastAsia="標楷體" w:hAnsi="Times New Roman" w:hint="eastAsia"/>
                <w:bCs/>
                <w:color w:val="000000"/>
                <w:sz w:val="27"/>
                <w:szCs w:val="27"/>
              </w:rPr>
              <w:t>交易方式撮合</w:t>
            </w:r>
            <w:r w:rsidRPr="005F3190">
              <w:rPr>
                <w:rFonts w:ascii="Times New Roman" w:eastAsia="標楷體" w:hAnsi="Times New Roman"/>
                <w:bCs/>
                <w:color w:val="000000"/>
                <w:sz w:val="27"/>
                <w:szCs w:val="27"/>
              </w:rPr>
              <w:t>，僅在收盤時</w:t>
            </w:r>
            <w:r w:rsidR="00656F10">
              <w:rPr>
                <w:rFonts w:ascii="Times New Roman" w:eastAsia="標楷體" w:hAnsi="Times New Roman" w:hint="eastAsia"/>
                <w:bCs/>
                <w:color w:val="000000"/>
                <w:sz w:val="27"/>
                <w:szCs w:val="27"/>
              </w:rPr>
              <w:t>撮合成交並</w:t>
            </w:r>
            <w:r w:rsidRPr="005F3190">
              <w:rPr>
                <w:rFonts w:ascii="Times New Roman" w:eastAsia="標楷體" w:hAnsi="Times New Roman"/>
                <w:bCs/>
                <w:color w:val="000000"/>
                <w:sz w:val="27"/>
                <w:szCs w:val="27"/>
              </w:rPr>
              <w:t>揭示股票收盤價格，</w:t>
            </w:r>
            <w:r w:rsidRPr="005F3190">
              <w:rPr>
                <w:rFonts w:ascii="Times New Roman" w:eastAsia="標楷體" w:hAnsi="Times New Roman"/>
                <w:bCs/>
                <w:color w:val="000000"/>
                <w:sz w:val="27"/>
                <w:szCs w:val="27"/>
              </w:rPr>
              <w:lastRenderedPageBreak/>
              <w:t>然該</w:t>
            </w:r>
            <w:r w:rsidRPr="005F3190">
              <w:rPr>
                <w:rFonts w:ascii="Times New Roman" w:eastAsia="標楷體" w:hAnsi="Times New Roman"/>
                <w:bCs/>
                <w:color w:val="000000"/>
                <w:sz w:val="27"/>
                <w:szCs w:val="27"/>
              </w:rPr>
              <w:t>5</w:t>
            </w:r>
            <w:r w:rsidRPr="005F3190">
              <w:rPr>
                <w:rFonts w:ascii="Times New Roman" w:eastAsia="標楷體" w:hAnsi="Times New Roman"/>
                <w:bCs/>
                <w:color w:val="000000"/>
                <w:sz w:val="27"/>
                <w:szCs w:val="27"/>
              </w:rPr>
              <w:t>分鐘</w:t>
            </w:r>
            <w:r w:rsidR="00656F10">
              <w:rPr>
                <w:rFonts w:ascii="Times New Roman" w:eastAsia="標楷體" w:hAnsi="Times New Roman" w:hint="eastAsia"/>
                <w:bCs/>
                <w:color w:val="000000"/>
                <w:sz w:val="27"/>
                <w:szCs w:val="27"/>
              </w:rPr>
              <w:t>內雖無成交，</w:t>
            </w:r>
            <w:r w:rsidRPr="005F3190">
              <w:rPr>
                <w:rFonts w:ascii="Times New Roman" w:eastAsia="標楷體" w:hAnsi="Times New Roman"/>
                <w:bCs/>
                <w:color w:val="000000"/>
                <w:sz w:val="27"/>
                <w:szCs w:val="27"/>
              </w:rPr>
              <w:t>指數</w:t>
            </w:r>
            <w:proofErr w:type="gramStart"/>
            <w:r w:rsidR="00656F10">
              <w:rPr>
                <w:rFonts w:ascii="Times New Roman" w:eastAsia="標楷體" w:hAnsi="Times New Roman" w:hint="eastAsia"/>
                <w:bCs/>
                <w:color w:val="000000"/>
                <w:sz w:val="27"/>
                <w:szCs w:val="27"/>
              </w:rPr>
              <w:t>亦</w:t>
            </w:r>
            <w:r w:rsidRPr="005F3190">
              <w:rPr>
                <w:rFonts w:ascii="Times New Roman" w:eastAsia="標楷體" w:hAnsi="Times New Roman"/>
                <w:bCs/>
                <w:color w:val="000000"/>
                <w:sz w:val="27"/>
                <w:szCs w:val="27"/>
              </w:rPr>
              <w:t>均無變動</w:t>
            </w:r>
            <w:proofErr w:type="gramEnd"/>
            <w:r w:rsidRPr="005F3190">
              <w:rPr>
                <w:rFonts w:ascii="Times New Roman" w:eastAsia="標楷體" w:hAnsi="Times New Roman"/>
                <w:bCs/>
                <w:color w:val="000000"/>
                <w:sz w:val="27"/>
                <w:szCs w:val="27"/>
              </w:rPr>
              <w:t>，但</w:t>
            </w:r>
            <w:r w:rsidR="00656F10">
              <w:rPr>
                <w:rFonts w:ascii="Times New Roman" w:eastAsia="標楷體" w:hAnsi="Times New Roman" w:hint="eastAsia"/>
                <w:bCs/>
                <w:color w:val="000000"/>
                <w:sz w:val="27"/>
                <w:szCs w:val="27"/>
              </w:rPr>
              <w:t>資訊系統</w:t>
            </w:r>
            <w:r w:rsidRPr="005F3190">
              <w:rPr>
                <w:rFonts w:ascii="Times New Roman" w:eastAsia="標楷體" w:hAnsi="Times New Roman"/>
                <w:bCs/>
                <w:color w:val="000000"/>
                <w:sz w:val="27"/>
                <w:szCs w:val="27"/>
              </w:rPr>
              <w:t>仍持續每</w:t>
            </w:r>
            <w:r w:rsidRPr="005F3190">
              <w:rPr>
                <w:rFonts w:ascii="Times New Roman" w:eastAsia="標楷體" w:hAnsi="Times New Roman"/>
                <w:bCs/>
                <w:color w:val="000000"/>
                <w:sz w:val="27"/>
                <w:szCs w:val="27"/>
              </w:rPr>
              <w:t>5</w:t>
            </w:r>
            <w:r w:rsidRPr="005F3190">
              <w:rPr>
                <w:rFonts w:ascii="Times New Roman" w:eastAsia="標楷體" w:hAnsi="Times New Roman"/>
                <w:bCs/>
                <w:color w:val="000000"/>
                <w:sz w:val="27"/>
                <w:szCs w:val="27"/>
              </w:rPr>
              <w:t>秒揭示</w:t>
            </w:r>
            <w:r w:rsidRPr="005F3190">
              <w:rPr>
                <w:rFonts w:ascii="Times New Roman" w:eastAsia="標楷體" w:hAnsi="Times New Roman"/>
                <w:bCs/>
                <w:color w:val="000000"/>
                <w:sz w:val="27"/>
                <w:szCs w:val="27"/>
              </w:rPr>
              <w:t>1</w:t>
            </w:r>
            <w:r w:rsidRPr="005F3190">
              <w:rPr>
                <w:rFonts w:ascii="Times New Roman" w:eastAsia="標楷體" w:hAnsi="Times New Roman"/>
                <w:bCs/>
                <w:color w:val="000000"/>
                <w:sz w:val="27"/>
                <w:szCs w:val="27"/>
              </w:rPr>
              <w:t>次。經參考臺灣期貨交易所股價指數類契約最後結算價計算方式，其係以收盤前標的指數於下午一時</w:t>
            </w:r>
            <w:r w:rsidRPr="005F3190">
              <w:rPr>
                <w:rFonts w:ascii="Times New Roman" w:eastAsia="標楷體" w:hAnsi="Times New Roman"/>
                <w:bCs/>
                <w:color w:val="000000"/>
                <w:sz w:val="27"/>
                <w:szCs w:val="27"/>
              </w:rPr>
              <w:t xml:space="preserve"> (</w:t>
            </w:r>
            <w:r w:rsidRPr="005F3190">
              <w:rPr>
                <w:rFonts w:ascii="Times New Roman" w:eastAsia="標楷體" w:hAnsi="Times New Roman"/>
                <w:bCs/>
                <w:color w:val="000000"/>
                <w:sz w:val="27"/>
                <w:szCs w:val="27"/>
              </w:rPr>
              <w:t>不含</w:t>
            </w:r>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至一時二十五分</w:t>
            </w:r>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含</w:t>
            </w:r>
            <w:r w:rsidRPr="005F3190">
              <w:rPr>
                <w:rFonts w:ascii="Times New Roman" w:eastAsia="標楷體" w:hAnsi="Times New Roman"/>
                <w:bCs/>
                <w:color w:val="000000"/>
                <w:sz w:val="27"/>
                <w:szCs w:val="27"/>
              </w:rPr>
              <w:t>)</w:t>
            </w:r>
            <w:r w:rsidRPr="005F3190">
              <w:rPr>
                <w:rFonts w:ascii="Times New Roman" w:eastAsia="標楷體" w:hAnsi="Times New Roman"/>
                <w:bCs/>
                <w:color w:val="000000"/>
                <w:sz w:val="27"/>
                <w:szCs w:val="27"/>
              </w:rPr>
              <w:t>揭示之資料並加計最後一筆收盤指數，</w:t>
            </w:r>
            <w:proofErr w:type="gramStart"/>
            <w:r w:rsidRPr="005F3190">
              <w:rPr>
                <w:rFonts w:ascii="Times New Roman" w:eastAsia="標楷體" w:hAnsi="Times New Roman"/>
                <w:bCs/>
                <w:color w:val="000000"/>
                <w:sz w:val="27"/>
                <w:szCs w:val="27"/>
              </w:rPr>
              <w:t>採</w:t>
            </w:r>
            <w:proofErr w:type="gramEnd"/>
            <w:r w:rsidRPr="005F3190">
              <w:rPr>
                <w:rFonts w:ascii="Times New Roman" w:eastAsia="標楷體" w:hAnsi="Times New Roman"/>
                <w:bCs/>
                <w:color w:val="000000"/>
                <w:sz w:val="27"/>
                <w:szCs w:val="27"/>
              </w:rPr>
              <w:t>簡單算術平均計算，</w:t>
            </w:r>
            <w:proofErr w:type="gramStart"/>
            <w:r w:rsidRPr="005F3190">
              <w:rPr>
                <w:rFonts w:ascii="Times New Roman" w:eastAsia="標楷體" w:hAnsi="Times New Roman"/>
                <w:bCs/>
                <w:color w:val="000000"/>
                <w:sz w:val="27"/>
                <w:szCs w:val="27"/>
              </w:rPr>
              <w:t>爰</w:t>
            </w:r>
            <w:proofErr w:type="gramEnd"/>
            <w:r w:rsidRPr="005F3190">
              <w:rPr>
                <w:rFonts w:ascii="Times New Roman" w:eastAsia="標楷體" w:hAnsi="Times New Roman"/>
                <w:bCs/>
                <w:color w:val="000000"/>
                <w:sz w:val="27"/>
                <w:szCs w:val="27"/>
              </w:rPr>
              <w:t>調整指數型權證之標的結算指數計算方式，</w:t>
            </w:r>
            <w:proofErr w:type="gramStart"/>
            <w:r w:rsidRPr="005F3190">
              <w:rPr>
                <w:rFonts w:ascii="Times New Roman" w:eastAsia="標楷體" w:hAnsi="Times New Roman"/>
                <w:bCs/>
                <w:color w:val="000000"/>
                <w:sz w:val="27"/>
                <w:szCs w:val="27"/>
              </w:rPr>
              <w:t>採</w:t>
            </w:r>
            <w:proofErr w:type="gramEnd"/>
            <w:r w:rsidRPr="005F3190">
              <w:rPr>
                <w:rFonts w:ascii="Times New Roman" w:eastAsia="標楷體" w:hAnsi="Times New Roman"/>
                <w:bCs/>
                <w:color w:val="000000"/>
                <w:sz w:val="27"/>
                <w:szCs w:val="27"/>
              </w:rPr>
              <w:t>一致性之</w:t>
            </w:r>
            <w:r w:rsidR="007374D8">
              <w:rPr>
                <w:rFonts w:ascii="Times New Roman" w:eastAsia="標楷體" w:hAnsi="Times New Roman" w:hint="eastAsia"/>
                <w:bCs/>
                <w:color w:val="000000"/>
                <w:sz w:val="27"/>
                <w:szCs w:val="27"/>
              </w:rPr>
              <w:t>作</w:t>
            </w:r>
            <w:r w:rsidRPr="005F3190">
              <w:rPr>
                <w:rFonts w:ascii="Times New Roman" w:eastAsia="標楷體" w:hAnsi="Times New Roman"/>
                <w:bCs/>
                <w:color w:val="000000"/>
                <w:sz w:val="27"/>
                <w:szCs w:val="27"/>
              </w:rPr>
              <w:t>法，並修</w:t>
            </w:r>
            <w:r w:rsidR="007374D8">
              <w:rPr>
                <w:rFonts w:ascii="Times New Roman" w:eastAsia="標楷體" w:hAnsi="Times New Roman" w:hint="eastAsia"/>
                <w:bCs/>
                <w:color w:val="000000"/>
                <w:sz w:val="27"/>
                <w:szCs w:val="27"/>
              </w:rPr>
              <w:t>正</w:t>
            </w:r>
            <w:r w:rsidRPr="005F3190">
              <w:rPr>
                <w:rFonts w:ascii="Times New Roman" w:eastAsia="標楷體" w:hAnsi="Times New Roman"/>
                <w:bCs/>
                <w:color w:val="000000"/>
                <w:sz w:val="27"/>
                <w:szCs w:val="27"/>
              </w:rPr>
              <w:t>本條</w:t>
            </w:r>
            <w:r w:rsidR="00656F10">
              <w:rPr>
                <w:rFonts w:ascii="Times New Roman" w:eastAsia="標楷體" w:hAnsi="Times New Roman" w:hint="eastAsia"/>
                <w:bCs/>
                <w:color w:val="000000"/>
                <w:sz w:val="27"/>
                <w:szCs w:val="27"/>
              </w:rPr>
              <w:t>第一項</w:t>
            </w:r>
            <w:r w:rsidRPr="005F3190">
              <w:rPr>
                <w:rFonts w:ascii="Times New Roman" w:eastAsia="標楷體" w:hAnsi="Times New Roman"/>
                <w:bCs/>
                <w:color w:val="000000"/>
                <w:sz w:val="27"/>
                <w:szCs w:val="27"/>
              </w:rPr>
              <w:t>第六款規定，</w:t>
            </w:r>
            <w:r w:rsidR="00656F10">
              <w:rPr>
                <w:rFonts w:ascii="Times New Roman" w:eastAsia="標楷體" w:hAnsi="Times New Roman" w:hint="eastAsia"/>
                <w:bCs/>
                <w:color w:val="000000"/>
                <w:sz w:val="27"/>
                <w:szCs w:val="27"/>
              </w:rPr>
              <w:t>將</w:t>
            </w:r>
            <w:r w:rsidRPr="005F3190">
              <w:rPr>
                <w:rFonts w:ascii="Times New Roman" w:eastAsia="標楷體" w:hAnsi="Times New Roman"/>
                <w:bCs/>
                <w:color w:val="000000"/>
                <w:sz w:val="27"/>
                <w:szCs w:val="27"/>
              </w:rPr>
              <w:t>收盤前</w:t>
            </w:r>
            <w:r w:rsidRPr="005F3190">
              <w:rPr>
                <w:rFonts w:ascii="Times New Roman" w:eastAsia="標楷體" w:hAnsi="Times New Roman"/>
                <w:bCs/>
                <w:color w:val="000000"/>
                <w:sz w:val="27"/>
                <w:szCs w:val="27"/>
              </w:rPr>
              <w:t>5</w:t>
            </w:r>
            <w:r w:rsidRPr="005F3190">
              <w:rPr>
                <w:rFonts w:ascii="Times New Roman" w:eastAsia="標楷體" w:hAnsi="Times New Roman"/>
                <w:bCs/>
                <w:color w:val="000000"/>
                <w:sz w:val="27"/>
                <w:szCs w:val="27"/>
              </w:rPr>
              <w:t>分鐘內之標的指數僅</w:t>
            </w:r>
            <w:r w:rsidR="00656F10">
              <w:rPr>
                <w:rFonts w:ascii="Times New Roman" w:eastAsia="標楷體" w:hAnsi="Times New Roman" w:hint="eastAsia"/>
                <w:bCs/>
                <w:color w:val="000000"/>
                <w:sz w:val="27"/>
                <w:szCs w:val="27"/>
              </w:rPr>
              <w:t>納入</w:t>
            </w:r>
            <w:r w:rsidRPr="005F3190">
              <w:rPr>
                <w:rFonts w:ascii="Times New Roman" w:eastAsia="標楷體" w:hAnsi="Times New Roman"/>
                <w:bCs/>
                <w:color w:val="000000"/>
                <w:sz w:val="27"/>
                <w:szCs w:val="27"/>
              </w:rPr>
              <w:t>最後一筆收盤指數計算。</w:t>
            </w:r>
          </w:p>
        </w:tc>
      </w:tr>
    </w:tbl>
    <w:p w14:paraId="633F701A" w14:textId="09F25A48" w:rsidR="00553182" w:rsidRDefault="00553182">
      <w:pPr>
        <w:widowControl/>
      </w:pPr>
    </w:p>
    <w:sectPr w:rsidR="00553182" w:rsidSect="008A5FA3">
      <w:pgSz w:w="11906" w:h="16838"/>
      <w:pgMar w:top="1440" w:right="1556" w:bottom="162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47BC5" w14:textId="77777777" w:rsidR="007151E3" w:rsidRDefault="007151E3" w:rsidP="001C542A">
      <w:r>
        <w:separator/>
      </w:r>
    </w:p>
  </w:endnote>
  <w:endnote w:type="continuationSeparator" w:id="0">
    <w:p w14:paraId="48DE8E02" w14:textId="77777777" w:rsidR="007151E3" w:rsidRDefault="007151E3" w:rsidP="001C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30FC" w14:textId="77777777" w:rsidR="007151E3" w:rsidRDefault="007151E3" w:rsidP="001C542A">
      <w:r>
        <w:separator/>
      </w:r>
    </w:p>
  </w:footnote>
  <w:footnote w:type="continuationSeparator" w:id="0">
    <w:p w14:paraId="2B04F1B6" w14:textId="77777777" w:rsidR="007151E3" w:rsidRDefault="007151E3" w:rsidP="001C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E87"/>
    <w:multiLevelType w:val="hybridMultilevel"/>
    <w:tmpl w:val="165657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2"/>
    <w:rsid w:val="00052686"/>
    <w:rsid w:val="000E754B"/>
    <w:rsid w:val="000F362C"/>
    <w:rsid w:val="00102E44"/>
    <w:rsid w:val="0010513F"/>
    <w:rsid w:val="001136A6"/>
    <w:rsid w:val="001813CF"/>
    <w:rsid w:val="001B3D38"/>
    <w:rsid w:val="001C542A"/>
    <w:rsid w:val="00224AF3"/>
    <w:rsid w:val="002E433B"/>
    <w:rsid w:val="002E60F6"/>
    <w:rsid w:val="003B5E25"/>
    <w:rsid w:val="003F4813"/>
    <w:rsid w:val="004830FC"/>
    <w:rsid w:val="0048789C"/>
    <w:rsid w:val="004A5E0B"/>
    <w:rsid w:val="005215B4"/>
    <w:rsid w:val="00553182"/>
    <w:rsid w:val="005F3190"/>
    <w:rsid w:val="00633A3C"/>
    <w:rsid w:val="00656F10"/>
    <w:rsid w:val="006F7EA3"/>
    <w:rsid w:val="007151E3"/>
    <w:rsid w:val="007374D8"/>
    <w:rsid w:val="007740D2"/>
    <w:rsid w:val="007848A2"/>
    <w:rsid w:val="007C6154"/>
    <w:rsid w:val="008A5FA3"/>
    <w:rsid w:val="008C434A"/>
    <w:rsid w:val="009219D2"/>
    <w:rsid w:val="009A15E2"/>
    <w:rsid w:val="009B54A6"/>
    <w:rsid w:val="00A43A53"/>
    <w:rsid w:val="00A73FDC"/>
    <w:rsid w:val="00A9613A"/>
    <w:rsid w:val="00AA5256"/>
    <w:rsid w:val="00B04CFB"/>
    <w:rsid w:val="00B325FC"/>
    <w:rsid w:val="00B53669"/>
    <w:rsid w:val="00B86C75"/>
    <w:rsid w:val="00C32901"/>
    <w:rsid w:val="00C40475"/>
    <w:rsid w:val="00CA56EC"/>
    <w:rsid w:val="00DA1144"/>
    <w:rsid w:val="00DC5161"/>
    <w:rsid w:val="00F361EE"/>
    <w:rsid w:val="00F63742"/>
    <w:rsid w:val="00F840EC"/>
    <w:rsid w:val="00F92A6E"/>
    <w:rsid w:val="00FA3ED0"/>
    <w:rsid w:val="00FC6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2B45"/>
  <w15:chartTrackingRefBased/>
  <w15:docId w15:val="{59AD8B04-92CD-4A34-BD6F-A34CE1F7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8A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84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basedOn w:val="a0"/>
    <w:link w:val="HTML"/>
    <w:uiPriority w:val="99"/>
    <w:rsid w:val="007848A2"/>
    <w:rPr>
      <w:rFonts w:ascii="細明體" w:eastAsia="細明體" w:hAnsi="細明體" w:cs="Times New Roman"/>
      <w:color w:val="333333"/>
      <w:kern w:val="0"/>
      <w:sz w:val="20"/>
      <w:szCs w:val="24"/>
      <w:lang w:val="x-none" w:eastAsia="x-none"/>
    </w:rPr>
  </w:style>
  <w:style w:type="paragraph" w:customStyle="1" w:styleId="1">
    <w:name w:val="標題1"/>
    <w:basedOn w:val="a"/>
    <w:link w:val="10"/>
    <w:qFormat/>
    <w:rsid w:val="007848A2"/>
    <w:pPr>
      <w:keepNext/>
      <w:spacing w:line="400" w:lineRule="exact"/>
      <w:jc w:val="center"/>
      <w:outlineLvl w:val="0"/>
    </w:pPr>
    <w:rPr>
      <w:rFonts w:ascii="標楷體" w:eastAsia="標楷體" w:hAnsi="標楷體"/>
      <w:b/>
      <w:bCs/>
      <w:kern w:val="52"/>
      <w:sz w:val="32"/>
      <w:szCs w:val="32"/>
      <w:lang w:val="x-none" w:eastAsia="x-none"/>
    </w:rPr>
  </w:style>
  <w:style w:type="character" w:customStyle="1" w:styleId="10">
    <w:name w:val="標題1 字元"/>
    <w:basedOn w:val="a0"/>
    <w:link w:val="1"/>
    <w:rsid w:val="007848A2"/>
    <w:rPr>
      <w:rFonts w:ascii="標楷體" w:eastAsia="標楷體" w:hAnsi="標楷體" w:cs="Times New Roman"/>
      <w:b/>
      <w:bCs/>
      <w:kern w:val="52"/>
      <w:sz w:val="32"/>
      <w:szCs w:val="32"/>
      <w:lang w:val="x-none" w:eastAsia="x-none"/>
    </w:rPr>
  </w:style>
  <w:style w:type="paragraph" w:styleId="a3">
    <w:name w:val="header"/>
    <w:basedOn w:val="a"/>
    <w:link w:val="a4"/>
    <w:uiPriority w:val="99"/>
    <w:unhideWhenUsed/>
    <w:rsid w:val="001C542A"/>
    <w:pPr>
      <w:tabs>
        <w:tab w:val="center" w:pos="4153"/>
        <w:tab w:val="right" w:pos="8306"/>
      </w:tabs>
      <w:snapToGrid w:val="0"/>
    </w:pPr>
    <w:rPr>
      <w:sz w:val="20"/>
      <w:szCs w:val="20"/>
    </w:rPr>
  </w:style>
  <w:style w:type="character" w:customStyle="1" w:styleId="a4">
    <w:name w:val="頁首 字元"/>
    <w:basedOn w:val="a0"/>
    <w:link w:val="a3"/>
    <w:uiPriority w:val="99"/>
    <w:rsid w:val="001C542A"/>
    <w:rPr>
      <w:rFonts w:ascii="Calibri" w:eastAsia="新細明體" w:hAnsi="Calibri" w:cs="Times New Roman"/>
      <w:sz w:val="20"/>
      <w:szCs w:val="20"/>
    </w:rPr>
  </w:style>
  <w:style w:type="paragraph" w:styleId="a5">
    <w:name w:val="footer"/>
    <w:basedOn w:val="a"/>
    <w:link w:val="a6"/>
    <w:uiPriority w:val="99"/>
    <w:unhideWhenUsed/>
    <w:rsid w:val="001C542A"/>
    <w:pPr>
      <w:tabs>
        <w:tab w:val="center" w:pos="4153"/>
        <w:tab w:val="right" w:pos="8306"/>
      </w:tabs>
      <w:snapToGrid w:val="0"/>
    </w:pPr>
    <w:rPr>
      <w:sz w:val="20"/>
      <w:szCs w:val="20"/>
    </w:rPr>
  </w:style>
  <w:style w:type="character" w:customStyle="1" w:styleId="a6">
    <w:name w:val="頁尾 字元"/>
    <w:basedOn w:val="a0"/>
    <w:link w:val="a5"/>
    <w:uiPriority w:val="99"/>
    <w:rsid w:val="001C542A"/>
    <w:rPr>
      <w:rFonts w:ascii="Calibri" w:eastAsia="新細明體" w:hAnsi="Calibri" w:cs="Times New Roman"/>
      <w:sz w:val="20"/>
      <w:szCs w:val="20"/>
    </w:rPr>
  </w:style>
  <w:style w:type="paragraph" w:styleId="a7">
    <w:name w:val="List Paragraph"/>
    <w:basedOn w:val="a"/>
    <w:uiPriority w:val="34"/>
    <w:qFormat/>
    <w:rsid w:val="008C43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6608-5EC8-407A-A6D3-4B9B76CA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陳家羽</dc:creator>
  <cp:keywords/>
  <dc:description/>
  <cp:lastModifiedBy>陳家羽</cp:lastModifiedBy>
  <cp:revision>7</cp:revision>
  <cp:lastPrinted>2020-11-25T01:27:00Z</cp:lastPrinted>
  <dcterms:created xsi:type="dcterms:W3CDTF">2020-11-24T08:54:00Z</dcterms:created>
  <dcterms:modified xsi:type="dcterms:W3CDTF">2020-12-25T02:02:00Z</dcterms:modified>
</cp:coreProperties>
</file>