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AA57" w14:textId="634DA046" w:rsidR="005D5520" w:rsidRPr="00FF0F9B" w:rsidRDefault="005D5520" w:rsidP="005D552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FF0F9B">
        <w:rPr>
          <w:rFonts w:ascii="標楷體" w:eastAsia="標楷體" w:hAnsi="標楷體" w:hint="eastAsia"/>
          <w:b/>
          <w:bCs/>
          <w:sz w:val="32"/>
          <w:szCs w:val="28"/>
        </w:rPr>
        <w:t>財團法人中華民國證券櫃檯買賣中心衍生性金融商品交易資</w:t>
      </w:r>
      <w:r w:rsidRPr="005D5520">
        <w:rPr>
          <w:rFonts w:ascii="標楷體" w:eastAsia="標楷體" w:hAnsi="標楷體" w:hint="eastAsia"/>
          <w:b/>
          <w:bCs/>
          <w:sz w:val="32"/>
          <w:szCs w:val="28"/>
        </w:rPr>
        <w:t>料傳輸結算機構作業要</w:t>
      </w:r>
      <w:r w:rsidRPr="00FF0F9B">
        <w:rPr>
          <w:rFonts w:ascii="標楷體" w:eastAsia="標楷體" w:hAnsi="標楷體" w:hint="eastAsia"/>
          <w:b/>
          <w:bCs/>
          <w:sz w:val="32"/>
          <w:szCs w:val="28"/>
        </w:rPr>
        <w:t>點總說明</w:t>
      </w:r>
    </w:p>
    <w:p w14:paraId="4B862A0C" w14:textId="77777777" w:rsidR="005D5520" w:rsidRDefault="005D5520" w:rsidP="0051740F">
      <w:pPr>
        <w:spacing w:line="360" w:lineRule="auto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Cs w:val="24"/>
        </w:rPr>
        <w:t xml:space="preserve">    </w:t>
      </w:r>
      <w:r w:rsidRPr="00374580">
        <w:rPr>
          <w:rFonts w:ascii="Times New Roman" w:eastAsia="標楷體" w:hAnsi="Times New Roman" w:cs="Times New Roman" w:hint="eastAsia"/>
          <w:kern w:val="0"/>
          <w:sz w:val="28"/>
          <w:szCs w:val="28"/>
        </w:rPr>
        <w:t>因應</w:t>
      </w:r>
      <w:r w:rsidRPr="00FF0F9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期貨交易法修正，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符合</w:t>
      </w:r>
      <w:r w:rsidRPr="008E300B">
        <w:rPr>
          <w:rFonts w:ascii="Times New Roman" w:eastAsia="標楷體" w:hAnsi="Times New Roman" w:cs="Times New Roman" w:hint="eastAsia"/>
          <w:kern w:val="0"/>
          <w:sz w:val="28"/>
          <w:szCs w:val="28"/>
        </w:rPr>
        <w:t>主管機關規定應集中結算之期貨交易範圍者，應於其指定之集中結算機構依期貨交易法規定進行集中結算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。為配合我國</w:t>
      </w:r>
      <w:r w:rsidRPr="00FF0F9B">
        <w:rPr>
          <w:rFonts w:ascii="Times New Roman" w:eastAsia="標楷體" w:hAnsi="Times New Roman" w:cs="Times New Roman" w:hint="eastAsia"/>
          <w:kern w:val="0"/>
          <w:sz w:val="28"/>
          <w:szCs w:val="28"/>
        </w:rPr>
        <w:t>店頭衍生性商品集中結算機制之建立，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以及</w:t>
      </w:r>
      <w:r w:rsidRPr="00FF0F9B">
        <w:rPr>
          <w:rFonts w:ascii="Times New Roman" w:eastAsia="標楷體" w:hAnsi="Times New Roman" w:cs="Times New Roman" w:hint="eastAsia"/>
          <w:kern w:val="0"/>
          <w:sz w:val="28"/>
          <w:szCs w:val="28"/>
        </w:rPr>
        <w:t>降低金融機構作業成本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、減輕</w:t>
      </w:r>
      <w:r w:rsidRPr="00FF0F9B">
        <w:rPr>
          <w:rFonts w:ascii="Times New Roman" w:eastAsia="標楷體" w:hAnsi="Times New Roman" w:cs="Times New Roman" w:hint="eastAsia"/>
          <w:kern w:val="0"/>
          <w:sz w:val="28"/>
          <w:szCs w:val="28"/>
        </w:rPr>
        <w:t>金融機構作業負荷，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本中心</w:t>
      </w:r>
      <w:r w:rsidRPr="00FF0F9B">
        <w:rPr>
          <w:rFonts w:ascii="Times New Roman" w:eastAsia="標楷體" w:hAnsi="Times New Roman" w:cs="Times New Roman" w:hint="eastAsia"/>
          <w:kern w:val="0"/>
          <w:sz w:val="28"/>
          <w:szCs w:val="28"/>
        </w:rPr>
        <w:t>提供金融機構衍生性金融商品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集中結算</w:t>
      </w:r>
      <w:r w:rsidRPr="00FF0F9B">
        <w:rPr>
          <w:rFonts w:ascii="Times New Roman" w:eastAsia="標楷體" w:hAnsi="Times New Roman" w:cs="Times New Roman" w:hint="eastAsia"/>
          <w:kern w:val="0"/>
          <w:sz w:val="28"/>
          <w:szCs w:val="28"/>
        </w:rPr>
        <w:t>交易資料傳輸結算機構作業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（以下簡稱本作業）之服務，爰訂定</w:t>
      </w:r>
      <w:r w:rsidRPr="00125E0B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本中心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「</w:t>
      </w:r>
      <w:r w:rsidRPr="00AC65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衍生性金融商品交易資料</w:t>
      </w:r>
      <w:r w:rsidRPr="005D5520">
        <w:rPr>
          <w:rFonts w:ascii="Times New Roman" w:eastAsia="標楷體" w:hAnsi="Times New Roman" w:cs="Times New Roman" w:hint="eastAsia"/>
          <w:kern w:val="0"/>
          <w:sz w:val="28"/>
          <w:szCs w:val="28"/>
        </w:rPr>
        <w:t>傳輸結算機構作業</w:t>
      </w:r>
      <w:r w:rsidRPr="00AC65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要點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」（以下簡稱本要點）。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要點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章，計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十一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條，其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重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點如次：</w:t>
      </w:r>
    </w:p>
    <w:p w14:paraId="7507DE74" w14:textId="15B95AF0" w:rsidR="005D5520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本要點之法源依據。（第一條）</w:t>
      </w:r>
    </w:p>
    <w:p w14:paraId="49EE0F03" w14:textId="02E25639" w:rsidR="005D5520" w:rsidRPr="00072DF9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072DF9">
        <w:rPr>
          <w:rFonts w:ascii="Times New Roman" w:eastAsia="標楷體" w:hAnsi="Times New Roman" w:cs="Times New Roman" w:hint="eastAsia"/>
          <w:kern w:val="0"/>
          <w:sz w:val="28"/>
          <w:szCs w:val="28"/>
        </w:rPr>
        <w:t>金融機構辦理本作業之依據。（第二條）</w:t>
      </w:r>
    </w:p>
    <w:p w14:paraId="4CC2BE21" w14:textId="4012828D" w:rsidR="005D5520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交易資料申報規定。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三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條）</w:t>
      </w:r>
    </w:p>
    <w:p w14:paraId="6604E23C" w14:textId="21273DC2" w:rsidR="005D5520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傳輸交易資料之流程與方式。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四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條）</w:t>
      </w:r>
    </w:p>
    <w:p w14:paraId="6468075D" w14:textId="7979007B" w:rsidR="005D5520" w:rsidRPr="00D25BD7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取消已傳輸交易資料</w:t>
      </w:r>
      <w:r w:rsidRPr="002E48E8">
        <w:rPr>
          <w:rFonts w:ascii="標楷體" w:eastAsia="標楷體" w:hAnsi="標楷體" w:hint="eastAsia"/>
          <w:sz w:val="28"/>
          <w:szCs w:val="24"/>
        </w:rPr>
        <w:t>之條件</w:t>
      </w:r>
      <w:r>
        <w:rPr>
          <w:rFonts w:ascii="標楷體" w:eastAsia="標楷體" w:hAnsi="標楷體" w:hint="eastAsia"/>
          <w:sz w:val="28"/>
          <w:szCs w:val="24"/>
        </w:rPr>
        <w:t>。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五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條）</w:t>
      </w:r>
    </w:p>
    <w:p w14:paraId="05EF6663" w14:textId="32147A0D" w:rsidR="005D5520" w:rsidRPr="00D25BD7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修改交易資料後重新傳輸之流程與方式。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六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條）</w:t>
      </w:r>
    </w:p>
    <w:p w14:paraId="4C379125" w14:textId="569B18DE" w:rsidR="005D5520" w:rsidRPr="00E76F9F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逕行</w:t>
      </w:r>
      <w:r w:rsidRPr="00E76F9F">
        <w:rPr>
          <w:rFonts w:ascii="Times New Roman" w:eastAsia="標楷體" w:hAnsi="Times New Roman" w:cs="Times New Roman" w:hint="eastAsia"/>
          <w:kern w:val="0"/>
          <w:sz w:val="28"/>
          <w:szCs w:val="28"/>
        </w:rPr>
        <w:t>變更交易對手資訊之條件。（第七條）</w:t>
      </w:r>
    </w:p>
    <w:p w14:paraId="0AC82697" w14:textId="1715D5D1" w:rsidR="005D5520" w:rsidRPr="00221256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221256">
        <w:rPr>
          <w:rFonts w:ascii="Times New Roman" w:eastAsia="標楷體" w:hAnsi="Times New Roman" w:cs="Times New Roman" w:hint="eastAsia"/>
          <w:kern w:val="0"/>
          <w:sz w:val="28"/>
          <w:szCs w:val="28"/>
        </w:rPr>
        <w:t>其他應注意事項。（第八條）</w:t>
      </w:r>
    </w:p>
    <w:p w14:paraId="3B7D22C8" w14:textId="3BB86C3F" w:rsidR="005D5520" w:rsidRPr="00D25BD7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資料傳輸之收費依據及規定。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九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條）</w:t>
      </w:r>
    </w:p>
    <w:p w14:paraId="4AAC27C6" w14:textId="2D1D8501" w:rsidR="005D5520" w:rsidRPr="00D25BD7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資料提供之收費依據及規定。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十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條）</w:t>
      </w:r>
    </w:p>
    <w:p w14:paraId="497EBDF5" w14:textId="60844237" w:rsidR="005D5520" w:rsidRPr="00022579" w:rsidRDefault="005D5520" w:rsidP="0051740F">
      <w:pPr>
        <w:pStyle w:val="a7"/>
        <w:numPr>
          <w:ilvl w:val="0"/>
          <w:numId w:val="8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4"/>
        </w:rPr>
      </w:pPr>
      <w:r w:rsidRPr="00D25BD7">
        <w:rPr>
          <w:rFonts w:ascii="Times New Roman" w:eastAsia="標楷體" w:hAnsi="Times New Roman" w:cs="Times New Roman" w:hint="eastAsia"/>
          <w:kern w:val="0"/>
          <w:sz w:val="28"/>
          <w:szCs w:val="28"/>
        </w:rPr>
        <w:t>本要點之核定層級及修正程序。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（第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十一</w:t>
      </w:r>
      <w:r w:rsidRPr="00022579">
        <w:rPr>
          <w:rFonts w:ascii="Times New Roman" w:eastAsia="標楷體" w:hAnsi="Times New Roman" w:cs="Times New Roman" w:hint="eastAsia"/>
          <w:kern w:val="0"/>
          <w:sz w:val="28"/>
          <w:szCs w:val="28"/>
        </w:rPr>
        <w:t>條）</w:t>
      </w:r>
    </w:p>
    <w:p w14:paraId="1F13CA67" w14:textId="21D2AC4C" w:rsidR="003E06A8" w:rsidRPr="00556BB9" w:rsidRDefault="001B3108" w:rsidP="00556BB9">
      <w:pPr>
        <w:pStyle w:val="3"/>
        <w:adjustRightInd w:val="0"/>
        <w:snapToGrid w:val="0"/>
        <w:spacing w:line="300" w:lineRule="auto"/>
        <w:ind w:leftChars="-354" w:left="-850" w:rightChars="-82" w:right="-197" w:firstLineChars="196" w:firstLine="706"/>
        <w:jc w:val="center"/>
        <w:rPr>
          <w:b/>
          <w:sz w:val="36"/>
          <w:szCs w:val="36"/>
        </w:rPr>
      </w:pPr>
      <w:r w:rsidRPr="00556BB9">
        <w:rPr>
          <w:rFonts w:hint="eastAsia"/>
          <w:b/>
          <w:sz w:val="36"/>
          <w:szCs w:val="36"/>
        </w:rPr>
        <w:lastRenderedPageBreak/>
        <w:t>財團法人中華民國證券櫃檯買賣中心</w:t>
      </w:r>
      <w:bookmarkStart w:id="0" w:name="_Hlk26869761"/>
      <w:r w:rsidRPr="00556BB9">
        <w:rPr>
          <w:rFonts w:hint="eastAsia"/>
          <w:b/>
          <w:sz w:val="36"/>
          <w:szCs w:val="36"/>
        </w:rPr>
        <w:t>衍生性金融商品交易資料傳輸</w:t>
      </w:r>
      <w:r w:rsidR="001E578B" w:rsidRPr="00556BB9">
        <w:rPr>
          <w:rFonts w:hint="eastAsia"/>
          <w:b/>
          <w:sz w:val="36"/>
          <w:szCs w:val="36"/>
        </w:rPr>
        <w:t>結算機構</w:t>
      </w:r>
      <w:r w:rsidR="00EF325C" w:rsidRPr="00556BB9">
        <w:rPr>
          <w:rFonts w:hint="eastAsia"/>
          <w:b/>
          <w:sz w:val="36"/>
          <w:szCs w:val="36"/>
        </w:rPr>
        <w:t>作業要點</w:t>
      </w:r>
      <w:bookmarkEnd w:id="0"/>
    </w:p>
    <w:p w14:paraId="535D5839" w14:textId="77017936" w:rsidR="00556BB9" w:rsidRPr="00556BB9" w:rsidRDefault="00556BB9" w:rsidP="00556BB9">
      <w:pPr>
        <w:jc w:val="right"/>
        <w:rPr>
          <w:rFonts w:ascii="Times New Roman" w:eastAsia="標楷體" w:hAnsi="Times New Roman" w:cs="Times New Roman"/>
        </w:rPr>
      </w:pPr>
      <w:r w:rsidRPr="00556BB9">
        <w:rPr>
          <w:rFonts w:ascii="Times New Roman" w:eastAsia="標楷體" w:hAnsi="Times New Roman" w:cs="Times New Roman"/>
        </w:rPr>
        <w:t>金融監督管理委員會</w:t>
      </w:r>
      <w:r w:rsidRPr="00556BB9">
        <w:rPr>
          <w:rFonts w:ascii="Times New Roman" w:eastAsia="標楷體" w:hAnsi="Times New Roman" w:cs="Times New Roman"/>
        </w:rPr>
        <w:t>110</w:t>
      </w:r>
      <w:r w:rsidRPr="00556BB9">
        <w:rPr>
          <w:rFonts w:ascii="Times New Roman" w:eastAsia="標楷體" w:hAnsi="Times New Roman" w:cs="Times New Roman"/>
        </w:rPr>
        <w:t>年</w:t>
      </w:r>
      <w:r w:rsidRPr="00556BB9">
        <w:rPr>
          <w:rFonts w:ascii="Times New Roman" w:eastAsia="標楷體" w:hAnsi="Times New Roman" w:cs="Times New Roman"/>
        </w:rPr>
        <w:t>3</w:t>
      </w:r>
      <w:r w:rsidRPr="00556BB9">
        <w:rPr>
          <w:rFonts w:ascii="Times New Roman" w:eastAsia="標楷體" w:hAnsi="Times New Roman" w:cs="Times New Roman"/>
        </w:rPr>
        <w:t>月</w:t>
      </w:r>
      <w:r w:rsidRPr="00556BB9">
        <w:rPr>
          <w:rFonts w:ascii="Times New Roman" w:eastAsia="標楷體" w:hAnsi="Times New Roman" w:cs="Times New Roman"/>
        </w:rPr>
        <w:t>16</w:t>
      </w:r>
      <w:r w:rsidRPr="00556BB9">
        <w:rPr>
          <w:rFonts w:ascii="Times New Roman" w:eastAsia="標楷體" w:hAnsi="Times New Roman" w:cs="Times New Roman"/>
        </w:rPr>
        <w:t>日金管證券字第</w:t>
      </w:r>
      <w:r w:rsidRPr="00556BB9">
        <w:rPr>
          <w:rFonts w:ascii="Times New Roman" w:eastAsia="標楷體" w:hAnsi="Times New Roman" w:cs="Times New Roman"/>
        </w:rPr>
        <w:t>1100360744</w:t>
      </w:r>
      <w:r w:rsidRPr="00556BB9">
        <w:rPr>
          <w:rFonts w:ascii="Times New Roman" w:eastAsia="標楷體" w:hAnsi="Times New Roman" w:cs="Times New Roman"/>
        </w:rPr>
        <w:t>號函同意備查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4182"/>
      </w:tblGrid>
      <w:tr w:rsidR="00B554CB" w:rsidRPr="00B554CB" w14:paraId="6CD34ABE" w14:textId="77777777" w:rsidTr="0062412C">
        <w:tc>
          <w:tcPr>
            <w:tcW w:w="4182" w:type="dxa"/>
          </w:tcPr>
          <w:p w14:paraId="5E7A64AF" w14:textId="77017936" w:rsidR="001B3108" w:rsidRPr="00B554CB" w:rsidRDefault="001B3108" w:rsidP="0062412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B554CB">
              <w:rPr>
                <w:rFonts w:ascii="標楷體" w:eastAsia="標楷體" w:hAnsi="標楷體" w:cs="Arial"/>
                <w:b/>
              </w:rPr>
              <w:t>條        文</w:t>
            </w:r>
          </w:p>
        </w:tc>
        <w:tc>
          <w:tcPr>
            <w:tcW w:w="4182" w:type="dxa"/>
          </w:tcPr>
          <w:p w14:paraId="18757341" w14:textId="77777777" w:rsidR="001B3108" w:rsidRPr="00B554CB" w:rsidRDefault="001B3108" w:rsidP="0062412C">
            <w:pPr>
              <w:jc w:val="center"/>
              <w:rPr>
                <w:rFonts w:ascii="標楷體" w:eastAsia="標楷體" w:hAnsi="標楷體" w:cs="Arial"/>
                <w:b/>
              </w:rPr>
            </w:pPr>
            <w:r w:rsidRPr="00B554CB">
              <w:rPr>
                <w:rFonts w:ascii="標楷體" w:eastAsia="標楷體" w:hAnsi="標楷體" w:cs="Arial"/>
                <w:b/>
              </w:rPr>
              <w:t>說        明</w:t>
            </w:r>
          </w:p>
        </w:tc>
      </w:tr>
      <w:tr w:rsidR="00B554CB" w:rsidRPr="00B554CB" w14:paraId="7E512E68" w14:textId="77777777" w:rsidTr="0062412C">
        <w:tc>
          <w:tcPr>
            <w:tcW w:w="4182" w:type="dxa"/>
          </w:tcPr>
          <w:p w14:paraId="00E75BD4" w14:textId="77777777" w:rsidR="00AE4950" w:rsidRPr="00B554CB" w:rsidRDefault="00AE4950" w:rsidP="0062412C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>第一章 總則</w:t>
            </w:r>
          </w:p>
        </w:tc>
        <w:tc>
          <w:tcPr>
            <w:tcW w:w="4182" w:type="dxa"/>
          </w:tcPr>
          <w:p w14:paraId="46BA90C8" w14:textId="77777777" w:rsidR="00AE4950" w:rsidRPr="00693C38" w:rsidRDefault="00AE4950" w:rsidP="0062412C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</w:p>
        </w:tc>
      </w:tr>
      <w:tr w:rsidR="00B554CB" w:rsidRPr="00B554CB" w14:paraId="4FE117DB" w14:textId="77777777" w:rsidTr="0062412C">
        <w:tc>
          <w:tcPr>
            <w:tcW w:w="4182" w:type="dxa"/>
          </w:tcPr>
          <w:p w14:paraId="0B6E4AB7" w14:textId="77777777" w:rsidR="001B3108" w:rsidRPr="00B554CB" w:rsidRDefault="001B3108" w:rsidP="0062412C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/>
              </w:rPr>
              <w:t>第一條</w:t>
            </w:r>
          </w:p>
          <w:p w14:paraId="2134F692" w14:textId="77777777" w:rsidR="001B3108" w:rsidRPr="00B554CB" w:rsidRDefault="00DF67E8" w:rsidP="00DF67E8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 xml:space="preserve">    </w:t>
            </w:r>
            <w:r w:rsidR="001B3108" w:rsidRPr="00B554CB">
              <w:rPr>
                <w:rFonts w:ascii="標楷體" w:eastAsia="標楷體" w:hAnsi="標楷體" w:cs="Arial"/>
              </w:rPr>
              <w:t>本</w:t>
            </w:r>
            <w:r w:rsidR="00A14E25" w:rsidRPr="00B554CB">
              <w:rPr>
                <w:rFonts w:ascii="標楷體" w:eastAsia="標楷體" w:hAnsi="標楷體" w:cs="Arial" w:hint="eastAsia"/>
              </w:rPr>
              <w:t>要點</w:t>
            </w:r>
            <w:r w:rsidR="001B3108" w:rsidRPr="00B554CB">
              <w:rPr>
                <w:rFonts w:ascii="標楷體" w:eastAsia="標楷體" w:hAnsi="標楷體" w:cs="Arial" w:hint="eastAsia"/>
              </w:rPr>
              <w:t>依</w:t>
            </w:r>
            <w:r w:rsidR="00A14E25" w:rsidRPr="00B554CB">
              <w:rPr>
                <w:rFonts w:ascii="標楷體" w:eastAsia="標楷體" w:hAnsi="標楷體" w:cs="Arial" w:hint="eastAsia"/>
              </w:rPr>
              <w:t>財團法人中華民國證券櫃檯買賣中心(以下簡稱本中心)</w:t>
            </w:r>
            <w:r w:rsidR="001B3108" w:rsidRPr="00B554CB">
              <w:rPr>
                <w:rFonts w:ascii="標楷體" w:eastAsia="標楷體" w:hAnsi="標楷體" w:cs="Arial" w:hint="eastAsia"/>
              </w:rPr>
              <w:t>衍生性金融商品交易資訊儲存庫系統管理規定第十二條規定訂定之。</w:t>
            </w:r>
          </w:p>
        </w:tc>
        <w:tc>
          <w:tcPr>
            <w:tcW w:w="4182" w:type="dxa"/>
          </w:tcPr>
          <w:p w14:paraId="07E3F956" w14:textId="77777777" w:rsidR="001B3108" w:rsidRPr="00693C38" w:rsidRDefault="005A32EC" w:rsidP="0062412C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  <w:r w:rsidRPr="00693C38">
              <w:rPr>
                <w:rFonts w:ascii="標楷體" w:eastAsia="標楷體" w:hAnsi="標楷體" w:cs="Arial" w:hint="eastAsia"/>
              </w:rPr>
              <w:t>明定本</w:t>
            </w:r>
            <w:r w:rsidR="00A14E25" w:rsidRPr="00693C38">
              <w:rPr>
                <w:rFonts w:ascii="標楷體" w:eastAsia="標楷體" w:hAnsi="標楷體" w:cs="Arial" w:hint="eastAsia"/>
              </w:rPr>
              <w:t>要點</w:t>
            </w:r>
            <w:r w:rsidRPr="00693C38">
              <w:rPr>
                <w:rFonts w:ascii="標楷體" w:eastAsia="標楷體" w:hAnsi="標楷體" w:cs="Arial" w:hint="eastAsia"/>
              </w:rPr>
              <w:t>之法源依據。</w:t>
            </w:r>
          </w:p>
        </w:tc>
      </w:tr>
      <w:tr w:rsidR="00B554CB" w:rsidRPr="00B554CB" w14:paraId="2DEF590B" w14:textId="77777777" w:rsidTr="0062412C">
        <w:tc>
          <w:tcPr>
            <w:tcW w:w="4182" w:type="dxa"/>
          </w:tcPr>
          <w:p w14:paraId="095D0E92" w14:textId="77777777" w:rsidR="001B3108" w:rsidRPr="00B554CB" w:rsidRDefault="001B3108" w:rsidP="0062412C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/>
              </w:rPr>
              <w:t>第二條</w:t>
            </w:r>
          </w:p>
          <w:p w14:paraId="52049AA1" w14:textId="77777777" w:rsidR="002B051B" w:rsidRPr="00B554CB" w:rsidRDefault="00DF67E8" w:rsidP="00DF67E8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 xml:space="preserve">    </w:t>
            </w:r>
            <w:r w:rsidR="001B3108" w:rsidRPr="00B554CB">
              <w:rPr>
                <w:rFonts w:ascii="標楷體" w:eastAsia="標楷體" w:hAnsi="標楷體" w:cs="Arial"/>
              </w:rPr>
              <w:t>金融</w:t>
            </w:r>
            <w:r w:rsidR="001B3108" w:rsidRPr="00B554CB">
              <w:rPr>
                <w:rFonts w:ascii="標楷體" w:eastAsia="標楷體" w:hAnsi="標楷體" w:cs="Arial" w:hint="eastAsia"/>
              </w:rPr>
              <w:t>機構</w:t>
            </w:r>
            <w:r w:rsidR="002B051B" w:rsidRPr="00B554CB">
              <w:rPr>
                <w:rFonts w:ascii="標楷體" w:eastAsia="標楷體" w:hAnsi="標楷體" w:cs="Arial" w:hint="eastAsia"/>
              </w:rPr>
              <w:t>得透過</w:t>
            </w:r>
            <w:r w:rsidR="00A14E25" w:rsidRPr="00B554CB">
              <w:rPr>
                <w:rFonts w:ascii="標楷體" w:eastAsia="標楷體" w:hAnsi="標楷體" w:cs="Arial" w:hint="eastAsia"/>
              </w:rPr>
              <w:t>本中心衍生性金融商品交易資訊儲存庫系統</w:t>
            </w:r>
            <w:r w:rsidR="002B051B" w:rsidRPr="00B554CB">
              <w:rPr>
                <w:rFonts w:ascii="標楷體" w:eastAsia="標楷體" w:hAnsi="標楷體" w:cs="Arial" w:hint="eastAsia"/>
              </w:rPr>
              <w:t>辦理</w:t>
            </w:r>
            <w:r w:rsidR="00433979" w:rsidRPr="00B554CB">
              <w:rPr>
                <w:rFonts w:ascii="標楷體" w:eastAsia="標楷體" w:hAnsi="標楷體" w:cs="Arial" w:hint="eastAsia"/>
              </w:rPr>
              <w:t>交易資料傳輸結算機構</w:t>
            </w:r>
            <w:r w:rsidR="002B051B" w:rsidRPr="00B554CB">
              <w:rPr>
                <w:rFonts w:ascii="標楷體" w:eastAsia="標楷體" w:hAnsi="標楷體" w:cs="Arial" w:hint="eastAsia"/>
              </w:rPr>
              <w:t>作業</w:t>
            </w:r>
            <w:r w:rsidR="00433979" w:rsidRPr="00B554CB">
              <w:rPr>
                <w:rFonts w:ascii="標楷體" w:eastAsia="標楷體" w:hAnsi="標楷體" w:cs="Arial" w:hint="eastAsia"/>
              </w:rPr>
              <w:t>(以下簡稱</w:t>
            </w:r>
            <w:r w:rsidR="006E243E" w:rsidRPr="00B554CB">
              <w:rPr>
                <w:rFonts w:ascii="標楷體" w:eastAsia="標楷體" w:hAnsi="標楷體" w:cs="Arial" w:hint="eastAsia"/>
              </w:rPr>
              <w:t>本</w:t>
            </w:r>
            <w:r w:rsidR="008A3FEA" w:rsidRPr="00B554CB">
              <w:rPr>
                <w:rFonts w:ascii="標楷體" w:eastAsia="標楷體" w:hAnsi="標楷體" w:cs="Arial" w:hint="eastAsia"/>
              </w:rPr>
              <w:t>作業</w:t>
            </w:r>
            <w:r w:rsidR="00433979" w:rsidRPr="00B554CB">
              <w:rPr>
                <w:rFonts w:ascii="標楷體" w:eastAsia="標楷體" w:hAnsi="標楷體" w:cs="Arial" w:hint="eastAsia"/>
              </w:rPr>
              <w:t>)</w:t>
            </w:r>
            <w:r w:rsidR="002B051B" w:rsidRPr="00B554CB">
              <w:rPr>
                <w:rFonts w:ascii="標楷體" w:eastAsia="標楷體" w:hAnsi="標楷體" w:cs="Arial" w:hint="eastAsia"/>
              </w:rPr>
              <w:t>。</w:t>
            </w:r>
          </w:p>
          <w:p w14:paraId="15ACF70C" w14:textId="77777777" w:rsidR="001B3108" w:rsidRPr="00B554CB" w:rsidRDefault="00E8105A" w:rsidP="00DF67E8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 xml:space="preserve">    金融機構</w:t>
            </w:r>
            <w:r w:rsidR="00F65056" w:rsidRPr="00B554CB">
              <w:rPr>
                <w:rFonts w:ascii="標楷體" w:eastAsia="標楷體" w:hAnsi="標楷體" w:cs="Arial" w:hint="eastAsia"/>
              </w:rPr>
              <w:t>辦理</w:t>
            </w:r>
            <w:r w:rsidR="009B2708" w:rsidRPr="00B554CB">
              <w:rPr>
                <w:rFonts w:ascii="標楷體" w:eastAsia="標楷體" w:hAnsi="標楷體" w:cs="Arial" w:hint="eastAsia"/>
              </w:rPr>
              <w:t>本</w:t>
            </w:r>
            <w:r w:rsidR="00F65056" w:rsidRPr="00B554CB">
              <w:rPr>
                <w:rFonts w:ascii="標楷體" w:eastAsia="標楷體" w:hAnsi="標楷體" w:cs="Arial" w:hint="eastAsia"/>
              </w:rPr>
              <w:t>作業</w:t>
            </w:r>
            <w:r w:rsidRPr="00B554CB">
              <w:rPr>
                <w:rFonts w:ascii="標楷體" w:eastAsia="標楷體" w:hAnsi="標楷體" w:cs="Arial" w:hint="eastAsia"/>
              </w:rPr>
              <w:t>，應依本要點規定辦理</w:t>
            </w:r>
            <w:r w:rsidR="00261066" w:rsidRPr="00B554CB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4182" w:type="dxa"/>
          </w:tcPr>
          <w:p w14:paraId="278E31B2" w14:textId="12E222F5" w:rsidR="001B3108" w:rsidRPr="00607829" w:rsidRDefault="000051D7" w:rsidP="00114219">
            <w:pPr>
              <w:jc w:val="both"/>
              <w:rPr>
                <w:rFonts w:ascii="標楷體" w:eastAsia="標楷體" w:hAnsi="標楷體" w:cs="Arial"/>
              </w:rPr>
            </w:pPr>
            <w:r w:rsidRPr="00607829">
              <w:rPr>
                <w:rFonts w:ascii="標楷體" w:eastAsia="標楷體" w:hAnsi="標楷體" w:cs="Arial" w:hint="eastAsia"/>
              </w:rPr>
              <w:t>明定金融機</w:t>
            </w:r>
            <w:r w:rsidRPr="00556BB9">
              <w:rPr>
                <w:rFonts w:ascii="標楷體" w:eastAsia="標楷體" w:hAnsi="標楷體" w:cs="Arial" w:hint="eastAsia"/>
              </w:rPr>
              <w:t>構</w:t>
            </w:r>
            <w:r w:rsidR="00285D9F" w:rsidRPr="00556BB9">
              <w:rPr>
                <w:rFonts w:ascii="標楷體" w:eastAsia="標楷體" w:hAnsi="標楷體" w:cs="Arial" w:hint="eastAsia"/>
              </w:rPr>
              <w:t>得</w:t>
            </w:r>
            <w:r w:rsidR="00607829" w:rsidRPr="00556BB9">
              <w:rPr>
                <w:rFonts w:ascii="標楷體" w:eastAsia="標楷體" w:hAnsi="標楷體" w:cs="Arial" w:hint="eastAsia"/>
              </w:rPr>
              <w:t>透</w:t>
            </w:r>
            <w:r w:rsidR="00607829" w:rsidRPr="00607829">
              <w:rPr>
                <w:rFonts w:ascii="標楷體" w:eastAsia="標楷體" w:hAnsi="標楷體" w:cs="Arial" w:hint="eastAsia"/>
              </w:rPr>
              <w:t>過</w:t>
            </w:r>
            <w:r w:rsidR="002F5FD9" w:rsidRPr="00607829">
              <w:rPr>
                <w:rFonts w:ascii="標楷體" w:eastAsia="標楷體" w:hAnsi="標楷體" w:cs="Arial" w:hint="eastAsia"/>
              </w:rPr>
              <w:t>本</w:t>
            </w:r>
            <w:r w:rsidR="00607829" w:rsidRPr="00607829">
              <w:rPr>
                <w:rFonts w:ascii="標楷體" w:eastAsia="標楷體" w:hAnsi="標楷體" w:cs="Arial" w:hint="eastAsia"/>
              </w:rPr>
              <w:t>中心</w:t>
            </w:r>
            <w:r w:rsidR="00F65056" w:rsidRPr="00607829">
              <w:rPr>
                <w:rFonts w:ascii="標楷體" w:eastAsia="標楷體" w:hAnsi="標楷體" w:cs="Arial" w:hint="eastAsia"/>
              </w:rPr>
              <w:t>辦理衍生性金融商品</w:t>
            </w:r>
            <w:r w:rsidR="00607829" w:rsidRPr="00607829">
              <w:rPr>
                <w:rFonts w:ascii="標楷體" w:eastAsia="標楷體" w:hAnsi="標楷體" w:cs="Arial" w:hint="eastAsia"/>
              </w:rPr>
              <w:t>交易</w:t>
            </w:r>
            <w:r w:rsidR="00F65056" w:rsidRPr="00607829">
              <w:rPr>
                <w:rFonts w:ascii="標楷體" w:eastAsia="標楷體" w:hAnsi="標楷體" w:cs="Arial" w:hint="eastAsia"/>
              </w:rPr>
              <w:t>資料傳輸</w:t>
            </w:r>
            <w:r w:rsidR="00607829" w:rsidRPr="00607829">
              <w:rPr>
                <w:rFonts w:ascii="標楷體" w:eastAsia="標楷體" w:hAnsi="標楷體" w:cs="Arial" w:hint="eastAsia"/>
              </w:rPr>
              <w:t>結算機構</w:t>
            </w:r>
            <w:r w:rsidR="00F65056" w:rsidRPr="00607829">
              <w:rPr>
                <w:rFonts w:ascii="標楷體" w:eastAsia="標楷體" w:hAnsi="標楷體" w:cs="Arial" w:hint="eastAsia"/>
              </w:rPr>
              <w:t>作業</w:t>
            </w:r>
            <w:r w:rsidRPr="00607829">
              <w:rPr>
                <w:rFonts w:ascii="標楷體" w:eastAsia="標楷體" w:hAnsi="標楷體" w:cs="Arial" w:hint="eastAsia"/>
              </w:rPr>
              <w:t>。</w:t>
            </w:r>
          </w:p>
          <w:p w14:paraId="15154532" w14:textId="77777777" w:rsidR="006556E5" w:rsidRPr="00693C38" w:rsidRDefault="006556E5" w:rsidP="00114219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</w:p>
          <w:p w14:paraId="6C0C463C" w14:textId="77777777" w:rsidR="006556E5" w:rsidRPr="00693C38" w:rsidRDefault="006556E5" w:rsidP="0062412C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</w:p>
        </w:tc>
      </w:tr>
      <w:tr w:rsidR="00B554CB" w:rsidRPr="00B554CB" w14:paraId="665BE814" w14:textId="77777777" w:rsidTr="0062412C">
        <w:tc>
          <w:tcPr>
            <w:tcW w:w="4182" w:type="dxa"/>
          </w:tcPr>
          <w:p w14:paraId="5237CE8A" w14:textId="77777777" w:rsidR="00AE4950" w:rsidRPr="00B554CB" w:rsidRDefault="00AE4950" w:rsidP="00440BC6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>第二章 資料傳輸作業</w:t>
            </w:r>
          </w:p>
        </w:tc>
        <w:tc>
          <w:tcPr>
            <w:tcW w:w="4182" w:type="dxa"/>
          </w:tcPr>
          <w:p w14:paraId="41FB7247" w14:textId="77777777" w:rsidR="00AE4950" w:rsidRPr="00693C38" w:rsidRDefault="00AE4950" w:rsidP="0062412C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</w:p>
        </w:tc>
      </w:tr>
      <w:tr w:rsidR="00B554CB" w:rsidRPr="00B554CB" w14:paraId="4896840A" w14:textId="77777777" w:rsidTr="0062412C">
        <w:tc>
          <w:tcPr>
            <w:tcW w:w="4182" w:type="dxa"/>
          </w:tcPr>
          <w:p w14:paraId="6EE342BF" w14:textId="77777777" w:rsidR="003B499A" w:rsidRPr="00B554CB" w:rsidRDefault="003B499A" w:rsidP="003B499A">
            <w:pPr>
              <w:jc w:val="both"/>
              <w:rPr>
                <w:rFonts w:ascii="標楷體" w:eastAsia="標楷體" w:hAnsi="標楷體" w:cs="Arial"/>
              </w:rPr>
            </w:pPr>
            <w:r w:rsidRPr="00096144">
              <w:rPr>
                <w:rFonts w:ascii="標楷體" w:eastAsia="標楷體" w:hAnsi="標楷體" w:cs="Arial" w:hint="eastAsia"/>
              </w:rPr>
              <w:t>第</w:t>
            </w:r>
            <w:r w:rsidR="00D07D5E" w:rsidRPr="00096144">
              <w:rPr>
                <w:rFonts w:ascii="標楷體" w:eastAsia="標楷體" w:hAnsi="標楷體" w:cs="Arial" w:hint="eastAsia"/>
              </w:rPr>
              <w:t>三</w:t>
            </w:r>
            <w:r w:rsidRPr="00096144">
              <w:rPr>
                <w:rFonts w:ascii="標楷體" w:eastAsia="標楷體" w:hAnsi="標楷體" w:cs="Arial" w:hint="eastAsia"/>
              </w:rPr>
              <w:t>條</w:t>
            </w:r>
          </w:p>
          <w:p w14:paraId="3330938F" w14:textId="77777777" w:rsidR="003B499A" w:rsidRDefault="003B499A" w:rsidP="003B499A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 xml:space="preserve">    </w:t>
            </w:r>
            <w:r w:rsidR="00A05FA5" w:rsidRPr="00B554CB">
              <w:rPr>
                <w:rFonts w:ascii="標楷體" w:eastAsia="標楷體" w:hAnsi="標楷體" w:cs="Arial" w:hint="eastAsia"/>
              </w:rPr>
              <w:t>金融</w:t>
            </w:r>
            <w:r w:rsidRPr="00B554CB">
              <w:rPr>
                <w:rFonts w:ascii="標楷體" w:eastAsia="標楷體" w:hAnsi="標楷體" w:cs="Arial" w:hint="eastAsia"/>
              </w:rPr>
              <w:t>機構辦理</w:t>
            </w:r>
            <w:r w:rsidR="006E243E" w:rsidRPr="00B554CB">
              <w:rPr>
                <w:rFonts w:ascii="標楷體" w:eastAsia="標楷體" w:hAnsi="標楷體" w:cs="Arial" w:hint="eastAsia"/>
              </w:rPr>
              <w:t>本</w:t>
            </w:r>
            <w:r w:rsidRPr="00B554CB">
              <w:rPr>
                <w:rFonts w:ascii="標楷體" w:eastAsia="標楷體" w:hAnsi="標楷體" w:cs="Arial" w:hint="eastAsia"/>
              </w:rPr>
              <w:t>作業，應依</w:t>
            </w:r>
            <w:r w:rsidRPr="00096144">
              <w:rPr>
                <w:rFonts w:ascii="標楷體" w:eastAsia="標楷體" w:hAnsi="標楷體" w:cs="Arial" w:hint="eastAsia"/>
              </w:rPr>
              <w:t>本中心</w:t>
            </w:r>
            <w:r w:rsidRPr="00B554CB">
              <w:rPr>
                <w:rFonts w:ascii="標楷體" w:eastAsia="標楷體" w:hAnsi="標楷體" w:cs="Arial" w:hint="eastAsia"/>
              </w:rPr>
              <w:t>規定之時間及格式申報</w:t>
            </w:r>
            <w:r w:rsidR="006E243E" w:rsidRPr="00B554CB">
              <w:rPr>
                <w:rFonts w:ascii="標楷體" w:eastAsia="標楷體" w:hAnsi="標楷體" w:cs="Arial" w:hint="eastAsia"/>
              </w:rPr>
              <w:t>交易資料</w:t>
            </w:r>
            <w:r w:rsidRPr="00B554CB">
              <w:rPr>
                <w:rFonts w:ascii="標楷體" w:eastAsia="標楷體" w:hAnsi="標楷體" w:cs="Arial" w:hint="eastAsia"/>
              </w:rPr>
              <w:t>。</w:t>
            </w:r>
          </w:p>
          <w:p w14:paraId="1F84806A" w14:textId="437782B6" w:rsidR="00643519" w:rsidRPr="00643519" w:rsidRDefault="0044597A" w:rsidP="003B499A">
            <w:pPr>
              <w:jc w:val="both"/>
              <w:rPr>
                <w:rFonts w:ascii="標楷體" w:eastAsia="標楷體" w:hAnsi="標楷體" w:cs="Arial"/>
              </w:rPr>
            </w:pPr>
            <w:r w:rsidRPr="002F3768">
              <w:rPr>
                <w:rFonts w:ascii="標楷體" w:eastAsia="標楷體" w:hAnsi="標楷體" w:cs="Arial"/>
              </w:rPr>
              <w:t xml:space="preserve">    </w:t>
            </w:r>
            <w:r w:rsidRPr="002F3768">
              <w:rPr>
                <w:rFonts w:ascii="標楷體" w:eastAsia="標楷體" w:hAnsi="標楷體" w:cs="Arial" w:hint="eastAsia"/>
              </w:rPr>
              <w:t>前項</w:t>
            </w:r>
            <w:r w:rsidR="00643519" w:rsidRPr="00FF442A">
              <w:rPr>
                <w:rFonts w:ascii="標楷體" w:eastAsia="標楷體" w:hAnsi="標楷體" w:cs="Arial" w:hint="eastAsia"/>
              </w:rPr>
              <w:t>申報時間及格式由本中心另定之。</w:t>
            </w:r>
          </w:p>
        </w:tc>
        <w:tc>
          <w:tcPr>
            <w:tcW w:w="4182" w:type="dxa"/>
          </w:tcPr>
          <w:p w14:paraId="393F330E" w14:textId="77777777" w:rsidR="003B499A" w:rsidRPr="00693C38" w:rsidRDefault="003B499A" w:rsidP="003B499A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  <w:r w:rsidRPr="00693C38">
              <w:rPr>
                <w:rFonts w:ascii="標楷體" w:eastAsia="標楷體" w:hAnsi="標楷體" w:cs="Arial" w:hint="eastAsia"/>
              </w:rPr>
              <w:t>明定</w:t>
            </w:r>
            <w:r w:rsidR="00693C38" w:rsidRPr="00693C38">
              <w:rPr>
                <w:rFonts w:ascii="標楷體" w:eastAsia="標楷體" w:hAnsi="標楷體" w:cs="Arial" w:hint="eastAsia"/>
              </w:rPr>
              <w:t>金融</w:t>
            </w:r>
            <w:r w:rsidRPr="00693C38">
              <w:rPr>
                <w:rFonts w:ascii="標楷體" w:eastAsia="標楷體" w:hAnsi="標楷體" w:cs="Arial" w:hint="eastAsia"/>
              </w:rPr>
              <w:t>機構</w:t>
            </w:r>
            <w:r w:rsidR="00C4487B" w:rsidRPr="00A52A25">
              <w:rPr>
                <w:rFonts w:ascii="標楷體" w:eastAsia="標楷體" w:hAnsi="標楷體" w:cs="Arial" w:hint="eastAsia"/>
              </w:rPr>
              <w:t>辦理本作業</w:t>
            </w:r>
            <w:r w:rsidR="00C4487B">
              <w:rPr>
                <w:rFonts w:ascii="標楷體" w:eastAsia="標楷體" w:hAnsi="標楷體" w:cs="Arial" w:hint="eastAsia"/>
              </w:rPr>
              <w:t>，</w:t>
            </w:r>
            <w:r w:rsidRPr="00693C38">
              <w:rPr>
                <w:rFonts w:ascii="標楷體" w:eastAsia="標楷體" w:hAnsi="標楷體" w:cs="Arial" w:hint="eastAsia"/>
              </w:rPr>
              <w:t>應依本中心規定</w:t>
            </w:r>
            <w:r w:rsidR="00C4487B">
              <w:rPr>
                <w:rFonts w:ascii="標楷體" w:eastAsia="標楷體" w:hAnsi="標楷體" w:cs="Arial" w:hint="eastAsia"/>
              </w:rPr>
              <w:t>申報</w:t>
            </w:r>
            <w:r w:rsidRPr="00693C38">
              <w:rPr>
                <w:rFonts w:ascii="標楷體" w:eastAsia="標楷體" w:hAnsi="標楷體" w:cs="Arial" w:hint="eastAsia"/>
              </w:rPr>
              <w:t>交易資料。</w:t>
            </w:r>
          </w:p>
        </w:tc>
      </w:tr>
      <w:tr w:rsidR="00B554CB" w:rsidRPr="00B554CB" w14:paraId="73E333F2" w14:textId="77777777" w:rsidTr="0062412C">
        <w:tc>
          <w:tcPr>
            <w:tcW w:w="4182" w:type="dxa"/>
          </w:tcPr>
          <w:p w14:paraId="5154594F" w14:textId="77777777" w:rsidR="003B499A" w:rsidRPr="00B554CB" w:rsidRDefault="003B499A" w:rsidP="003B499A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>第</w:t>
            </w:r>
            <w:r w:rsidR="00D07D5E" w:rsidRPr="00B554CB">
              <w:rPr>
                <w:rFonts w:ascii="標楷體" w:eastAsia="標楷體" w:hAnsi="標楷體" w:cs="Arial" w:hint="eastAsia"/>
              </w:rPr>
              <w:t>四</w:t>
            </w:r>
            <w:r w:rsidRPr="00B554CB">
              <w:rPr>
                <w:rFonts w:ascii="標楷體" w:eastAsia="標楷體" w:hAnsi="標楷體" w:cs="Arial" w:hint="eastAsia"/>
              </w:rPr>
              <w:t>條</w:t>
            </w:r>
          </w:p>
          <w:p w14:paraId="2BF31832" w14:textId="2B96142F" w:rsidR="00281BB9" w:rsidRDefault="003B499A" w:rsidP="00D07D5E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 xml:space="preserve">    </w:t>
            </w:r>
            <w:r w:rsidR="00A05FA5" w:rsidRPr="00B554CB">
              <w:rPr>
                <w:rFonts w:ascii="標楷體" w:eastAsia="標楷體" w:hAnsi="標楷體" w:cs="Arial" w:hint="eastAsia"/>
              </w:rPr>
              <w:t>金融</w:t>
            </w:r>
            <w:r w:rsidR="006E243E" w:rsidRPr="00B554CB">
              <w:rPr>
                <w:rFonts w:ascii="標楷體" w:eastAsia="標楷體" w:hAnsi="標楷體" w:cs="Arial" w:hint="eastAsia"/>
              </w:rPr>
              <w:t>機構辦理本作業，</w:t>
            </w:r>
            <w:r w:rsidR="00D9415D">
              <w:rPr>
                <w:rFonts w:ascii="標楷體" w:eastAsia="標楷體" w:hAnsi="標楷體" w:cs="Arial" w:hint="eastAsia"/>
              </w:rPr>
              <w:t>應先與交易對手完成交易確認作業，並</w:t>
            </w:r>
            <w:r w:rsidR="006E243E" w:rsidRPr="00B554CB">
              <w:rPr>
                <w:rFonts w:ascii="標楷體" w:eastAsia="標楷體" w:hAnsi="標楷體" w:cs="Arial" w:hint="eastAsia"/>
              </w:rPr>
              <w:t>應於申報交易時</w:t>
            </w:r>
            <w:r w:rsidR="00D9415D">
              <w:rPr>
                <w:rFonts w:ascii="標楷體" w:eastAsia="標楷體" w:hAnsi="標楷體" w:cs="Arial" w:hint="eastAsia"/>
              </w:rPr>
              <w:t>表示已</w:t>
            </w:r>
            <w:r w:rsidR="00945774">
              <w:rPr>
                <w:rFonts w:ascii="標楷體" w:eastAsia="標楷體" w:hAnsi="標楷體" w:cs="Arial" w:hint="eastAsia"/>
              </w:rPr>
              <w:t>完成</w:t>
            </w:r>
            <w:r w:rsidR="00D9415D">
              <w:rPr>
                <w:rFonts w:ascii="標楷體" w:eastAsia="標楷體" w:hAnsi="標楷體" w:cs="Arial" w:hint="eastAsia"/>
              </w:rPr>
              <w:t>交易確認及</w:t>
            </w:r>
            <w:r w:rsidR="006E243E" w:rsidRPr="00B554CB">
              <w:rPr>
                <w:rFonts w:ascii="標楷體" w:eastAsia="標楷體" w:hAnsi="標楷體" w:cs="Arial" w:hint="eastAsia"/>
              </w:rPr>
              <w:t>同意</w:t>
            </w:r>
            <w:r w:rsidRPr="00B554CB">
              <w:rPr>
                <w:rFonts w:ascii="標楷體" w:eastAsia="標楷體" w:hAnsi="標楷體" w:cs="Arial" w:hint="eastAsia"/>
              </w:rPr>
              <w:t>本</w:t>
            </w:r>
            <w:r w:rsidR="006E243E" w:rsidRPr="00B554CB">
              <w:rPr>
                <w:rFonts w:ascii="標楷體" w:eastAsia="標楷體" w:hAnsi="標楷體" w:cs="Arial" w:hint="eastAsia"/>
              </w:rPr>
              <w:t>中心</w:t>
            </w:r>
            <w:r w:rsidRPr="00B554CB">
              <w:rPr>
                <w:rFonts w:ascii="標楷體" w:eastAsia="標楷體" w:hAnsi="標楷體" w:cs="Arial" w:hint="eastAsia"/>
              </w:rPr>
              <w:t>傳</w:t>
            </w:r>
            <w:r w:rsidR="000D2DAE" w:rsidRPr="00B554CB">
              <w:rPr>
                <w:rFonts w:ascii="標楷體" w:eastAsia="標楷體" w:hAnsi="標楷體" w:cs="Arial" w:hint="eastAsia"/>
              </w:rPr>
              <w:t>輸</w:t>
            </w:r>
            <w:r w:rsidRPr="00B554CB">
              <w:rPr>
                <w:rFonts w:ascii="標楷體" w:eastAsia="標楷體" w:hAnsi="標楷體" w:cs="Arial" w:hint="eastAsia"/>
              </w:rPr>
              <w:t>交易</w:t>
            </w:r>
            <w:r w:rsidR="00F75A18" w:rsidRPr="00B554CB">
              <w:rPr>
                <w:rFonts w:ascii="標楷體" w:eastAsia="標楷體" w:hAnsi="標楷體" w:cs="Arial" w:hint="eastAsia"/>
              </w:rPr>
              <w:t>資料</w:t>
            </w:r>
            <w:r w:rsidRPr="00B554CB">
              <w:rPr>
                <w:rFonts w:ascii="標楷體" w:eastAsia="標楷體" w:hAnsi="標楷體" w:cs="Arial" w:hint="eastAsia"/>
              </w:rPr>
              <w:t>予結算機構</w:t>
            </w:r>
            <w:r w:rsidR="00377362" w:rsidRPr="00B554CB">
              <w:rPr>
                <w:rFonts w:ascii="標楷體" w:eastAsia="標楷體" w:hAnsi="標楷體" w:cs="Arial" w:hint="eastAsia"/>
              </w:rPr>
              <w:t>。</w:t>
            </w:r>
          </w:p>
          <w:p w14:paraId="592DC700" w14:textId="3677C1DB" w:rsidR="00B52F52" w:rsidRPr="00CC7923" w:rsidRDefault="00281BB9">
            <w:pPr>
              <w:jc w:val="both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 xml:space="preserve">    </w:t>
            </w:r>
            <w:r w:rsidRPr="005561D1">
              <w:rPr>
                <w:rFonts w:ascii="標楷體" w:eastAsia="標楷體" w:hAnsi="標楷體" w:cs="Arial" w:hint="eastAsia"/>
              </w:rPr>
              <w:t>本中心於確認交易雙方</w:t>
            </w:r>
            <w:r w:rsidR="00E74A5D">
              <w:rPr>
                <w:rFonts w:ascii="標楷體" w:eastAsia="標楷體" w:hAnsi="標楷體" w:cs="Arial" w:hint="eastAsia"/>
              </w:rPr>
              <w:t>同意</w:t>
            </w:r>
            <w:r w:rsidR="007B47A4">
              <w:rPr>
                <w:rFonts w:ascii="標楷體" w:eastAsia="標楷體" w:hAnsi="標楷體" w:cs="Arial" w:hint="eastAsia"/>
              </w:rPr>
              <w:t>及</w:t>
            </w:r>
            <w:r w:rsidRPr="005561D1">
              <w:rPr>
                <w:rFonts w:ascii="標楷體" w:eastAsia="標楷體" w:hAnsi="標楷體" w:cs="Arial" w:hint="eastAsia"/>
              </w:rPr>
              <w:t>交易資料</w:t>
            </w:r>
            <w:r w:rsidR="00245423" w:rsidRPr="005561D1">
              <w:rPr>
                <w:rFonts w:ascii="標楷體" w:eastAsia="標楷體" w:hAnsi="標楷體" w:cs="Arial" w:hint="eastAsia"/>
              </w:rPr>
              <w:t>相符</w:t>
            </w:r>
            <w:r w:rsidRPr="005561D1">
              <w:rPr>
                <w:rFonts w:ascii="標楷體" w:eastAsia="標楷體" w:hAnsi="標楷體" w:cs="Arial" w:hint="eastAsia"/>
              </w:rPr>
              <w:t>後</w:t>
            </w:r>
            <w:r w:rsidR="00377362" w:rsidRPr="005561D1">
              <w:rPr>
                <w:rFonts w:ascii="標楷體" w:eastAsia="標楷體" w:hAnsi="標楷體" w:cs="Arial" w:hint="eastAsia"/>
              </w:rPr>
              <w:t>，</w:t>
            </w:r>
            <w:r w:rsidR="00853086" w:rsidRPr="005561D1">
              <w:rPr>
                <w:rFonts w:ascii="標楷體" w:eastAsia="標楷體" w:hAnsi="標楷體" w:cs="Arial" w:hint="eastAsia"/>
              </w:rPr>
              <w:t>傳輸</w:t>
            </w:r>
            <w:r w:rsidR="006E243E" w:rsidRPr="005561D1">
              <w:rPr>
                <w:rFonts w:ascii="標楷體" w:eastAsia="標楷體" w:hAnsi="標楷體" w:cs="Arial" w:hint="eastAsia"/>
              </w:rPr>
              <w:t>交易</w:t>
            </w:r>
            <w:r w:rsidR="00377362" w:rsidRPr="005561D1">
              <w:rPr>
                <w:rFonts w:ascii="標楷體" w:eastAsia="標楷體" w:hAnsi="標楷體" w:cs="Arial" w:hint="eastAsia"/>
              </w:rPr>
              <w:t>資料予結算機構</w:t>
            </w:r>
            <w:r w:rsidR="00853086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4182" w:type="dxa"/>
          </w:tcPr>
          <w:p w14:paraId="4C3829C9" w14:textId="77777777" w:rsidR="003B499A" w:rsidRPr="00FC044E" w:rsidRDefault="003B499A" w:rsidP="00FC044E">
            <w:pPr>
              <w:numPr>
                <w:ilvl w:val="0"/>
                <w:numId w:val="5"/>
              </w:numPr>
              <w:ind w:left="557" w:hanging="557"/>
              <w:jc w:val="both"/>
              <w:rPr>
                <w:rFonts w:ascii="標楷體" w:eastAsia="標楷體" w:hAnsi="標楷體" w:cs="Arial"/>
                <w:color w:val="0070C0"/>
              </w:rPr>
            </w:pPr>
            <w:r w:rsidRPr="00A52A25">
              <w:rPr>
                <w:rFonts w:ascii="標楷體" w:eastAsia="標楷體" w:hAnsi="標楷體" w:cs="Arial" w:hint="eastAsia"/>
              </w:rPr>
              <w:t>明定</w:t>
            </w:r>
            <w:r w:rsidR="00A52A25" w:rsidRPr="00A52A25">
              <w:rPr>
                <w:rFonts w:ascii="標楷體" w:eastAsia="標楷體" w:hAnsi="標楷體" w:cs="Arial" w:hint="eastAsia"/>
              </w:rPr>
              <w:t>金融</w:t>
            </w:r>
            <w:r w:rsidRPr="00A52A25">
              <w:rPr>
                <w:rFonts w:ascii="標楷體" w:eastAsia="標楷體" w:hAnsi="標楷體" w:cs="Arial" w:hint="eastAsia"/>
              </w:rPr>
              <w:t>機構辦理</w:t>
            </w:r>
            <w:r w:rsidR="00A52A25" w:rsidRPr="00A52A25">
              <w:rPr>
                <w:rFonts w:ascii="標楷體" w:eastAsia="標楷體" w:hAnsi="標楷體" w:cs="Arial" w:hint="eastAsia"/>
              </w:rPr>
              <w:t>本</w:t>
            </w:r>
            <w:r w:rsidRPr="00A52A25">
              <w:rPr>
                <w:rFonts w:ascii="標楷體" w:eastAsia="標楷體" w:hAnsi="標楷體" w:cs="Arial" w:hint="eastAsia"/>
              </w:rPr>
              <w:t>作業之</w:t>
            </w:r>
            <w:r w:rsidR="006C63B3">
              <w:rPr>
                <w:rFonts w:ascii="標楷體" w:eastAsia="標楷體" w:hAnsi="標楷體" w:cs="Arial" w:hint="eastAsia"/>
              </w:rPr>
              <w:t>流程與</w:t>
            </w:r>
            <w:r w:rsidRPr="00A52A25">
              <w:rPr>
                <w:rFonts w:ascii="標楷體" w:eastAsia="標楷體" w:hAnsi="標楷體" w:cs="Arial" w:hint="eastAsia"/>
              </w:rPr>
              <w:t>方式。</w:t>
            </w:r>
          </w:p>
          <w:p w14:paraId="21A7D53E" w14:textId="39E567A0" w:rsidR="00FC044E" w:rsidRPr="00BE77E6" w:rsidRDefault="00FC044E" w:rsidP="00FC044E">
            <w:pPr>
              <w:numPr>
                <w:ilvl w:val="0"/>
                <w:numId w:val="5"/>
              </w:numPr>
              <w:ind w:left="557" w:hanging="557"/>
              <w:jc w:val="both"/>
              <w:rPr>
                <w:rFonts w:ascii="標楷體" w:eastAsia="標楷體" w:hAnsi="標楷體" w:cs="Arial"/>
                <w:color w:val="0070C0"/>
              </w:rPr>
            </w:pPr>
            <w:r w:rsidRPr="00A52A25">
              <w:rPr>
                <w:rFonts w:ascii="標楷體" w:eastAsia="標楷體" w:hAnsi="標楷體" w:cs="Arial" w:hint="eastAsia"/>
              </w:rPr>
              <w:t>明定</w:t>
            </w:r>
            <w:r>
              <w:rPr>
                <w:rFonts w:ascii="標楷體" w:eastAsia="標楷體" w:hAnsi="標楷體" w:cs="Arial" w:hint="eastAsia"/>
              </w:rPr>
              <w:t>本中心係</w:t>
            </w:r>
            <w:r w:rsidR="00281BB9">
              <w:rPr>
                <w:rFonts w:ascii="標楷體" w:eastAsia="標楷體" w:hAnsi="標楷體" w:cs="Arial" w:hint="eastAsia"/>
              </w:rPr>
              <w:t>經確認交易雙方均同意透過本中心傳輸交易資料及雙方交易資料</w:t>
            </w:r>
            <w:r w:rsidR="00245423">
              <w:rPr>
                <w:rFonts w:ascii="標楷體" w:eastAsia="標楷體" w:hAnsi="標楷體" w:cs="Arial" w:hint="eastAsia"/>
              </w:rPr>
              <w:t>相符</w:t>
            </w:r>
            <w:r w:rsidR="00281BB9">
              <w:rPr>
                <w:rFonts w:ascii="標楷體" w:eastAsia="標楷體" w:hAnsi="標楷體" w:cs="Arial" w:hint="eastAsia"/>
              </w:rPr>
              <w:t>後，</w:t>
            </w:r>
            <w:r>
              <w:rPr>
                <w:rFonts w:ascii="標楷體" w:eastAsia="標楷體" w:hAnsi="標楷體" w:cs="Arial" w:hint="eastAsia"/>
              </w:rPr>
              <w:t>將交易資料傳輸予結算機構</w:t>
            </w:r>
            <w:r w:rsidR="003E29FD">
              <w:rPr>
                <w:rFonts w:ascii="標楷體" w:eastAsia="標楷體" w:hAnsi="標楷體" w:cs="Arial" w:hint="eastAsia"/>
              </w:rPr>
              <w:t>。</w:t>
            </w:r>
          </w:p>
          <w:p w14:paraId="7AEF992E" w14:textId="77777777" w:rsidR="00865173" w:rsidRDefault="00865173" w:rsidP="00865173">
            <w:pPr>
              <w:jc w:val="both"/>
              <w:rPr>
                <w:rFonts w:ascii="標楷體" w:eastAsia="標楷體" w:hAnsi="標楷體" w:cs="Arial"/>
              </w:rPr>
            </w:pPr>
          </w:p>
          <w:p w14:paraId="54D46994" w14:textId="77777777" w:rsidR="00865173" w:rsidRPr="002D5261" w:rsidRDefault="00865173" w:rsidP="00865173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</w:p>
        </w:tc>
      </w:tr>
      <w:tr w:rsidR="00B554CB" w:rsidRPr="00B554CB" w14:paraId="6065D4FF" w14:textId="77777777" w:rsidTr="0062412C">
        <w:tc>
          <w:tcPr>
            <w:tcW w:w="4182" w:type="dxa"/>
          </w:tcPr>
          <w:p w14:paraId="4D341B39" w14:textId="40AE203B" w:rsidR="005477D0" w:rsidRPr="00853086" w:rsidRDefault="005477D0" w:rsidP="005477D0">
            <w:pPr>
              <w:jc w:val="both"/>
              <w:rPr>
                <w:rFonts w:ascii="標楷體" w:eastAsia="標楷體" w:hAnsi="標楷體" w:cs="Arial"/>
              </w:rPr>
            </w:pPr>
            <w:r w:rsidRPr="006F5D5D">
              <w:rPr>
                <w:rFonts w:ascii="標楷體" w:eastAsia="標楷體" w:hAnsi="標楷體" w:cs="Arial" w:hint="eastAsia"/>
              </w:rPr>
              <w:t>第</w:t>
            </w:r>
            <w:r w:rsidR="00FF653A">
              <w:rPr>
                <w:rFonts w:ascii="標楷體" w:eastAsia="標楷體" w:hAnsi="標楷體" w:cs="Arial" w:hint="eastAsia"/>
              </w:rPr>
              <w:t>五</w:t>
            </w:r>
            <w:r w:rsidRPr="006F5D5D">
              <w:rPr>
                <w:rFonts w:ascii="標楷體" w:eastAsia="標楷體" w:hAnsi="標楷體" w:cs="Arial" w:hint="eastAsia"/>
              </w:rPr>
              <w:t>條</w:t>
            </w:r>
          </w:p>
          <w:p w14:paraId="630532B8" w14:textId="46A2AF56" w:rsidR="00953EF3" w:rsidRPr="006F5D5D" w:rsidRDefault="005477D0" w:rsidP="00556BB9">
            <w:pPr>
              <w:jc w:val="both"/>
              <w:rPr>
                <w:rFonts w:ascii="標楷體" w:eastAsia="標楷體" w:hAnsi="標楷體" w:cs="Arial"/>
              </w:rPr>
            </w:pPr>
            <w:r w:rsidRPr="00853086">
              <w:rPr>
                <w:rFonts w:ascii="標楷體" w:eastAsia="標楷體" w:hAnsi="標楷體" w:cs="Arial" w:hint="eastAsia"/>
              </w:rPr>
              <w:t xml:space="preserve">    </w:t>
            </w:r>
            <w:r w:rsidR="00EA608E" w:rsidRPr="00853086">
              <w:rPr>
                <w:rFonts w:ascii="標楷體" w:eastAsia="標楷體" w:hAnsi="標楷體" w:cs="Arial" w:hint="eastAsia"/>
              </w:rPr>
              <w:t>金融機構辦理本作業，</w:t>
            </w:r>
            <w:r w:rsidR="007B47A4">
              <w:rPr>
                <w:rFonts w:ascii="標楷體" w:eastAsia="標楷體" w:hAnsi="標楷體" w:cs="Arial" w:hint="eastAsia"/>
              </w:rPr>
              <w:t>於</w:t>
            </w:r>
            <w:r w:rsidR="00EA608E" w:rsidRPr="00853086">
              <w:rPr>
                <w:rFonts w:ascii="標楷體" w:eastAsia="標楷體" w:hAnsi="標楷體" w:cs="Arial" w:hint="eastAsia"/>
              </w:rPr>
              <w:t>交易</w:t>
            </w:r>
            <w:r w:rsidR="00CC570C" w:rsidRPr="00853086">
              <w:rPr>
                <w:rFonts w:ascii="標楷體" w:eastAsia="標楷體" w:hAnsi="標楷體" w:cs="Arial" w:hint="eastAsia"/>
              </w:rPr>
              <w:t>尚未</w:t>
            </w:r>
            <w:r w:rsidR="00EA608E" w:rsidRPr="00853086">
              <w:rPr>
                <w:rFonts w:ascii="標楷體" w:eastAsia="標楷體" w:hAnsi="標楷體" w:cs="Arial" w:hint="eastAsia"/>
              </w:rPr>
              <w:t>經結算機構</w:t>
            </w:r>
            <w:r w:rsidR="00CC570C" w:rsidRPr="00853086">
              <w:rPr>
                <w:rFonts w:ascii="標楷體" w:eastAsia="標楷體" w:hAnsi="標楷體" w:cs="Arial" w:hint="eastAsia"/>
              </w:rPr>
              <w:t>接受前</w:t>
            </w:r>
            <w:r w:rsidR="00EA608E" w:rsidRPr="00853086">
              <w:rPr>
                <w:rFonts w:ascii="標楷體" w:eastAsia="標楷體" w:hAnsi="標楷體" w:cs="Arial" w:hint="eastAsia"/>
              </w:rPr>
              <w:t>，</w:t>
            </w:r>
            <w:r w:rsidR="000630B9" w:rsidRPr="00853086">
              <w:rPr>
                <w:rFonts w:ascii="標楷體" w:eastAsia="標楷體" w:hAnsi="標楷體" w:cs="Arial" w:hint="eastAsia"/>
              </w:rPr>
              <w:t>得</w:t>
            </w:r>
            <w:r w:rsidR="00344C53">
              <w:rPr>
                <w:rFonts w:ascii="標楷體" w:eastAsia="標楷體" w:hAnsi="標楷體" w:cs="Arial" w:hint="eastAsia"/>
              </w:rPr>
              <w:t>取消</w:t>
            </w:r>
            <w:r w:rsidR="009F5DB3" w:rsidRPr="006F5D5D">
              <w:rPr>
                <w:rFonts w:ascii="標楷體" w:eastAsia="標楷體" w:hAnsi="標楷體" w:cs="Arial" w:hint="eastAsia"/>
              </w:rPr>
              <w:t>已傳輸之交易資料</w:t>
            </w:r>
            <w:r w:rsidR="000630B9" w:rsidRPr="006F5D5D">
              <w:rPr>
                <w:rFonts w:ascii="標楷體" w:eastAsia="標楷體" w:hAnsi="標楷體" w:cs="Arial" w:hint="eastAsia"/>
              </w:rPr>
              <w:t>。</w:t>
            </w:r>
          </w:p>
        </w:tc>
        <w:tc>
          <w:tcPr>
            <w:tcW w:w="4182" w:type="dxa"/>
          </w:tcPr>
          <w:p w14:paraId="5977B4F4" w14:textId="329A0370" w:rsidR="005477D0" w:rsidRPr="006F5D5D" w:rsidRDefault="001E709B" w:rsidP="003B499A">
            <w:pPr>
              <w:jc w:val="both"/>
              <w:rPr>
                <w:rFonts w:ascii="標楷體" w:eastAsia="標楷體" w:hAnsi="標楷體" w:cs="Arial"/>
              </w:rPr>
            </w:pPr>
            <w:r w:rsidRPr="006F5D5D">
              <w:rPr>
                <w:rFonts w:ascii="標楷體" w:eastAsia="標楷體" w:hAnsi="標楷體" w:cs="Arial" w:hint="eastAsia"/>
              </w:rPr>
              <w:t>明定金融機構辦理本作業，</w:t>
            </w:r>
            <w:r w:rsidR="00D255CD">
              <w:rPr>
                <w:rFonts w:ascii="標楷體" w:eastAsia="標楷體" w:hAnsi="標楷體" w:cs="Arial" w:hint="eastAsia"/>
              </w:rPr>
              <w:t>得</w:t>
            </w:r>
            <w:r w:rsidR="00CF4B5B">
              <w:rPr>
                <w:rFonts w:ascii="標楷體" w:eastAsia="標楷體" w:hAnsi="標楷體" w:cs="Arial" w:hint="eastAsia"/>
              </w:rPr>
              <w:t>取消</w:t>
            </w:r>
            <w:r w:rsidR="00D255CD">
              <w:rPr>
                <w:rFonts w:ascii="標楷體" w:eastAsia="標楷體" w:hAnsi="標楷體" w:cs="Arial" w:hint="eastAsia"/>
              </w:rPr>
              <w:t>未經</w:t>
            </w:r>
            <w:r w:rsidR="00DF46CA" w:rsidRPr="006F5D5D">
              <w:rPr>
                <w:rFonts w:ascii="標楷體" w:eastAsia="標楷體" w:hAnsi="標楷體" w:cs="Arial" w:hint="eastAsia"/>
              </w:rPr>
              <w:t>結算機構</w:t>
            </w:r>
            <w:r w:rsidR="00D255CD">
              <w:rPr>
                <w:rFonts w:ascii="標楷體" w:eastAsia="標楷體" w:hAnsi="標楷體" w:cs="Arial" w:hint="eastAsia"/>
              </w:rPr>
              <w:t>接受</w:t>
            </w:r>
            <w:r w:rsidR="00DF46CA" w:rsidRPr="006F5D5D">
              <w:rPr>
                <w:rFonts w:ascii="標楷體" w:eastAsia="標楷體" w:hAnsi="標楷體" w:cs="Arial" w:hint="eastAsia"/>
              </w:rPr>
              <w:t>之交易資料</w:t>
            </w:r>
            <w:r w:rsidRPr="006F5D5D">
              <w:rPr>
                <w:rFonts w:ascii="標楷體" w:eastAsia="標楷體" w:hAnsi="標楷體" w:cs="Arial" w:hint="eastAsia"/>
              </w:rPr>
              <w:t>。</w:t>
            </w:r>
          </w:p>
        </w:tc>
      </w:tr>
      <w:tr w:rsidR="00FF653A" w:rsidRPr="00B554CB" w14:paraId="18BDF695" w14:textId="77777777" w:rsidTr="0062412C">
        <w:tc>
          <w:tcPr>
            <w:tcW w:w="4182" w:type="dxa"/>
          </w:tcPr>
          <w:p w14:paraId="40A48216" w14:textId="5091968F" w:rsidR="00FF653A" w:rsidRPr="00853086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F44550">
              <w:rPr>
                <w:rFonts w:ascii="標楷體" w:eastAsia="標楷體" w:hAnsi="標楷體" w:cs="Arial" w:hint="eastAsia"/>
              </w:rPr>
              <w:t>第</w:t>
            </w:r>
            <w:r>
              <w:rPr>
                <w:rFonts w:ascii="標楷體" w:eastAsia="標楷體" w:hAnsi="標楷體" w:cs="Arial" w:hint="eastAsia"/>
              </w:rPr>
              <w:t>六</w:t>
            </w:r>
            <w:r w:rsidRPr="00F44550">
              <w:rPr>
                <w:rFonts w:ascii="標楷體" w:eastAsia="標楷體" w:hAnsi="標楷體" w:cs="Arial" w:hint="eastAsia"/>
              </w:rPr>
              <w:t>條</w:t>
            </w:r>
          </w:p>
          <w:p w14:paraId="08E206F3" w14:textId="101DFE84" w:rsidR="00FF653A" w:rsidRPr="006F5D5D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853086">
              <w:rPr>
                <w:rFonts w:ascii="標楷體" w:eastAsia="標楷體" w:hAnsi="標楷體" w:cs="Arial" w:hint="eastAsia"/>
              </w:rPr>
              <w:t xml:space="preserve">    金融機構辦理本作業，</w:t>
            </w:r>
            <w:r>
              <w:rPr>
                <w:rFonts w:ascii="標楷體" w:eastAsia="標楷體" w:hAnsi="標楷體" w:cs="Arial" w:hint="eastAsia"/>
              </w:rPr>
              <w:t>於</w:t>
            </w:r>
            <w:r w:rsidRPr="00853086">
              <w:rPr>
                <w:rFonts w:ascii="標楷體" w:eastAsia="標楷體" w:hAnsi="標楷體" w:cs="Arial" w:hint="eastAsia"/>
              </w:rPr>
              <w:t>交易尚未</w:t>
            </w:r>
            <w:r w:rsidRPr="00853086">
              <w:rPr>
                <w:rFonts w:ascii="標楷體" w:eastAsia="標楷體" w:hAnsi="標楷體" w:cs="Arial" w:hint="eastAsia"/>
              </w:rPr>
              <w:lastRenderedPageBreak/>
              <w:t>經結</w:t>
            </w:r>
            <w:r w:rsidRPr="00CE2158">
              <w:rPr>
                <w:rFonts w:ascii="標楷體" w:eastAsia="標楷體" w:hAnsi="標楷體" w:cs="Arial" w:hint="eastAsia"/>
              </w:rPr>
              <w:t>算機構接受前，</w:t>
            </w:r>
            <w:r w:rsidR="00D255CD">
              <w:rPr>
                <w:rFonts w:ascii="標楷體" w:eastAsia="標楷體" w:hAnsi="標楷體" w:cs="Arial" w:hint="eastAsia"/>
              </w:rPr>
              <w:t>如欲</w:t>
            </w:r>
            <w:r w:rsidRPr="00CE2158">
              <w:rPr>
                <w:rFonts w:ascii="標楷體" w:eastAsia="標楷體" w:hAnsi="標楷體" w:cs="Arial" w:hint="eastAsia"/>
              </w:rPr>
              <w:t>修改其申報之交易資料</w:t>
            </w:r>
            <w:r w:rsidR="00D255CD">
              <w:rPr>
                <w:rFonts w:ascii="標楷體" w:eastAsia="標楷體" w:hAnsi="標楷體" w:cs="Arial" w:hint="eastAsia"/>
              </w:rPr>
              <w:t>，應</w:t>
            </w:r>
            <w:r w:rsidR="00D255CD" w:rsidRPr="00CE2158">
              <w:rPr>
                <w:rFonts w:ascii="標楷體" w:eastAsia="標楷體" w:hAnsi="標楷體" w:cs="Arial" w:hint="eastAsia"/>
              </w:rPr>
              <w:t>經交易雙方合意</w:t>
            </w:r>
            <w:r w:rsidR="00D255CD">
              <w:rPr>
                <w:rFonts w:ascii="標楷體" w:eastAsia="標楷體" w:hAnsi="標楷體" w:cs="Arial" w:hint="eastAsia"/>
              </w:rPr>
              <w:t>後為之</w:t>
            </w:r>
            <w:r>
              <w:rPr>
                <w:rFonts w:ascii="標楷體" w:eastAsia="標楷體" w:hAnsi="標楷體" w:cs="Arial" w:hint="eastAsia"/>
              </w:rPr>
              <w:t>。</w:t>
            </w:r>
            <w:r w:rsidRPr="00CE2158">
              <w:rPr>
                <w:rFonts w:ascii="標楷體" w:eastAsia="標楷體" w:hAnsi="標楷體" w:cs="Arial" w:hint="eastAsia"/>
              </w:rPr>
              <w:t>本</w:t>
            </w:r>
            <w:r w:rsidRPr="000F792A">
              <w:rPr>
                <w:rFonts w:ascii="標楷體" w:eastAsia="標楷體" w:hAnsi="標楷體" w:cs="Arial" w:hint="eastAsia"/>
              </w:rPr>
              <w:t>中心經重</w:t>
            </w:r>
            <w:r w:rsidRPr="00F44550">
              <w:rPr>
                <w:rFonts w:ascii="標楷體" w:eastAsia="標楷體" w:hAnsi="標楷體" w:cs="Arial" w:hint="eastAsia"/>
              </w:rPr>
              <w:t>新</w:t>
            </w:r>
            <w:r w:rsidRPr="00281BB9">
              <w:rPr>
                <w:rFonts w:ascii="標楷體" w:eastAsia="標楷體" w:hAnsi="標楷體" w:cs="Arial" w:hint="eastAsia"/>
              </w:rPr>
              <w:t>確認交易雙方</w:t>
            </w:r>
            <w:r>
              <w:rPr>
                <w:rFonts w:ascii="標楷體" w:eastAsia="標楷體" w:hAnsi="標楷體" w:cs="Arial" w:hint="eastAsia"/>
              </w:rPr>
              <w:t>同意</w:t>
            </w:r>
            <w:r w:rsidR="00D255CD" w:rsidRPr="00D255CD">
              <w:rPr>
                <w:rFonts w:ascii="標楷體" w:eastAsia="標楷體" w:hAnsi="標楷體" w:cs="Arial" w:hint="eastAsia"/>
              </w:rPr>
              <w:t>本中心傳輸交易資料予結算機構</w:t>
            </w:r>
            <w:r w:rsidR="00D255CD">
              <w:rPr>
                <w:rFonts w:ascii="標楷體" w:eastAsia="標楷體" w:hAnsi="標楷體" w:cs="Arial" w:hint="eastAsia"/>
              </w:rPr>
              <w:t>，以</w:t>
            </w:r>
            <w:r>
              <w:rPr>
                <w:rFonts w:ascii="標楷體" w:eastAsia="標楷體" w:hAnsi="標楷體" w:cs="Arial" w:hint="eastAsia"/>
              </w:rPr>
              <w:t>及</w:t>
            </w:r>
            <w:r w:rsidRPr="00281BB9">
              <w:rPr>
                <w:rFonts w:ascii="標楷體" w:eastAsia="標楷體" w:hAnsi="標楷體" w:cs="Arial" w:hint="eastAsia"/>
              </w:rPr>
              <w:t>交易資料</w:t>
            </w:r>
            <w:r>
              <w:rPr>
                <w:rFonts w:ascii="標楷體" w:eastAsia="標楷體" w:hAnsi="標楷體" w:cs="Arial" w:hint="eastAsia"/>
              </w:rPr>
              <w:t>相符</w:t>
            </w:r>
            <w:r w:rsidRPr="00281BB9">
              <w:rPr>
                <w:rFonts w:ascii="標楷體" w:eastAsia="標楷體" w:hAnsi="標楷體" w:cs="Arial" w:hint="eastAsia"/>
              </w:rPr>
              <w:t>後，</w:t>
            </w:r>
            <w:r w:rsidRPr="00CE78AC">
              <w:rPr>
                <w:rFonts w:ascii="標楷體" w:eastAsia="標楷體" w:hAnsi="標楷體" w:cs="Arial" w:hint="eastAsia"/>
              </w:rPr>
              <w:t>將</w:t>
            </w:r>
            <w:r>
              <w:rPr>
                <w:rFonts w:ascii="標楷體" w:eastAsia="標楷體" w:hAnsi="標楷體" w:cs="Arial" w:hint="eastAsia"/>
              </w:rPr>
              <w:t>其修改後之</w:t>
            </w:r>
            <w:r w:rsidRPr="00CE78AC">
              <w:rPr>
                <w:rFonts w:ascii="標楷體" w:eastAsia="標楷體" w:hAnsi="標楷體" w:cs="Arial" w:hint="eastAsia"/>
              </w:rPr>
              <w:t>交易資料</w:t>
            </w:r>
            <w:r w:rsidRPr="00F44550">
              <w:rPr>
                <w:rFonts w:ascii="標楷體" w:eastAsia="標楷體" w:hAnsi="標楷體" w:cs="Arial" w:hint="eastAsia"/>
              </w:rPr>
              <w:t>傳輸予結算機構。</w:t>
            </w:r>
          </w:p>
        </w:tc>
        <w:tc>
          <w:tcPr>
            <w:tcW w:w="4182" w:type="dxa"/>
          </w:tcPr>
          <w:p w14:paraId="62314F59" w14:textId="07C64A67" w:rsidR="00FF653A" w:rsidRPr="006F5D5D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1E709B">
              <w:rPr>
                <w:rFonts w:ascii="標楷體" w:eastAsia="標楷體" w:hAnsi="標楷體" w:cs="Arial" w:hint="eastAsia"/>
              </w:rPr>
              <w:lastRenderedPageBreak/>
              <w:t>明定金融機</w:t>
            </w:r>
            <w:r w:rsidRPr="00CE2158">
              <w:rPr>
                <w:rFonts w:ascii="標楷體" w:eastAsia="標楷體" w:hAnsi="標楷體" w:cs="Arial" w:hint="eastAsia"/>
              </w:rPr>
              <w:t>構辦理本作業，欲修改原申報之交易資料，再重新傳輸予結算機構</w:t>
            </w:r>
            <w:r w:rsidRPr="00CE2158">
              <w:rPr>
                <w:rFonts w:ascii="標楷體" w:eastAsia="標楷體" w:hAnsi="標楷體" w:cs="Arial" w:hint="eastAsia"/>
              </w:rPr>
              <w:lastRenderedPageBreak/>
              <w:t>之流程與方式。</w:t>
            </w:r>
          </w:p>
        </w:tc>
      </w:tr>
      <w:tr w:rsidR="00FF653A" w:rsidRPr="00B554CB" w14:paraId="1F0E8F39" w14:textId="77777777" w:rsidTr="0062412C">
        <w:tc>
          <w:tcPr>
            <w:tcW w:w="4182" w:type="dxa"/>
          </w:tcPr>
          <w:p w14:paraId="3DA92B1B" w14:textId="7C49C81C" w:rsidR="00FF653A" w:rsidRPr="00B554CB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lastRenderedPageBreak/>
              <w:t>第七條</w:t>
            </w:r>
          </w:p>
          <w:p w14:paraId="1DE776F0" w14:textId="77777777" w:rsidR="00FF653A" w:rsidRPr="00B554CB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 xml:space="preserve">    金融機構辦理本作業，</w:t>
            </w:r>
            <w:r>
              <w:rPr>
                <w:rFonts w:ascii="標楷體" w:eastAsia="標楷體" w:hAnsi="標楷體" w:cs="Arial" w:hint="eastAsia"/>
              </w:rPr>
              <w:t>於</w:t>
            </w:r>
            <w:r w:rsidRPr="00B554CB">
              <w:rPr>
                <w:rFonts w:ascii="標楷體" w:eastAsia="標楷體" w:hAnsi="標楷體" w:cs="Arial" w:hint="eastAsia"/>
              </w:rPr>
              <w:t>交易經結算機構接受</w:t>
            </w:r>
            <w:r>
              <w:rPr>
                <w:rFonts w:ascii="標楷體" w:eastAsia="標楷體" w:hAnsi="標楷體" w:cs="Arial" w:hint="eastAsia"/>
              </w:rPr>
              <w:t>後</w:t>
            </w:r>
            <w:r w:rsidRPr="00B554CB">
              <w:rPr>
                <w:rFonts w:ascii="標楷體" w:eastAsia="標楷體" w:hAnsi="標楷體" w:cs="Arial" w:hint="eastAsia"/>
              </w:rPr>
              <w:t>，本中心即將金融機構原申報之交易對手</w:t>
            </w:r>
            <w:r>
              <w:rPr>
                <w:rFonts w:ascii="標楷體" w:eastAsia="標楷體" w:hAnsi="標楷體" w:cs="Arial" w:hint="eastAsia"/>
              </w:rPr>
              <w:t>逕行</w:t>
            </w:r>
            <w:r w:rsidRPr="00B554CB">
              <w:rPr>
                <w:rFonts w:ascii="標楷體" w:eastAsia="標楷體" w:hAnsi="標楷體" w:cs="Arial" w:hint="eastAsia"/>
              </w:rPr>
              <w:t>變更為結算機構。</w:t>
            </w:r>
          </w:p>
        </w:tc>
        <w:tc>
          <w:tcPr>
            <w:tcW w:w="4182" w:type="dxa"/>
          </w:tcPr>
          <w:p w14:paraId="53CA9DA4" w14:textId="77777777" w:rsidR="00FF653A" w:rsidRPr="008C04C1" w:rsidRDefault="00FF653A" w:rsidP="00FF653A">
            <w:pPr>
              <w:jc w:val="both"/>
              <w:rPr>
                <w:rFonts w:ascii="標楷體" w:eastAsia="標楷體" w:hAnsi="標楷體" w:cs="Arial"/>
                <w:color w:val="FF0000"/>
              </w:rPr>
            </w:pPr>
            <w:r w:rsidRPr="004342C7">
              <w:rPr>
                <w:rFonts w:ascii="標楷體" w:eastAsia="標楷體" w:hAnsi="標楷體" w:cs="Arial" w:hint="eastAsia"/>
              </w:rPr>
              <w:t>明定金融機構辦理本作業，</w:t>
            </w:r>
            <w:r>
              <w:rPr>
                <w:rFonts w:ascii="標楷體" w:eastAsia="標楷體" w:hAnsi="標楷體" w:cs="Arial" w:hint="eastAsia"/>
              </w:rPr>
              <w:t>於</w:t>
            </w:r>
            <w:r w:rsidRPr="004342C7">
              <w:rPr>
                <w:rFonts w:ascii="標楷體" w:eastAsia="標楷體" w:hAnsi="標楷體" w:cs="Arial" w:hint="eastAsia"/>
              </w:rPr>
              <w:t>交易經結算機構接受</w:t>
            </w:r>
            <w:r>
              <w:rPr>
                <w:rFonts w:ascii="標楷體" w:eastAsia="標楷體" w:hAnsi="標楷體" w:cs="Arial" w:hint="eastAsia"/>
              </w:rPr>
              <w:t>後</w:t>
            </w:r>
            <w:r w:rsidRPr="004342C7">
              <w:rPr>
                <w:rFonts w:ascii="標楷體" w:eastAsia="標楷體" w:hAnsi="標楷體" w:cs="Arial" w:hint="eastAsia"/>
              </w:rPr>
              <w:t>，本中心將</w:t>
            </w:r>
            <w:r>
              <w:rPr>
                <w:rFonts w:ascii="標楷體" w:eastAsia="標楷體" w:hAnsi="標楷體" w:cs="Arial" w:hint="eastAsia"/>
              </w:rPr>
              <w:t>逕行</w:t>
            </w:r>
            <w:r w:rsidRPr="004342C7">
              <w:rPr>
                <w:rFonts w:ascii="標楷體" w:eastAsia="標楷體" w:hAnsi="標楷體" w:cs="Arial" w:hint="eastAsia"/>
              </w:rPr>
              <w:t>變更金融機構原申報之交易對手</w:t>
            </w:r>
            <w:r>
              <w:rPr>
                <w:rFonts w:ascii="標楷體" w:eastAsia="標楷體" w:hAnsi="標楷體" w:cs="Arial" w:hint="eastAsia"/>
              </w:rPr>
              <w:t>相關</w:t>
            </w:r>
            <w:r w:rsidRPr="004342C7">
              <w:rPr>
                <w:rFonts w:ascii="標楷體" w:eastAsia="標楷體" w:hAnsi="標楷體" w:cs="Arial" w:hint="eastAsia"/>
              </w:rPr>
              <w:t>資訊，以減輕金融機構須再次申報交易對手變更之作業負荷。</w:t>
            </w:r>
          </w:p>
        </w:tc>
      </w:tr>
      <w:tr w:rsidR="00FF653A" w:rsidRPr="00B554CB" w14:paraId="699E8043" w14:textId="77777777" w:rsidTr="0062412C">
        <w:tc>
          <w:tcPr>
            <w:tcW w:w="4182" w:type="dxa"/>
          </w:tcPr>
          <w:p w14:paraId="0C992DBD" w14:textId="358EC40C" w:rsidR="00FF653A" w:rsidRPr="00556BB9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556BB9">
              <w:rPr>
                <w:rFonts w:ascii="標楷體" w:eastAsia="標楷體" w:hAnsi="標楷體" w:cs="Arial" w:hint="eastAsia"/>
              </w:rPr>
              <w:t>第八條</w:t>
            </w:r>
          </w:p>
          <w:p w14:paraId="6B7C6FB1" w14:textId="0863D245" w:rsidR="00FF653A" w:rsidRPr="00556BB9" w:rsidRDefault="00FF653A" w:rsidP="00FF653A">
            <w:pPr>
              <w:jc w:val="both"/>
              <w:rPr>
                <w:rFonts w:ascii="標楷體" w:eastAsia="標楷體" w:hAnsi="標楷體" w:cs="Arial"/>
                <w:highlight w:val="yellow"/>
              </w:rPr>
            </w:pPr>
            <w:r w:rsidRPr="00556BB9">
              <w:rPr>
                <w:rFonts w:ascii="標楷體" w:eastAsia="標楷體" w:hAnsi="標楷體" w:cs="Arial" w:hint="eastAsia"/>
              </w:rPr>
              <w:t xml:space="preserve">    金融機構辦理本作業，應自行確認</w:t>
            </w:r>
            <w:r w:rsidR="000B4D84" w:rsidRPr="00556BB9">
              <w:rPr>
                <w:rFonts w:ascii="標楷體" w:eastAsia="標楷體" w:hAnsi="標楷體" w:cs="Arial" w:hint="eastAsia"/>
              </w:rPr>
              <w:t>須</w:t>
            </w:r>
            <w:r w:rsidRPr="00556BB9">
              <w:rPr>
                <w:rFonts w:ascii="標楷體" w:eastAsia="標楷體" w:hAnsi="標楷體" w:cs="Arial" w:hint="eastAsia"/>
              </w:rPr>
              <w:t>依結算機構訂定之集中結算商品規格及申報時限等相關規定辦理。</w:t>
            </w:r>
          </w:p>
        </w:tc>
        <w:tc>
          <w:tcPr>
            <w:tcW w:w="4182" w:type="dxa"/>
          </w:tcPr>
          <w:p w14:paraId="1FD5D6CF" w14:textId="4D3F3B98" w:rsidR="00FF653A" w:rsidRPr="00693C38" w:rsidRDefault="00FF653A" w:rsidP="00FF653A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  <w:r w:rsidRPr="00D119CF">
              <w:rPr>
                <w:rFonts w:ascii="標楷體" w:eastAsia="標楷體" w:hAnsi="標楷體" w:cs="Arial" w:hint="eastAsia"/>
              </w:rPr>
              <w:t>明定金融機構辦理本作業</w:t>
            </w:r>
            <w:r>
              <w:rPr>
                <w:rFonts w:ascii="標楷體" w:eastAsia="標楷體" w:hAnsi="標楷體" w:cs="Arial" w:hint="eastAsia"/>
              </w:rPr>
              <w:t>，除應依本要點規定辦理外，亦</w:t>
            </w:r>
            <w:r w:rsidRPr="00EB594A">
              <w:rPr>
                <w:rFonts w:ascii="標楷體" w:eastAsia="標楷體" w:hAnsi="標楷體" w:cs="Arial" w:hint="eastAsia"/>
              </w:rPr>
              <w:t>應自</w:t>
            </w:r>
            <w:r w:rsidRPr="00556BB9">
              <w:rPr>
                <w:rFonts w:ascii="標楷體" w:eastAsia="標楷體" w:hAnsi="標楷體" w:cs="Arial" w:hint="eastAsia"/>
              </w:rPr>
              <w:t>行確認</w:t>
            </w:r>
            <w:r w:rsidR="00EB594A" w:rsidRPr="00556BB9">
              <w:rPr>
                <w:rFonts w:ascii="標楷體" w:eastAsia="標楷體" w:hAnsi="標楷體" w:cs="Arial" w:hint="eastAsia"/>
              </w:rPr>
              <w:t>須</w:t>
            </w:r>
            <w:r w:rsidRPr="00556BB9">
              <w:rPr>
                <w:rFonts w:ascii="標楷體" w:eastAsia="標楷體" w:hAnsi="標楷體" w:cs="Arial" w:hint="eastAsia"/>
              </w:rPr>
              <w:t>依結</w:t>
            </w:r>
            <w:r w:rsidRPr="00EB594A">
              <w:rPr>
                <w:rFonts w:ascii="標楷體" w:eastAsia="標楷體" w:hAnsi="標楷體" w:cs="Arial" w:hint="eastAsia"/>
              </w:rPr>
              <w:t>算機構訂定之集中結算相關規定辦理，以避免交易無法完成集中結算作業。</w:t>
            </w:r>
          </w:p>
        </w:tc>
      </w:tr>
      <w:tr w:rsidR="00FF653A" w:rsidRPr="00B554CB" w14:paraId="330F8C2F" w14:textId="77777777" w:rsidTr="0062412C">
        <w:tc>
          <w:tcPr>
            <w:tcW w:w="4182" w:type="dxa"/>
          </w:tcPr>
          <w:p w14:paraId="00AB8BF8" w14:textId="4103CD29" w:rsidR="00FF653A" w:rsidRPr="006014D9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6014D9">
              <w:rPr>
                <w:rFonts w:ascii="標楷體" w:eastAsia="標楷體" w:hAnsi="標楷體" w:cs="Arial"/>
              </w:rPr>
              <w:t>第</w:t>
            </w:r>
            <w:r w:rsidRPr="006014D9">
              <w:rPr>
                <w:rFonts w:ascii="標楷體" w:eastAsia="標楷體" w:hAnsi="標楷體" w:cs="Arial" w:hint="eastAsia"/>
              </w:rPr>
              <w:t>九</w:t>
            </w:r>
            <w:r w:rsidRPr="006014D9">
              <w:rPr>
                <w:rFonts w:ascii="標楷體" w:eastAsia="標楷體" w:hAnsi="標楷體" w:cs="Arial"/>
              </w:rPr>
              <w:t>條</w:t>
            </w:r>
          </w:p>
          <w:p w14:paraId="502565B6" w14:textId="77777777" w:rsidR="00FF653A" w:rsidRPr="006014D9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6014D9">
              <w:rPr>
                <w:rFonts w:ascii="標楷體" w:eastAsia="標楷體" w:hAnsi="標楷體" w:cs="Arial" w:hint="eastAsia"/>
              </w:rPr>
              <w:t xml:space="preserve">    金融機構辦理本作業，應按其當月傳輸之交易筆數，依本中心公告費率於次月十日前向本中心繳交業務服務費。</w:t>
            </w:r>
          </w:p>
          <w:p w14:paraId="45BBCEEF" w14:textId="77777777" w:rsidR="00FF653A" w:rsidRPr="006014D9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6014D9">
              <w:rPr>
                <w:rFonts w:ascii="標楷體" w:eastAsia="標楷體" w:hAnsi="標楷體" w:cs="Arial" w:hint="eastAsia"/>
              </w:rPr>
              <w:t xml:space="preserve">    前項業務服務費以每筆新臺幣一百五十元為上限。</w:t>
            </w:r>
          </w:p>
        </w:tc>
        <w:tc>
          <w:tcPr>
            <w:tcW w:w="4182" w:type="dxa"/>
          </w:tcPr>
          <w:p w14:paraId="50FE87A2" w14:textId="77777777" w:rsidR="00FF653A" w:rsidRPr="006014D9" w:rsidRDefault="00FF653A" w:rsidP="00FF653A">
            <w:pPr>
              <w:numPr>
                <w:ilvl w:val="0"/>
                <w:numId w:val="6"/>
              </w:numPr>
              <w:ind w:left="557" w:hanging="557"/>
              <w:jc w:val="both"/>
              <w:rPr>
                <w:rFonts w:ascii="標楷體" w:eastAsia="標楷體" w:hAnsi="標楷體" w:cs="Arial"/>
              </w:rPr>
            </w:pPr>
            <w:r w:rsidRPr="006014D9">
              <w:rPr>
                <w:rFonts w:ascii="標楷體" w:eastAsia="標楷體" w:hAnsi="標楷體" w:cs="Arial" w:hint="eastAsia"/>
              </w:rPr>
              <w:t>明定本中心得對金融機構辦理本作業收取業務服務費，業務服務費依金融機構每月傳輸之交易筆數計算。另為讓金融機構瞭解本中心業務服務費之繳交期限，爰訂定金融機構應於次月十日前繳交該月業務服務費予本中心。</w:t>
            </w:r>
          </w:p>
          <w:p w14:paraId="4FA61F67" w14:textId="77777777" w:rsidR="00FF653A" w:rsidRPr="006014D9" w:rsidRDefault="00FF653A" w:rsidP="00FF653A">
            <w:pPr>
              <w:numPr>
                <w:ilvl w:val="0"/>
                <w:numId w:val="6"/>
              </w:numPr>
              <w:ind w:left="557" w:hanging="557"/>
              <w:jc w:val="both"/>
              <w:rPr>
                <w:rFonts w:ascii="標楷體" w:eastAsia="標楷體" w:hAnsi="標楷體" w:cs="Arial"/>
              </w:rPr>
            </w:pPr>
            <w:r w:rsidRPr="006014D9">
              <w:rPr>
                <w:rFonts w:ascii="標楷體" w:eastAsia="標楷體" w:hAnsi="標楷體" w:cs="Arial" w:hint="eastAsia"/>
              </w:rPr>
              <w:t>為保留本中心收費費率之彈性，爰訂定每筆交易以新臺幣一百五十元為上限。</w:t>
            </w:r>
          </w:p>
        </w:tc>
      </w:tr>
      <w:tr w:rsidR="00FF653A" w:rsidRPr="00B554CB" w14:paraId="5C370333" w14:textId="77777777" w:rsidTr="0062412C">
        <w:tc>
          <w:tcPr>
            <w:tcW w:w="4182" w:type="dxa"/>
          </w:tcPr>
          <w:p w14:paraId="7681B1C6" w14:textId="1BE2D351" w:rsidR="00FF653A" w:rsidRPr="00B554CB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>第十條</w:t>
            </w:r>
          </w:p>
          <w:p w14:paraId="688DFCCD" w14:textId="44288ED6" w:rsidR="00FF653A" w:rsidRPr="00556BB9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 xml:space="preserve">    本中心得配合結算機構辦理集中結算業務</w:t>
            </w:r>
            <w:r w:rsidRPr="00556BB9">
              <w:rPr>
                <w:rFonts w:ascii="標楷體" w:eastAsia="標楷體" w:hAnsi="標楷體" w:cs="Arial" w:hint="eastAsia"/>
              </w:rPr>
              <w:t>及制度規劃需求，提供依法令須集中結算</w:t>
            </w:r>
            <w:r w:rsidR="00F42F19" w:rsidRPr="00556BB9">
              <w:rPr>
                <w:rFonts w:ascii="標楷體" w:eastAsia="標楷體" w:hAnsi="標楷體" w:cs="Arial" w:hint="eastAsia"/>
              </w:rPr>
              <w:t>之</w:t>
            </w:r>
            <w:r w:rsidRPr="00556BB9">
              <w:rPr>
                <w:rFonts w:ascii="標楷體" w:eastAsia="標楷體" w:hAnsi="標楷體" w:cs="Arial" w:hint="eastAsia"/>
              </w:rPr>
              <w:t>交易資料，或其他相關需求資料予結算機構，結算機構並應向本中心繳交資料使用處理費或客製化報表處理費。</w:t>
            </w:r>
          </w:p>
          <w:p w14:paraId="32EC8CD6" w14:textId="4DA13854" w:rsidR="00F42F19" w:rsidRPr="00556BB9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556BB9">
              <w:rPr>
                <w:rFonts w:ascii="標楷體" w:eastAsia="標楷體" w:hAnsi="標楷體" w:cs="Arial" w:hint="eastAsia"/>
              </w:rPr>
              <w:t xml:space="preserve">    </w:t>
            </w:r>
            <w:r w:rsidR="00F42F19" w:rsidRPr="00556BB9">
              <w:rPr>
                <w:rFonts w:ascii="標楷體" w:eastAsia="標楷體" w:hAnsi="標楷體" w:cs="Arial" w:hint="eastAsia"/>
              </w:rPr>
              <w:t>前項資料提供作業應依本中心相關作業程序辦理。</w:t>
            </w:r>
          </w:p>
          <w:p w14:paraId="2A2838B0" w14:textId="3D108303" w:rsidR="00FF653A" w:rsidRPr="00B554CB" w:rsidRDefault="00F42F19" w:rsidP="00FF653A">
            <w:pPr>
              <w:jc w:val="both"/>
              <w:rPr>
                <w:rFonts w:ascii="標楷體" w:eastAsia="標楷體" w:hAnsi="標楷體" w:cs="Arial"/>
              </w:rPr>
            </w:pPr>
            <w:r w:rsidRPr="00556BB9">
              <w:rPr>
                <w:rFonts w:ascii="標楷體" w:eastAsia="標楷體" w:hAnsi="標楷體" w:cs="Arial" w:hint="eastAsia"/>
              </w:rPr>
              <w:t xml:space="preserve">    第一</w:t>
            </w:r>
            <w:r w:rsidR="00FF653A" w:rsidRPr="00556BB9">
              <w:rPr>
                <w:rFonts w:ascii="標楷體" w:eastAsia="標楷體" w:hAnsi="標楷體" w:cs="Arial" w:hint="eastAsia"/>
              </w:rPr>
              <w:t>項費率由</w:t>
            </w:r>
            <w:r w:rsidR="00FF653A" w:rsidRPr="00653309">
              <w:rPr>
                <w:rFonts w:ascii="標楷體" w:eastAsia="標楷體" w:hAnsi="標楷體" w:cs="Arial" w:hint="eastAsia"/>
              </w:rPr>
              <w:t>本中心</w:t>
            </w:r>
            <w:r w:rsidR="00FF653A">
              <w:rPr>
                <w:rFonts w:ascii="標楷體" w:eastAsia="標楷體" w:hAnsi="標楷體" w:cs="Arial" w:hint="eastAsia"/>
              </w:rPr>
              <w:t>與結算機構協商後</w:t>
            </w:r>
            <w:r w:rsidR="00FF653A" w:rsidRPr="00653309">
              <w:rPr>
                <w:rFonts w:ascii="標楷體" w:eastAsia="標楷體" w:hAnsi="標楷體" w:cs="Arial" w:hint="eastAsia"/>
              </w:rPr>
              <w:t>定之。</w:t>
            </w:r>
          </w:p>
        </w:tc>
        <w:tc>
          <w:tcPr>
            <w:tcW w:w="4182" w:type="dxa"/>
          </w:tcPr>
          <w:p w14:paraId="64138736" w14:textId="4BA46DCA" w:rsidR="00FF653A" w:rsidRPr="00693C38" w:rsidRDefault="00FF653A" w:rsidP="00FF653A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  <w:r w:rsidRPr="00CC43AD">
              <w:rPr>
                <w:rFonts w:ascii="標楷體" w:eastAsia="標楷體" w:hAnsi="標楷體" w:cs="Arial" w:hint="eastAsia"/>
              </w:rPr>
              <w:t>明定本</w:t>
            </w:r>
            <w:r w:rsidRPr="00B554CB">
              <w:rPr>
                <w:rFonts w:ascii="標楷體" w:eastAsia="標楷體" w:hAnsi="標楷體" w:cs="Arial" w:hint="eastAsia"/>
              </w:rPr>
              <w:t>中心得</w:t>
            </w:r>
            <w:r w:rsidRPr="00CC43AD">
              <w:rPr>
                <w:rFonts w:ascii="標楷體" w:eastAsia="標楷體" w:hAnsi="標楷體" w:cs="Arial" w:hint="eastAsia"/>
              </w:rPr>
              <w:t>配合結算機構辦理集中結算業務</w:t>
            </w:r>
            <w:r>
              <w:rPr>
                <w:rFonts w:ascii="標楷體" w:eastAsia="標楷體" w:hAnsi="標楷體" w:cs="Arial" w:hint="eastAsia"/>
              </w:rPr>
              <w:t>及制度規劃</w:t>
            </w:r>
            <w:r w:rsidRPr="00CC43AD">
              <w:rPr>
                <w:rFonts w:ascii="標楷體" w:eastAsia="標楷體" w:hAnsi="標楷體" w:cs="Arial" w:hint="eastAsia"/>
              </w:rPr>
              <w:t>需求，</w:t>
            </w:r>
            <w:r w:rsidRPr="00B554CB">
              <w:rPr>
                <w:rFonts w:ascii="標楷體" w:eastAsia="標楷體" w:hAnsi="標楷體" w:cs="Arial" w:hint="eastAsia"/>
              </w:rPr>
              <w:t>提供</w:t>
            </w:r>
            <w:r>
              <w:rPr>
                <w:rFonts w:ascii="標楷體" w:eastAsia="標楷體" w:hAnsi="標楷體" w:cs="Arial" w:hint="eastAsia"/>
              </w:rPr>
              <w:t>依法令須</w:t>
            </w:r>
            <w:r w:rsidRPr="00B554CB">
              <w:rPr>
                <w:rFonts w:ascii="標楷體" w:eastAsia="標楷體" w:hAnsi="標楷體" w:cs="Arial" w:hint="eastAsia"/>
              </w:rPr>
              <w:t>集中結</w:t>
            </w:r>
            <w:r w:rsidRPr="00556BB9">
              <w:rPr>
                <w:rFonts w:ascii="標楷體" w:eastAsia="標楷體" w:hAnsi="標楷體" w:cs="Arial" w:hint="eastAsia"/>
              </w:rPr>
              <w:t>算</w:t>
            </w:r>
            <w:r w:rsidR="00F42F19" w:rsidRPr="00556BB9">
              <w:rPr>
                <w:rFonts w:ascii="標楷體" w:eastAsia="標楷體" w:hAnsi="標楷體" w:cs="Arial" w:hint="eastAsia"/>
              </w:rPr>
              <w:t>之</w:t>
            </w:r>
            <w:r w:rsidRPr="00556BB9">
              <w:rPr>
                <w:rFonts w:ascii="標楷體" w:eastAsia="標楷體" w:hAnsi="標楷體" w:cs="Arial" w:hint="eastAsia"/>
              </w:rPr>
              <w:t>交易資料，或其他相關需求資料予結算機構，以供其檢核或評估集中結算業務</w:t>
            </w:r>
            <w:r w:rsidR="00F42F19" w:rsidRPr="00556BB9">
              <w:rPr>
                <w:rFonts w:ascii="標楷體" w:eastAsia="標楷體" w:hAnsi="標楷體" w:cs="Arial" w:hint="eastAsia"/>
              </w:rPr>
              <w:t>，以及</w:t>
            </w:r>
            <w:r w:rsidRPr="00556BB9">
              <w:rPr>
                <w:rFonts w:ascii="標楷體" w:eastAsia="標楷體" w:hAnsi="標楷體" w:cs="Arial" w:hint="eastAsia"/>
              </w:rPr>
              <w:t>本中心</w:t>
            </w:r>
            <w:r w:rsidR="00F42F19" w:rsidRPr="00556BB9">
              <w:rPr>
                <w:rFonts w:ascii="標楷體" w:eastAsia="標楷體" w:hAnsi="標楷體" w:cs="Arial" w:hint="eastAsia"/>
              </w:rPr>
              <w:t>應依相關作業程序辦理資料提供作業，並</w:t>
            </w:r>
            <w:r w:rsidRPr="00556BB9">
              <w:rPr>
                <w:rFonts w:ascii="標楷體" w:eastAsia="標楷體" w:hAnsi="標楷體" w:cs="Arial" w:hint="eastAsia"/>
              </w:rPr>
              <w:t>得向</w:t>
            </w:r>
            <w:r w:rsidR="00F42F19" w:rsidRPr="00556BB9">
              <w:rPr>
                <w:rFonts w:ascii="標楷體" w:eastAsia="標楷體" w:hAnsi="標楷體" w:cs="Arial" w:hint="eastAsia"/>
              </w:rPr>
              <w:t>結算機構</w:t>
            </w:r>
            <w:r w:rsidRPr="00556BB9">
              <w:rPr>
                <w:rFonts w:ascii="標楷體" w:eastAsia="標楷體" w:hAnsi="標楷體" w:cs="Arial" w:hint="eastAsia"/>
              </w:rPr>
              <w:t>收取資料使用處理費或客製化報表處理費。</w:t>
            </w:r>
          </w:p>
        </w:tc>
      </w:tr>
      <w:tr w:rsidR="00FF653A" w:rsidRPr="00B554CB" w14:paraId="51BEC422" w14:textId="77777777" w:rsidTr="0062412C">
        <w:tc>
          <w:tcPr>
            <w:tcW w:w="4182" w:type="dxa"/>
          </w:tcPr>
          <w:p w14:paraId="45829A89" w14:textId="77777777" w:rsidR="00FF653A" w:rsidRPr="00B554CB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>第三章 附則</w:t>
            </w:r>
          </w:p>
        </w:tc>
        <w:tc>
          <w:tcPr>
            <w:tcW w:w="4182" w:type="dxa"/>
          </w:tcPr>
          <w:p w14:paraId="3E6F5FE6" w14:textId="77777777" w:rsidR="00FF653A" w:rsidRPr="00693C38" w:rsidRDefault="00FF653A" w:rsidP="00FF653A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</w:p>
        </w:tc>
      </w:tr>
      <w:tr w:rsidR="00FF653A" w:rsidRPr="00B554CB" w14:paraId="3D5DC915" w14:textId="77777777" w:rsidTr="0062412C">
        <w:tc>
          <w:tcPr>
            <w:tcW w:w="4182" w:type="dxa"/>
          </w:tcPr>
          <w:p w14:paraId="1E77346E" w14:textId="67D19521" w:rsidR="00FF653A" w:rsidRPr="00B554CB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>第十一條</w:t>
            </w:r>
          </w:p>
          <w:p w14:paraId="5E231EE6" w14:textId="77777777" w:rsidR="00FF653A" w:rsidRPr="00B554CB" w:rsidRDefault="00FF653A" w:rsidP="00FF653A">
            <w:pPr>
              <w:jc w:val="both"/>
              <w:rPr>
                <w:rFonts w:ascii="標楷體" w:eastAsia="標楷體" w:hAnsi="標楷體" w:cs="Arial"/>
              </w:rPr>
            </w:pPr>
            <w:r w:rsidRPr="00B554CB">
              <w:rPr>
                <w:rFonts w:ascii="標楷體" w:eastAsia="標楷體" w:hAnsi="標楷體" w:cs="Arial" w:hint="eastAsia"/>
              </w:rPr>
              <w:t xml:space="preserve">    本要點經報主管機關核定後公告</w:t>
            </w:r>
            <w:r w:rsidRPr="00B554CB">
              <w:rPr>
                <w:rFonts w:ascii="標楷體" w:eastAsia="標楷體" w:hAnsi="標楷體" w:cs="Arial" w:hint="eastAsia"/>
              </w:rPr>
              <w:lastRenderedPageBreak/>
              <w:t>施行，修正時亦同。</w:t>
            </w:r>
          </w:p>
        </w:tc>
        <w:tc>
          <w:tcPr>
            <w:tcW w:w="4182" w:type="dxa"/>
          </w:tcPr>
          <w:p w14:paraId="04654D94" w14:textId="77777777" w:rsidR="00FF653A" w:rsidRPr="00693C38" w:rsidRDefault="00FF653A" w:rsidP="00FF653A">
            <w:pPr>
              <w:jc w:val="both"/>
              <w:rPr>
                <w:rFonts w:ascii="標楷體" w:eastAsia="標楷體" w:hAnsi="標楷體" w:cs="Arial"/>
                <w:color w:val="0070C0"/>
              </w:rPr>
            </w:pPr>
            <w:r w:rsidRPr="00D119CF">
              <w:rPr>
                <w:rFonts w:ascii="標楷體" w:eastAsia="標楷體" w:hAnsi="標楷體" w:cs="Arial" w:hint="eastAsia"/>
              </w:rPr>
              <w:lastRenderedPageBreak/>
              <w:t>明定本要點之核定層級及修正程序。</w:t>
            </w:r>
          </w:p>
        </w:tc>
      </w:tr>
    </w:tbl>
    <w:p w14:paraId="51F80BCF" w14:textId="77777777" w:rsidR="001B3108" w:rsidRPr="00B554CB" w:rsidRDefault="001B3108">
      <w:pPr>
        <w:rPr>
          <w:rFonts w:ascii="標楷體" w:eastAsia="標楷體" w:hAnsi="標楷體"/>
        </w:rPr>
      </w:pPr>
    </w:p>
    <w:sectPr w:rsidR="001B3108" w:rsidRPr="00B554CB" w:rsidSect="0051740F">
      <w:pgSz w:w="11906" w:h="16838"/>
      <w:pgMar w:top="1304" w:right="1797" w:bottom="130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FBCEA" w14:textId="77777777" w:rsidR="00C2226A" w:rsidRDefault="00C2226A" w:rsidP="00683C5F">
      <w:r>
        <w:separator/>
      </w:r>
    </w:p>
  </w:endnote>
  <w:endnote w:type="continuationSeparator" w:id="0">
    <w:p w14:paraId="3070D46F" w14:textId="77777777" w:rsidR="00C2226A" w:rsidRDefault="00C2226A" w:rsidP="00683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24F4B" w14:textId="77777777" w:rsidR="00C2226A" w:rsidRDefault="00C2226A" w:rsidP="00683C5F">
      <w:r>
        <w:separator/>
      </w:r>
    </w:p>
  </w:footnote>
  <w:footnote w:type="continuationSeparator" w:id="0">
    <w:p w14:paraId="422E9DDB" w14:textId="77777777" w:rsidR="00C2226A" w:rsidRDefault="00C2226A" w:rsidP="00683C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A78B4"/>
    <w:multiLevelType w:val="hybridMultilevel"/>
    <w:tmpl w:val="BA26DD90"/>
    <w:lvl w:ilvl="0" w:tplc="61CC42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3C2FF3"/>
    <w:multiLevelType w:val="hybridMultilevel"/>
    <w:tmpl w:val="FDB010CA"/>
    <w:lvl w:ilvl="0" w:tplc="930A5CC6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8E075A"/>
    <w:multiLevelType w:val="hybridMultilevel"/>
    <w:tmpl w:val="DDAA7924"/>
    <w:lvl w:ilvl="0" w:tplc="ED6E4B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694AA9"/>
    <w:multiLevelType w:val="hybridMultilevel"/>
    <w:tmpl w:val="BA26DD90"/>
    <w:lvl w:ilvl="0" w:tplc="61CC42D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6347DCA"/>
    <w:multiLevelType w:val="hybridMultilevel"/>
    <w:tmpl w:val="DDAA7924"/>
    <w:lvl w:ilvl="0" w:tplc="ED6E4B5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E5614E"/>
    <w:multiLevelType w:val="hybridMultilevel"/>
    <w:tmpl w:val="94A86776"/>
    <w:lvl w:ilvl="0" w:tplc="FF9A67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0A45DF"/>
    <w:multiLevelType w:val="hybridMultilevel"/>
    <w:tmpl w:val="A496A40A"/>
    <w:lvl w:ilvl="0" w:tplc="CEB0C4F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57C025C"/>
    <w:multiLevelType w:val="hybridMultilevel"/>
    <w:tmpl w:val="6CCAEC24"/>
    <w:lvl w:ilvl="0" w:tplc="CEB0C4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108"/>
    <w:rsid w:val="00000AC4"/>
    <w:rsid w:val="00001F5A"/>
    <w:rsid w:val="000051D7"/>
    <w:rsid w:val="00024CE5"/>
    <w:rsid w:val="000259BC"/>
    <w:rsid w:val="000630B9"/>
    <w:rsid w:val="00063605"/>
    <w:rsid w:val="00080612"/>
    <w:rsid w:val="00082F23"/>
    <w:rsid w:val="00096144"/>
    <w:rsid w:val="00096E4C"/>
    <w:rsid w:val="000B4D84"/>
    <w:rsid w:val="000C3279"/>
    <w:rsid w:val="000D2DAE"/>
    <w:rsid w:val="000E51E5"/>
    <w:rsid w:val="000F792A"/>
    <w:rsid w:val="00113D26"/>
    <w:rsid w:val="00114219"/>
    <w:rsid w:val="00114AA9"/>
    <w:rsid w:val="001529E1"/>
    <w:rsid w:val="00163F20"/>
    <w:rsid w:val="00177B89"/>
    <w:rsid w:val="001977D2"/>
    <w:rsid w:val="001A2976"/>
    <w:rsid w:val="001B3108"/>
    <w:rsid w:val="001B67AA"/>
    <w:rsid w:val="001C7603"/>
    <w:rsid w:val="001D7FBC"/>
    <w:rsid w:val="001E578B"/>
    <w:rsid w:val="001E709B"/>
    <w:rsid w:val="00201DF8"/>
    <w:rsid w:val="002052E7"/>
    <w:rsid w:val="00212AD8"/>
    <w:rsid w:val="00237DBC"/>
    <w:rsid w:val="00245423"/>
    <w:rsid w:val="00247F9A"/>
    <w:rsid w:val="00261066"/>
    <w:rsid w:val="00281BB9"/>
    <w:rsid w:val="00284148"/>
    <w:rsid w:val="00285D9F"/>
    <w:rsid w:val="00286152"/>
    <w:rsid w:val="00290C0A"/>
    <w:rsid w:val="00290E2E"/>
    <w:rsid w:val="00294BDD"/>
    <w:rsid w:val="00294F59"/>
    <w:rsid w:val="002A2245"/>
    <w:rsid w:val="002A6FD8"/>
    <w:rsid w:val="002B051B"/>
    <w:rsid w:val="002D07D3"/>
    <w:rsid w:val="002D5261"/>
    <w:rsid w:val="002E286A"/>
    <w:rsid w:val="002E60FE"/>
    <w:rsid w:val="002F3768"/>
    <w:rsid w:val="002F5FD9"/>
    <w:rsid w:val="0030444D"/>
    <w:rsid w:val="00336B91"/>
    <w:rsid w:val="00344C53"/>
    <w:rsid w:val="003655A1"/>
    <w:rsid w:val="003656C8"/>
    <w:rsid w:val="00376F67"/>
    <w:rsid w:val="00377362"/>
    <w:rsid w:val="003808DE"/>
    <w:rsid w:val="003A354E"/>
    <w:rsid w:val="003A58C5"/>
    <w:rsid w:val="003B499A"/>
    <w:rsid w:val="003E29FD"/>
    <w:rsid w:val="00406E62"/>
    <w:rsid w:val="00421202"/>
    <w:rsid w:val="00433979"/>
    <w:rsid w:val="00433EB3"/>
    <w:rsid w:val="004342C7"/>
    <w:rsid w:val="00436919"/>
    <w:rsid w:val="0043715B"/>
    <w:rsid w:val="00440BC6"/>
    <w:rsid w:val="0044597A"/>
    <w:rsid w:val="004461AB"/>
    <w:rsid w:val="0046529C"/>
    <w:rsid w:val="0046766F"/>
    <w:rsid w:val="00474CB5"/>
    <w:rsid w:val="00484809"/>
    <w:rsid w:val="004863C9"/>
    <w:rsid w:val="004A1126"/>
    <w:rsid w:val="004C48B3"/>
    <w:rsid w:val="004D7E9E"/>
    <w:rsid w:val="004F52EF"/>
    <w:rsid w:val="00505D7B"/>
    <w:rsid w:val="0051740F"/>
    <w:rsid w:val="00521814"/>
    <w:rsid w:val="0053553E"/>
    <w:rsid w:val="00543F5F"/>
    <w:rsid w:val="005477D0"/>
    <w:rsid w:val="005561D1"/>
    <w:rsid w:val="00556BB9"/>
    <w:rsid w:val="005618DD"/>
    <w:rsid w:val="005635FE"/>
    <w:rsid w:val="005638E6"/>
    <w:rsid w:val="00571867"/>
    <w:rsid w:val="00574B15"/>
    <w:rsid w:val="00574B73"/>
    <w:rsid w:val="005948DD"/>
    <w:rsid w:val="005A161B"/>
    <w:rsid w:val="005A32EC"/>
    <w:rsid w:val="005A3F33"/>
    <w:rsid w:val="005A5677"/>
    <w:rsid w:val="005B0E2D"/>
    <w:rsid w:val="005C66AF"/>
    <w:rsid w:val="005D5520"/>
    <w:rsid w:val="005E1B55"/>
    <w:rsid w:val="005E7097"/>
    <w:rsid w:val="006014D9"/>
    <w:rsid w:val="00602082"/>
    <w:rsid w:val="00607829"/>
    <w:rsid w:val="00630F4C"/>
    <w:rsid w:val="00643519"/>
    <w:rsid w:val="00647193"/>
    <w:rsid w:val="00653309"/>
    <w:rsid w:val="006556E5"/>
    <w:rsid w:val="00660C70"/>
    <w:rsid w:val="00665614"/>
    <w:rsid w:val="00676DF0"/>
    <w:rsid w:val="0068296F"/>
    <w:rsid w:val="00683C5F"/>
    <w:rsid w:val="00690992"/>
    <w:rsid w:val="00692E23"/>
    <w:rsid w:val="00693C38"/>
    <w:rsid w:val="00695358"/>
    <w:rsid w:val="00697A5A"/>
    <w:rsid w:val="006B46D6"/>
    <w:rsid w:val="006C63B3"/>
    <w:rsid w:val="006D0C41"/>
    <w:rsid w:val="006E243E"/>
    <w:rsid w:val="006F5D5D"/>
    <w:rsid w:val="00717ABC"/>
    <w:rsid w:val="00722C92"/>
    <w:rsid w:val="00740790"/>
    <w:rsid w:val="00757A0E"/>
    <w:rsid w:val="007747B8"/>
    <w:rsid w:val="00777B64"/>
    <w:rsid w:val="00784201"/>
    <w:rsid w:val="007B47A4"/>
    <w:rsid w:val="007B7694"/>
    <w:rsid w:val="007C0508"/>
    <w:rsid w:val="007C0BC0"/>
    <w:rsid w:val="007F64B4"/>
    <w:rsid w:val="00800DEA"/>
    <w:rsid w:val="00806960"/>
    <w:rsid w:val="008244CF"/>
    <w:rsid w:val="00831BB6"/>
    <w:rsid w:val="00853086"/>
    <w:rsid w:val="008566F3"/>
    <w:rsid w:val="00865173"/>
    <w:rsid w:val="00870017"/>
    <w:rsid w:val="0088290C"/>
    <w:rsid w:val="00885CBA"/>
    <w:rsid w:val="00891060"/>
    <w:rsid w:val="0089577A"/>
    <w:rsid w:val="00896C20"/>
    <w:rsid w:val="008A3FEA"/>
    <w:rsid w:val="008B3A9F"/>
    <w:rsid w:val="008C04C1"/>
    <w:rsid w:val="008C6B0B"/>
    <w:rsid w:val="008C7EFD"/>
    <w:rsid w:val="008D7BD8"/>
    <w:rsid w:val="008E1D3D"/>
    <w:rsid w:val="008F05B0"/>
    <w:rsid w:val="008F3B97"/>
    <w:rsid w:val="008F484A"/>
    <w:rsid w:val="009015B4"/>
    <w:rsid w:val="00905FD6"/>
    <w:rsid w:val="00945774"/>
    <w:rsid w:val="00953EF3"/>
    <w:rsid w:val="00954856"/>
    <w:rsid w:val="00955227"/>
    <w:rsid w:val="00963878"/>
    <w:rsid w:val="00977590"/>
    <w:rsid w:val="00986E18"/>
    <w:rsid w:val="009B2708"/>
    <w:rsid w:val="009C691F"/>
    <w:rsid w:val="009F5DB3"/>
    <w:rsid w:val="009F6A5B"/>
    <w:rsid w:val="00A05FA5"/>
    <w:rsid w:val="00A14E25"/>
    <w:rsid w:val="00A22980"/>
    <w:rsid w:val="00A231D5"/>
    <w:rsid w:val="00A437A1"/>
    <w:rsid w:val="00A52A25"/>
    <w:rsid w:val="00A567C4"/>
    <w:rsid w:val="00A6086E"/>
    <w:rsid w:val="00A67718"/>
    <w:rsid w:val="00A9615D"/>
    <w:rsid w:val="00AB5F88"/>
    <w:rsid w:val="00AC21A4"/>
    <w:rsid w:val="00AC7349"/>
    <w:rsid w:val="00AE1D7B"/>
    <w:rsid w:val="00AE4950"/>
    <w:rsid w:val="00AF55BA"/>
    <w:rsid w:val="00B20D04"/>
    <w:rsid w:val="00B230FA"/>
    <w:rsid w:val="00B26D30"/>
    <w:rsid w:val="00B27813"/>
    <w:rsid w:val="00B40B2B"/>
    <w:rsid w:val="00B5201E"/>
    <w:rsid w:val="00B52F52"/>
    <w:rsid w:val="00B554CB"/>
    <w:rsid w:val="00B63440"/>
    <w:rsid w:val="00B71378"/>
    <w:rsid w:val="00B86E00"/>
    <w:rsid w:val="00BC5B13"/>
    <w:rsid w:val="00BC7331"/>
    <w:rsid w:val="00BE77E6"/>
    <w:rsid w:val="00BF6720"/>
    <w:rsid w:val="00C140CC"/>
    <w:rsid w:val="00C208F6"/>
    <w:rsid w:val="00C2226A"/>
    <w:rsid w:val="00C32003"/>
    <w:rsid w:val="00C4487B"/>
    <w:rsid w:val="00C554F1"/>
    <w:rsid w:val="00C652BE"/>
    <w:rsid w:val="00C8473A"/>
    <w:rsid w:val="00CC43AD"/>
    <w:rsid w:val="00CC570C"/>
    <w:rsid w:val="00CC7923"/>
    <w:rsid w:val="00CD1B22"/>
    <w:rsid w:val="00CE2158"/>
    <w:rsid w:val="00CE78AC"/>
    <w:rsid w:val="00CF4B5B"/>
    <w:rsid w:val="00D07D5E"/>
    <w:rsid w:val="00D119CF"/>
    <w:rsid w:val="00D1290B"/>
    <w:rsid w:val="00D255CD"/>
    <w:rsid w:val="00D31B8E"/>
    <w:rsid w:val="00D34231"/>
    <w:rsid w:val="00D42253"/>
    <w:rsid w:val="00D43FC6"/>
    <w:rsid w:val="00D47878"/>
    <w:rsid w:val="00D50196"/>
    <w:rsid w:val="00D9415D"/>
    <w:rsid w:val="00D968A1"/>
    <w:rsid w:val="00DA6036"/>
    <w:rsid w:val="00DC7511"/>
    <w:rsid w:val="00DD6C5E"/>
    <w:rsid w:val="00DE1DCA"/>
    <w:rsid w:val="00DE27BC"/>
    <w:rsid w:val="00DE2E9F"/>
    <w:rsid w:val="00DE6568"/>
    <w:rsid w:val="00DF3EEA"/>
    <w:rsid w:val="00DF46CA"/>
    <w:rsid w:val="00DF67E8"/>
    <w:rsid w:val="00E07C13"/>
    <w:rsid w:val="00E1214C"/>
    <w:rsid w:val="00E16E55"/>
    <w:rsid w:val="00E21F39"/>
    <w:rsid w:val="00E31F9A"/>
    <w:rsid w:val="00E43704"/>
    <w:rsid w:val="00E573FD"/>
    <w:rsid w:val="00E70B3D"/>
    <w:rsid w:val="00E72D39"/>
    <w:rsid w:val="00E74A5D"/>
    <w:rsid w:val="00E76EB5"/>
    <w:rsid w:val="00E8105A"/>
    <w:rsid w:val="00E91759"/>
    <w:rsid w:val="00EA608E"/>
    <w:rsid w:val="00EB594A"/>
    <w:rsid w:val="00EC4EF2"/>
    <w:rsid w:val="00ED752F"/>
    <w:rsid w:val="00ED7ED1"/>
    <w:rsid w:val="00EE659F"/>
    <w:rsid w:val="00EF325C"/>
    <w:rsid w:val="00F00E9F"/>
    <w:rsid w:val="00F42ECC"/>
    <w:rsid w:val="00F42F19"/>
    <w:rsid w:val="00F44550"/>
    <w:rsid w:val="00F45F52"/>
    <w:rsid w:val="00F65056"/>
    <w:rsid w:val="00F655A9"/>
    <w:rsid w:val="00F670B8"/>
    <w:rsid w:val="00F74D43"/>
    <w:rsid w:val="00F75A18"/>
    <w:rsid w:val="00F8128A"/>
    <w:rsid w:val="00F8484C"/>
    <w:rsid w:val="00F91A7F"/>
    <w:rsid w:val="00FA7777"/>
    <w:rsid w:val="00FB1F58"/>
    <w:rsid w:val="00FB33B2"/>
    <w:rsid w:val="00FB3B0B"/>
    <w:rsid w:val="00FC044E"/>
    <w:rsid w:val="00FC6150"/>
    <w:rsid w:val="00FF442A"/>
    <w:rsid w:val="00FF6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281DD"/>
  <w15:chartTrackingRefBased/>
  <w15:docId w15:val="{DBCA96E9-53EA-4980-B9CC-3D5DA0A36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3C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3C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3C5F"/>
    <w:rPr>
      <w:sz w:val="20"/>
      <w:szCs w:val="20"/>
    </w:rPr>
  </w:style>
  <w:style w:type="paragraph" w:styleId="a7">
    <w:name w:val="List Paragraph"/>
    <w:basedOn w:val="a"/>
    <w:uiPriority w:val="34"/>
    <w:qFormat/>
    <w:rsid w:val="00DF67E8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259B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259BC"/>
  </w:style>
  <w:style w:type="character" w:customStyle="1" w:styleId="aa">
    <w:name w:val="註解文字 字元"/>
    <w:basedOn w:val="a0"/>
    <w:link w:val="a9"/>
    <w:uiPriority w:val="99"/>
    <w:semiHidden/>
    <w:rsid w:val="000259B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259BC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259B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25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59BC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3"/>
    <w:basedOn w:val="a"/>
    <w:link w:val="30"/>
    <w:semiHidden/>
    <w:rsid w:val="00556BB9"/>
    <w:pPr>
      <w:jc w:val="both"/>
    </w:pPr>
    <w:rPr>
      <w:rFonts w:ascii="Times New Roman" w:eastAsia="標楷體" w:hAnsi="Times New Roman" w:cs="Times New Roman"/>
      <w:snapToGrid w:val="0"/>
      <w:szCs w:val="24"/>
    </w:rPr>
  </w:style>
  <w:style w:type="character" w:customStyle="1" w:styleId="30">
    <w:name w:val="本文 3 字元"/>
    <w:basedOn w:val="a0"/>
    <w:link w:val="3"/>
    <w:semiHidden/>
    <w:rsid w:val="00556BB9"/>
    <w:rPr>
      <w:rFonts w:ascii="Times New Roman" w:eastAsia="標楷體" w:hAnsi="Times New Roman" w:cs="Times New Roman"/>
      <w:snapToGrid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D7285-59F6-4932-8350-937357AA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4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李彥穎</dc:creator>
  <cp:keywords/>
  <dc:description/>
  <cp:lastModifiedBy>李彥穎</cp:lastModifiedBy>
  <cp:revision>4</cp:revision>
  <cp:lastPrinted>2020-10-21T09:31:00Z</cp:lastPrinted>
  <dcterms:created xsi:type="dcterms:W3CDTF">2021-01-07T06:44:00Z</dcterms:created>
  <dcterms:modified xsi:type="dcterms:W3CDTF">2021-03-17T05:39:00Z</dcterms:modified>
</cp:coreProperties>
</file>