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7582" w14:textId="77777777" w:rsidR="00DF4845" w:rsidRDefault="00F440E4" w:rsidP="00FC4076">
      <w:pPr>
        <w:pStyle w:val="3"/>
        <w:adjustRightInd w:val="0"/>
        <w:snapToGrid w:val="0"/>
        <w:spacing w:line="300" w:lineRule="auto"/>
        <w:ind w:leftChars="-354" w:left="-850" w:rightChars="-373" w:right="-895"/>
        <w:jc w:val="center"/>
        <w:rPr>
          <w:b/>
          <w:sz w:val="36"/>
          <w:szCs w:val="36"/>
        </w:rPr>
      </w:pPr>
      <w:r w:rsidRPr="00F440E4">
        <w:rPr>
          <w:rFonts w:hint="eastAsia"/>
          <w:b/>
          <w:sz w:val="36"/>
          <w:szCs w:val="36"/>
        </w:rPr>
        <w:t>財團法人中華民國證券櫃檯買賣中心衍生性金融商品交易</w:t>
      </w:r>
    </w:p>
    <w:p w14:paraId="6C05B23E" w14:textId="2A5FB158" w:rsidR="006048B0" w:rsidRDefault="00F440E4" w:rsidP="00FC4076">
      <w:pPr>
        <w:pStyle w:val="3"/>
        <w:adjustRightInd w:val="0"/>
        <w:snapToGrid w:val="0"/>
        <w:spacing w:line="300" w:lineRule="auto"/>
        <w:ind w:leftChars="-354" w:left="-850" w:rightChars="-373" w:right="-895"/>
        <w:jc w:val="center"/>
        <w:rPr>
          <w:b/>
          <w:bCs/>
          <w:sz w:val="36"/>
        </w:rPr>
      </w:pPr>
      <w:r w:rsidRPr="00F440E4">
        <w:rPr>
          <w:rFonts w:hint="eastAsia"/>
          <w:b/>
          <w:sz w:val="36"/>
          <w:szCs w:val="36"/>
        </w:rPr>
        <w:t>資訊儲存庫系統管理規定</w:t>
      </w:r>
      <w:r w:rsidR="00DF4845">
        <w:rPr>
          <w:rFonts w:hint="eastAsia"/>
          <w:b/>
          <w:sz w:val="36"/>
          <w:szCs w:val="36"/>
        </w:rPr>
        <w:t>部分條文</w:t>
      </w:r>
      <w:r w:rsidR="00CF57B1" w:rsidRPr="00CC4F3E">
        <w:rPr>
          <w:rFonts w:hint="eastAsia"/>
          <w:b/>
          <w:bCs/>
          <w:sz w:val="36"/>
        </w:rPr>
        <w:t>修</w:t>
      </w:r>
      <w:r w:rsidR="00CF57B1" w:rsidRPr="00CF57B1">
        <w:rPr>
          <w:rFonts w:hint="eastAsia"/>
          <w:b/>
          <w:bCs/>
          <w:sz w:val="36"/>
        </w:rPr>
        <w:t>正條文對照表</w:t>
      </w:r>
    </w:p>
    <w:p w14:paraId="283B3F89" w14:textId="2627435B" w:rsidR="00880EDA" w:rsidRPr="000C4E88" w:rsidRDefault="00880EDA" w:rsidP="00880EDA">
      <w:pPr>
        <w:pStyle w:val="3"/>
        <w:adjustRightInd w:val="0"/>
        <w:snapToGrid w:val="0"/>
        <w:spacing w:line="300" w:lineRule="auto"/>
        <w:ind w:leftChars="-354" w:left="-850" w:rightChars="-373" w:right="-895"/>
        <w:jc w:val="right"/>
        <w:rPr>
          <w:szCs w:val="18"/>
        </w:rPr>
      </w:pPr>
      <w:r w:rsidRPr="000C4E88">
        <w:rPr>
          <w:rFonts w:hint="eastAsia"/>
          <w:szCs w:val="18"/>
        </w:rPr>
        <w:t>金融監督管理委員會</w:t>
      </w:r>
      <w:r w:rsidRPr="000C4E88">
        <w:rPr>
          <w:rFonts w:hint="eastAsia"/>
          <w:szCs w:val="18"/>
        </w:rPr>
        <w:t>110</w:t>
      </w:r>
      <w:r w:rsidRPr="000C4E88">
        <w:rPr>
          <w:rFonts w:hint="eastAsia"/>
          <w:szCs w:val="18"/>
        </w:rPr>
        <w:t>年</w:t>
      </w:r>
      <w:r w:rsidRPr="000C4E88">
        <w:rPr>
          <w:rFonts w:hint="eastAsia"/>
          <w:szCs w:val="18"/>
        </w:rPr>
        <w:t>3</w:t>
      </w:r>
      <w:r w:rsidRPr="000C4E88">
        <w:rPr>
          <w:rFonts w:hint="eastAsia"/>
          <w:szCs w:val="18"/>
        </w:rPr>
        <w:t>月</w:t>
      </w:r>
      <w:r w:rsidRPr="000C4E88">
        <w:rPr>
          <w:rFonts w:hint="eastAsia"/>
          <w:szCs w:val="18"/>
        </w:rPr>
        <w:t>16</w:t>
      </w:r>
      <w:r w:rsidRPr="000C4E88">
        <w:rPr>
          <w:rFonts w:hint="eastAsia"/>
          <w:szCs w:val="18"/>
        </w:rPr>
        <w:t>日金管證券字第</w:t>
      </w:r>
      <w:r w:rsidRPr="000C4E88">
        <w:rPr>
          <w:rFonts w:hint="eastAsia"/>
          <w:szCs w:val="18"/>
        </w:rPr>
        <w:t>1100360744</w:t>
      </w:r>
      <w:r w:rsidRPr="000C4E88">
        <w:rPr>
          <w:rFonts w:hint="eastAsia"/>
          <w:szCs w:val="18"/>
        </w:rPr>
        <w:t>號函同意備查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766108" w:rsidRPr="00766108" w14:paraId="349EDBDC" w14:textId="77777777" w:rsidTr="000E02C0">
        <w:trPr>
          <w:trHeight w:val="535"/>
          <w:tblHeader/>
        </w:trPr>
        <w:tc>
          <w:tcPr>
            <w:tcW w:w="3355" w:type="dxa"/>
            <w:vAlign w:val="center"/>
          </w:tcPr>
          <w:p w14:paraId="175CA7EF" w14:textId="77777777" w:rsidR="001E2693" w:rsidRPr="00766108" w:rsidRDefault="001E2693" w:rsidP="00CA5406">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修正條文</w:t>
            </w:r>
          </w:p>
        </w:tc>
        <w:tc>
          <w:tcPr>
            <w:tcW w:w="3355" w:type="dxa"/>
            <w:vAlign w:val="center"/>
          </w:tcPr>
          <w:p w14:paraId="58A34A59" w14:textId="77777777" w:rsidR="001E2693" w:rsidRPr="00766108" w:rsidRDefault="00A54D02" w:rsidP="00CA5406">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現行</w:t>
            </w:r>
            <w:r w:rsidR="001E2693" w:rsidRPr="00766108">
              <w:rPr>
                <w:rFonts w:ascii="Times New Roman" w:eastAsia="標楷體" w:hAnsi="Times New Roman" w:cs="Times New Roman"/>
                <w:b/>
                <w:bCs/>
                <w:snapToGrid w:val="0"/>
                <w:sz w:val="28"/>
                <w:szCs w:val="28"/>
              </w:rPr>
              <w:t>條文</w:t>
            </w:r>
          </w:p>
        </w:tc>
        <w:tc>
          <w:tcPr>
            <w:tcW w:w="3355" w:type="dxa"/>
            <w:vAlign w:val="center"/>
          </w:tcPr>
          <w:p w14:paraId="0B681FF6" w14:textId="77777777" w:rsidR="00980112" w:rsidRPr="00766108" w:rsidRDefault="001E2693" w:rsidP="00CA5406">
            <w:pPr>
              <w:adjustRightInd w:val="0"/>
              <w:snapToGrid w:val="0"/>
              <w:spacing w:line="300" w:lineRule="auto"/>
              <w:jc w:val="center"/>
              <w:rPr>
                <w:rFonts w:ascii="Times New Roman" w:eastAsia="標楷體" w:hAnsi="Times New Roman" w:cs="Times New Roman"/>
                <w:b/>
                <w:bCs/>
                <w:snapToGrid w:val="0"/>
                <w:sz w:val="28"/>
                <w:szCs w:val="28"/>
              </w:rPr>
            </w:pPr>
            <w:r w:rsidRPr="00766108">
              <w:rPr>
                <w:rFonts w:ascii="Times New Roman" w:eastAsia="標楷體" w:hAnsi="Times New Roman" w:cs="Times New Roman"/>
                <w:b/>
                <w:bCs/>
                <w:snapToGrid w:val="0"/>
                <w:sz w:val="28"/>
                <w:szCs w:val="28"/>
              </w:rPr>
              <w:t>說明</w:t>
            </w:r>
          </w:p>
        </w:tc>
      </w:tr>
      <w:tr w:rsidR="005A7214" w:rsidRPr="00766108" w14:paraId="51EE0ECA" w14:textId="77777777" w:rsidTr="000763C3">
        <w:trPr>
          <w:trHeight w:val="535"/>
        </w:trPr>
        <w:tc>
          <w:tcPr>
            <w:tcW w:w="3355" w:type="dxa"/>
            <w:shd w:val="clear" w:color="auto" w:fill="auto"/>
          </w:tcPr>
          <w:p w14:paraId="69A5E6D8" w14:textId="77777777" w:rsidR="005A7214" w:rsidRPr="00F440E4" w:rsidRDefault="005A7214" w:rsidP="005A7214">
            <w:pPr>
              <w:pStyle w:val="a3"/>
              <w:snapToGrid w:val="0"/>
              <w:spacing w:line="300" w:lineRule="auto"/>
              <w:ind w:leftChars="0" w:hangingChars="200" w:hanging="480"/>
              <w:rPr>
                <w:rFonts w:ascii="Times New Roman" w:eastAsia="標楷體" w:hAnsi="Times New Roman" w:cs="Times New Roman"/>
                <w:szCs w:val="24"/>
              </w:rPr>
            </w:pPr>
            <w:r w:rsidRPr="00F440E4">
              <w:rPr>
                <w:rFonts w:ascii="Times New Roman" w:eastAsia="標楷體" w:hAnsi="Times New Roman" w:cs="Times New Roman"/>
                <w:szCs w:val="24"/>
              </w:rPr>
              <w:t>第一條</w:t>
            </w:r>
          </w:p>
          <w:p w14:paraId="2B303BFB" w14:textId="06094B97" w:rsidR="005A7214" w:rsidRPr="00E66539" w:rsidRDefault="005A7214" w:rsidP="005A7214">
            <w:pPr>
              <w:pStyle w:val="a3"/>
              <w:snapToGrid w:val="0"/>
              <w:spacing w:line="300" w:lineRule="auto"/>
              <w:ind w:leftChars="0" w:left="0" w:firstLineChars="224" w:firstLine="538"/>
              <w:jc w:val="both"/>
              <w:rPr>
                <w:rFonts w:ascii="Times New Roman" w:eastAsia="標楷體" w:hAnsi="Times New Roman" w:cs="Times New Roman"/>
                <w:szCs w:val="24"/>
              </w:rPr>
            </w:pPr>
            <w:r w:rsidRPr="005A7214">
              <w:rPr>
                <w:rFonts w:ascii="Times New Roman" w:eastAsia="標楷體" w:hAnsi="Times New Roman" w:cs="Times New Roman"/>
                <w:szCs w:val="24"/>
              </w:rPr>
              <w:t>本</w:t>
            </w:r>
            <w:r w:rsidRPr="005A7214">
              <w:rPr>
                <w:rFonts w:ascii="Times New Roman" w:eastAsia="標楷體" w:hAnsi="Times New Roman" w:cs="Times New Roman" w:hint="eastAsia"/>
                <w:szCs w:val="24"/>
              </w:rPr>
              <w:t>規定</w:t>
            </w:r>
            <w:r w:rsidRPr="005A7214">
              <w:rPr>
                <w:rFonts w:ascii="Times New Roman" w:eastAsia="標楷體" w:hAnsi="Times New Roman" w:cs="Times New Roman"/>
                <w:szCs w:val="24"/>
              </w:rPr>
              <w:t>依金融監督管理委員會</w:t>
            </w:r>
            <w:smartTag w:uri="urn:schemas-microsoft-com:office:smarttags" w:element="chsdate">
              <w:smartTagPr>
                <w:attr w:name="Year" w:val="101"/>
                <w:attr w:name="Month" w:val="1"/>
                <w:attr w:name="Day" w:val="3"/>
                <w:attr w:name="IsLunarDate" w:val="False"/>
                <w:attr w:name="IsROCDate" w:val="False"/>
              </w:smartTagPr>
              <w:r w:rsidRPr="005A7214">
                <w:rPr>
                  <w:rFonts w:ascii="Times New Roman" w:eastAsia="標楷體" w:hAnsi="Times New Roman" w:cs="Times New Roman" w:hint="eastAsia"/>
                  <w:szCs w:val="24"/>
                </w:rPr>
                <w:t>一百零一</w:t>
              </w:r>
              <w:r w:rsidRPr="005A7214">
                <w:rPr>
                  <w:rFonts w:ascii="Times New Roman" w:eastAsia="標楷體" w:hAnsi="Times New Roman" w:cs="Times New Roman"/>
                  <w:szCs w:val="24"/>
                </w:rPr>
                <w:t>年</w:t>
              </w:r>
              <w:r w:rsidRPr="005A7214">
                <w:rPr>
                  <w:rFonts w:ascii="Times New Roman" w:eastAsia="標楷體" w:hAnsi="Times New Roman" w:cs="Times New Roman" w:hint="eastAsia"/>
                  <w:szCs w:val="24"/>
                </w:rPr>
                <w:t>一</w:t>
              </w:r>
              <w:r w:rsidRPr="005A7214">
                <w:rPr>
                  <w:rFonts w:ascii="Times New Roman" w:eastAsia="標楷體" w:hAnsi="Times New Roman" w:cs="Times New Roman"/>
                  <w:szCs w:val="24"/>
                </w:rPr>
                <w:t>月</w:t>
              </w:r>
              <w:r w:rsidRPr="005A7214">
                <w:rPr>
                  <w:rFonts w:ascii="Times New Roman" w:eastAsia="標楷體" w:hAnsi="Times New Roman" w:cs="Times New Roman" w:hint="eastAsia"/>
                  <w:szCs w:val="24"/>
                </w:rPr>
                <w:t>三</w:t>
              </w:r>
              <w:r w:rsidRPr="005A7214">
                <w:rPr>
                  <w:rFonts w:ascii="Times New Roman" w:eastAsia="標楷體" w:hAnsi="Times New Roman" w:cs="Times New Roman"/>
                  <w:szCs w:val="24"/>
                </w:rPr>
                <w:t>日</w:t>
              </w:r>
            </w:smartTag>
            <w:r w:rsidRPr="005A7214">
              <w:rPr>
                <w:rFonts w:ascii="Times New Roman" w:eastAsia="標楷體" w:hAnsi="Times New Roman" w:cs="Times New Roman" w:hint="eastAsia"/>
                <w:szCs w:val="24"/>
              </w:rPr>
              <w:t>金管證券</w:t>
            </w:r>
            <w:r w:rsidRPr="000C1FC8">
              <w:rPr>
                <w:rFonts w:ascii="Times New Roman" w:eastAsia="標楷體" w:hAnsi="Times New Roman" w:cs="Times New Roman" w:hint="eastAsia"/>
                <w:szCs w:val="24"/>
              </w:rPr>
              <w:t>字第一○○○○六○一七七一</w:t>
            </w:r>
            <w:r w:rsidRPr="000C1FC8">
              <w:rPr>
                <w:rFonts w:ascii="Times New Roman" w:eastAsia="標楷體" w:hAnsi="Times New Roman" w:cs="Times New Roman"/>
                <w:szCs w:val="24"/>
              </w:rPr>
              <w:t>號令</w:t>
            </w:r>
            <w:r w:rsidRPr="005A7214">
              <w:rPr>
                <w:rFonts w:ascii="Times New Roman" w:eastAsia="標楷體" w:hAnsi="Times New Roman" w:cs="Times New Roman" w:hint="eastAsia"/>
                <w:szCs w:val="24"/>
              </w:rPr>
              <w:t>公告及</w:t>
            </w:r>
            <w:r w:rsidRPr="005A7214">
              <w:rPr>
                <w:rFonts w:ascii="Times New Roman" w:eastAsia="標楷體" w:hAnsi="Times New Roman" w:cs="Times New Roman"/>
                <w:szCs w:val="24"/>
              </w:rPr>
              <w:t>財團法人中華民國證券櫃檯買賣中心</w:t>
            </w:r>
            <w:r w:rsidRPr="005A7214">
              <w:rPr>
                <w:rFonts w:ascii="Times New Roman" w:eastAsia="標楷體" w:hAnsi="Times New Roman" w:cs="Times New Roman" w:hint="eastAsia"/>
                <w:szCs w:val="24"/>
              </w:rPr>
              <w:t>證券商營業處所經營衍生性金融商品交易業務規則第</w:t>
            </w:r>
            <w:r w:rsidR="00810C0D" w:rsidRPr="00810C0D">
              <w:rPr>
                <w:rFonts w:ascii="Times New Roman" w:eastAsia="標楷體" w:hAnsi="Times New Roman" w:cs="Times New Roman" w:hint="eastAsia"/>
                <w:b/>
                <w:bCs/>
                <w:szCs w:val="24"/>
                <w:u w:val="single"/>
              </w:rPr>
              <w:t>五</w:t>
            </w:r>
            <w:r w:rsidRPr="005A7214">
              <w:rPr>
                <w:rFonts w:ascii="Times New Roman" w:eastAsia="標楷體" w:hAnsi="Times New Roman" w:cs="Times New Roman" w:hint="eastAsia"/>
                <w:b/>
                <w:bCs/>
                <w:szCs w:val="24"/>
                <w:u w:val="single"/>
              </w:rPr>
              <w:t>十</w:t>
            </w:r>
            <w:r w:rsidR="00810C0D">
              <w:rPr>
                <w:rFonts w:ascii="Times New Roman" w:eastAsia="標楷體" w:hAnsi="Times New Roman" w:cs="Times New Roman" w:hint="eastAsia"/>
                <w:b/>
                <w:bCs/>
                <w:szCs w:val="24"/>
                <w:u w:val="single"/>
              </w:rPr>
              <w:t>六</w:t>
            </w:r>
            <w:r w:rsidRPr="005A7214">
              <w:rPr>
                <w:rFonts w:ascii="Times New Roman" w:eastAsia="標楷體" w:hAnsi="Times New Roman" w:cs="Times New Roman" w:hint="eastAsia"/>
                <w:szCs w:val="24"/>
              </w:rPr>
              <w:t>條之規定訂定之。</w:t>
            </w:r>
          </w:p>
        </w:tc>
        <w:tc>
          <w:tcPr>
            <w:tcW w:w="3355" w:type="dxa"/>
            <w:shd w:val="clear" w:color="auto" w:fill="auto"/>
          </w:tcPr>
          <w:p w14:paraId="394751FA" w14:textId="77777777" w:rsidR="005A7214" w:rsidRPr="00F440E4" w:rsidRDefault="005A7214" w:rsidP="005A7214">
            <w:pPr>
              <w:pStyle w:val="a3"/>
              <w:snapToGrid w:val="0"/>
              <w:spacing w:line="300" w:lineRule="auto"/>
              <w:ind w:leftChars="0" w:hangingChars="200" w:hanging="480"/>
              <w:rPr>
                <w:rFonts w:ascii="Times New Roman" w:eastAsia="標楷體" w:hAnsi="Times New Roman" w:cs="Times New Roman"/>
                <w:szCs w:val="24"/>
              </w:rPr>
            </w:pPr>
            <w:r w:rsidRPr="00F440E4">
              <w:rPr>
                <w:rFonts w:ascii="Times New Roman" w:eastAsia="標楷體" w:hAnsi="Times New Roman" w:cs="Times New Roman"/>
                <w:szCs w:val="24"/>
              </w:rPr>
              <w:t>第一條</w:t>
            </w:r>
          </w:p>
          <w:p w14:paraId="7479DA55" w14:textId="70B7CB7D" w:rsidR="005A7214" w:rsidRPr="00F440E4" w:rsidRDefault="000C1FC8" w:rsidP="005A7214">
            <w:pPr>
              <w:adjustRightInd w:val="0"/>
              <w:snapToGrid w:val="0"/>
              <w:spacing w:line="300" w:lineRule="auto"/>
              <w:ind w:rightChars="27" w:right="65"/>
              <w:jc w:val="both"/>
              <w:rPr>
                <w:rFonts w:ascii="Arial" w:eastAsia="標楷體" w:hAnsi="標楷體" w:cs="Arial"/>
              </w:rPr>
            </w:pPr>
            <w:r>
              <w:rPr>
                <w:rFonts w:ascii="Arial" w:eastAsia="標楷體" w:hAnsi="標楷體" w:cs="Arial" w:hint="eastAsia"/>
              </w:rPr>
              <w:t xml:space="preserve">    </w:t>
            </w:r>
            <w:r w:rsidR="005A7214" w:rsidRPr="00B7747B">
              <w:rPr>
                <w:rFonts w:ascii="Arial" w:eastAsia="標楷體" w:hAnsi="標楷體" w:cs="Arial"/>
              </w:rPr>
              <w:t>本</w:t>
            </w:r>
            <w:r w:rsidR="005A7214" w:rsidRPr="00B7747B">
              <w:rPr>
                <w:rFonts w:ascii="Arial" w:eastAsia="標楷體" w:hAnsi="標楷體" w:cs="Arial" w:hint="eastAsia"/>
              </w:rPr>
              <w:t>規定</w:t>
            </w:r>
            <w:r w:rsidR="005A7214" w:rsidRPr="00B7747B">
              <w:rPr>
                <w:rFonts w:ascii="Arial" w:eastAsia="標楷體" w:hAnsi="標楷體" w:cs="Arial"/>
              </w:rPr>
              <w:t>依</w:t>
            </w:r>
            <w:r w:rsidR="005A7214" w:rsidRPr="00B67F72">
              <w:rPr>
                <w:rFonts w:ascii="Arial" w:eastAsia="標楷體" w:hAnsi="標楷體" w:cs="Arial"/>
                <w:u w:val="single"/>
              </w:rPr>
              <w:t>行政院</w:t>
            </w:r>
            <w:r w:rsidR="005A7214" w:rsidRPr="00B7747B">
              <w:rPr>
                <w:rFonts w:ascii="Arial" w:eastAsia="標楷體" w:hAnsi="標楷體" w:cs="Arial"/>
              </w:rPr>
              <w:t>金融監督管理委員會</w:t>
            </w:r>
            <w:smartTag w:uri="urn:schemas-microsoft-com:office:smarttags" w:element="chsdate">
              <w:smartTagPr>
                <w:attr w:name="IsROCDate" w:val="False"/>
                <w:attr w:name="IsLunarDate" w:val="False"/>
                <w:attr w:name="Day" w:val="3"/>
                <w:attr w:name="Month" w:val="1"/>
                <w:attr w:name="Year" w:val="101"/>
              </w:smartTagPr>
              <w:r w:rsidR="005A7214" w:rsidRPr="00B7747B">
                <w:rPr>
                  <w:rFonts w:ascii="Arial" w:eastAsia="標楷體" w:hAnsi="標楷體" w:cs="Arial" w:hint="eastAsia"/>
                </w:rPr>
                <w:t>一百零一</w:t>
              </w:r>
              <w:r w:rsidR="005A7214" w:rsidRPr="00B7747B">
                <w:rPr>
                  <w:rFonts w:ascii="Arial" w:eastAsia="標楷體" w:hAnsi="標楷體" w:cs="Arial"/>
                </w:rPr>
                <w:t>年</w:t>
              </w:r>
              <w:r w:rsidR="005A7214" w:rsidRPr="00B7747B">
                <w:rPr>
                  <w:rFonts w:ascii="Arial" w:eastAsia="標楷體" w:hAnsi="標楷體" w:cs="Arial" w:hint="eastAsia"/>
                </w:rPr>
                <w:t>一</w:t>
              </w:r>
              <w:r w:rsidR="005A7214" w:rsidRPr="00B7747B">
                <w:rPr>
                  <w:rFonts w:ascii="Arial" w:eastAsia="標楷體" w:hAnsi="標楷體" w:cs="Arial"/>
                </w:rPr>
                <w:t>月</w:t>
              </w:r>
              <w:r w:rsidR="005A7214" w:rsidRPr="00B7747B">
                <w:rPr>
                  <w:rFonts w:ascii="Arial" w:eastAsia="標楷體" w:hAnsi="標楷體" w:cs="Arial" w:hint="eastAsia"/>
                </w:rPr>
                <w:t>三</w:t>
              </w:r>
              <w:r w:rsidR="005A7214" w:rsidRPr="00B7747B">
                <w:rPr>
                  <w:rFonts w:ascii="Arial" w:eastAsia="標楷體" w:hAnsi="標楷體" w:cs="Arial"/>
                </w:rPr>
                <w:t>日</w:t>
              </w:r>
            </w:smartTag>
            <w:r w:rsidR="005A7214" w:rsidRPr="00B7747B">
              <w:rPr>
                <w:rFonts w:ascii="Arial" w:eastAsia="標楷體" w:hAnsi="標楷體" w:cs="Arial" w:hint="eastAsia"/>
              </w:rPr>
              <w:t>金管證券字</w:t>
            </w:r>
            <w:r w:rsidRPr="000C1FC8">
              <w:rPr>
                <w:rFonts w:ascii="Arial" w:eastAsia="標楷體" w:hAnsi="標楷體" w:cs="Arial" w:hint="eastAsia"/>
              </w:rPr>
              <w:t>第一○○○○六○一七七一號令</w:t>
            </w:r>
            <w:r w:rsidR="005A7214" w:rsidRPr="00B7747B">
              <w:rPr>
                <w:rFonts w:ascii="Arial" w:eastAsia="標楷體" w:hAnsi="標楷體" w:cs="Arial" w:hint="eastAsia"/>
              </w:rPr>
              <w:t>公告及</w:t>
            </w:r>
            <w:r w:rsidR="005A7214" w:rsidRPr="00B7747B">
              <w:rPr>
                <w:rFonts w:ascii="Arial" w:eastAsia="標楷體" w:hAnsi="標楷體" w:cs="Arial"/>
              </w:rPr>
              <w:t>財團法人中華民國證券櫃檯買賣中心</w:t>
            </w:r>
            <w:r w:rsidR="005A7214" w:rsidRPr="00B7747B">
              <w:rPr>
                <w:rFonts w:ascii="Arial" w:eastAsia="標楷體" w:hAnsi="標楷體" w:cs="Arial" w:hint="eastAsia"/>
              </w:rPr>
              <w:t>證券商營業處所經營衍生性金融商品交易業務規則第</w:t>
            </w:r>
            <w:r w:rsidR="005A7214" w:rsidRPr="00BE7B72">
              <w:rPr>
                <w:rFonts w:ascii="Arial" w:eastAsia="標楷體" w:hAnsi="標楷體" w:cs="Arial" w:hint="eastAsia"/>
                <w:u w:val="single"/>
              </w:rPr>
              <w:t>六十</w:t>
            </w:r>
            <w:r w:rsidR="005A7214" w:rsidRPr="00B7747B">
              <w:rPr>
                <w:rFonts w:ascii="Arial" w:eastAsia="標楷體" w:hAnsi="標楷體" w:cs="Arial" w:hint="eastAsia"/>
              </w:rPr>
              <w:t>條之規定訂定之。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F477A09" w14:textId="77777777" w:rsidR="005A7214" w:rsidRPr="003E7A06" w:rsidRDefault="005A7214" w:rsidP="005A7214">
            <w:pPr>
              <w:pStyle w:val="a3"/>
              <w:numPr>
                <w:ilvl w:val="0"/>
                <w:numId w:val="22"/>
              </w:numPr>
              <w:adjustRightInd w:val="0"/>
              <w:spacing w:line="240" w:lineRule="auto"/>
              <w:ind w:leftChars="0" w:rightChars="-14" w:right="-34"/>
              <w:contextualSpacing/>
              <w:jc w:val="both"/>
              <w:rPr>
                <w:rFonts w:ascii="Times New Roman" w:eastAsia="標楷體" w:hAnsi="Times New Roman" w:cs="Times New Roman"/>
                <w:kern w:val="0"/>
                <w:szCs w:val="24"/>
              </w:rPr>
            </w:pPr>
            <w:r w:rsidRPr="003E7A06">
              <w:rPr>
                <w:rFonts w:ascii="Times New Roman" w:eastAsia="標楷體" w:hAnsi="Times New Roman" w:cs="Times New Roman" w:hint="eastAsia"/>
                <w:kern w:val="0"/>
                <w:szCs w:val="24"/>
              </w:rPr>
              <w:t>配合行政院金融監督管理委員會更名為金融監督管理委員會，修正</w:t>
            </w:r>
            <w:r w:rsidRPr="002C21A3">
              <w:rPr>
                <w:rFonts w:ascii="Times New Roman" w:eastAsia="標楷體" w:hAnsi="Times New Roman" w:cs="Times New Roman" w:hint="eastAsia"/>
                <w:kern w:val="0"/>
                <w:szCs w:val="24"/>
              </w:rPr>
              <w:t>本規定授權依據</w:t>
            </w:r>
            <w:r>
              <w:rPr>
                <w:rFonts w:ascii="Times New Roman" w:eastAsia="標楷體" w:hAnsi="Times New Roman" w:cs="Times New Roman" w:hint="eastAsia"/>
                <w:kern w:val="0"/>
                <w:szCs w:val="24"/>
              </w:rPr>
              <w:t>之</w:t>
            </w:r>
            <w:r w:rsidRPr="003E7A06">
              <w:rPr>
                <w:rFonts w:ascii="Times New Roman" w:eastAsia="標楷體" w:hAnsi="Times New Roman" w:cs="Times New Roman" w:hint="eastAsia"/>
                <w:kern w:val="0"/>
                <w:szCs w:val="24"/>
              </w:rPr>
              <w:t>公告名稱。</w:t>
            </w:r>
          </w:p>
          <w:p w14:paraId="01B9DA08" w14:textId="742198BD" w:rsidR="005A7214" w:rsidRPr="00F731DE" w:rsidRDefault="005A7214" w:rsidP="005A7214">
            <w:pPr>
              <w:pStyle w:val="a3"/>
              <w:numPr>
                <w:ilvl w:val="0"/>
                <w:numId w:val="22"/>
              </w:numPr>
              <w:adjustRightInd w:val="0"/>
              <w:spacing w:line="240" w:lineRule="auto"/>
              <w:ind w:leftChars="0" w:rightChars="-14" w:right="-34"/>
              <w:contextualSpacing/>
              <w:jc w:val="both"/>
              <w:rPr>
                <w:rFonts w:ascii="Times New Roman" w:eastAsia="標楷體" w:hAnsi="Times New Roman" w:cs="Times New Roman"/>
                <w:kern w:val="0"/>
                <w:szCs w:val="24"/>
              </w:rPr>
            </w:pPr>
            <w:r w:rsidRPr="003E7A06">
              <w:rPr>
                <w:rFonts w:ascii="Times New Roman" w:eastAsia="標楷體" w:hAnsi="Times New Roman" w:cs="Times New Roman" w:hint="eastAsia"/>
                <w:kern w:val="0"/>
                <w:szCs w:val="24"/>
              </w:rPr>
              <w:t>配合財團法人中華民國證券櫃檯買賣中心證券商營業處所經營衍生性金融商品交易業務規則修正及條次變更，修正</w:t>
            </w:r>
            <w:r>
              <w:rPr>
                <w:rFonts w:ascii="Times New Roman" w:eastAsia="標楷體" w:hAnsi="Times New Roman" w:cs="Times New Roman" w:hint="eastAsia"/>
                <w:kern w:val="0"/>
                <w:szCs w:val="24"/>
              </w:rPr>
              <w:t>本規定授權依據之規則條次</w:t>
            </w:r>
            <w:r w:rsidRPr="003E7A06">
              <w:rPr>
                <w:rFonts w:ascii="Times New Roman" w:eastAsia="標楷體" w:hAnsi="Times New Roman" w:cs="Times New Roman" w:hint="eastAsia"/>
                <w:kern w:val="0"/>
                <w:szCs w:val="24"/>
              </w:rPr>
              <w:t>。</w:t>
            </w:r>
          </w:p>
        </w:tc>
      </w:tr>
      <w:tr w:rsidR="005A7214" w:rsidRPr="00766108" w14:paraId="0492E2E2" w14:textId="77777777" w:rsidTr="000763C3">
        <w:trPr>
          <w:trHeight w:val="535"/>
        </w:trPr>
        <w:tc>
          <w:tcPr>
            <w:tcW w:w="3355" w:type="dxa"/>
            <w:shd w:val="clear" w:color="auto" w:fill="auto"/>
          </w:tcPr>
          <w:p w14:paraId="27D572AD" w14:textId="77777777" w:rsidR="005A7214" w:rsidRDefault="000C1FC8" w:rsidP="00043760">
            <w:pPr>
              <w:pStyle w:val="a3"/>
              <w:snapToGrid w:val="0"/>
              <w:spacing w:line="300" w:lineRule="auto"/>
              <w:ind w:leftChars="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第三條</w:t>
            </w:r>
          </w:p>
          <w:p w14:paraId="7A190D38" w14:textId="77777777" w:rsidR="000C1FC8" w:rsidRDefault="000C1FC8" w:rsidP="000C1FC8">
            <w:pPr>
              <w:pStyle w:val="a3"/>
              <w:snapToGrid w:val="0"/>
              <w:spacing w:line="300" w:lineRule="auto"/>
              <w:ind w:leftChars="0" w:left="0" w:firstLineChars="224" w:firstLine="538"/>
              <w:jc w:val="both"/>
              <w:rPr>
                <w:rFonts w:ascii="Times New Roman" w:eastAsia="標楷體" w:hAnsi="Times New Roman" w:cs="Times New Roman"/>
                <w:szCs w:val="24"/>
              </w:rPr>
            </w:pPr>
            <w:r w:rsidRPr="000C1FC8">
              <w:rPr>
                <w:rFonts w:ascii="Times New Roman" w:eastAsia="標楷體" w:hAnsi="Times New Roman" w:cs="Times New Roman" w:hint="eastAsia"/>
                <w:szCs w:val="24"/>
              </w:rPr>
              <w:t>本規定所稱主管機關，為金融監督管理委員會。</w:t>
            </w:r>
          </w:p>
          <w:p w14:paraId="1633603A" w14:textId="488C41A7" w:rsidR="00F44165" w:rsidRPr="00880EDA" w:rsidRDefault="00F44165" w:rsidP="000C1FC8">
            <w:pPr>
              <w:pStyle w:val="a3"/>
              <w:snapToGrid w:val="0"/>
              <w:spacing w:line="300" w:lineRule="auto"/>
              <w:ind w:leftChars="0" w:left="0" w:firstLineChars="224" w:firstLine="538"/>
              <w:jc w:val="both"/>
              <w:rPr>
                <w:rFonts w:ascii="Times New Roman" w:eastAsia="標楷體" w:hAnsi="Times New Roman" w:cs="Times New Roman"/>
                <w:b/>
                <w:bCs/>
                <w:szCs w:val="24"/>
                <w:u w:val="single"/>
              </w:rPr>
            </w:pPr>
            <w:r w:rsidRPr="00880EDA">
              <w:rPr>
                <w:rFonts w:ascii="Times New Roman" w:eastAsia="標楷體" w:hAnsi="Times New Roman" w:cs="Times New Roman" w:hint="eastAsia"/>
                <w:b/>
                <w:bCs/>
                <w:szCs w:val="24"/>
                <w:u w:val="single"/>
              </w:rPr>
              <w:t>本規定所稱結算機構，為主管機關</w:t>
            </w:r>
            <w:r w:rsidR="00E3029F" w:rsidRPr="00880EDA">
              <w:rPr>
                <w:rFonts w:ascii="Times New Roman" w:eastAsia="標楷體" w:hAnsi="Times New Roman" w:cs="Times New Roman" w:hint="eastAsia"/>
                <w:b/>
                <w:bCs/>
                <w:szCs w:val="24"/>
                <w:u w:val="single"/>
              </w:rPr>
              <w:t>規定應集中結算之店頭衍生性金融商品之結算機構。</w:t>
            </w:r>
          </w:p>
          <w:p w14:paraId="6EF46EC7" w14:textId="3B163878" w:rsidR="0007121A" w:rsidRPr="0007121A" w:rsidRDefault="0007121A" w:rsidP="000C1FC8">
            <w:pPr>
              <w:pStyle w:val="a3"/>
              <w:snapToGrid w:val="0"/>
              <w:spacing w:line="300" w:lineRule="auto"/>
              <w:ind w:leftChars="0" w:left="0" w:firstLineChars="224" w:firstLine="538"/>
              <w:jc w:val="both"/>
              <w:rPr>
                <w:rFonts w:ascii="Times New Roman" w:eastAsia="標楷體" w:hAnsi="Times New Roman" w:cs="Times New Roman"/>
                <w:b/>
                <w:bCs/>
                <w:szCs w:val="24"/>
                <w:u w:val="single"/>
              </w:rPr>
            </w:pPr>
          </w:p>
        </w:tc>
        <w:tc>
          <w:tcPr>
            <w:tcW w:w="3355" w:type="dxa"/>
            <w:shd w:val="clear" w:color="auto" w:fill="auto"/>
          </w:tcPr>
          <w:p w14:paraId="02F0ADBE" w14:textId="77777777" w:rsidR="000C1FC8" w:rsidRDefault="000C1FC8" w:rsidP="000C1FC8">
            <w:pPr>
              <w:pStyle w:val="a3"/>
              <w:snapToGrid w:val="0"/>
              <w:spacing w:line="300" w:lineRule="auto"/>
              <w:ind w:leftChars="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第三條</w:t>
            </w:r>
          </w:p>
          <w:p w14:paraId="324ACCEB" w14:textId="6CAC10AF" w:rsidR="005A7214" w:rsidRPr="00F440E4" w:rsidRDefault="000C1FC8" w:rsidP="000C1FC8">
            <w:pPr>
              <w:adjustRightInd w:val="0"/>
              <w:snapToGrid w:val="0"/>
              <w:spacing w:line="300" w:lineRule="auto"/>
              <w:ind w:rightChars="27" w:right="65"/>
              <w:jc w:val="both"/>
              <w:rPr>
                <w:rFonts w:ascii="Arial" w:eastAsia="標楷體" w:hAnsi="標楷體" w:cs="Arial"/>
              </w:rPr>
            </w:pPr>
            <w:r>
              <w:rPr>
                <w:rFonts w:ascii="Times New Roman" w:eastAsia="標楷體" w:hAnsi="Times New Roman" w:cs="Times New Roman" w:hint="eastAsia"/>
                <w:szCs w:val="24"/>
              </w:rPr>
              <w:t xml:space="preserve">    </w:t>
            </w:r>
            <w:r w:rsidRPr="000C1FC8">
              <w:rPr>
                <w:rFonts w:ascii="Times New Roman" w:eastAsia="標楷體" w:hAnsi="Times New Roman" w:cs="Times New Roman" w:hint="eastAsia"/>
                <w:szCs w:val="24"/>
              </w:rPr>
              <w:t>本規定所稱主管機關，為</w:t>
            </w:r>
            <w:r w:rsidRPr="002F4D22">
              <w:rPr>
                <w:rFonts w:ascii="Times New Roman" w:eastAsia="標楷體" w:hAnsi="Times New Roman" w:cs="Times New Roman" w:hint="eastAsia"/>
                <w:szCs w:val="24"/>
                <w:u w:val="single"/>
              </w:rPr>
              <w:t>行政院</w:t>
            </w:r>
            <w:r w:rsidRPr="000C1FC8">
              <w:rPr>
                <w:rFonts w:ascii="Times New Roman" w:eastAsia="標楷體" w:hAnsi="Times New Roman" w:cs="Times New Roman" w:hint="eastAsia"/>
                <w:szCs w:val="24"/>
              </w:rPr>
              <w:t>金融監督管理委員會。</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BEC8927" w14:textId="5675CC02" w:rsidR="005A7214" w:rsidRDefault="002F4D22" w:rsidP="0093501D">
            <w:pPr>
              <w:pStyle w:val="a3"/>
              <w:numPr>
                <w:ilvl w:val="0"/>
                <w:numId w:val="28"/>
              </w:numPr>
              <w:adjustRightInd w:val="0"/>
              <w:spacing w:line="240" w:lineRule="auto"/>
              <w:ind w:leftChars="0" w:rightChars="-14" w:right="-34"/>
              <w:contextualSpacing/>
              <w:jc w:val="both"/>
              <w:rPr>
                <w:rFonts w:ascii="Times New Roman" w:eastAsia="標楷體" w:hAnsi="Times New Roman" w:cs="Times New Roman"/>
                <w:kern w:val="0"/>
                <w:szCs w:val="24"/>
              </w:rPr>
            </w:pPr>
            <w:r w:rsidRPr="002F4D22">
              <w:rPr>
                <w:rFonts w:ascii="Times New Roman" w:eastAsia="標楷體" w:hAnsi="Times New Roman" w:cs="Times New Roman" w:hint="eastAsia"/>
                <w:kern w:val="0"/>
                <w:szCs w:val="24"/>
              </w:rPr>
              <w:t>配合行政院金融監督管理委員會更名為金融監督管理委員會，爰修正本條</w:t>
            </w:r>
            <w:r w:rsidR="0093501D">
              <w:rPr>
                <w:rFonts w:ascii="Times New Roman" w:eastAsia="標楷體" w:hAnsi="Times New Roman" w:cs="Times New Roman" w:hint="eastAsia"/>
                <w:kern w:val="0"/>
                <w:szCs w:val="24"/>
              </w:rPr>
              <w:t>第一項</w:t>
            </w:r>
            <w:r w:rsidRPr="002F4D22">
              <w:rPr>
                <w:rFonts w:ascii="Times New Roman" w:eastAsia="標楷體" w:hAnsi="Times New Roman" w:cs="Times New Roman" w:hint="eastAsia"/>
                <w:kern w:val="0"/>
                <w:szCs w:val="24"/>
              </w:rPr>
              <w:t>。</w:t>
            </w:r>
          </w:p>
          <w:p w14:paraId="7AA41A53" w14:textId="1253B69E" w:rsidR="0093501D" w:rsidRPr="002F4D22" w:rsidRDefault="0093501D" w:rsidP="0028096C">
            <w:pPr>
              <w:pStyle w:val="a3"/>
              <w:numPr>
                <w:ilvl w:val="0"/>
                <w:numId w:val="28"/>
              </w:numPr>
              <w:adjustRightInd w:val="0"/>
              <w:spacing w:line="240" w:lineRule="auto"/>
              <w:ind w:leftChars="0" w:rightChars="-14" w:right="-34"/>
              <w:contextualSpacing/>
              <w:jc w:val="both"/>
              <w:rPr>
                <w:rFonts w:ascii="Times New Roman" w:eastAsia="標楷體" w:hAnsi="Times New Roman" w:cs="Times New Roman"/>
                <w:kern w:val="0"/>
                <w:szCs w:val="24"/>
              </w:rPr>
            </w:pPr>
            <w:r w:rsidRPr="00880EDA">
              <w:rPr>
                <w:rFonts w:ascii="Times New Roman" w:eastAsia="標楷體" w:hAnsi="Times New Roman" w:cs="Times New Roman" w:hint="eastAsia"/>
                <w:kern w:val="0"/>
                <w:szCs w:val="24"/>
              </w:rPr>
              <w:t>配合我國期貨交易法修正，以及</w:t>
            </w:r>
            <w:r w:rsidR="0007478F" w:rsidRPr="00880EDA">
              <w:rPr>
                <w:rFonts w:ascii="Times New Roman" w:eastAsia="標楷體" w:hAnsi="Times New Roman" w:cs="Times New Roman" w:hint="eastAsia"/>
                <w:kern w:val="0"/>
                <w:szCs w:val="24"/>
              </w:rPr>
              <w:t>主管機關指定</w:t>
            </w:r>
            <w:r w:rsidR="00E3029F" w:rsidRPr="00880EDA">
              <w:rPr>
                <w:rFonts w:ascii="Times New Roman" w:eastAsia="標楷體" w:hAnsi="Times New Roman" w:cs="Times New Roman" w:hint="eastAsia"/>
                <w:kern w:val="0"/>
                <w:szCs w:val="24"/>
              </w:rPr>
              <w:t>臺灣期貨交易所股份有限公司為其規定應集中結算之店頭衍生性金融商品之結算機構</w:t>
            </w:r>
            <w:r w:rsidRPr="00880EDA">
              <w:rPr>
                <w:rFonts w:ascii="Times New Roman" w:eastAsia="標楷體" w:hAnsi="Times New Roman" w:cs="Times New Roman" w:hint="eastAsia"/>
                <w:kern w:val="0"/>
                <w:szCs w:val="24"/>
              </w:rPr>
              <w:t>，</w:t>
            </w:r>
            <w:proofErr w:type="gramStart"/>
            <w:r w:rsidRPr="00880EDA">
              <w:rPr>
                <w:rFonts w:ascii="Times New Roman" w:eastAsia="標楷體" w:hAnsi="Times New Roman" w:cs="Times New Roman" w:hint="eastAsia"/>
                <w:kern w:val="0"/>
                <w:szCs w:val="24"/>
              </w:rPr>
              <w:t>爰</w:t>
            </w:r>
            <w:proofErr w:type="gramEnd"/>
            <w:r w:rsidRPr="00880EDA">
              <w:rPr>
                <w:rFonts w:ascii="Times New Roman" w:eastAsia="標楷體" w:hAnsi="Times New Roman" w:cs="Times New Roman" w:hint="eastAsia"/>
                <w:kern w:val="0"/>
                <w:szCs w:val="24"/>
              </w:rPr>
              <w:t>增訂本條第二項。</w:t>
            </w:r>
          </w:p>
        </w:tc>
      </w:tr>
      <w:tr w:rsidR="00F440E4" w:rsidRPr="00766108" w14:paraId="41AA9464" w14:textId="77777777" w:rsidTr="000763C3">
        <w:trPr>
          <w:trHeight w:val="535"/>
        </w:trPr>
        <w:tc>
          <w:tcPr>
            <w:tcW w:w="3355" w:type="dxa"/>
            <w:shd w:val="clear" w:color="auto" w:fill="auto"/>
          </w:tcPr>
          <w:p w14:paraId="5DF857E8" w14:textId="77777777" w:rsidR="00F440E4" w:rsidRPr="00043760" w:rsidRDefault="00F440E4" w:rsidP="00043760">
            <w:pPr>
              <w:pStyle w:val="a3"/>
              <w:snapToGrid w:val="0"/>
              <w:spacing w:line="300" w:lineRule="auto"/>
              <w:ind w:leftChars="0" w:hangingChars="200" w:hanging="480"/>
              <w:rPr>
                <w:rFonts w:ascii="Times New Roman" w:eastAsia="標楷體" w:hAnsi="Times New Roman" w:cs="Times New Roman"/>
                <w:szCs w:val="24"/>
              </w:rPr>
            </w:pPr>
            <w:r w:rsidRPr="002F14BC">
              <w:rPr>
                <w:rFonts w:ascii="Times New Roman" w:eastAsia="標楷體" w:hAnsi="Times New Roman" w:cs="Times New Roman" w:hint="eastAsia"/>
                <w:szCs w:val="24"/>
              </w:rPr>
              <w:t>第七條</w:t>
            </w:r>
          </w:p>
          <w:p w14:paraId="31EB20F1" w14:textId="71D7806A" w:rsidR="00B810D7" w:rsidRPr="00F731DE" w:rsidRDefault="00502E78" w:rsidP="001F0066">
            <w:pPr>
              <w:pStyle w:val="a3"/>
              <w:snapToGrid w:val="0"/>
              <w:spacing w:line="300" w:lineRule="auto"/>
              <w:ind w:leftChars="0" w:left="0" w:firstLineChars="224" w:firstLine="538"/>
              <w:jc w:val="both"/>
              <w:rPr>
                <w:rFonts w:ascii="Arial" w:eastAsia="標楷體" w:hAnsi="標楷體" w:cs="Arial"/>
              </w:rPr>
            </w:pPr>
            <w:r w:rsidRPr="00F731DE">
              <w:rPr>
                <w:rFonts w:ascii="Arial" w:eastAsia="標楷體" w:hAnsi="標楷體" w:cs="Arial" w:hint="eastAsia"/>
              </w:rPr>
              <w:t>金融機構申報每日交易資料</w:t>
            </w:r>
            <w:r w:rsidR="00377FC8" w:rsidRPr="00F731DE">
              <w:rPr>
                <w:rFonts w:ascii="Arial" w:eastAsia="標楷體" w:hAnsi="標楷體" w:cs="Arial" w:hint="eastAsia"/>
              </w:rPr>
              <w:t>，應</w:t>
            </w:r>
            <w:r w:rsidR="00377FC8" w:rsidRPr="00880EDA">
              <w:rPr>
                <w:rFonts w:ascii="Arial" w:eastAsia="標楷體" w:hAnsi="標楷體" w:cs="Arial" w:hint="eastAsia"/>
                <w:b/>
                <w:u w:val="single"/>
              </w:rPr>
              <w:t>依</w:t>
            </w:r>
            <w:r w:rsidR="00322A39" w:rsidRPr="00880EDA">
              <w:rPr>
                <w:rFonts w:ascii="Arial" w:eastAsia="標楷體" w:hAnsi="標楷體" w:cs="Arial" w:hint="eastAsia"/>
                <w:b/>
                <w:u w:val="single"/>
              </w:rPr>
              <w:t>本中心</w:t>
            </w:r>
            <w:r w:rsidR="000768E6" w:rsidRPr="00880EDA">
              <w:rPr>
                <w:rFonts w:ascii="Arial" w:eastAsia="標楷體" w:hAnsi="標楷體" w:cs="Arial" w:hint="eastAsia"/>
                <w:b/>
                <w:u w:val="single"/>
              </w:rPr>
              <w:t>規</w:t>
            </w:r>
            <w:r w:rsidR="004B5DED" w:rsidRPr="00880EDA">
              <w:rPr>
                <w:rFonts w:ascii="Arial" w:eastAsia="標楷體" w:hAnsi="標楷體" w:cs="Arial" w:hint="eastAsia"/>
                <w:b/>
                <w:u w:val="single"/>
              </w:rPr>
              <w:t>定</w:t>
            </w:r>
            <w:r w:rsidR="00322A39" w:rsidRPr="00880EDA">
              <w:rPr>
                <w:rFonts w:ascii="Arial" w:eastAsia="標楷體" w:hAnsi="標楷體" w:cs="Arial" w:hint="eastAsia"/>
                <w:b/>
                <w:u w:val="single"/>
              </w:rPr>
              <w:t>之</w:t>
            </w:r>
            <w:r w:rsidR="00377FC8" w:rsidRPr="00F731DE">
              <w:rPr>
                <w:rFonts w:ascii="Arial" w:eastAsia="標楷體" w:hAnsi="標楷體" w:cs="Arial" w:hint="eastAsia"/>
                <w:b/>
                <w:u w:val="single"/>
              </w:rPr>
              <w:t>時間</w:t>
            </w:r>
            <w:r w:rsidR="001F0066" w:rsidRPr="00F731DE">
              <w:rPr>
                <w:rFonts w:ascii="Arial" w:eastAsia="標楷體" w:hAnsi="標楷體" w:cs="Arial" w:hint="eastAsia"/>
                <w:b/>
                <w:u w:val="single"/>
              </w:rPr>
              <w:t>及</w:t>
            </w:r>
            <w:r w:rsidR="00377FC8" w:rsidRPr="00F731DE">
              <w:rPr>
                <w:rFonts w:ascii="Arial" w:eastAsia="標楷體" w:hAnsi="標楷體" w:cs="Arial" w:hint="eastAsia"/>
              </w:rPr>
              <w:t>格式輸入本系統</w:t>
            </w:r>
            <w:r w:rsidR="00B810D7" w:rsidRPr="00F731DE">
              <w:rPr>
                <w:rFonts w:ascii="Arial" w:eastAsia="標楷體" w:hAnsi="標楷體" w:cs="Arial" w:hint="eastAsia"/>
                <w:b/>
                <w:u w:val="single"/>
              </w:rPr>
              <w:t>，申報時間</w:t>
            </w:r>
            <w:r w:rsidR="00B810D7" w:rsidRPr="00806567">
              <w:rPr>
                <w:rFonts w:ascii="Arial" w:eastAsia="標楷體" w:hAnsi="標楷體" w:cs="Arial" w:hint="eastAsia"/>
                <w:b/>
                <w:u w:val="single"/>
              </w:rPr>
              <w:t>及格式</w:t>
            </w:r>
            <w:r w:rsidR="00B810D7" w:rsidRPr="00F731DE">
              <w:rPr>
                <w:rFonts w:ascii="Arial" w:eastAsia="標楷體" w:hAnsi="標楷體" w:cs="Arial" w:hint="eastAsia"/>
                <w:b/>
                <w:u w:val="single"/>
              </w:rPr>
              <w:t>由本中心另定之</w:t>
            </w:r>
            <w:r w:rsidR="00B810D7" w:rsidRPr="00F731DE">
              <w:rPr>
                <w:rFonts w:ascii="Arial" w:eastAsia="標楷體" w:hAnsi="標楷體" w:cs="Arial" w:hint="eastAsia"/>
              </w:rPr>
              <w:t>。</w:t>
            </w:r>
          </w:p>
          <w:p w14:paraId="0EF95BE3" w14:textId="77777777" w:rsidR="00320A82" w:rsidRDefault="00320A82"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2AF16A37" w14:textId="77777777" w:rsidR="00320A82" w:rsidRDefault="00320A82"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1770741E" w14:textId="77777777" w:rsidR="00320A82" w:rsidRDefault="00320A82"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7781895D" w14:textId="77777777" w:rsidR="00320A82" w:rsidRDefault="00320A82"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1DA329E0" w14:textId="43D32C5D" w:rsidR="00320A82" w:rsidRDefault="00320A82"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1759D67C" w14:textId="77777777" w:rsidR="0028096C" w:rsidRDefault="0028096C"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35D6D8D2" w14:textId="77777777" w:rsidR="00320A82" w:rsidRDefault="00320A82" w:rsidP="00B67F72">
            <w:pPr>
              <w:pStyle w:val="a3"/>
              <w:snapToGrid w:val="0"/>
              <w:spacing w:line="300" w:lineRule="auto"/>
              <w:ind w:leftChars="0" w:left="0" w:firstLineChars="224" w:firstLine="538"/>
              <w:jc w:val="both"/>
              <w:rPr>
                <w:rFonts w:ascii="Times New Roman" w:eastAsia="標楷體" w:hAnsi="Times New Roman" w:cs="Times New Roman"/>
                <w:szCs w:val="24"/>
              </w:rPr>
            </w:pPr>
          </w:p>
          <w:p w14:paraId="7838E2F0" w14:textId="707AE8E5" w:rsidR="00300A9A" w:rsidRPr="00B67F72" w:rsidRDefault="00B67F72" w:rsidP="00B67F72">
            <w:pPr>
              <w:pStyle w:val="a3"/>
              <w:snapToGrid w:val="0"/>
              <w:spacing w:line="300" w:lineRule="auto"/>
              <w:ind w:leftChars="0" w:left="0" w:firstLineChars="224" w:firstLine="538"/>
              <w:jc w:val="both"/>
              <w:rPr>
                <w:rFonts w:ascii="Times New Roman" w:eastAsia="標楷體" w:hAnsi="Times New Roman" w:cs="Times New Roman"/>
                <w:szCs w:val="24"/>
              </w:rPr>
            </w:pPr>
            <w:r w:rsidRPr="00B67F72">
              <w:rPr>
                <w:rFonts w:ascii="Times New Roman" w:eastAsia="標楷體" w:hAnsi="Times New Roman" w:cs="Times New Roman" w:hint="eastAsia"/>
                <w:szCs w:val="24"/>
              </w:rPr>
              <w:t>金融機構之國外分支機構，依其當地國法令規定，不得提供其交易對手相關交易</w:t>
            </w:r>
            <w:proofErr w:type="gramStart"/>
            <w:r w:rsidRPr="00B67F72">
              <w:rPr>
                <w:rFonts w:ascii="Times New Roman" w:eastAsia="標楷體" w:hAnsi="Times New Roman" w:cs="Times New Roman" w:hint="eastAsia"/>
                <w:szCs w:val="24"/>
              </w:rPr>
              <w:t>資料予本中心</w:t>
            </w:r>
            <w:proofErr w:type="gramEnd"/>
            <w:r w:rsidRPr="00B67F72">
              <w:rPr>
                <w:rFonts w:ascii="Times New Roman" w:eastAsia="標楷體" w:hAnsi="Times New Roman" w:cs="Times New Roman" w:hint="eastAsia"/>
                <w:szCs w:val="24"/>
              </w:rPr>
              <w:t>者，應檢具證明文件送本中心登錄後，免予申報該相關資料。</w:t>
            </w:r>
          </w:p>
          <w:p w14:paraId="7FF532C7" w14:textId="4442A783" w:rsidR="00B67F72" w:rsidRPr="00084FB1" w:rsidRDefault="00C11830" w:rsidP="00084FB1">
            <w:pPr>
              <w:pStyle w:val="a3"/>
              <w:snapToGrid w:val="0"/>
              <w:spacing w:line="300" w:lineRule="auto"/>
              <w:ind w:leftChars="0" w:left="0" w:firstLineChars="224" w:firstLine="538"/>
              <w:jc w:val="both"/>
              <w:rPr>
                <w:rFonts w:ascii="Times New Roman" w:eastAsia="標楷體" w:hAnsi="Times New Roman" w:cs="Times New Roman"/>
                <w:szCs w:val="24"/>
              </w:rPr>
            </w:pPr>
            <w:r w:rsidRPr="00C11830">
              <w:rPr>
                <w:rFonts w:ascii="Times New Roman" w:eastAsia="標楷體" w:hAnsi="Times New Roman" w:cs="Times New Roman" w:hint="eastAsia"/>
                <w:szCs w:val="24"/>
              </w:rPr>
              <w:t>金融機構申報每月交易資料，應於每月十</w:t>
            </w:r>
            <w:r w:rsidRPr="00C11830">
              <w:rPr>
                <w:rFonts w:ascii="Times New Roman" w:eastAsia="標楷體" w:hAnsi="Times New Roman" w:cs="Times New Roman" w:hint="eastAsia"/>
                <w:b/>
                <w:szCs w:val="24"/>
                <w:u w:val="single"/>
              </w:rPr>
              <w:t>五</w:t>
            </w:r>
            <w:r w:rsidRPr="00C11830">
              <w:rPr>
                <w:rFonts w:ascii="Times New Roman" w:eastAsia="標楷體" w:hAnsi="Times New Roman" w:cs="Times New Roman" w:hint="eastAsia"/>
                <w:szCs w:val="24"/>
              </w:rPr>
              <w:t>日前將上月份</w:t>
            </w:r>
            <w:r w:rsidRPr="00322A39">
              <w:rPr>
                <w:rFonts w:ascii="Times New Roman" w:eastAsia="標楷體" w:hAnsi="Times New Roman" w:cs="Times New Roman" w:hint="eastAsia"/>
                <w:szCs w:val="24"/>
              </w:rPr>
              <w:t>交易資料依本中心規定之格式輸入本系統</w:t>
            </w:r>
            <w:r w:rsidR="00084FB1" w:rsidRPr="00880EDA">
              <w:rPr>
                <w:rFonts w:ascii="Times New Roman" w:eastAsia="標楷體" w:hAnsi="Times New Roman" w:cs="Times New Roman" w:hint="eastAsia"/>
                <w:b/>
                <w:bCs/>
                <w:szCs w:val="24"/>
                <w:u w:val="single"/>
              </w:rPr>
              <w:t>，申報格式由本中心另定之</w:t>
            </w:r>
            <w:r w:rsidRPr="00084FB1">
              <w:rPr>
                <w:rFonts w:ascii="Times New Roman" w:eastAsia="標楷體" w:hAnsi="Times New Roman" w:cs="Times New Roman" w:hint="eastAsia"/>
                <w:szCs w:val="24"/>
              </w:rPr>
              <w:t>。</w:t>
            </w:r>
          </w:p>
          <w:p w14:paraId="09B71AD9" w14:textId="243CC9BC" w:rsidR="00F440E4" w:rsidRPr="00817B06" w:rsidRDefault="00C11830" w:rsidP="00817B06">
            <w:pPr>
              <w:pStyle w:val="a3"/>
              <w:snapToGrid w:val="0"/>
              <w:spacing w:line="300" w:lineRule="auto"/>
              <w:ind w:leftChars="0" w:left="0" w:firstLineChars="224" w:firstLine="538"/>
              <w:jc w:val="both"/>
              <w:rPr>
                <w:rFonts w:ascii="Arial" w:eastAsia="標楷體" w:hAnsi="標楷體" w:cs="Arial"/>
              </w:rPr>
            </w:pPr>
            <w:r>
              <w:rPr>
                <w:rFonts w:ascii="Arial" w:eastAsia="標楷體" w:hAnsi="標楷體" w:cs="Arial" w:hint="eastAsia"/>
              </w:rPr>
              <w:t>前</w:t>
            </w:r>
            <w:r w:rsidR="00817B06" w:rsidRPr="00817B06">
              <w:rPr>
                <w:rFonts w:ascii="Arial" w:eastAsia="標楷體" w:hAnsi="標楷體" w:cs="Arial" w:hint="eastAsia"/>
              </w:rPr>
              <w:t>項申報時間，本中心認為必要時，得變更之。</w:t>
            </w:r>
          </w:p>
        </w:tc>
        <w:tc>
          <w:tcPr>
            <w:tcW w:w="3355" w:type="dxa"/>
            <w:shd w:val="clear" w:color="auto" w:fill="auto"/>
          </w:tcPr>
          <w:p w14:paraId="480B88C9" w14:textId="77777777" w:rsidR="00F440E4" w:rsidRPr="00F440E4" w:rsidRDefault="00F440E4" w:rsidP="00F440E4">
            <w:pPr>
              <w:adjustRightInd w:val="0"/>
              <w:snapToGrid w:val="0"/>
              <w:spacing w:line="300" w:lineRule="auto"/>
              <w:ind w:rightChars="27" w:right="65"/>
              <w:jc w:val="both"/>
              <w:rPr>
                <w:rFonts w:ascii="Arial" w:eastAsia="標楷體" w:hAnsi="標楷體" w:cs="Arial"/>
              </w:rPr>
            </w:pPr>
            <w:r w:rsidRPr="00F440E4">
              <w:rPr>
                <w:rFonts w:ascii="Arial" w:eastAsia="標楷體" w:hAnsi="標楷體" w:cs="Arial" w:hint="eastAsia"/>
              </w:rPr>
              <w:lastRenderedPageBreak/>
              <w:t>第七條</w:t>
            </w:r>
          </w:p>
          <w:p w14:paraId="106FB667" w14:textId="7838DF8D" w:rsidR="00B810D7" w:rsidRDefault="00F440E4" w:rsidP="00BE7B72">
            <w:pPr>
              <w:pStyle w:val="a3"/>
              <w:snapToGrid w:val="0"/>
              <w:spacing w:line="300" w:lineRule="auto"/>
              <w:ind w:leftChars="0" w:left="0" w:firstLineChars="224" w:firstLine="538"/>
              <w:jc w:val="both"/>
              <w:rPr>
                <w:rFonts w:ascii="Arial" w:eastAsia="標楷體" w:hAnsi="標楷體" w:cs="Arial"/>
                <w:u w:val="single"/>
              </w:rPr>
            </w:pPr>
            <w:r w:rsidRPr="00C11830">
              <w:rPr>
                <w:rFonts w:ascii="Arial" w:eastAsia="標楷體" w:hAnsi="標楷體" w:cs="Arial" w:hint="eastAsia"/>
              </w:rPr>
              <w:t>金融機構申報每日交易資料，</w:t>
            </w:r>
            <w:r w:rsidRPr="00B7747B">
              <w:rPr>
                <w:rFonts w:ascii="Arial" w:eastAsia="標楷體" w:hAnsi="標楷體" w:cs="Arial" w:hint="eastAsia"/>
              </w:rPr>
              <w:t>應</w:t>
            </w:r>
            <w:r w:rsidRPr="00304879">
              <w:rPr>
                <w:rFonts w:ascii="Arial" w:eastAsia="標楷體" w:hAnsi="標楷體" w:cs="Arial" w:hint="eastAsia"/>
                <w:u w:val="single"/>
              </w:rPr>
              <w:t>於成交日之次一營業日下午五時前將交易資料依本中心規定之</w:t>
            </w:r>
            <w:r w:rsidRPr="00B7747B">
              <w:rPr>
                <w:rFonts w:ascii="Arial" w:eastAsia="標楷體" w:hAnsi="標楷體" w:cs="Arial" w:hint="eastAsia"/>
              </w:rPr>
              <w:t>格式輸入本系統。</w:t>
            </w:r>
            <w:r w:rsidRPr="00810C0D">
              <w:rPr>
                <w:rFonts w:ascii="Arial" w:eastAsia="標楷體" w:hAnsi="標楷體" w:cs="Arial" w:hint="eastAsia"/>
                <w:u w:val="single"/>
              </w:rPr>
              <w:t>但金融機構之國外分支機構，依其當地國法令規定，其交易資料於特定期日前，不得</w:t>
            </w:r>
            <w:proofErr w:type="gramStart"/>
            <w:r w:rsidRPr="00810C0D">
              <w:rPr>
                <w:rFonts w:ascii="Arial" w:eastAsia="標楷體" w:hAnsi="標楷體" w:cs="Arial" w:hint="eastAsia"/>
                <w:u w:val="single"/>
              </w:rPr>
              <w:t>提供予本中心</w:t>
            </w:r>
            <w:proofErr w:type="gramEnd"/>
            <w:r w:rsidRPr="00810C0D">
              <w:rPr>
                <w:rFonts w:ascii="Arial" w:eastAsia="標楷體" w:hAnsi="標楷體" w:cs="Arial" w:hint="eastAsia"/>
                <w:u w:val="single"/>
              </w:rPr>
              <w:t>者，應於該特定期</w:t>
            </w:r>
            <w:proofErr w:type="gramStart"/>
            <w:r w:rsidRPr="00810C0D">
              <w:rPr>
                <w:rFonts w:ascii="Arial" w:eastAsia="標楷體" w:hAnsi="標楷體" w:cs="Arial" w:hint="eastAsia"/>
                <w:u w:val="single"/>
              </w:rPr>
              <w:t>日屆至後</w:t>
            </w:r>
            <w:proofErr w:type="gramEnd"/>
            <w:r w:rsidRPr="00810C0D">
              <w:rPr>
                <w:rFonts w:ascii="Arial" w:eastAsia="標楷體" w:hAnsi="標楷體" w:cs="Arial" w:hint="eastAsia"/>
                <w:u w:val="single"/>
              </w:rPr>
              <w:t>之次一營業日下午五時前申報之。</w:t>
            </w:r>
          </w:p>
          <w:p w14:paraId="38E52566" w14:textId="49D89997" w:rsidR="0028096C" w:rsidRDefault="0028096C" w:rsidP="00BE7B72">
            <w:pPr>
              <w:pStyle w:val="a3"/>
              <w:snapToGrid w:val="0"/>
              <w:spacing w:line="300" w:lineRule="auto"/>
              <w:ind w:leftChars="0" w:left="0" w:firstLineChars="224" w:firstLine="538"/>
              <w:jc w:val="both"/>
              <w:rPr>
                <w:rFonts w:ascii="Arial" w:eastAsia="標楷體" w:hAnsi="標楷體" w:cs="Arial"/>
                <w:u w:val="single"/>
              </w:rPr>
            </w:pPr>
          </w:p>
          <w:p w14:paraId="1589000A" w14:textId="77777777" w:rsidR="0028096C" w:rsidRDefault="0028096C" w:rsidP="00BE7B72">
            <w:pPr>
              <w:pStyle w:val="a3"/>
              <w:snapToGrid w:val="0"/>
              <w:spacing w:line="300" w:lineRule="auto"/>
              <w:ind w:leftChars="0" w:left="0" w:firstLineChars="224" w:firstLine="538"/>
              <w:jc w:val="both"/>
              <w:rPr>
                <w:rFonts w:ascii="Arial" w:eastAsia="標楷體" w:hAnsi="標楷體" w:cs="Arial"/>
              </w:rPr>
            </w:pPr>
          </w:p>
          <w:p w14:paraId="4007D29D" w14:textId="6C861FB2" w:rsidR="00300A9A" w:rsidRPr="00B7747B" w:rsidRDefault="00F440E4" w:rsidP="00BE7B72">
            <w:pPr>
              <w:pStyle w:val="a3"/>
              <w:snapToGrid w:val="0"/>
              <w:spacing w:line="300" w:lineRule="auto"/>
              <w:ind w:leftChars="0" w:left="0" w:firstLineChars="224" w:firstLine="538"/>
              <w:jc w:val="both"/>
              <w:rPr>
                <w:rFonts w:ascii="Arial" w:eastAsia="標楷體" w:hAnsi="標楷體" w:cs="Arial"/>
              </w:rPr>
            </w:pPr>
            <w:r w:rsidRPr="00B7747B">
              <w:rPr>
                <w:rFonts w:ascii="Arial" w:eastAsia="標楷體" w:hAnsi="標楷體" w:cs="Arial" w:hint="eastAsia"/>
              </w:rPr>
              <w:t>金融機構之國外分支機構，依其當地國法令規定，不得提供其交易對手相關交易</w:t>
            </w:r>
            <w:proofErr w:type="gramStart"/>
            <w:r w:rsidRPr="00B7747B">
              <w:rPr>
                <w:rFonts w:ascii="Arial" w:eastAsia="標楷體" w:hAnsi="標楷體" w:cs="Arial" w:hint="eastAsia"/>
              </w:rPr>
              <w:t>資料予本中心</w:t>
            </w:r>
            <w:proofErr w:type="gramEnd"/>
            <w:r w:rsidRPr="00B7747B">
              <w:rPr>
                <w:rFonts w:ascii="Arial" w:eastAsia="標楷體" w:hAnsi="標楷體" w:cs="Arial" w:hint="eastAsia"/>
              </w:rPr>
              <w:t>者，應檢具證明文件送本中心登錄後，免予申報該相關資料。</w:t>
            </w:r>
          </w:p>
          <w:p w14:paraId="67212779" w14:textId="4C211DBD" w:rsidR="00F440E4" w:rsidRDefault="00F440E4" w:rsidP="00BE7B72">
            <w:pPr>
              <w:pStyle w:val="a3"/>
              <w:snapToGrid w:val="0"/>
              <w:spacing w:line="300" w:lineRule="auto"/>
              <w:ind w:leftChars="0" w:left="0" w:firstLineChars="224" w:firstLine="538"/>
              <w:jc w:val="both"/>
              <w:rPr>
                <w:rFonts w:ascii="Arial" w:eastAsia="標楷體" w:hAnsi="標楷體" w:cs="Arial"/>
              </w:rPr>
            </w:pPr>
            <w:r w:rsidRPr="00B7747B">
              <w:rPr>
                <w:rFonts w:ascii="Arial" w:eastAsia="標楷體" w:hAnsi="標楷體" w:cs="Arial" w:hint="eastAsia"/>
              </w:rPr>
              <w:t>金融機構</w:t>
            </w:r>
            <w:r w:rsidRPr="00C11830">
              <w:rPr>
                <w:rFonts w:ascii="Arial" w:eastAsia="標楷體" w:hAnsi="標楷體" w:cs="Arial" w:hint="eastAsia"/>
              </w:rPr>
              <w:t>申報每月交易資料，</w:t>
            </w:r>
            <w:r w:rsidRPr="00B7747B">
              <w:rPr>
                <w:rFonts w:ascii="Arial" w:eastAsia="標楷體" w:hAnsi="標楷體" w:cs="Arial" w:hint="eastAsia"/>
              </w:rPr>
              <w:t>應於每月</w:t>
            </w:r>
            <w:r w:rsidRPr="00BE710C">
              <w:rPr>
                <w:rFonts w:ascii="Arial" w:eastAsia="標楷體" w:hAnsi="標楷體" w:cs="Arial" w:hint="eastAsia"/>
                <w:u w:val="single"/>
              </w:rPr>
              <w:t>十</w:t>
            </w:r>
            <w:r w:rsidRPr="00B7747B">
              <w:rPr>
                <w:rFonts w:ascii="Arial" w:eastAsia="標楷體" w:hAnsi="標楷體" w:cs="Arial" w:hint="eastAsia"/>
              </w:rPr>
              <w:t>日前將上月份交易資料依本中心規定之格式輸入本系統。</w:t>
            </w:r>
          </w:p>
          <w:p w14:paraId="2D7EAAA3" w14:textId="77777777" w:rsidR="00084FB1" w:rsidRPr="00B7747B" w:rsidRDefault="00084FB1" w:rsidP="00BE7B72">
            <w:pPr>
              <w:pStyle w:val="a3"/>
              <w:snapToGrid w:val="0"/>
              <w:spacing w:line="300" w:lineRule="auto"/>
              <w:ind w:leftChars="0" w:left="0" w:firstLineChars="224" w:firstLine="538"/>
              <w:jc w:val="both"/>
              <w:rPr>
                <w:rFonts w:ascii="Arial" w:eastAsia="標楷體" w:hAnsi="標楷體" w:cs="Arial"/>
              </w:rPr>
            </w:pPr>
          </w:p>
          <w:p w14:paraId="508DB0D3" w14:textId="7DF42B10" w:rsidR="00F440E4" w:rsidRPr="00B7747B" w:rsidRDefault="00F440E4" w:rsidP="00BE7B72">
            <w:pPr>
              <w:pStyle w:val="a3"/>
              <w:snapToGrid w:val="0"/>
              <w:spacing w:line="300" w:lineRule="auto"/>
              <w:ind w:leftChars="0" w:left="0" w:firstLineChars="224" w:firstLine="538"/>
              <w:jc w:val="both"/>
              <w:rPr>
                <w:rFonts w:ascii="Arial" w:eastAsia="標楷體" w:hAnsi="標楷體" w:cs="Arial"/>
              </w:rPr>
            </w:pPr>
            <w:r w:rsidRPr="002D76F0">
              <w:rPr>
                <w:rFonts w:ascii="Arial" w:eastAsia="標楷體" w:hAnsi="標楷體" w:cs="Arial" w:hint="eastAsia"/>
                <w:u w:val="single"/>
              </w:rPr>
              <w:t>第一項及</w:t>
            </w:r>
            <w:r w:rsidRPr="00551D66">
              <w:rPr>
                <w:rFonts w:ascii="Arial" w:eastAsia="標楷體" w:hAnsi="標楷體" w:cs="Arial" w:hint="eastAsia"/>
              </w:rPr>
              <w:t>前</w:t>
            </w:r>
            <w:r w:rsidRPr="00B7747B">
              <w:rPr>
                <w:rFonts w:ascii="Arial" w:eastAsia="標楷體" w:hAnsi="標楷體" w:cs="Arial" w:hint="eastAsia"/>
              </w:rPr>
              <w:t>項申報時間，本中心認為必要時，得變更之。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5D86CEE" w14:textId="1EB935CF" w:rsidR="00C62840" w:rsidRPr="00880EDA" w:rsidRDefault="008758AA" w:rsidP="00E90DD3">
            <w:pPr>
              <w:pStyle w:val="a3"/>
              <w:numPr>
                <w:ilvl w:val="0"/>
                <w:numId w:val="26"/>
              </w:numPr>
              <w:adjustRightInd w:val="0"/>
              <w:spacing w:line="240" w:lineRule="auto"/>
              <w:ind w:leftChars="0" w:rightChars="-14" w:right="-34"/>
              <w:contextualSpacing/>
              <w:jc w:val="both"/>
              <w:rPr>
                <w:rFonts w:ascii="Times New Roman" w:eastAsia="標楷體" w:hAnsi="Times New Roman" w:cs="Times New Roman"/>
              </w:rPr>
            </w:pPr>
            <w:bookmarkStart w:id="0" w:name="_Hlk60230556"/>
            <w:r w:rsidRPr="00880EDA">
              <w:rPr>
                <w:rFonts w:ascii="Times New Roman" w:eastAsia="標楷體" w:hAnsi="Times New Roman" w:cs="Times New Roman" w:hint="eastAsia"/>
                <w:kern w:val="0"/>
                <w:szCs w:val="24"/>
              </w:rPr>
              <w:lastRenderedPageBreak/>
              <w:t>配合我國店頭衍生性商品集中結算機制之建立，有關金融機構申報每日交易資料之方式，將依金融機構是否透過本系統傳輸交易資料予結算機構區分成兩種：金融機構透過本系統傳輸交易資料予結算機構之交易資料申報時間及格式，本中心將配合臺灣期貨交易所股份有限公司店頭衍生性商品集中結算業務</w:t>
            </w:r>
            <w:proofErr w:type="gramStart"/>
            <w:r w:rsidRPr="00880EDA">
              <w:rPr>
                <w:rFonts w:ascii="Times New Roman" w:eastAsia="標楷體" w:hAnsi="Times New Roman" w:cs="Times New Roman" w:hint="eastAsia"/>
                <w:kern w:val="0"/>
                <w:szCs w:val="24"/>
              </w:rPr>
              <w:t>規</w:t>
            </w:r>
            <w:proofErr w:type="gramEnd"/>
            <w:r w:rsidRPr="00880EDA">
              <w:rPr>
                <w:rFonts w:ascii="Times New Roman" w:eastAsia="標楷體" w:hAnsi="Times New Roman" w:cs="Times New Roman" w:hint="eastAsia"/>
                <w:kern w:val="0"/>
                <w:szCs w:val="24"/>
              </w:rPr>
              <w:t>畫</w:t>
            </w:r>
            <w:r w:rsidRPr="00880EDA">
              <w:rPr>
                <w:rFonts w:ascii="Times New Roman" w:eastAsia="標楷體" w:hAnsi="Times New Roman" w:cs="Times New Roman" w:hint="eastAsia"/>
                <w:kern w:val="0"/>
                <w:szCs w:val="24"/>
              </w:rPr>
              <w:lastRenderedPageBreak/>
              <w:t>另行訂定，其他</w:t>
            </w:r>
            <w:proofErr w:type="gramStart"/>
            <w:r w:rsidRPr="00880EDA">
              <w:rPr>
                <w:rFonts w:ascii="Times New Roman" w:eastAsia="標楷體" w:hAnsi="Times New Roman" w:cs="Times New Roman" w:hint="eastAsia"/>
                <w:kern w:val="0"/>
                <w:szCs w:val="24"/>
              </w:rPr>
              <w:t>不</w:t>
            </w:r>
            <w:proofErr w:type="gramEnd"/>
            <w:r w:rsidRPr="00880EDA">
              <w:rPr>
                <w:rFonts w:ascii="Times New Roman" w:eastAsia="標楷體" w:hAnsi="Times New Roman" w:cs="Times New Roman" w:hint="eastAsia"/>
                <w:kern w:val="0"/>
                <w:szCs w:val="24"/>
              </w:rPr>
              <w:t>透過本系統傳輸或無須傳輸予結算機構之交易資料申報方式，則維持現行作業方式。為明定金融機構申報每日交易資料之</w:t>
            </w:r>
            <w:r w:rsidR="00084FB1" w:rsidRPr="00880EDA">
              <w:rPr>
                <w:rFonts w:ascii="Times New Roman" w:eastAsia="標楷體" w:hAnsi="Times New Roman" w:cs="Times New Roman" w:hint="eastAsia"/>
                <w:kern w:val="0"/>
                <w:szCs w:val="24"/>
              </w:rPr>
              <w:t>時間及格式</w:t>
            </w:r>
            <w:r w:rsidRPr="00880EDA">
              <w:rPr>
                <w:rFonts w:ascii="Times New Roman" w:eastAsia="標楷體" w:hAnsi="Times New Roman" w:cs="Times New Roman" w:hint="eastAsia"/>
                <w:kern w:val="0"/>
                <w:szCs w:val="24"/>
              </w:rPr>
              <w:t>由本中心另行訂定，</w:t>
            </w:r>
            <w:proofErr w:type="gramStart"/>
            <w:r w:rsidRPr="00880EDA">
              <w:rPr>
                <w:rFonts w:ascii="Times New Roman" w:eastAsia="標楷體" w:hAnsi="Times New Roman" w:cs="Times New Roman" w:hint="eastAsia"/>
                <w:kern w:val="0"/>
                <w:szCs w:val="24"/>
              </w:rPr>
              <w:t>爰</w:t>
            </w:r>
            <w:proofErr w:type="gramEnd"/>
            <w:r w:rsidRPr="00880EDA">
              <w:rPr>
                <w:rFonts w:ascii="Times New Roman" w:eastAsia="標楷體" w:hAnsi="Times New Roman" w:cs="Times New Roman" w:hint="eastAsia"/>
                <w:kern w:val="0"/>
                <w:szCs w:val="24"/>
              </w:rPr>
              <w:t>修正第一項及第四項，</w:t>
            </w:r>
            <w:r w:rsidR="00EB5ADF" w:rsidRPr="00880EDA">
              <w:rPr>
                <w:rFonts w:ascii="Times New Roman" w:eastAsia="標楷體" w:hAnsi="Times New Roman" w:cs="Times New Roman" w:hint="eastAsia"/>
                <w:kern w:val="0"/>
                <w:szCs w:val="24"/>
              </w:rPr>
              <w:t>復</w:t>
            </w:r>
            <w:r w:rsidR="00C06D6D" w:rsidRPr="00880EDA">
              <w:rPr>
                <w:rFonts w:ascii="Times New Roman" w:eastAsia="標楷體" w:hAnsi="Times New Roman" w:cs="Times New Roman" w:hint="eastAsia"/>
                <w:kern w:val="0"/>
                <w:szCs w:val="24"/>
              </w:rPr>
              <w:t>考量</w:t>
            </w:r>
            <w:r w:rsidR="00810C0D" w:rsidRPr="00880EDA">
              <w:rPr>
                <w:rFonts w:ascii="Times New Roman" w:eastAsia="標楷體" w:hAnsi="Times New Roman" w:cs="Times New Roman" w:hint="eastAsia"/>
                <w:kern w:val="0"/>
                <w:szCs w:val="24"/>
              </w:rPr>
              <w:t>現行條文第一項但書</w:t>
            </w:r>
            <w:r w:rsidR="00996EDE" w:rsidRPr="00880EDA">
              <w:rPr>
                <w:rFonts w:ascii="Times New Roman" w:eastAsia="標楷體" w:hAnsi="Times New Roman" w:cs="Times New Roman" w:hint="eastAsia"/>
                <w:kern w:val="0"/>
                <w:szCs w:val="24"/>
              </w:rPr>
              <w:t>內容</w:t>
            </w:r>
            <w:r w:rsidR="00C06D6D" w:rsidRPr="00880EDA">
              <w:rPr>
                <w:rFonts w:ascii="Times New Roman" w:eastAsia="標楷體" w:hAnsi="Times New Roman" w:cs="Times New Roman" w:hint="eastAsia"/>
                <w:kern w:val="0"/>
                <w:szCs w:val="24"/>
              </w:rPr>
              <w:t>亦屬申報時間相關規定，本中心</w:t>
            </w:r>
            <w:r w:rsidR="00EB5ADF" w:rsidRPr="00880EDA">
              <w:rPr>
                <w:rFonts w:ascii="Times New Roman" w:eastAsia="標楷體" w:hAnsi="Times New Roman" w:cs="Times New Roman" w:hint="eastAsia"/>
                <w:kern w:val="0"/>
                <w:szCs w:val="24"/>
              </w:rPr>
              <w:t>將</w:t>
            </w:r>
            <w:r w:rsidR="00996EDE" w:rsidRPr="00880EDA">
              <w:rPr>
                <w:rFonts w:ascii="Times New Roman" w:eastAsia="標楷體" w:hAnsi="Times New Roman" w:cs="Times New Roman" w:hint="eastAsia"/>
                <w:kern w:val="0"/>
                <w:szCs w:val="24"/>
              </w:rPr>
              <w:t>另行</w:t>
            </w:r>
            <w:r w:rsidR="00C06D6D" w:rsidRPr="00880EDA">
              <w:rPr>
                <w:rFonts w:ascii="Times New Roman" w:eastAsia="標楷體" w:hAnsi="Times New Roman" w:cs="Times New Roman" w:hint="eastAsia"/>
                <w:kern w:val="0"/>
                <w:szCs w:val="24"/>
              </w:rPr>
              <w:t>訂定</w:t>
            </w:r>
            <w:r w:rsidR="00943DF5" w:rsidRPr="00880EDA">
              <w:rPr>
                <w:rFonts w:ascii="Times New Roman" w:eastAsia="標楷體" w:hAnsi="Times New Roman" w:cs="Times New Roman" w:hint="eastAsia"/>
                <w:kern w:val="0"/>
                <w:szCs w:val="24"/>
              </w:rPr>
              <w:t>，</w:t>
            </w:r>
            <w:r w:rsidR="00EB5ADF" w:rsidRPr="00880EDA">
              <w:rPr>
                <w:rFonts w:ascii="Times New Roman" w:eastAsia="標楷體" w:hAnsi="Times New Roman" w:cs="Times New Roman" w:hint="eastAsia"/>
                <w:kern w:val="0"/>
                <w:szCs w:val="24"/>
              </w:rPr>
              <w:t>為</w:t>
            </w:r>
            <w:r w:rsidR="00943DF5" w:rsidRPr="00880EDA">
              <w:rPr>
                <w:rFonts w:ascii="Times New Roman" w:eastAsia="標楷體" w:hAnsi="Times New Roman" w:cs="Times New Roman" w:hint="eastAsia"/>
                <w:kern w:val="0"/>
                <w:szCs w:val="24"/>
              </w:rPr>
              <w:t>免重覆訂定</w:t>
            </w:r>
            <w:proofErr w:type="gramStart"/>
            <w:r w:rsidR="00943DF5" w:rsidRPr="00880EDA">
              <w:rPr>
                <w:rFonts w:ascii="Times New Roman" w:eastAsia="標楷體" w:hAnsi="Times New Roman" w:cs="Times New Roman" w:hint="eastAsia"/>
                <w:kern w:val="0"/>
                <w:szCs w:val="24"/>
              </w:rPr>
              <w:t>爰</w:t>
            </w:r>
            <w:proofErr w:type="gramEnd"/>
            <w:r w:rsidR="00943DF5" w:rsidRPr="00880EDA">
              <w:rPr>
                <w:rFonts w:ascii="Times New Roman" w:eastAsia="標楷體" w:hAnsi="Times New Roman" w:cs="Times New Roman" w:hint="eastAsia"/>
                <w:kern w:val="0"/>
                <w:szCs w:val="24"/>
              </w:rPr>
              <w:t>予刪除。</w:t>
            </w:r>
          </w:p>
          <w:bookmarkEnd w:id="0"/>
          <w:p w14:paraId="66C57F1E" w14:textId="416492D5" w:rsidR="00A81975" w:rsidRPr="00320A82" w:rsidRDefault="00E17325" w:rsidP="008758AA">
            <w:pPr>
              <w:pStyle w:val="a3"/>
              <w:numPr>
                <w:ilvl w:val="0"/>
                <w:numId w:val="26"/>
              </w:numPr>
              <w:adjustRightInd w:val="0"/>
              <w:spacing w:line="240" w:lineRule="auto"/>
              <w:ind w:leftChars="0" w:rightChars="-14" w:right="-34"/>
              <w:contextualSpacing/>
              <w:jc w:val="both"/>
              <w:rPr>
                <w:rFonts w:ascii="Times New Roman" w:eastAsia="標楷體" w:hAnsi="Times New Roman" w:cs="Times New Roman"/>
                <w:color w:val="000000"/>
              </w:rPr>
            </w:pPr>
            <w:r w:rsidRPr="00880EDA">
              <w:rPr>
                <w:rFonts w:ascii="Times New Roman" w:eastAsia="標楷體" w:hAnsi="Times New Roman" w:cs="Times New Roman" w:hint="eastAsia"/>
              </w:rPr>
              <w:t>配合金融機構申報實務需求，</w:t>
            </w:r>
            <w:r w:rsidR="003B12D5" w:rsidRPr="00880EDA">
              <w:rPr>
                <w:rFonts w:ascii="Times New Roman" w:eastAsia="標楷體" w:hAnsi="Times New Roman" w:cs="Times New Roman" w:hint="eastAsia"/>
              </w:rPr>
              <w:t>本中心</w:t>
            </w:r>
            <w:r w:rsidRPr="00880EDA">
              <w:rPr>
                <w:rFonts w:ascii="Times New Roman" w:eastAsia="標楷體" w:hAnsi="Times New Roman" w:cs="Times New Roman" w:hint="eastAsia"/>
              </w:rPr>
              <w:t>已於</w:t>
            </w:r>
            <w:r w:rsidR="003B12D5" w:rsidRPr="00880EDA">
              <w:rPr>
                <w:rFonts w:ascii="Times New Roman" w:eastAsia="標楷體" w:hAnsi="Times New Roman" w:cs="Times New Roman" w:hint="eastAsia"/>
              </w:rPr>
              <w:t>101</w:t>
            </w:r>
            <w:r w:rsidR="003B12D5" w:rsidRPr="00880EDA">
              <w:rPr>
                <w:rFonts w:ascii="Times New Roman" w:eastAsia="標楷體" w:hAnsi="Times New Roman" w:cs="Times New Roman" w:hint="eastAsia"/>
              </w:rPr>
              <w:t>年</w:t>
            </w:r>
            <w:r w:rsidR="003B12D5" w:rsidRPr="00880EDA">
              <w:rPr>
                <w:rFonts w:ascii="Times New Roman" w:eastAsia="標楷體" w:hAnsi="Times New Roman" w:cs="Times New Roman" w:hint="eastAsia"/>
              </w:rPr>
              <w:t>7</w:t>
            </w:r>
            <w:r w:rsidR="003B12D5" w:rsidRPr="00880EDA">
              <w:rPr>
                <w:rFonts w:ascii="Times New Roman" w:eastAsia="標楷體" w:hAnsi="Times New Roman" w:cs="Times New Roman" w:hint="eastAsia"/>
              </w:rPr>
              <w:t>月</w:t>
            </w:r>
            <w:r w:rsidR="003B12D5" w:rsidRPr="00880EDA">
              <w:rPr>
                <w:rFonts w:ascii="Times New Roman" w:eastAsia="標楷體" w:hAnsi="Times New Roman" w:cs="Times New Roman" w:hint="eastAsia"/>
              </w:rPr>
              <w:t>3</w:t>
            </w:r>
            <w:r w:rsidR="003B12D5" w:rsidRPr="00880EDA">
              <w:rPr>
                <w:rFonts w:ascii="Times New Roman" w:eastAsia="標楷體" w:hAnsi="Times New Roman" w:cs="Times New Roman" w:hint="eastAsia"/>
              </w:rPr>
              <w:t>日</w:t>
            </w:r>
            <w:r w:rsidRPr="00880EDA">
              <w:rPr>
                <w:rFonts w:ascii="Times New Roman" w:eastAsia="標楷體" w:hAnsi="Times New Roman" w:cs="Times New Roman" w:hint="eastAsia"/>
              </w:rPr>
              <w:t>公告調整</w:t>
            </w:r>
            <w:r w:rsidR="003B12D5" w:rsidRPr="00880EDA">
              <w:rPr>
                <w:rFonts w:ascii="Times New Roman" w:eastAsia="標楷體" w:hAnsi="Times New Roman" w:cs="Times New Roman" w:hint="eastAsia"/>
              </w:rPr>
              <w:t>本系統每月交易資料申報作業時間，由每月十日前調整為每月十五日前</w:t>
            </w:r>
            <w:r w:rsidR="00B0380E" w:rsidRPr="00880EDA">
              <w:rPr>
                <w:rFonts w:ascii="Times New Roman" w:eastAsia="標楷體" w:hAnsi="Times New Roman" w:cs="Times New Roman" w:hint="eastAsia"/>
              </w:rPr>
              <w:t>；</w:t>
            </w:r>
            <w:r w:rsidR="00084FB1" w:rsidRPr="00880EDA">
              <w:rPr>
                <w:rFonts w:ascii="Times New Roman" w:eastAsia="標楷體" w:hAnsi="Times New Roman" w:cs="Times New Roman" w:hint="eastAsia"/>
              </w:rPr>
              <w:t>另</w:t>
            </w:r>
            <w:r w:rsidR="00B0380E" w:rsidRPr="00880EDA">
              <w:rPr>
                <w:rFonts w:ascii="Times New Roman" w:eastAsia="標楷體" w:hAnsi="Times New Roman" w:cs="Times New Roman" w:hint="eastAsia"/>
              </w:rPr>
              <w:t>有關現行金融機構申報每月交易資料之格式係由本中心另行訂定，</w:t>
            </w:r>
            <w:proofErr w:type="gramStart"/>
            <w:r w:rsidR="003B12D5" w:rsidRPr="00880EDA">
              <w:rPr>
                <w:rFonts w:ascii="Times New Roman" w:eastAsia="標楷體" w:hAnsi="Times New Roman" w:cs="Times New Roman" w:hint="eastAsia"/>
              </w:rPr>
              <w:t>爰</w:t>
            </w:r>
            <w:proofErr w:type="gramEnd"/>
            <w:r w:rsidR="003B12D5" w:rsidRPr="00880EDA">
              <w:rPr>
                <w:rFonts w:ascii="Times New Roman" w:eastAsia="標楷體" w:hAnsi="Times New Roman" w:cs="Times New Roman" w:hint="eastAsia"/>
              </w:rPr>
              <w:t>修正第</w:t>
            </w:r>
            <w:r w:rsidR="00320A82" w:rsidRPr="00880EDA">
              <w:rPr>
                <w:rFonts w:ascii="Times New Roman" w:eastAsia="標楷體" w:hAnsi="Times New Roman" w:cs="Times New Roman" w:hint="eastAsia"/>
              </w:rPr>
              <w:t>三</w:t>
            </w:r>
            <w:r w:rsidR="003B12D5" w:rsidRPr="00880EDA">
              <w:rPr>
                <w:rFonts w:ascii="Times New Roman" w:eastAsia="標楷體" w:hAnsi="Times New Roman" w:cs="Times New Roman" w:hint="eastAsia"/>
              </w:rPr>
              <w:t>項</w:t>
            </w:r>
            <w:r w:rsidR="009F725C" w:rsidRPr="00880EDA">
              <w:rPr>
                <w:rFonts w:ascii="Times New Roman" w:eastAsia="標楷體" w:hAnsi="Times New Roman" w:cs="Times New Roman" w:hint="eastAsia"/>
              </w:rPr>
              <w:t>。</w:t>
            </w:r>
          </w:p>
        </w:tc>
      </w:tr>
      <w:tr w:rsidR="00F440E4" w:rsidRPr="00766108" w14:paraId="6F2F3FDE" w14:textId="77777777" w:rsidTr="0028096C">
        <w:trPr>
          <w:trHeight w:val="535"/>
        </w:trPr>
        <w:tc>
          <w:tcPr>
            <w:tcW w:w="3355" w:type="dxa"/>
            <w:shd w:val="clear" w:color="auto" w:fill="auto"/>
          </w:tcPr>
          <w:p w14:paraId="68CCC2EB" w14:textId="77777777" w:rsidR="00F440E4" w:rsidRPr="00CC4F3E" w:rsidRDefault="00F440E4" w:rsidP="00F440E4">
            <w:pPr>
              <w:adjustRightInd w:val="0"/>
              <w:snapToGrid w:val="0"/>
              <w:spacing w:line="300" w:lineRule="auto"/>
              <w:ind w:rightChars="27" w:right="65"/>
              <w:jc w:val="both"/>
              <w:rPr>
                <w:rFonts w:ascii="Arial" w:eastAsia="標楷體" w:hAnsi="標楷體" w:cs="Arial"/>
              </w:rPr>
            </w:pPr>
            <w:bookmarkStart w:id="1" w:name="_Hlk5631670"/>
            <w:r w:rsidRPr="00CC4F3E">
              <w:rPr>
                <w:rFonts w:ascii="Arial" w:eastAsia="標楷體" w:hAnsi="標楷體" w:cs="Arial"/>
              </w:rPr>
              <w:lastRenderedPageBreak/>
              <w:t>第</w:t>
            </w:r>
            <w:r w:rsidRPr="00CC4F3E">
              <w:rPr>
                <w:rFonts w:ascii="Arial" w:eastAsia="標楷體" w:hAnsi="標楷體" w:cs="Arial" w:hint="eastAsia"/>
              </w:rPr>
              <w:t>十二</w:t>
            </w:r>
            <w:r w:rsidRPr="00CC4F3E">
              <w:rPr>
                <w:rFonts w:ascii="Arial" w:eastAsia="標楷體" w:hAnsi="標楷體" w:cs="Arial"/>
              </w:rPr>
              <w:t>條</w:t>
            </w:r>
            <w:bookmarkEnd w:id="1"/>
          </w:p>
          <w:p w14:paraId="125EB15A" w14:textId="11344498" w:rsidR="00F440E4" w:rsidRPr="00F440E4" w:rsidRDefault="00F440E4" w:rsidP="00BE7B72">
            <w:pPr>
              <w:pStyle w:val="a3"/>
              <w:snapToGrid w:val="0"/>
              <w:spacing w:line="300" w:lineRule="auto"/>
              <w:ind w:leftChars="0" w:left="0" w:firstLineChars="224" w:firstLine="538"/>
              <w:jc w:val="both"/>
              <w:rPr>
                <w:rFonts w:ascii="Arial" w:eastAsia="標楷體" w:hAnsi="標楷體" w:cs="Arial"/>
              </w:rPr>
            </w:pPr>
            <w:r w:rsidRPr="00CC4F3E">
              <w:rPr>
                <w:rFonts w:ascii="Arial" w:eastAsia="標楷體" w:hAnsi="標楷體" w:cs="Arial" w:hint="eastAsia"/>
              </w:rPr>
              <w:t>本中心得於</w:t>
            </w:r>
            <w:r w:rsidRPr="00F440E4">
              <w:rPr>
                <w:rFonts w:ascii="Arial" w:eastAsia="標楷體" w:hAnsi="標楷體" w:cs="Arial" w:hint="eastAsia"/>
              </w:rPr>
              <w:t>本系統提供成交確認</w:t>
            </w:r>
            <w:r w:rsidR="00845765" w:rsidRPr="00845765">
              <w:rPr>
                <w:rFonts w:ascii="Arial" w:eastAsia="標楷體" w:hAnsi="標楷體" w:cs="Arial" w:hint="eastAsia"/>
                <w:b/>
                <w:u w:val="single"/>
              </w:rPr>
              <w:t>、</w:t>
            </w:r>
            <w:r w:rsidR="00845765">
              <w:rPr>
                <w:rFonts w:ascii="Arial" w:eastAsia="標楷體" w:hAnsi="標楷體" w:cs="Arial" w:hint="eastAsia"/>
                <w:b/>
                <w:u w:val="single"/>
              </w:rPr>
              <w:t>交易</w:t>
            </w:r>
            <w:r w:rsidR="00845765" w:rsidRPr="00845765">
              <w:rPr>
                <w:rFonts w:ascii="Arial" w:eastAsia="標楷體" w:hAnsi="標楷體" w:cs="Arial" w:hint="eastAsia"/>
                <w:b/>
                <w:u w:val="single"/>
              </w:rPr>
              <w:t>資料傳輸</w:t>
            </w:r>
            <w:r w:rsidR="00711E35" w:rsidRPr="008729B7">
              <w:rPr>
                <w:rFonts w:ascii="Arial" w:eastAsia="標楷體" w:hAnsi="標楷體" w:cs="Arial" w:hint="eastAsia"/>
                <w:b/>
                <w:u w:val="single"/>
              </w:rPr>
              <w:t>結算機構</w:t>
            </w:r>
            <w:r w:rsidRPr="00F440E4">
              <w:rPr>
                <w:rFonts w:ascii="Arial" w:eastAsia="標楷體" w:hAnsi="標楷體" w:cs="Arial" w:hint="eastAsia"/>
              </w:rPr>
              <w:t>及交易提前解約</w:t>
            </w:r>
            <w:r w:rsidR="002D76F0" w:rsidRPr="002D76F0">
              <w:rPr>
                <w:rFonts w:ascii="Arial" w:eastAsia="標楷體" w:hAnsi="標楷體" w:cs="Arial" w:hint="eastAsia"/>
                <w:b/>
                <w:bCs/>
                <w:u w:val="single"/>
              </w:rPr>
              <w:t>之</w:t>
            </w:r>
            <w:r w:rsidRPr="00F440E4">
              <w:rPr>
                <w:rFonts w:ascii="Arial" w:eastAsia="標楷體" w:hAnsi="標楷體" w:cs="Arial" w:hint="eastAsia"/>
              </w:rPr>
              <w:t>機制，金融機構得選擇參加之。</w:t>
            </w:r>
          </w:p>
          <w:p w14:paraId="55C68676" w14:textId="621ADF6B" w:rsidR="00F440E4" w:rsidRPr="00F440E4" w:rsidRDefault="00F440E4" w:rsidP="00BE7B72">
            <w:pPr>
              <w:pStyle w:val="a3"/>
              <w:snapToGrid w:val="0"/>
              <w:spacing w:line="300" w:lineRule="auto"/>
              <w:ind w:leftChars="0" w:left="0" w:firstLineChars="224" w:firstLine="538"/>
              <w:jc w:val="both"/>
              <w:rPr>
                <w:rFonts w:ascii="Arial" w:eastAsia="標楷體" w:hAnsi="標楷體" w:cs="Arial"/>
              </w:rPr>
            </w:pPr>
            <w:r w:rsidRPr="00F440E4">
              <w:rPr>
                <w:rFonts w:ascii="Arial" w:eastAsia="標楷體" w:hAnsi="標楷體" w:cs="Arial" w:hint="eastAsia"/>
              </w:rPr>
              <w:t>金融機構使用前項機制時，交易雙方應依本中心成交確認</w:t>
            </w:r>
            <w:r w:rsidR="00845765" w:rsidRPr="00845765">
              <w:rPr>
                <w:rFonts w:ascii="Arial" w:eastAsia="標楷體" w:hAnsi="標楷體" w:cs="Arial" w:hint="eastAsia"/>
                <w:b/>
                <w:u w:val="single"/>
              </w:rPr>
              <w:t>、</w:t>
            </w:r>
            <w:r w:rsidR="00845765">
              <w:rPr>
                <w:rFonts w:ascii="Arial" w:eastAsia="標楷體" w:hAnsi="標楷體" w:cs="Arial" w:hint="eastAsia"/>
                <w:b/>
                <w:u w:val="single"/>
              </w:rPr>
              <w:t>交易</w:t>
            </w:r>
            <w:r w:rsidR="00845765" w:rsidRPr="00845765">
              <w:rPr>
                <w:rFonts w:ascii="Arial" w:eastAsia="標楷體" w:hAnsi="標楷體" w:cs="Arial" w:hint="eastAsia"/>
                <w:b/>
                <w:u w:val="single"/>
              </w:rPr>
              <w:t>資料傳輸</w:t>
            </w:r>
            <w:r w:rsidR="00711E35" w:rsidRPr="008729B7">
              <w:rPr>
                <w:rFonts w:ascii="Arial" w:eastAsia="標楷體" w:hAnsi="標楷體" w:cs="Arial" w:hint="eastAsia"/>
                <w:b/>
                <w:u w:val="single"/>
              </w:rPr>
              <w:t>結算機構</w:t>
            </w:r>
            <w:r w:rsidRPr="00F440E4">
              <w:rPr>
                <w:rFonts w:ascii="Arial" w:eastAsia="標楷體" w:hAnsi="標楷體" w:cs="Arial" w:hint="eastAsia"/>
              </w:rPr>
              <w:t>及交易提前解約</w:t>
            </w:r>
            <w:r w:rsidRPr="00B7747B">
              <w:rPr>
                <w:rFonts w:ascii="Arial" w:eastAsia="標楷體" w:hAnsi="標楷體" w:cs="Arial" w:hint="eastAsia"/>
              </w:rPr>
              <w:t>規定</w:t>
            </w:r>
            <w:r w:rsidRPr="00F440E4">
              <w:rPr>
                <w:rFonts w:ascii="Arial" w:eastAsia="標楷體" w:hAnsi="標楷體" w:cs="Arial" w:hint="eastAsia"/>
              </w:rPr>
              <w:t>辦理之。</w:t>
            </w:r>
          </w:p>
          <w:p w14:paraId="1B7C88E5" w14:textId="5DF31DE2" w:rsidR="008F7690" w:rsidRPr="002D76F0" w:rsidRDefault="00066D8C" w:rsidP="002D76F0">
            <w:pPr>
              <w:pStyle w:val="a3"/>
              <w:snapToGrid w:val="0"/>
              <w:spacing w:line="300" w:lineRule="auto"/>
              <w:ind w:leftChars="0" w:left="0" w:firstLineChars="224" w:firstLine="538"/>
              <w:jc w:val="both"/>
              <w:rPr>
                <w:rFonts w:ascii="Times New Roman" w:eastAsia="標楷體" w:hAnsi="Times New Roman" w:cs="Times New Roman"/>
                <w:b/>
                <w:bCs/>
                <w:szCs w:val="24"/>
                <w:u w:val="single"/>
              </w:rPr>
            </w:pPr>
            <w:r w:rsidRPr="0028096C">
              <w:rPr>
                <w:rFonts w:ascii="Arial" w:eastAsia="標楷體" w:hAnsi="標楷體" w:cs="Arial" w:hint="eastAsia"/>
                <w:b/>
                <w:bCs/>
                <w:u w:val="single"/>
              </w:rPr>
              <w:t>關於</w:t>
            </w:r>
            <w:r w:rsidR="00F440E4" w:rsidRPr="00F440E4">
              <w:rPr>
                <w:rFonts w:ascii="Arial" w:eastAsia="標楷體" w:hAnsi="標楷體" w:cs="Arial" w:hint="eastAsia"/>
              </w:rPr>
              <w:t>成交確認</w:t>
            </w:r>
            <w:r w:rsidR="00845765" w:rsidRPr="00845765">
              <w:rPr>
                <w:rFonts w:ascii="Arial" w:eastAsia="標楷體" w:hAnsi="標楷體" w:cs="Arial" w:hint="eastAsia"/>
                <w:b/>
                <w:u w:val="single"/>
              </w:rPr>
              <w:t>、</w:t>
            </w:r>
            <w:r w:rsidR="00845765">
              <w:rPr>
                <w:rFonts w:ascii="Arial" w:eastAsia="標楷體" w:hAnsi="標楷體" w:cs="Arial" w:hint="eastAsia"/>
                <w:b/>
                <w:u w:val="single"/>
              </w:rPr>
              <w:t>交易</w:t>
            </w:r>
            <w:r w:rsidR="00845765" w:rsidRPr="00845765">
              <w:rPr>
                <w:rFonts w:ascii="Arial" w:eastAsia="標楷體" w:hAnsi="標楷體" w:cs="Arial" w:hint="eastAsia"/>
                <w:b/>
                <w:u w:val="single"/>
              </w:rPr>
              <w:t>資料傳輸</w:t>
            </w:r>
            <w:r w:rsidR="00711E35" w:rsidRPr="008729B7">
              <w:rPr>
                <w:rFonts w:ascii="Arial" w:eastAsia="標楷體" w:hAnsi="標楷體" w:cs="Arial" w:hint="eastAsia"/>
                <w:b/>
                <w:u w:val="single"/>
              </w:rPr>
              <w:t>結算機構</w:t>
            </w:r>
            <w:r w:rsidR="004447EB" w:rsidRPr="004447EB">
              <w:rPr>
                <w:rFonts w:ascii="Arial" w:eastAsia="標楷體" w:hAnsi="標楷體" w:cs="Arial" w:hint="eastAsia"/>
              </w:rPr>
              <w:t>及</w:t>
            </w:r>
            <w:r w:rsidR="00F440E4" w:rsidRPr="00F440E4">
              <w:rPr>
                <w:rFonts w:ascii="Arial" w:eastAsia="標楷體" w:hAnsi="標楷體" w:cs="Arial" w:hint="eastAsia"/>
              </w:rPr>
              <w:t>交易提前解約</w:t>
            </w:r>
            <w:r w:rsidR="00F440E4" w:rsidRPr="00B7747B">
              <w:rPr>
                <w:rFonts w:ascii="Arial" w:eastAsia="標楷體" w:hAnsi="標楷體" w:cs="Arial" w:hint="eastAsia"/>
              </w:rPr>
              <w:t>規定</w:t>
            </w:r>
            <w:r w:rsidR="00F440E4" w:rsidRPr="00F440E4">
              <w:rPr>
                <w:rFonts w:ascii="Arial" w:eastAsia="標楷體" w:hAnsi="標楷體" w:cs="Arial" w:hint="eastAsia"/>
              </w:rPr>
              <w:t>及相關收費基準由本中心另定之。</w:t>
            </w:r>
          </w:p>
        </w:tc>
        <w:tc>
          <w:tcPr>
            <w:tcW w:w="3355" w:type="dxa"/>
            <w:shd w:val="clear" w:color="auto" w:fill="auto"/>
          </w:tcPr>
          <w:p w14:paraId="02B22ADA" w14:textId="77777777" w:rsidR="00F440E4" w:rsidRPr="00F440E4" w:rsidRDefault="00F440E4" w:rsidP="00F440E4">
            <w:pPr>
              <w:adjustRightInd w:val="0"/>
              <w:snapToGrid w:val="0"/>
              <w:spacing w:line="300" w:lineRule="auto"/>
              <w:ind w:rightChars="27" w:right="65"/>
              <w:jc w:val="both"/>
              <w:rPr>
                <w:rFonts w:ascii="Arial" w:eastAsia="標楷體" w:hAnsi="標楷體" w:cs="Arial"/>
              </w:rPr>
            </w:pPr>
            <w:r w:rsidRPr="00F440E4">
              <w:rPr>
                <w:rFonts w:ascii="Arial" w:eastAsia="標楷體" w:hAnsi="標楷體" w:cs="Arial"/>
              </w:rPr>
              <w:t>第</w:t>
            </w:r>
            <w:r w:rsidRPr="00F440E4">
              <w:rPr>
                <w:rFonts w:ascii="Arial" w:eastAsia="標楷體" w:hAnsi="標楷體" w:cs="Arial" w:hint="eastAsia"/>
              </w:rPr>
              <w:t>十二</w:t>
            </w:r>
            <w:r w:rsidRPr="00F440E4">
              <w:rPr>
                <w:rFonts w:ascii="Arial" w:eastAsia="標楷體" w:hAnsi="標楷體" w:cs="Arial"/>
              </w:rPr>
              <w:t>條</w:t>
            </w:r>
          </w:p>
          <w:p w14:paraId="0822A2C6" w14:textId="77777777" w:rsidR="00F440E4" w:rsidRPr="00F440E4" w:rsidRDefault="00F440E4" w:rsidP="00BE7B72">
            <w:pPr>
              <w:pStyle w:val="a3"/>
              <w:snapToGrid w:val="0"/>
              <w:spacing w:line="300" w:lineRule="auto"/>
              <w:ind w:leftChars="0" w:left="0" w:firstLineChars="224" w:firstLine="538"/>
              <w:jc w:val="both"/>
              <w:rPr>
                <w:rFonts w:ascii="Arial" w:eastAsia="標楷體" w:hAnsi="標楷體" w:cs="Arial"/>
              </w:rPr>
            </w:pPr>
            <w:r w:rsidRPr="00F440E4">
              <w:rPr>
                <w:rFonts w:ascii="Arial" w:eastAsia="標楷體" w:hAnsi="標楷體" w:cs="Arial" w:hint="eastAsia"/>
              </w:rPr>
              <w:t>本中心得於本系統提供成交確認及交易提前解約機制，金融機構得選擇參加之。</w:t>
            </w:r>
          </w:p>
          <w:p w14:paraId="75373A62" w14:textId="77777777" w:rsidR="00CF57B1" w:rsidRDefault="00CF57B1" w:rsidP="00BE7B72">
            <w:pPr>
              <w:pStyle w:val="a3"/>
              <w:snapToGrid w:val="0"/>
              <w:spacing w:line="300" w:lineRule="auto"/>
              <w:ind w:leftChars="0" w:left="0" w:firstLineChars="224" w:firstLine="538"/>
              <w:jc w:val="both"/>
              <w:rPr>
                <w:rFonts w:ascii="Arial" w:eastAsia="標楷體" w:hAnsi="標楷體" w:cs="Arial"/>
              </w:rPr>
            </w:pPr>
          </w:p>
          <w:p w14:paraId="33CB348A" w14:textId="317BCB69" w:rsidR="00F440E4" w:rsidRPr="00F440E4" w:rsidRDefault="00F440E4" w:rsidP="00BE7B72">
            <w:pPr>
              <w:pStyle w:val="a3"/>
              <w:snapToGrid w:val="0"/>
              <w:spacing w:line="300" w:lineRule="auto"/>
              <w:ind w:leftChars="0" w:left="0" w:firstLineChars="224" w:firstLine="538"/>
              <w:jc w:val="both"/>
              <w:rPr>
                <w:rFonts w:ascii="Arial" w:eastAsia="標楷體" w:hAnsi="標楷體" w:cs="Arial"/>
              </w:rPr>
            </w:pPr>
            <w:r w:rsidRPr="00F440E4">
              <w:rPr>
                <w:rFonts w:ascii="Arial" w:eastAsia="標楷體" w:hAnsi="標楷體" w:cs="Arial" w:hint="eastAsia"/>
              </w:rPr>
              <w:t>金融機構使用前項機制時，交易雙方應依本中心成交確認及交易提前解約</w:t>
            </w:r>
            <w:r w:rsidRPr="00B7747B">
              <w:rPr>
                <w:rFonts w:ascii="Arial" w:eastAsia="標楷體" w:hAnsi="標楷體" w:cs="Arial" w:hint="eastAsia"/>
              </w:rPr>
              <w:t>規定</w:t>
            </w:r>
            <w:r w:rsidRPr="00F440E4">
              <w:rPr>
                <w:rFonts w:ascii="Arial" w:eastAsia="標楷體" w:hAnsi="標楷體" w:cs="Arial" w:hint="eastAsia"/>
              </w:rPr>
              <w:t>辦理之。</w:t>
            </w:r>
          </w:p>
          <w:p w14:paraId="20637BA0" w14:textId="77777777" w:rsidR="00CF57B1" w:rsidRDefault="00CF57B1" w:rsidP="00BE7B72">
            <w:pPr>
              <w:pStyle w:val="a3"/>
              <w:snapToGrid w:val="0"/>
              <w:spacing w:line="300" w:lineRule="auto"/>
              <w:ind w:leftChars="0" w:left="0" w:firstLineChars="224" w:firstLine="538"/>
              <w:jc w:val="both"/>
              <w:rPr>
                <w:rFonts w:ascii="Arial" w:eastAsia="標楷體" w:hAnsi="標楷體" w:cs="Arial"/>
              </w:rPr>
            </w:pPr>
          </w:p>
          <w:p w14:paraId="139C6F98" w14:textId="62C7A721" w:rsidR="00F440E4" w:rsidRPr="00B7747B" w:rsidRDefault="00F440E4" w:rsidP="00BE7B72">
            <w:pPr>
              <w:pStyle w:val="a3"/>
              <w:snapToGrid w:val="0"/>
              <w:spacing w:line="300" w:lineRule="auto"/>
              <w:ind w:leftChars="0" w:left="0" w:firstLineChars="224" w:firstLine="538"/>
              <w:jc w:val="both"/>
              <w:rPr>
                <w:rFonts w:ascii="Arial" w:eastAsia="標楷體" w:hAnsi="標楷體" w:cs="Arial"/>
              </w:rPr>
            </w:pPr>
            <w:r w:rsidRPr="0028096C">
              <w:rPr>
                <w:rFonts w:ascii="Arial" w:eastAsia="標楷體" w:hAnsi="標楷體" w:cs="Arial" w:hint="eastAsia"/>
                <w:u w:val="single"/>
              </w:rPr>
              <w:t>前項</w:t>
            </w:r>
            <w:r w:rsidRPr="00F440E4">
              <w:rPr>
                <w:rFonts w:ascii="Arial" w:eastAsia="標楷體" w:hAnsi="標楷體" w:cs="Arial" w:hint="eastAsia"/>
              </w:rPr>
              <w:t>成交確認、交易提前解約</w:t>
            </w:r>
            <w:r w:rsidRPr="00B7747B">
              <w:rPr>
                <w:rFonts w:ascii="Arial" w:eastAsia="標楷體" w:hAnsi="標楷體" w:cs="Arial" w:hint="eastAsia"/>
              </w:rPr>
              <w:t>規定</w:t>
            </w:r>
            <w:r w:rsidRPr="00F440E4">
              <w:rPr>
                <w:rFonts w:ascii="Arial" w:eastAsia="標楷體" w:hAnsi="標楷體" w:cs="Arial" w:hint="eastAsia"/>
              </w:rPr>
              <w:t>及相關收費基準由本中心另定之。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A917237" w14:textId="646CA915" w:rsidR="00F440E4" w:rsidRDefault="005A0B86" w:rsidP="00930079">
            <w:pPr>
              <w:pStyle w:val="a3"/>
              <w:numPr>
                <w:ilvl w:val="0"/>
                <w:numId w:val="24"/>
              </w:numPr>
              <w:adjustRightInd w:val="0"/>
              <w:spacing w:line="240" w:lineRule="auto"/>
              <w:ind w:leftChars="0" w:rightChars="-14" w:right="-34"/>
              <w:contextualSpacing/>
              <w:jc w:val="both"/>
              <w:rPr>
                <w:rFonts w:ascii="Times New Roman" w:eastAsia="標楷體" w:hAnsi="Times New Roman" w:cs="Times New Roman"/>
                <w:kern w:val="0"/>
                <w:szCs w:val="24"/>
              </w:rPr>
            </w:pPr>
            <w:r w:rsidRPr="005A0B86">
              <w:rPr>
                <w:rFonts w:ascii="Times New Roman" w:eastAsia="標楷體" w:hAnsi="Times New Roman" w:cs="Times New Roman" w:hint="eastAsia"/>
                <w:kern w:val="0"/>
                <w:szCs w:val="24"/>
              </w:rPr>
              <w:t>配合</w:t>
            </w:r>
            <w:r w:rsidR="00930079">
              <w:rPr>
                <w:rFonts w:ascii="Times New Roman" w:eastAsia="標楷體" w:hAnsi="Times New Roman" w:cs="Times New Roman" w:hint="eastAsia"/>
                <w:kern w:val="0"/>
                <w:szCs w:val="24"/>
              </w:rPr>
              <w:t>我國</w:t>
            </w:r>
            <w:r w:rsidRPr="005A0B86">
              <w:rPr>
                <w:rFonts w:ascii="Times New Roman" w:eastAsia="標楷體" w:hAnsi="Times New Roman" w:cs="Times New Roman" w:hint="eastAsia"/>
                <w:kern w:val="0"/>
                <w:szCs w:val="24"/>
              </w:rPr>
              <w:t>期貨交易法修正</w:t>
            </w:r>
            <w:r>
              <w:rPr>
                <w:rFonts w:ascii="Times New Roman" w:eastAsia="標楷體" w:hAnsi="Times New Roman" w:cs="Times New Roman" w:hint="eastAsia"/>
                <w:kern w:val="0"/>
                <w:szCs w:val="24"/>
              </w:rPr>
              <w:t>以及</w:t>
            </w:r>
            <w:r w:rsidRPr="005A0B86">
              <w:rPr>
                <w:rFonts w:ascii="Times New Roman" w:eastAsia="標楷體" w:hAnsi="Times New Roman" w:cs="Times New Roman" w:hint="eastAsia"/>
                <w:kern w:val="0"/>
                <w:szCs w:val="24"/>
              </w:rPr>
              <w:t>店頭衍生性商品集中結算</w:t>
            </w:r>
            <w:r>
              <w:rPr>
                <w:rFonts w:ascii="Times New Roman" w:eastAsia="標楷體" w:hAnsi="Times New Roman" w:cs="Times New Roman" w:hint="eastAsia"/>
                <w:kern w:val="0"/>
                <w:szCs w:val="24"/>
              </w:rPr>
              <w:t>機制之建立</w:t>
            </w:r>
            <w:r w:rsidRPr="005A0B86">
              <w:rPr>
                <w:rFonts w:ascii="Times New Roman" w:eastAsia="標楷體" w:hAnsi="Times New Roman" w:cs="Times New Roman" w:hint="eastAsia"/>
                <w:kern w:val="0"/>
                <w:szCs w:val="24"/>
              </w:rPr>
              <w:t>，</w:t>
            </w:r>
            <w:r w:rsidR="00E446E4">
              <w:rPr>
                <w:rFonts w:ascii="Times New Roman" w:eastAsia="標楷體" w:hAnsi="Times New Roman" w:cs="Times New Roman" w:hint="eastAsia"/>
                <w:kern w:val="0"/>
                <w:szCs w:val="24"/>
              </w:rPr>
              <w:t>本中心</w:t>
            </w:r>
            <w:r>
              <w:rPr>
                <w:rFonts w:ascii="Times New Roman" w:eastAsia="標楷體" w:hAnsi="Times New Roman" w:cs="Times New Roman" w:hint="eastAsia"/>
                <w:kern w:val="0"/>
                <w:szCs w:val="24"/>
              </w:rPr>
              <w:t>為</w:t>
            </w:r>
            <w:r w:rsidR="00E446E4">
              <w:rPr>
                <w:rFonts w:ascii="Times New Roman" w:eastAsia="標楷體" w:hAnsi="Times New Roman" w:cs="Times New Roman" w:hint="eastAsia"/>
                <w:kern w:val="0"/>
                <w:szCs w:val="24"/>
              </w:rPr>
              <w:t>降低金融機</w:t>
            </w:r>
            <w:r w:rsidR="00E446E4" w:rsidRPr="001F071D">
              <w:rPr>
                <w:rFonts w:ascii="Times New Roman" w:eastAsia="標楷體" w:hAnsi="Times New Roman" w:cs="Times New Roman" w:hint="eastAsia"/>
                <w:kern w:val="0"/>
                <w:szCs w:val="24"/>
              </w:rPr>
              <w:t>構作業成本，提供</w:t>
            </w:r>
            <w:r w:rsidRPr="001F071D">
              <w:rPr>
                <w:rFonts w:ascii="Times New Roman" w:eastAsia="標楷體" w:hAnsi="Times New Roman" w:cs="Times New Roman" w:hint="eastAsia"/>
                <w:kern w:val="0"/>
                <w:szCs w:val="24"/>
              </w:rPr>
              <w:t>金融機構</w:t>
            </w:r>
            <w:r w:rsidR="00320A82" w:rsidRPr="005B41FD">
              <w:rPr>
                <w:rFonts w:ascii="Times New Roman" w:eastAsia="標楷體" w:hAnsi="Times New Roman" w:cs="Times New Roman" w:hint="eastAsia"/>
                <w:kern w:val="0"/>
                <w:szCs w:val="24"/>
              </w:rPr>
              <w:t>集中結算</w:t>
            </w:r>
            <w:r w:rsidRPr="001F071D">
              <w:rPr>
                <w:rFonts w:ascii="Times New Roman" w:eastAsia="標楷體" w:hAnsi="Times New Roman" w:cs="Times New Roman" w:hint="eastAsia"/>
                <w:kern w:val="0"/>
                <w:szCs w:val="24"/>
              </w:rPr>
              <w:t>交易資料</w:t>
            </w:r>
            <w:r w:rsidR="00320A82" w:rsidRPr="001F071D">
              <w:rPr>
                <w:rFonts w:ascii="Times New Roman" w:eastAsia="標楷體" w:hAnsi="Times New Roman" w:cs="Times New Roman" w:hint="eastAsia"/>
                <w:kern w:val="0"/>
                <w:szCs w:val="24"/>
              </w:rPr>
              <w:t>傳輸</w:t>
            </w:r>
            <w:r w:rsidR="001F071D" w:rsidRPr="001F071D">
              <w:rPr>
                <w:rFonts w:ascii="Times New Roman" w:eastAsia="標楷體" w:hAnsi="Times New Roman" w:cs="Times New Roman" w:hint="eastAsia"/>
                <w:kern w:val="0"/>
                <w:szCs w:val="24"/>
              </w:rPr>
              <w:t>之服務</w:t>
            </w:r>
            <w:r w:rsidRPr="001F071D">
              <w:rPr>
                <w:rFonts w:ascii="Times New Roman" w:eastAsia="標楷體" w:hAnsi="Times New Roman" w:cs="Times New Roman" w:hint="eastAsia"/>
                <w:kern w:val="0"/>
                <w:szCs w:val="24"/>
              </w:rPr>
              <w:t>，爰</w:t>
            </w:r>
            <w:r w:rsidR="00A73808">
              <w:rPr>
                <w:rFonts w:ascii="Times New Roman" w:eastAsia="標楷體" w:hAnsi="Times New Roman" w:cs="Times New Roman" w:hint="eastAsia"/>
                <w:kern w:val="0"/>
                <w:szCs w:val="24"/>
              </w:rPr>
              <w:t>修正第一項</w:t>
            </w:r>
            <w:r>
              <w:rPr>
                <w:rFonts w:ascii="Times New Roman" w:eastAsia="標楷體" w:hAnsi="Times New Roman" w:cs="Times New Roman" w:hint="eastAsia"/>
                <w:kern w:val="0"/>
                <w:szCs w:val="24"/>
              </w:rPr>
              <w:t>。</w:t>
            </w:r>
          </w:p>
          <w:p w14:paraId="68C41333" w14:textId="263F804D" w:rsidR="00702352" w:rsidRPr="0028096C" w:rsidRDefault="00C176EF" w:rsidP="00702352">
            <w:pPr>
              <w:pStyle w:val="a3"/>
              <w:numPr>
                <w:ilvl w:val="0"/>
                <w:numId w:val="24"/>
              </w:numPr>
              <w:adjustRightInd w:val="0"/>
              <w:spacing w:line="240" w:lineRule="auto"/>
              <w:ind w:leftChars="0" w:rightChars="-14" w:right="-34"/>
              <w:contextualSpacing/>
              <w:jc w:val="both"/>
              <w:rPr>
                <w:rFonts w:ascii="Times New Roman" w:eastAsia="標楷體" w:hAnsi="Times New Roman" w:cs="Times New Roman"/>
                <w:color w:val="000000"/>
              </w:rPr>
            </w:pPr>
            <w:r>
              <w:rPr>
                <w:rFonts w:ascii="Times New Roman" w:eastAsia="標楷體" w:hAnsi="Times New Roman" w:cs="Times New Roman" w:hint="eastAsia"/>
                <w:color w:val="000000"/>
                <w:kern w:val="0"/>
                <w:szCs w:val="24"/>
              </w:rPr>
              <w:t>明定金融機構透過本系統</w:t>
            </w:r>
            <w:r w:rsidR="00A73808">
              <w:rPr>
                <w:rFonts w:ascii="Times New Roman" w:eastAsia="標楷體" w:hAnsi="Times New Roman" w:cs="Times New Roman" w:hint="eastAsia"/>
                <w:color w:val="000000"/>
                <w:kern w:val="0"/>
                <w:szCs w:val="24"/>
              </w:rPr>
              <w:t>傳輸交易資料</w:t>
            </w:r>
            <w:r w:rsidR="00711E35">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應依本中心相關規定辦理，</w:t>
            </w:r>
            <w:proofErr w:type="gramStart"/>
            <w:r>
              <w:rPr>
                <w:rFonts w:ascii="Times New Roman" w:eastAsia="標楷體" w:hAnsi="Times New Roman" w:cs="Times New Roman" w:hint="eastAsia"/>
                <w:color w:val="000000"/>
                <w:kern w:val="0"/>
                <w:szCs w:val="24"/>
              </w:rPr>
              <w:t>爰</w:t>
            </w:r>
            <w:proofErr w:type="gramEnd"/>
            <w:r>
              <w:rPr>
                <w:rFonts w:ascii="Times New Roman" w:eastAsia="標楷體" w:hAnsi="Times New Roman" w:cs="Times New Roman" w:hint="eastAsia"/>
                <w:color w:val="000000"/>
                <w:kern w:val="0"/>
                <w:szCs w:val="24"/>
              </w:rPr>
              <w:t>修正第二項</w:t>
            </w:r>
            <w:r w:rsidR="00702352">
              <w:rPr>
                <w:rFonts w:ascii="Times New Roman" w:eastAsia="標楷體" w:hAnsi="Times New Roman" w:cs="Times New Roman" w:hint="eastAsia"/>
                <w:color w:val="000000"/>
                <w:kern w:val="0"/>
                <w:szCs w:val="24"/>
              </w:rPr>
              <w:t>。</w:t>
            </w:r>
          </w:p>
          <w:p w14:paraId="7371C8BF" w14:textId="52B3731E" w:rsidR="00702352" w:rsidRPr="002D76F0" w:rsidRDefault="00702352" w:rsidP="00702352">
            <w:pPr>
              <w:pStyle w:val="a3"/>
              <w:numPr>
                <w:ilvl w:val="0"/>
                <w:numId w:val="24"/>
              </w:numPr>
              <w:adjustRightInd w:val="0"/>
              <w:spacing w:line="240" w:lineRule="auto"/>
              <w:ind w:leftChars="0" w:rightChars="-14" w:right="-34"/>
              <w:contextualSpacing/>
              <w:jc w:val="both"/>
              <w:rPr>
                <w:rFonts w:ascii="Times New Roman" w:eastAsia="標楷體" w:hAnsi="Times New Roman" w:cs="Times New Roman"/>
                <w:color w:val="000000"/>
              </w:rPr>
            </w:pPr>
            <w:r>
              <w:rPr>
                <w:rFonts w:ascii="Times New Roman" w:eastAsia="標楷體" w:hAnsi="Times New Roman" w:cs="Times New Roman" w:hint="eastAsia"/>
                <w:color w:val="000000"/>
                <w:kern w:val="0"/>
                <w:szCs w:val="24"/>
              </w:rPr>
              <w:t>明定本中心得對交易資料傳輸結算機構機制訂定規定及相關收費基準，爰修正第三項。</w:t>
            </w:r>
          </w:p>
        </w:tc>
      </w:tr>
      <w:tr w:rsidR="00702352" w:rsidRPr="00766108" w14:paraId="29DC1A8A" w14:textId="77777777" w:rsidTr="00930079">
        <w:trPr>
          <w:trHeight w:val="535"/>
        </w:trPr>
        <w:tc>
          <w:tcPr>
            <w:tcW w:w="3355" w:type="dxa"/>
            <w:tcBorders>
              <w:bottom w:val="single" w:sz="4" w:space="0" w:color="auto"/>
            </w:tcBorders>
            <w:shd w:val="clear" w:color="auto" w:fill="auto"/>
          </w:tcPr>
          <w:p w14:paraId="43FF97E5" w14:textId="77777777" w:rsidR="00702352" w:rsidRPr="0028096C" w:rsidRDefault="00702352" w:rsidP="00F440E4">
            <w:pPr>
              <w:adjustRightInd w:val="0"/>
              <w:snapToGrid w:val="0"/>
              <w:spacing w:line="300" w:lineRule="auto"/>
              <w:ind w:rightChars="27" w:right="65"/>
              <w:jc w:val="both"/>
              <w:rPr>
                <w:rFonts w:ascii="Arial" w:eastAsia="標楷體" w:hAnsi="標楷體" w:cs="Arial"/>
                <w:b/>
                <w:bCs/>
              </w:rPr>
            </w:pPr>
            <w:r w:rsidRPr="0028096C">
              <w:rPr>
                <w:rFonts w:ascii="Arial" w:eastAsia="標楷體" w:hAnsi="標楷體" w:cs="Arial" w:hint="eastAsia"/>
                <w:b/>
                <w:bCs/>
              </w:rPr>
              <w:lastRenderedPageBreak/>
              <w:t>第十二條之一</w:t>
            </w:r>
          </w:p>
          <w:p w14:paraId="5A193D7E" w14:textId="02A576AA" w:rsidR="00994B6E" w:rsidRPr="0028096C" w:rsidRDefault="00994B6E" w:rsidP="00B41DE0">
            <w:pPr>
              <w:adjustRightInd w:val="0"/>
              <w:snapToGrid w:val="0"/>
              <w:spacing w:line="300" w:lineRule="auto"/>
              <w:ind w:rightChars="27" w:right="65"/>
              <w:jc w:val="both"/>
              <w:rPr>
                <w:rFonts w:ascii="Arial" w:eastAsia="標楷體" w:hAnsi="標楷體" w:cs="Arial"/>
                <w:b/>
                <w:bCs/>
              </w:rPr>
            </w:pPr>
            <w:r>
              <w:rPr>
                <w:rFonts w:ascii="Arial" w:eastAsia="標楷體" w:hAnsi="標楷體" w:cs="Arial" w:hint="eastAsia"/>
                <w:b/>
                <w:bCs/>
              </w:rPr>
              <w:t xml:space="preserve">    </w:t>
            </w:r>
            <w:r w:rsidR="0028096C">
              <w:rPr>
                <w:rFonts w:ascii="Arial" w:eastAsia="標楷體" w:hAnsi="標楷體" w:cs="Arial" w:hint="eastAsia"/>
                <w:b/>
                <w:bCs/>
              </w:rPr>
              <w:t>本中心應與結算機構約定，</w:t>
            </w:r>
            <w:r w:rsidRPr="0056344A">
              <w:rPr>
                <w:rFonts w:ascii="Arial" w:eastAsia="標楷體" w:hAnsi="標楷體" w:cs="Arial" w:hint="eastAsia"/>
                <w:b/>
                <w:bCs/>
              </w:rPr>
              <w:t>結算機構</w:t>
            </w:r>
            <w:r w:rsidR="0028096C">
              <w:rPr>
                <w:rFonts w:ascii="Arial" w:eastAsia="標楷體" w:hAnsi="標楷體" w:cs="Arial" w:hint="eastAsia"/>
                <w:b/>
                <w:bCs/>
              </w:rPr>
              <w:t>須</w:t>
            </w:r>
            <w:r w:rsidRPr="0056344A">
              <w:rPr>
                <w:rFonts w:ascii="Arial" w:eastAsia="標楷體" w:hAnsi="標楷體" w:cs="Arial" w:hint="eastAsia"/>
                <w:b/>
                <w:bCs/>
              </w:rPr>
              <w:t>將</w:t>
            </w:r>
            <w:r>
              <w:rPr>
                <w:rFonts w:ascii="Arial" w:eastAsia="標楷體" w:hAnsi="標楷體" w:cs="Arial" w:hint="eastAsia"/>
                <w:b/>
                <w:bCs/>
              </w:rPr>
              <w:t>已集中</w:t>
            </w:r>
            <w:r w:rsidRPr="0056344A">
              <w:rPr>
                <w:rFonts w:ascii="Arial" w:eastAsia="標楷體" w:hAnsi="標楷體" w:cs="Arial" w:hint="eastAsia"/>
                <w:b/>
                <w:bCs/>
              </w:rPr>
              <w:t>結算</w:t>
            </w:r>
            <w:r w:rsidR="00FA5AD8">
              <w:rPr>
                <w:rFonts w:ascii="Arial" w:eastAsia="標楷體" w:hAnsi="標楷體" w:cs="Arial" w:hint="eastAsia"/>
                <w:b/>
                <w:bCs/>
              </w:rPr>
              <w:t>之</w:t>
            </w:r>
            <w:r>
              <w:rPr>
                <w:rFonts w:ascii="Arial" w:eastAsia="標楷體" w:hAnsi="標楷體" w:cs="Arial" w:hint="eastAsia"/>
                <w:b/>
                <w:bCs/>
              </w:rPr>
              <w:t>交易，因發生部位移轉、部位互抵、部位壓縮、違約處理或其他符合結算機構規定之</w:t>
            </w:r>
            <w:r w:rsidR="00192059" w:rsidRPr="00880EDA">
              <w:rPr>
                <w:rFonts w:ascii="Arial" w:eastAsia="標楷體" w:hAnsi="標楷體" w:cs="Arial" w:hint="eastAsia"/>
                <w:b/>
                <w:bCs/>
              </w:rPr>
              <w:t>情事</w:t>
            </w:r>
            <w:r>
              <w:rPr>
                <w:rFonts w:ascii="Arial" w:eastAsia="標楷體" w:hAnsi="標楷體" w:cs="Arial" w:hint="eastAsia"/>
                <w:b/>
                <w:bCs/>
              </w:rPr>
              <w:t>，</w:t>
            </w:r>
            <w:r w:rsidRPr="0056344A">
              <w:rPr>
                <w:rFonts w:ascii="Arial" w:eastAsia="標楷體" w:hAnsi="標楷體" w:cs="Arial" w:hint="eastAsia"/>
                <w:b/>
                <w:bCs/>
              </w:rPr>
              <w:t>變更</w:t>
            </w:r>
            <w:r>
              <w:rPr>
                <w:rFonts w:ascii="Arial" w:eastAsia="標楷體" w:hAnsi="標楷體" w:cs="Arial" w:hint="eastAsia"/>
                <w:b/>
                <w:bCs/>
              </w:rPr>
              <w:t>交易契約內容</w:t>
            </w:r>
            <w:r w:rsidRPr="0056344A">
              <w:rPr>
                <w:rFonts w:ascii="Arial" w:eastAsia="標楷體" w:hAnsi="標楷體" w:cs="Arial" w:hint="eastAsia"/>
                <w:b/>
                <w:bCs/>
              </w:rPr>
              <w:t>或提前終止</w:t>
            </w:r>
            <w:r>
              <w:rPr>
                <w:rFonts w:ascii="Arial" w:eastAsia="標楷體" w:hAnsi="標楷體" w:cs="Arial" w:hint="eastAsia"/>
                <w:b/>
                <w:bCs/>
              </w:rPr>
              <w:t>交易</w:t>
            </w:r>
            <w:r w:rsidR="00FA5AD8">
              <w:rPr>
                <w:rFonts w:ascii="Arial" w:eastAsia="標楷體" w:hAnsi="標楷體" w:cs="Arial" w:hint="eastAsia"/>
                <w:b/>
                <w:bCs/>
              </w:rPr>
              <w:t>契約</w:t>
            </w:r>
            <w:r>
              <w:rPr>
                <w:rFonts w:ascii="Arial" w:eastAsia="標楷體" w:hAnsi="標楷體" w:cs="Arial" w:hint="eastAsia"/>
                <w:b/>
                <w:bCs/>
              </w:rPr>
              <w:t>之</w:t>
            </w:r>
            <w:r w:rsidRPr="0056344A">
              <w:rPr>
                <w:rFonts w:ascii="Arial" w:eastAsia="標楷體" w:hAnsi="標楷體" w:cs="Arial" w:hint="eastAsia"/>
                <w:b/>
                <w:bCs/>
              </w:rPr>
              <w:t>相關</w:t>
            </w:r>
            <w:r>
              <w:rPr>
                <w:rFonts w:ascii="Arial" w:eastAsia="標楷體" w:hAnsi="標楷體" w:cs="Arial" w:hint="eastAsia"/>
                <w:b/>
                <w:bCs/>
              </w:rPr>
              <w:t>異動</w:t>
            </w:r>
            <w:r w:rsidRPr="0056344A">
              <w:rPr>
                <w:rFonts w:ascii="Arial" w:eastAsia="標楷體" w:hAnsi="標楷體" w:cs="Arial" w:hint="eastAsia"/>
                <w:b/>
                <w:bCs/>
              </w:rPr>
              <w:t>資訊</w:t>
            </w:r>
            <w:r>
              <w:rPr>
                <w:rFonts w:ascii="Arial" w:eastAsia="標楷體" w:hAnsi="標楷體" w:cs="Arial" w:hint="eastAsia"/>
                <w:b/>
                <w:bCs/>
              </w:rPr>
              <w:t>，</w:t>
            </w:r>
            <w:proofErr w:type="gramStart"/>
            <w:r w:rsidRPr="0056344A">
              <w:rPr>
                <w:rFonts w:ascii="Arial" w:eastAsia="標楷體" w:hAnsi="標楷體" w:cs="Arial" w:hint="eastAsia"/>
                <w:b/>
                <w:bCs/>
              </w:rPr>
              <w:t>提供予本中心</w:t>
            </w:r>
            <w:proofErr w:type="gramEnd"/>
            <w:r w:rsidRPr="0056344A">
              <w:rPr>
                <w:rFonts w:ascii="Arial" w:eastAsia="標楷體" w:hAnsi="標楷體" w:cs="Arial" w:hint="eastAsia"/>
                <w:b/>
                <w:bCs/>
              </w:rPr>
              <w:t>。</w:t>
            </w:r>
          </w:p>
          <w:p w14:paraId="13AD83E1" w14:textId="0F9B7B13" w:rsidR="00B41DE0" w:rsidRPr="00CC4F3E" w:rsidRDefault="00B41DE0" w:rsidP="00B41DE0">
            <w:pPr>
              <w:adjustRightInd w:val="0"/>
              <w:snapToGrid w:val="0"/>
              <w:spacing w:line="300" w:lineRule="auto"/>
              <w:ind w:rightChars="27" w:right="65"/>
              <w:jc w:val="both"/>
              <w:rPr>
                <w:rFonts w:ascii="Arial" w:eastAsia="標楷體" w:hAnsi="標楷體" w:cs="Arial"/>
              </w:rPr>
            </w:pPr>
            <w:r w:rsidRPr="0028096C">
              <w:rPr>
                <w:rFonts w:ascii="Arial" w:eastAsia="標楷體" w:hAnsi="標楷體" w:cs="Arial"/>
                <w:b/>
                <w:bCs/>
              </w:rPr>
              <w:t xml:space="preserve">    </w:t>
            </w:r>
            <w:r w:rsidR="00FC4791" w:rsidRPr="0028096C">
              <w:rPr>
                <w:rFonts w:ascii="Arial" w:eastAsia="標楷體" w:hAnsi="標楷體" w:cs="Arial" w:hint="eastAsia"/>
                <w:b/>
                <w:bCs/>
              </w:rPr>
              <w:t>前項資</w:t>
            </w:r>
            <w:r w:rsidR="00845471" w:rsidRPr="0028096C">
              <w:rPr>
                <w:rFonts w:ascii="Arial" w:eastAsia="標楷體" w:hAnsi="標楷體" w:cs="Arial" w:hint="eastAsia"/>
                <w:b/>
                <w:bCs/>
              </w:rPr>
              <w:t>訊</w:t>
            </w:r>
            <w:r w:rsidR="00FC4791" w:rsidRPr="0028096C">
              <w:rPr>
                <w:rFonts w:ascii="Arial" w:eastAsia="標楷體" w:hAnsi="標楷體" w:cs="Arial" w:hint="eastAsia"/>
                <w:b/>
                <w:bCs/>
              </w:rPr>
              <w:t>提供方式</w:t>
            </w:r>
            <w:r w:rsidR="00845471" w:rsidRPr="0028096C">
              <w:rPr>
                <w:rFonts w:ascii="Arial" w:eastAsia="標楷體" w:hAnsi="標楷體" w:cs="Arial" w:hint="eastAsia"/>
                <w:b/>
                <w:bCs/>
              </w:rPr>
              <w:t>及內容</w:t>
            </w:r>
            <w:r w:rsidR="00FC4791" w:rsidRPr="0028096C">
              <w:rPr>
                <w:rFonts w:ascii="Arial" w:eastAsia="標楷體" w:hAnsi="標楷體" w:cs="Arial" w:hint="eastAsia"/>
                <w:b/>
                <w:bCs/>
              </w:rPr>
              <w:t>由本中心與結算機構協商後定之。</w:t>
            </w:r>
          </w:p>
        </w:tc>
        <w:tc>
          <w:tcPr>
            <w:tcW w:w="3355" w:type="dxa"/>
            <w:tcBorders>
              <w:bottom w:val="single" w:sz="4" w:space="0" w:color="auto"/>
            </w:tcBorders>
            <w:shd w:val="clear" w:color="auto" w:fill="auto"/>
          </w:tcPr>
          <w:p w14:paraId="02A911A7" w14:textId="77777777" w:rsidR="00702352" w:rsidRPr="00F440E4" w:rsidRDefault="00702352" w:rsidP="00F440E4">
            <w:pPr>
              <w:adjustRightInd w:val="0"/>
              <w:snapToGrid w:val="0"/>
              <w:spacing w:line="300" w:lineRule="auto"/>
              <w:ind w:rightChars="27" w:right="65"/>
              <w:jc w:val="both"/>
              <w:rPr>
                <w:rFonts w:ascii="Arial" w:eastAsia="標楷體" w:hAnsi="標楷體" w:cs="Arial"/>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520EA2C" w14:textId="77777777" w:rsidR="00702352" w:rsidRDefault="00702352" w:rsidP="00702352">
            <w:pPr>
              <w:adjustRightInd w:val="0"/>
              <w:spacing w:line="240" w:lineRule="auto"/>
              <w:ind w:rightChars="-14" w:right="-34"/>
              <w:contextualSpacing/>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一、本條新增。</w:t>
            </w:r>
          </w:p>
          <w:p w14:paraId="2B16EF03" w14:textId="4BD8B037" w:rsidR="00FC4791" w:rsidRPr="0028096C" w:rsidRDefault="00845471" w:rsidP="0028096C">
            <w:pPr>
              <w:pStyle w:val="a3"/>
              <w:numPr>
                <w:ilvl w:val="0"/>
                <w:numId w:val="27"/>
              </w:numPr>
              <w:adjustRightInd w:val="0"/>
              <w:spacing w:line="240" w:lineRule="auto"/>
              <w:ind w:leftChars="0" w:rightChars="-14" w:right="-34"/>
              <w:contextualSpacing/>
              <w:jc w:val="both"/>
              <w:rPr>
                <w:rFonts w:ascii="Times New Roman" w:eastAsia="標楷體" w:hAnsi="Times New Roman" w:cs="Times New Roman"/>
                <w:kern w:val="0"/>
                <w:szCs w:val="24"/>
              </w:rPr>
            </w:pPr>
            <w:r w:rsidRPr="0028096C">
              <w:rPr>
                <w:rFonts w:ascii="Times New Roman" w:eastAsia="標楷體" w:hAnsi="Times New Roman" w:cs="Times New Roman" w:hint="eastAsia"/>
                <w:color w:val="000000"/>
                <w:kern w:val="0"/>
                <w:szCs w:val="24"/>
              </w:rPr>
              <w:t>為</w:t>
            </w:r>
            <w:r w:rsidR="0070502B" w:rsidRPr="0028096C">
              <w:rPr>
                <w:rFonts w:ascii="Times New Roman" w:eastAsia="標楷體" w:hAnsi="Times New Roman" w:cs="Times New Roman" w:hint="eastAsia"/>
                <w:color w:val="000000"/>
                <w:kern w:val="0"/>
                <w:szCs w:val="24"/>
              </w:rPr>
              <w:t>維護本系統相關交易資料正確性</w:t>
            </w:r>
            <w:r w:rsidR="0070502B" w:rsidRPr="00880EDA">
              <w:rPr>
                <w:rFonts w:ascii="Times New Roman" w:eastAsia="標楷體" w:hAnsi="Times New Roman" w:cs="Times New Roman" w:hint="eastAsia"/>
                <w:kern w:val="0"/>
                <w:szCs w:val="24"/>
              </w:rPr>
              <w:t>，</w:t>
            </w:r>
            <w:r w:rsidR="001775D4" w:rsidRPr="00880EDA">
              <w:rPr>
                <w:rFonts w:ascii="Times New Roman" w:eastAsia="標楷體" w:hAnsi="Times New Roman" w:cs="Times New Roman" w:hint="eastAsia"/>
                <w:kern w:val="0"/>
                <w:szCs w:val="24"/>
              </w:rPr>
              <w:t>本中心應與結算機構約定，</w:t>
            </w:r>
            <w:r w:rsidR="0070502B" w:rsidRPr="00880EDA">
              <w:rPr>
                <w:rFonts w:ascii="Times New Roman" w:eastAsia="標楷體" w:hAnsi="Times New Roman" w:cs="Times New Roman" w:hint="eastAsia"/>
                <w:kern w:val="0"/>
                <w:szCs w:val="24"/>
              </w:rPr>
              <w:t>結算機構</w:t>
            </w:r>
            <w:r w:rsidR="001775D4" w:rsidRPr="00880EDA">
              <w:rPr>
                <w:rFonts w:ascii="Times New Roman" w:eastAsia="標楷體" w:hAnsi="Times New Roman" w:cs="Times New Roman" w:hint="eastAsia"/>
                <w:kern w:val="0"/>
                <w:szCs w:val="24"/>
              </w:rPr>
              <w:t>須</w:t>
            </w:r>
            <w:r w:rsidR="0070502B" w:rsidRPr="00880EDA">
              <w:rPr>
                <w:rFonts w:ascii="Times New Roman" w:eastAsia="標楷體" w:hAnsi="Times New Roman" w:cs="Times New Roman" w:hint="eastAsia"/>
                <w:kern w:val="0"/>
                <w:szCs w:val="24"/>
              </w:rPr>
              <w:t>將</w:t>
            </w:r>
            <w:r w:rsidR="004B68AF" w:rsidRPr="0028096C">
              <w:rPr>
                <w:rFonts w:ascii="Times New Roman" w:eastAsia="標楷體" w:hAnsi="Times New Roman" w:cs="Times New Roman" w:hint="eastAsia"/>
                <w:color w:val="000000"/>
                <w:kern w:val="0"/>
                <w:szCs w:val="24"/>
              </w:rPr>
              <w:t>已集中結算交易</w:t>
            </w:r>
            <w:r w:rsidR="0070502B" w:rsidRPr="0028096C">
              <w:rPr>
                <w:rFonts w:ascii="Times New Roman" w:eastAsia="標楷體" w:hAnsi="Times New Roman" w:cs="Times New Roman" w:hint="eastAsia"/>
                <w:color w:val="000000"/>
                <w:kern w:val="0"/>
                <w:szCs w:val="24"/>
              </w:rPr>
              <w:t>內容變更或提前終止之異動資</w:t>
            </w:r>
            <w:r w:rsidR="0064290D" w:rsidRPr="0028096C">
              <w:rPr>
                <w:rFonts w:ascii="Times New Roman" w:eastAsia="標楷體" w:hAnsi="Times New Roman" w:cs="Times New Roman" w:hint="eastAsia"/>
                <w:color w:val="000000"/>
                <w:kern w:val="0"/>
                <w:szCs w:val="24"/>
              </w:rPr>
              <w:t>訊，</w:t>
            </w:r>
            <w:r w:rsidR="0070502B" w:rsidRPr="0028096C">
              <w:rPr>
                <w:rFonts w:ascii="Times New Roman" w:eastAsia="標楷體" w:hAnsi="Times New Roman" w:cs="Times New Roman" w:hint="eastAsia"/>
                <w:color w:val="000000"/>
                <w:kern w:val="0"/>
                <w:szCs w:val="24"/>
              </w:rPr>
              <w:t>包含部位移轉、部位互抵、部位壓縮、違約處理或其他符合結算機構規定</w:t>
            </w:r>
            <w:r w:rsidR="0064290D" w:rsidRPr="0028096C">
              <w:rPr>
                <w:rFonts w:ascii="Times New Roman" w:eastAsia="標楷體" w:hAnsi="Times New Roman" w:cs="Times New Roman" w:hint="eastAsia"/>
                <w:color w:val="000000"/>
                <w:kern w:val="0"/>
                <w:szCs w:val="24"/>
              </w:rPr>
              <w:t>而異動</w:t>
            </w:r>
            <w:r w:rsidR="0070502B" w:rsidRPr="0028096C">
              <w:rPr>
                <w:rFonts w:ascii="Times New Roman" w:eastAsia="標楷體" w:hAnsi="Times New Roman" w:cs="Times New Roman" w:hint="eastAsia"/>
                <w:color w:val="000000"/>
                <w:kern w:val="0"/>
                <w:szCs w:val="24"/>
              </w:rPr>
              <w:t>者，</w:t>
            </w:r>
            <w:proofErr w:type="gramStart"/>
            <w:r w:rsidR="0064290D" w:rsidRPr="0028096C">
              <w:rPr>
                <w:rFonts w:ascii="Times New Roman" w:eastAsia="標楷體" w:hAnsi="Times New Roman" w:cs="Times New Roman" w:hint="eastAsia"/>
                <w:color w:val="000000"/>
                <w:kern w:val="0"/>
                <w:szCs w:val="24"/>
              </w:rPr>
              <w:t>提供予本中心</w:t>
            </w:r>
            <w:proofErr w:type="gramEnd"/>
            <w:r w:rsidR="0064290D" w:rsidRPr="0028096C">
              <w:rPr>
                <w:rFonts w:ascii="Times New Roman" w:eastAsia="標楷體" w:hAnsi="Times New Roman" w:cs="Times New Roman" w:hint="eastAsia"/>
                <w:color w:val="000000"/>
                <w:kern w:val="0"/>
                <w:szCs w:val="24"/>
              </w:rPr>
              <w:t>，</w:t>
            </w:r>
            <w:proofErr w:type="gramStart"/>
            <w:r w:rsidR="0070502B" w:rsidRPr="0028096C">
              <w:rPr>
                <w:rFonts w:ascii="Times New Roman" w:eastAsia="標楷體" w:hAnsi="Times New Roman" w:cs="Times New Roman" w:hint="eastAsia"/>
                <w:color w:val="000000"/>
                <w:kern w:val="0"/>
                <w:szCs w:val="24"/>
              </w:rPr>
              <w:t>爰</w:t>
            </w:r>
            <w:proofErr w:type="gramEnd"/>
            <w:r w:rsidR="0070502B" w:rsidRPr="0028096C">
              <w:rPr>
                <w:rFonts w:ascii="Times New Roman" w:eastAsia="標楷體" w:hAnsi="Times New Roman" w:cs="Times New Roman" w:hint="eastAsia"/>
                <w:color w:val="000000"/>
                <w:kern w:val="0"/>
                <w:szCs w:val="24"/>
              </w:rPr>
              <w:t>增訂</w:t>
            </w:r>
            <w:r w:rsidR="0064290D" w:rsidRPr="0028096C">
              <w:rPr>
                <w:rFonts w:ascii="Times New Roman" w:eastAsia="標楷體" w:hAnsi="Times New Roman" w:cs="Times New Roman" w:hint="eastAsia"/>
                <w:color w:val="000000"/>
                <w:kern w:val="0"/>
                <w:szCs w:val="24"/>
              </w:rPr>
              <w:t>本條規定。</w:t>
            </w:r>
          </w:p>
        </w:tc>
      </w:tr>
    </w:tbl>
    <w:p w14:paraId="018E1D66" w14:textId="77777777" w:rsidR="004E05BF" w:rsidRPr="0080107A" w:rsidRDefault="004E05BF" w:rsidP="008C1DD1">
      <w:pPr>
        <w:widowControl/>
        <w:adjustRightInd w:val="0"/>
        <w:snapToGrid w:val="0"/>
        <w:spacing w:line="300" w:lineRule="auto"/>
        <w:rPr>
          <w:rFonts w:ascii="Times New Roman" w:eastAsia="標楷體" w:hAnsi="Times New Roman" w:cs="Times New Roman"/>
          <w:b/>
          <w:bCs/>
          <w:snapToGrid w:val="0"/>
          <w:sz w:val="36"/>
          <w:szCs w:val="24"/>
          <w:u w:val="single"/>
        </w:rPr>
      </w:pPr>
    </w:p>
    <w:sectPr w:rsidR="004E05BF" w:rsidRPr="0080107A"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1170" w14:textId="77777777" w:rsidR="00712F02" w:rsidRPr="00D52126" w:rsidRDefault="00712F02" w:rsidP="00F62482">
      <w:pPr>
        <w:spacing w:line="240" w:lineRule="auto"/>
        <w:rPr>
          <w:szCs w:val="24"/>
        </w:rPr>
      </w:pPr>
      <w:r>
        <w:separator/>
      </w:r>
    </w:p>
  </w:endnote>
  <w:endnote w:type="continuationSeparator" w:id="0">
    <w:p w14:paraId="33719299" w14:textId="77777777" w:rsidR="00712F02" w:rsidRPr="00D52126" w:rsidRDefault="00712F02"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微軟正黑體"/>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475065"/>
      <w:docPartObj>
        <w:docPartGallery w:val="Page Numbers (Bottom of Page)"/>
        <w:docPartUnique/>
      </w:docPartObj>
    </w:sdtPr>
    <w:sdtEndPr/>
    <w:sdtContent>
      <w:p w14:paraId="3A6ADE32" w14:textId="77777777" w:rsidR="00C6376E" w:rsidRDefault="007114DD">
        <w:pPr>
          <w:pStyle w:val="a8"/>
          <w:jc w:val="right"/>
        </w:pPr>
        <w:r>
          <w:fldChar w:fldCharType="begin"/>
        </w:r>
        <w:r w:rsidR="00C6376E">
          <w:instrText xml:space="preserve"> PAGE   \* MERGEFORMAT </w:instrText>
        </w:r>
        <w:r>
          <w:fldChar w:fldCharType="separate"/>
        </w:r>
        <w:r w:rsidR="000364F0" w:rsidRPr="000364F0">
          <w:rPr>
            <w:noProof/>
            <w:lang w:val="zh-TW"/>
          </w:rPr>
          <w:t>2</w:t>
        </w:r>
        <w:r>
          <w:rPr>
            <w:noProof/>
            <w:lang w:val="zh-TW"/>
          </w:rPr>
          <w:fldChar w:fldCharType="end"/>
        </w:r>
      </w:p>
    </w:sdtContent>
  </w:sdt>
  <w:p w14:paraId="30DAF457" w14:textId="77777777" w:rsidR="00C6376E" w:rsidRDefault="00C637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D3DD" w14:textId="77777777" w:rsidR="00712F02" w:rsidRPr="00D52126" w:rsidRDefault="00712F02" w:rsidP="00F62482">
      <w:pPr>
        <w:spacing w:line="240" w:lineRule="auto"/>
        <w:rPr>
          <w:szCs w:val="24"/>
        </w:rPr>
      </w:pPr>
      <w:r>
        <w:separator/>
      </w:r>
    </w:p>
  </w:footnote>
  <w:footnote w:type="continuationSeparator" w:id="0">
    <w:p w14:paraId="51506138" w14:textId="77777777" w:rsidR="00712F02" w:rsidRPr="00D52126" w:rsidRDefault="00712F02" w:rsidP="00F62482">
      <w:pPr>
        <w:spacing w:line="240" w:lineRule="auto"/>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0BA"/>
    <w:multiLevelType w:val="hybridMultilevel"/>
    <w:tmpl w:val="56D6DD84"/>
    <w:lvl w:ilvl="0" w:tplc="AB321F44">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494A6D"/>
    <w:multiLevelType w:val="hybridMultilevel"/>
    <w:tmpl w:val="E79C05D6"/>
    <w:lvl w:ilvl="0" w:tplc="53B254CA">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655A7"/>
    <w:multiLevelType w:val="hybridMultilevel"/>
    <w:tmpl w:val="FB2E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6F04F3"/>
    <w:multiLevelType w:val="hybridMultilevel"/>
    <w:tmpl w:val="1720796C"/>
    <w:lvl w:ilvl="0" w:tplc="064279B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4223D9"/>
    <w:multiLevelType w:val="hybridMultilevel"/>
    <w:tmpl w:val="5CC693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F4008"/>
    <w:multiLevelType w:val="hybridMultilevel"/>
    <w:tmpl w:val="08F27CD0"/>
    <w:lvl w:ilvl="0" w:tplc="D9B46E26">
      <w:start w:val="1"/>
      <w:numFmt w:val="taiwaneseCountingThousand"/>
      <w:lvlText w:val="%1、"/>
      <w:lvlJc w:val="left"/>
      <w:pPr>
        <w:ind w:left="487" w:hanging="48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6" w15:restartNumberingAfterBreak="0">
    <w:nsid w:val="23C72FF6"/>
    <w:multiLevelType w:val="hybridMultilevel"/>
    <w:tmpl w:val="DED648A4"/>
    <w:lvl w:ilvl="0" w:tplc="4C66679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D0E9A"/>
    <w:multiLevelType w:val="hybridMultilevel"/>
    <w:tmpl w:val="A17C92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F47B0"/>
    <w:multiLevelType w:val="hybridMultilevel"/>
    <w:tmpl w:val="5CC693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F7DE7"/>
    <w:multiLevelType w:val="hybridMultilevel"/>
    <w:tmpl w:val="BF2A5A20"/>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457841"/>
    <w:multiLevelType w:val="hybridMultilevel"/>
    <w:tmpl w:val="6F2ED1FA"/>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806DF5"/>
    <w:multiLevelType w:val="hybridMultilevel"/>
    <w:tmpl w:val="ACB086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B33767"/>
    <w:multiLevelType w:val="hybridMultilevel"/>
    <w:tmpl w:val="63C263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3B60AF"/>
    <w:multiLevelType w:val="hybridMultilevel"/>
    <w:tmpl w:val="398E4B06"/>
    <w:lvl w:ilvl="0" w:tplc="E92E46A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4C3E10"/>
    <w:multiLevelType w:val="hybridMultilevel"/>
    <w:tmpl w:val="59BE2A30"/>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B265B7"/>
    <w:multiLevelType w:val="hybridMultilevel"/>
    <w:tmpl w:val="F3F221EA"/>
    <w:lvl w:ilvl="0" w:tplc="C030A586">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14A7C"/>
    <w:multiLevelType w:val="hybridMultilevel"/>
    <w:tmpl w:val="5CC693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32325C"/>
    <w:multiLevelType w:val="hybridMultilevel"/>
    <w:tmpl w:val="5E160BC6"/>
    <w:lvl w:ilvl="0" w:tplc="F6129BC0">
      <w:start w:val="1"/>
      <w:numFmt w:val="taiwaneseCountingThousand"/>
      <w:lvlText w:val="%1、"/>
      <w:lvlJc w:val="left"/>
      <w:pPr>
        <w:ind w:left="504" w:hanging="504"/>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142C40"/>
    <w:multiLevelType w:val="hybridMultilevel"/>
    <w:tmpl w:val="BD006140"/>
    <w:lvl w:ilvl="0" w:tplc="A1EC86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275D9"/>
    <w:multiLevelType w:val="hybridMultilevel"/>
    <w:tmpl w:val="A5A4064E"/>
    <w:lvl w:ilvl="0" w:tplc="69B4A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EA5767"/>
    <w:multiLevelType w:val="hybridMultilevel"/>
    <w:tmpl w:val="005C15A0"/>
    <w:lvl w:ilvl="0" w:tplc="4C66679A">
      <w:start w:val="1"/>
      <w:numFmt w:val="taiwaneseCountingThousand"/>
      <w:lvlText w:val="%1、"/>
      <w:lvlJc w:val="left"/>
      <w:pPr>
        <w:ind w:left="480" w:hanging="480"/>
      </w:pPr>
      <w:rPr>
        <w:rFonts w:eastAsia="標楷體"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A56720"/>
    <w:multiLevelType w:val="hybridMultilevel"/>
    <w:tmpl w:val="6712BE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6167C3"/>
    <w:multiLevelType w:val="hybridMultilevel"/>
    <w:tmpl w:val="00E81A52"/>
    <w:lvl w:ilvl="0" w:tplc="837821E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2C2990"/>
    <w:multiLevelType w:val="hybridMultilevel"/>
    <w:tmpl w:val="71380B8E"/>
    <w:lvl w:ilvl="0" w:tplc="51489A3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464486"/>
    <w:multiLevelType w:val="hybridMultilevel"/>
    <w:tmpl w:val="15DE27CC"/>
    <w:lvl w:ilvl="0" w:tplc="4E301DF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5C293C"/>
    <w:multiLevelType w:val="hybridMultilevel"/>
    <w:tmpl w:val="C9D0D476"/>
    <w:lvl w:ilvl="0" w:tplc="69DA459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2C358F"/>
    <w:multiLevelType w:val="hybridMultilevel"/>
    <w:tmpl w:val="F698CD90"/>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64279B8">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5301A2"/>
    <w:multiLevelType w:val="hybridMultilevel"/>
    <w:tmpl w:val="A0FC7BC4"/>
    <w:lvl w:ilvl="0" w:tplc="C512B56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9"/>
  </w:num>
  <w:num w:numId="3">
    <w:abstractNumId w:val="17"/>
  </w:num>
  <w:num w:numId="4">
    <w:abstractNumId w:val="20"/>
  </w:num>
  <w:num w:numId="5">
    <w:abstractNumId w:val="14"/>
  </w:num>
  <w:num w:numId="6">
    <w:abstractNumId w:val="26"/>
  </w:num>
  <w:num w:numId="7">
    <w:abstractNumId w:val="9"/>
  </w:num>
  <w:num w:numId="8">
    <w:abstractNumId w:val="1"/>
  </w:num>
  <w:num w:numId="9">
    <w:abstractNumId w:val="24"/>
  </w:num>
  <w:num w:numId="10">
    <w:abstractNumId w:val="3"/>
  </w:num>
  <w:num w:numId="11">
    <w:abstractNumId w:val="22"/>
  </w:num>
  <w:num w:numId="12">
    <w:abstractNumId w:val="23"/>
  </w:num>
  <w:num w:numId="13">
    <w:abstractNumId w:val="21"/>
  </w:num>
  <w:num w:numId="14">
    <w:abstractNumId w:val="7"/>
  </w:num>
  <w:num w:numId="15">
    <w:abstractNumId w:val="6"/>
  </w:num>
  <w:num w:numId="16">
    <w:abstractNumId w:val="12"/>
  </w:num>
  <w:num w:numId="17">
    <w:abstractNumId w:val="27"/>
  </w:num>
  <w:num w:numId="18">
    <w:abstractNumId w:val="5"/>
  </w:num>
  <w:num w:numId="19">
    <w:abstractNumId w:val="10"/>
  </w:num>
  <w:num w:numId="20">
    <w:abstractNumId w:val="0"/>
  </w:num>
  <w:num w:numId="21">
    <w:abstractNumId w:val="18"/>
  </w:num>
  <w:num w:numId="22">
    <w:abstractNumId w:val="16"/>
  </w:num>
  <w:num w:numId="23">
    <w:abstractNumId w:val="11"/>
  </w:num>
  <w:num w:numId="24">
    <w:abstractNumId w:val="2"/>
  </w:num>
  <w:num w:numId="25">
    <w:abstractNumId w:val="8"/>
  </w:num>
  <w:num w:numId="26">
    <w:abstractNumId w:val="25"/>
  </w:num>
  <w:num w:numId="27">
    <w:abstractNumId w:val="15"/>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E1"/>
    <w:rsid w:val="00001864"/>
    <w:rsid w:val="00002AB9"/>
    <w:rsid w:val="000031DC"/>
    <w:rsid w:val="000048BE"/>
    <w:rsid w:val="00007B76"/>
    <w:rsid w:val="0001073A"/>
    <w:rsid w:val="00010CAE"/>
    <w:rsid w:val="00011759"/>
    <w:rsid w:val="0001372E"/>
    <w:rsid w:val="00013DC2"/>
    <w:rsid w:val="00014E80"/>
    <w:rsid w:val="00015C75"/>
    <w:rsid w:val="00016885"/>
    <w:rsid w:val="00021881"/>
    <w:rsid w:val="00023D65"/>
    <w:rsid w:val="00024B41"/>
    <w:rsid w:val="000251AF"/>
    <w:rsid w:val="0002565F"/>
    <w:rsid w:val="0002644A"/>
    <w:rsid w:val="00026ABF"/>
    <w:rsid w:val="00030766"/>
    <w:rsid w:val="00030A28"/>
    <w:rsid w:val="000314C7"/>
    <w:rsid w:val="00031BFA"/>
    <w:rsid w:val="00031DA2"/>
    <w:rsid w:val="00032A3D"/>
    <w:rsid w:val="00032BD5"/>
    <w:rsid w:val="00033B87"/>
    <w:rsid w:val="00034CCA"/>
    <w:rsid w:val="000355BC"/>
    <w:rsid w:val="000364F0"/>
    <w:rsid w:val="0003771E"/>
    <w:rsid w:val="00037A99"/>
    <w:rsid w:val="00037B38"/>
    <w:rsid w:val="0004098B"/>
    <w:rsid w:val="00041E6A"/>
    <w:rsid w:val="00043760"/>
    <w:rsid w:val="000446E7"/>
    <w:rsid w:val="00045673"/>
    <w:rsid w:val="0004621D"/>
    <w:rsid w:val="00047DBD"/>
    <w:rsid w:val="000517D3"/>
    <w:rsid w:val="00055113"/>
    <w:rsid w:val="000558A8"/>
    <w:rsid w:val="00060D7A"/>
    <w:rsid w:val="0006177F"/>
    <w:rsid w:val="00066D8C"/>
    <w:rsid w:val="00070924"/>
    <w:rsid w:val="00070A71"/>
    <w:rsid w:val="00070D0C"/>
    <w:rsid w:val="0007121A"/>
    <w:rsid w:val="000717F3"/>
    <w:rsid w:val="0007305B"/>
    <w:rsid w:val="00074476"/>
    <w:rsid w:val="0007478F"/>
    <w:rsid w:val="00074A3A"/>
    <w:rsid w:val="00075261"/>
    <w:rsid w:val="00076101"/>
    <w:rsid w:val="000761BD"/>
    <w:rsid w:val="000768E6"/>
    <w:rsid w:val="00077A1B"/>
    <w:rsid w:val="0008349D"/>
    <w:rsid w:val="00083A0A"/>
    <w:rsid w:val="00084081"/>
    <w:rsid w:val="00084FB1"/>
    <w:rsid w:val="00090E7D"/>
    <w:rsid w:val="00090F22"/>
    <w:rsid w:val="0009157D"/>
    <w:rsid w:val="000919D5"/>
    <w:rsid w:val="00094C32"/>
    <w:rsid w:val="000950F7"/>
    <w:rsid w:val="000956E8"/>
    <w:rsid w:val="00095813"/>
    <w:rsid w:val="000A157D"/>
    <w:rsid w:val="000A1C46"/>
    <w:rsid w:val="000A2EAA"/>
    <w:rsid w:val="000A3373"/>
    <w:rsid w:val="000A3678"/>
    <w:rsid w:val="000A3D84"/>
    <w:rsid w:val="000A5387"/>
    <w:rsid w:val="000A5683"/>
    <w:rsid w:val="000A6F7F"/>
    <w:rsid w:val="000A6FB2"/>
    <w:rsid w:val="000A7361"/>
    <w:rsid w:val="000B1889"/>
    <w:rsid w:val="000B3166"/>
    <w:rsid w:val="000B373B"/>
    <w:rsid w:val="000B427E"/>
    <w:rsid w:val="000B77D1"/>
    <w:rsid w:val="000C06B9"/>
    <w:rsid w:val="000C0CAF"/>
    <w:rsid w:val="000C1FC8"/>
    <w:rsid w:val="000C24A6"/>
    <w:rsid w:val="000C2868"/>
    <w:rsid w:val="000C2B16"/>
    <w:rsid w:val="000C33C2"/>
    <w:rsid w:val="000C4740"/>
    <w:rsid w:val="000C4E88"/>
    <w:rsid w:val="000C5F50"/>
    <w:rsid w:val="000C60FA"/>
    <w:rsid w:val="000D09E6"/>
    <w:rsid w:val="000D1199"/>
    <w:rsid w:val="000D1F65"/>
    <w:rsid w:val="000D41F4"/>
    <w:rsid w:val="000D4336"/>
    <w:rsid w:val="000D4603"/>
    <w:rsid w:val="000D517A"/>
    <w:rsid w:val="000D65FF"/>
    <w:rsid w:val="000E02C0"/>
    <w:rsid w:val="000E0B00"/>
    <w:rsid w:val="000E11E0"/>
    <w:rsid w:val="000E121D"/>
    <w:rsid w:val="000E1BA0"/>
    <w:rsid w:val="000E1EBD"/>
    <w:rsid w:val="000E487A"/>
    <w:rsid w:val="000E5608"/>
    <w:rsid w:val="000E5673"/>
    <w:rsid w:val="000E5739"/>
    <w:rsid w:val="000E5A74"/>
    <w:rsid w:val="000E5F1F"/>
    <w:rsid w:val="000E6884"/>
    <w:rsid w:val="000F34E5"/>
    <w:rsid w:val="000F38D0"/>
    <w:rsid w:val="000F5565"/>
    <w:rsid w:val="000F5B01"/>
    <w:rsid w:val="000F5E35"/>
    <w:rsid w:val="000F7764"/>
    <w:rsid w:val="001016FE"/>
    <w:rsid w:val="001021E1"/>
    <w:rsid w:val="00103F91"/>
    <w:rsid w:val="001053CE"/>
    <w:rsid w:val="001053DD"/>
    <w:rsid w:val="00105918"/>
    <w:rsid w:val="001104DA"/>
    <w:rsid w:val="00112CCA"/>
    <w:rsid w:val="00114E9E"/>
    <w:rsid w:val="00115F4D"/>
    <w:rsid w:val="00117C02"/>
    <w:rsid w:val="0012149D"/>
    <w:rsid w:val="00121577"/>
    <w:rsid w:val="001230D9"/>
    <w:rsid w:val="00123A3D"/>
    <w:rsid w:val="00125096"/>
    <w:rsid w:val="001252FC"/>
    <w:rsid w:val="00131007"/>
    <w:rsid w:val="0013328E"/>
    <w:rsid w:val="0013375E"/>
    <w:rsid w:val="001374F3"/>
    <w:rsid w:val="001378D9"/>
    <w:rsid w:val="00140476"/>
    <w:rsid w:val="001412EF"/>
    <w:rsid w:val="001424FB"/>
    <w:rsid w:val="00142F66"/>
    <w:rsid w:val="001432F0"/>
    <w:rsid w:val="001440D0"/>
    <w:rsid w:val="001451AA"/>
    <w:rsid w:val="00146C58"/>
    <w:rsid w:val="00147089"/>
    <w:rsid w:val="001476B7"/>
    <w:rsid w:val="00150452"/>
    <w:rsid w:val="001529E2"/>
    <w:rsid w:val="00153611"/>
    <w:rsid w:val="00153849"/>
    <w:rsid w:val="00153D7E"/>
    <w:rsid w:val="0015433A"/>
    <w:rsid w:val="001576D9"/>
    <w:rsid w:val="00157D6E"/>
    <w:rsid w:val="0016255B"/>
    <w:rsid w:val="00163950"/>
    <w:rsid w:val="001640F0"/>
    <w:rsid w:val="00164A65"/>
    <w:rsid w:val="0016610B"/>
    <w:rsid w:val="0017051C"/>
    <w:rsid w:val="0017387B"/>
    <w:rsid w:val="001775D4"/>
    <w:rsid w:val="001816A7"/>
    <w:rsid w:val="001837B6"/>
    <w:rsid w:val="0018457F"/>
    <w:rsid w:val="00184BBC"/>
    <w:rsid w:val="00186987"/>
    <w:rsid w:val="0018762F"/>
    <w:rsid w:val="00192059"/>
    <w:rsid w:val="00192C51"/>
    <w:rsid w:val="00192F62"/>
    <w:rsid w:val="00193C5A"/>
    <w:rsid w:val="00197C3B"/>
    <w:rsid w:val="001A129E"/>
    <w:rsid w:val="001A1AB0"/>
    <w:rsid w:val="001A1BB2"/>
    <w:rsid w:val="001A1FC2"/>
    <w:rsid w:val="001A229E"/>
    <w:rsid w:val="001A2361"/>
    <w:rsid w:val="001A2ABE"/>
    <w:rsid w:val="001A34E2"/>
    <w:rsid w:val="001A4447"/>
    <w:rsid w:val="001A4ABB"/>
    <w:rsid w:val="001A56AA"/>
    <w:rsid w:val="001A5BAA"/>
    <w:rsid w:val="001A608D"/>
    <w:rsid w:val="001A725C"/>
    <w:rsid w:val="001A7D52"/>
    <w:rsid w:val="001B03D0"/>
    <w:rsid w:val="001B09A9"/>
    <w:rsid w:val="001B1F23"/>
    <w:rsid w:val="001B25C5"/>
    <w:rsid w:val="001B260E"/>
    <w:rsid w:val="001B26F7"/>
    <w:rsid w:val="001B2841"/>
    <w:rsid w:val="001B2872"/>
    <w:rsid w:val="001B6193"/>
    <w:rsid w:val="001B6DE4"/>
    <w:rsid w:val="001B700D"/>
    <w:rsid w:val="001C0A16"/>
    <w:rsid w:val="001C1224"/>
    <w:rsid w:val="001C13C8"/>
    <w:rsid w:val="001C2167"/>
    <w:rsid w:val="001C55DA"/>
    <w:rsid w:val="001C7F74"/>
    <w:rsid w:val="001D042A"/>
    <w:rsid w:val="001D0DE4"/>
    <w:rsid w:val="001D1B03"/>
    <w:rsid w:val="001D26A7"/>
    <w:rsid w:val="001D282A"/>
    <w:rsid w:val="001D34D8"/>
    <w:rsid w:val="001D47A6"/>
    <w:rsid w:val="001D6FE0"/>
    <w:rsid w:val="001D7DD9"/>
    <w:rsid w:val="001E133D"/>
    <w:rsid w:val="001E1873"/>
    <w:rsid w:val="001E2693"/>
    <w:rsid w:val="001E3401"/>
    <w:rsid w:val="001E3677"/>
    <w:rsid w:val="001E38BC"/>
    <w:rsid w:val="001E6129"/>
    <w:rsid w:val="001E733B"/>
    <w:rsid w:val="001E7D1E"/>
    <w:rsid w:val="001F0066"/>
    <w:rsid w:val="001F071D"/>
    <w:rsid w:val="001F10C7"/>
    <w:rsid w:val="001F1914"/>
    <w:rsid w:val="001F410D"/>
    <w:rsid w:val="001F5336"/>
    <w:rsid w:val="001F5B85"/>
    <w:rsid w:val="001F6F19"/>
    <w:rsid w:val="00200D09"/>
    <w:rsid w:val="002018B0"/>
    <w:rsid w:val="00206018"/>
    <w:rsid w:val="002067F3"/>
    <w:rsid w:val="0020729D"/>
    <w:rsid w:val="002134E2"/>
    <w:rsid w:val="00214518"/>
    <w:rsid w:val="00214730"/>
    <w:rsid w:val="00217F7C"/>
    <w:rsid w:val="00221671"/>
    <w:rsid w:val="002224D0"/>
    <w:rsid w:val="00223019"/>
    <w:rsid w:val="00223214"/>
    <w:rsid w:val="00223873"/>
    <w:rsid w:val="00224B23"/>
    <w:rsid w:val="00225FAF"/>
    <w:rsid w:val="00227A57"/>
    <w:rsid w:val="00231726"/>
    <w:rsid w:val="00231899"/>
    <w:rsid w:val="0023372F"/>
    <w:rsid w:val="00234AD5"/>
    <w:rsid w:val="00235A70"/>
    <w:rsid w:val="00236EE5"/>
    <w:rsid w:val="00240506"/>
    <w:rsid w:val="00241AD5"/>
    <w:rsid w:val="00242504"/>
    <w:rsid w:val="00244A58"/>
    <w:rsid w:val="00245722"/>
    <w:rsid w:val="00245FD8"/>
    <w:rsid w:val="002461C9"/>
    <w:rsid w:val="002465E3"/>
    <w:rsid w:val="002475F6"/>
    <w:rsid w:val="0025004F"/>
    <w:rsid w:val="00251494"/>
    <w:rsid w:val="0025255E"/>
    <w:rsid w:val="00253B3B"/>
    <w:rsid w:val="00254DB7"/>
    <w:rsid w:val="00254E72"/>
    <w:rsid w:val="00256933"/>
    <w:rsid w:val="00260C60"/>
    <w:rsid w:val="002620FD"/>
    <w:rsid w:val="002631D0"/>
    <w:rsid w:val="002634EC"/>
    <w:rsid w:val="00263919"/>
    <w:rsid w:val="002642D5"/>
    <w:rsid w:val="0026467F"/>
    <w:rsid w:val="00264C3A"/>
    <w:rsid w:val="0026505C"/>
    <w:rsid w:val="00265A90"/>
    <w:rsid w:val="00265B50"/>
    <w:rsid w:val="00265E17"/>
    <w:rsid w:val="00270C4C"/>
    <w:rsid w:val="00271039"/>
    <w:rsid w:val="002752A6"/>
    <w:rsid w:val="00276A22"/>
    <w:rsid w:val="00277B65"/>
    <w:rsid w:val="002806BA"/>
    <w:rsid w:val="002806F9"/>
    <w:rsid w:val="0028096C"/>
    <w:rsid w:val="00283A13"/>
    <w:rsid w:val="0028413C"/>
    <w:rsid w:val="00284F52"/>
    <w:rsid w:val="00285CDD"/>
    <w:rsid w:val="002869F2"/>
    <w:rsid w:val="00287939"/>
    <w:rsid w:val="00290EEC"/>
    <w:rsid w:val="00291681"/>
    <w:rsid w:val="002923BA"/>
    <w:rsid w:val="00294AB1"/>
    <w:rsid w:val="00295503"/>
    <w:rsid w:val="00295BC0"/>
    <w:rsid w:val="00296E0A"/>
    <w:rsid w:val="002978B6"/>
    <w:rsid w:val="00297EEA"/>
    <w:rsid w:val="002A0EF5"/>
    <w:rsid w:val="002A1FFB"/>
    <w:rsid w:val="002A2ABA"/>
    <w:rsid w:val="002A3550"/>
    <w:rsid w:val="002A4AD5"/>
    <w:rsid w:val="002A5060"/>
    <w:rsid w:val="002A6329"/>
    <w:rsid w:val="002A7064"/>
    <w:rsid w:val="002A7399"/>
    <w:rsid w:val="002A7A4D"/>
    <w:rsid w:val="002A7CD1"/>
    <w:rsid w:val="002B00F6"/>
    <w:rsid w:val="002B12F1"/>
    <w:rsid w:val="002B22C3"/>
    <w:rsid w:val="002B25B8"/>
    <w:rsid w:val="002B2787"/>
    <w:rsid w:val="002B39F0"/>
    <w:rsid w:val="002B3CEC"/>
    <w:rsid w:val="002C06BF"/>
    <w:rsid w:val="002C105C"/>
    <w:rsid w:val="002C21A3"/>
    <w:rsid w:val="002C241D"/>
    <w:rsid w:val="002C4121"/>
    <w:rsid w:val="002C5191"/>
    <w:rsid w:val="002C70B2"/>
    <w:rsid w:val="002D07D9"/>
    <w:rsid w:val="002D1C72"/>
    <w:rsid w:val="002D5835"/>
    <w:rsid w:val="002D68ED"/>
    <w:rsid w:val="002D71D8"/>
    <w:rsid w:val="002D76F0"/>
    <w:rsid w:val="002E0E57"/>
    <w:rsid w:val="002E1302"/>
    <w:rsid w:val="002E2378"/>
    <w:rsid w:val="002E24E7"/>
    <w:rsid w:val="002E2503"/>
    <w:rsid w:val="002E3416"/>
    <w:rsid w:val="002E3711"/>
    <w:rsid w:val="002E5947"/>
    <w:rsid w:val="002E59C0"/>
    <w:rsid w:val="002E635F"/>
    <w:rsid w:val="002E661F"/>
    <w:rsid w:val="002E75B7"/>
    <w:rsid w:val="002E7C02"/>
    <w:rsid w:val="002F14BC"/>
    <w:rsid w:val="002F14C0"/>
    <w:rsid w:val="002F4D22"/>
    <w:rsid w:val="002F4F1C"/>
    <w:rsid w:val="002F69FC"/>
    <w:rsid w:val="002F7694"/>
    <w:rsid w:val="00300A9A"/>
    <w:rsid w:val="00300B33"/>
    <w:rsid w:val="0030307F"/>
    <w:rsid w:val="003038A7"/>
    <w:rsid w:val="00304879"/>
    <w:rsid w:val="00305397"/>
    <w:rsid w:val="003070EB"/>
    <w:rsid w:val="00307889"/>
    <w:rsid w:val="00311400"/>
    <w:rsid w:val="003120E9"/>
    <w:rsid w:val="0031250E"/>
    <w:rsid w:val="00312CDC"/>
    <w:rsid w:val="0031441E"/>
    <w:rsid w:val="00314AA4"/>
    <w:rsid w:val="003161F8"/>
    <w:rsid w:val="00317293"/>
    <w:rsid w:val="00317C36"/>
    <w:rsid w:val="00317F43"/>
    <w:rsid w:val="003201B9"/>
    <w:rsid w:val="00320A82"/>
    <w:rsid w:val="00322A39"/>
    <w:rsid w:val="0032492D"/>
    <w:rsid w:val="00324A5F"/>
    <w:rsid w:val="00325295"/>
    <w:rsid w:val="003278F1"/>
    <w:rsid w:val="00331922"/>
    <w:rsid w:val="003342C0"/>
    <w:rsid w:val="003347CF"/>
    <w:rsid w:val="00335E05"/>
    <w:rsid w:val="00336B75"/>
    <w:rsid w:val="00340373"/>
    <w:rsid w:val="00340F30"/>
    <w:rsid w:val="00343BCA"/>
    <w:rsid w:val="003450D0"/>
    <w:rsid w:val="0034696E"/>
    <w:rsid w:val="00347603"/>
    <w:rsid w:val="00350312"/>
    <w:rsid w:val="003513C1"/>
    <w:rsid w:val="00352758"/>
    <w:rsid w:val="0035297C"/>
    <w:rsid w:val="003573AC"/>
    <w:rsid w:val="0035751D"/>
    <w:rsid w:val="00361FC7"/>
    <w:rsid w:val="00362150"/>
    <w:rsid w:val="00362996"/>
    <w:rsid w:val="00362A61"/>
    <w:rsid w:val="003635B0"/>
    <w:rsid w:val="0036764A"/>
    <w:rsid w:val="00370546"/>
    <w:rsid w:val="0037307D"/>
    <w:rsid w:val="003746EF"/>
    <w:rsid w:val="00374B0F"/>
    <w:rsid w:val="00376457"/>
    <w:rsid w:val="00376CFE"/>
    <w:rsid w:val="00376F5B"/>
    <w:rsid w:val="00377FC8"/>
    <w:rsid w:val="00380B59"/>
    <w:rsid w:val="0038100F"/>
    <w:rsid w:val="003812B5"/>
    <w:rsid w:val="00381B87"/>
    <w:rsid w:val="00381C7A"/>
    <w:rsid w:val="00385B6B"/>
    <w:rsid w:val="003865CC"/>
    <w:rsid w:val="00387052"/>
    <w:rsid w:val="00390667"/>
    <w:rsid w:val="0039219A"/>
    <w:rsid w:val="00392BE5"/>
    <w:rsid w:val="00393459"/>
    <w:rsid w:val="0039371A"/>
    <w:rsid w:val="0039454A"/>
    <w:rsid w:val="003952EF"/>
    <w:rsid w:val="00395ABB"/>
    <w:rsid w:val="00396E04"/>
    <w:rsid w:val="003978F4"/>
    <w:rsid w:val="003A121C"/>
    <w:rsid w:val="003A1442"/>
    <w:rsid w:val="003A2D9A"/>
    <w:rsid w:val="003A5B23"/>
    <w:rsid w:val="003A6887"/>
    <w:rsid w:val="003B0065"/>
    <w:rsid w:val="003B0FA4"/>
    <w:rsid w:val="003B1249"/>
    <w:rsid w:val="003B12D5"/>
    <w:rsid w:val="003B3305"/>
    <w:rsid w:val="003B457B"/>
    <w:rsid w:val="003B4A8A"/>
    <w:rsid w:val="003B5202"/>
    <w:rsid w:val="003B75A0"/>
    <w:rsid w:val="003C1600"/>
    <w:rsid w:val="003C347B"/>
    <w:rsid w:val="003C4FBE"/>
    <w:rsid w:val="003C69DB"/>
    <w:rsid w:val="003D0321"/>
    <w:rsid w:val="003D0420"/>
    <w:rsid w:val="003D3495"/>
    <w:rsid w:val="003E0839"/>
    <w:rsid w:val="003E0ED6"/>
    <w:rsid w:val="003E1562"/>
    <w:rsid w:val="003E20C0"/>
    <w:rsid w:val="003E25FA"/>
    <w:rsid w:val="003E61CC"/>
    <w:rsid w:val="003E7857"/>
    <w:rsid w:val="003E7A06"/>
    <w:rsid w:val="003F09D1"/>
    <w:rsid w:val="003F24B3"/>
    <w:rsid w:val="003F3E53"/>
    <w:rsid w:val="003F4EA8"/>
    <w:rsid w:val="003F5583"/>
    <w:rsid w:val="003F6543"/>
    <w:rsid w:val="003F6A8A"/>
    <w:rsid w:val="003F6D93"/>
    <w:rsid w:val="003F7360"/>
    <w:rsid w:val="00400092"/>
    <w:rsid w:val="00403387"/>
    <w:rsid w:val="004042EA"/>
    <w:rsid w:val="004047DC"/>
    <w:rsid w:val="0040554F"/>
    <w:rsid w:val="00406F4E"/>
    <w:rsid w:val="00407DD1"/>
    <w:rsid w:val="00410C10"/>
    <w:rsid w:val="00411AC7"/>
    <w:rsid w:val="004127AF"/>
    <w:rsid w:val="00413D9A"/>
    <w:rsid w:val="00417378"/>
    <w:rsid w:val="0041761C"/>
    <w:rsid w:val="00417F9C"/>
    <w:rsid w:val="004203EE"/>
    <w:rsid w:val="00420F95"/>
    <w:rsid w:val="00421E15"/>
    <w:rsid w:val="00421E8D"/>
    <w:rsid w:val="0042309A"/>
    <w:rsid w:val="00423424"/>
    <w:rsid w:val="0042557D"/>
    <w:rsid w:val="00426608"/>
    <w:rsid w:val="00426C2B"/>
    <w:rsid w:val="00430FFD"/>
    <w:rsid w:val="00433406"/>
    <w:rsid w:val="00434487"/>
    <w:rsid w:val="00435151"/>
    <w:rsid w:val="00436456"/>
    <w:rsid w:val="004364E3"/>
    <w:rsid w:val="00436B79"/>
    <w:rsid w:val="00436E7E"/>
    <w:rsid w:val="0043703C"/>
    <w:rsid w:val="004371AF"/>
    <w:rsid w:val="00440451"/>
    <w:rsid w:val="004411A4"/>
    <w:rsid w:val="00441551"/>
    <w:rsid w:val="00441B30"/>
    <w:rsid w:val="004426CA"/>
    <w:rsid w:val="004447EB"/>
    <w:rsid w:val="00445A87"/>
    <w:rsid w:val="004477AB"/>
    <w:rsid w:val="00450D0A"/>
    <w:rsid w:val="004516C1"/>
    <w:rsid w:val="004532C5"/>
    <w:rsid w:val="00456218"/>
    <w:rsid w:val="004603DA"/>
    <w:rsid w:val="00460426"/>
    <w:rsid w:val="0046200B"/>
    <w:rsid w:val="004637E3"/>
    <w:rsid w:val="004646BA"/>
    <w:rsid w:val="00464B34"/>
    <w:rsid w:val="00464F9C"/>
    <w:rsid w:val="004668F3"/>
    <w:rsid w:val="0047017A"/>
    <w:rsid w:val="00471DD6"/>
    <w:rsid w:val="00473365"/>
    <w:rsid w:val="00474A83"/>
    <w:rsid w:val="00475FA3"/>
    <w:rsid w:val="00481CB4"/>
    <w:rsid w:val="00482C16"/>
    <w:rsid w:val="00486A67"/>
    <w:rsid w:val="0049160A"/>
    <w:rsid w:val="0049288A"/>
    <w:rsid w:val="00493B65"/>
    <w:rsid w:val="004949A7"/>
    <w:rsid w:val="00494F2B"/>
    <w:rsid w:val="00495222"/>
    <w:rsid w:val="0049692D"/>
    <w:rsid w:val="00496AD3"/>
    <w:rsid w:val="00496C91"/>
    <w:rsid w:val="00496EFB"/>
    <w:rsid w:val="00497334"/>
    <w:rsid w:val="00497344"/>
    <w:rsid w:val="00497D92"/>
    <w:rsid w:val="004A12E4"/>
    <w:rsid w:val="004A26FE"/>
    <w:rsid w:val="004A3FE2"/>
    <w:rsid w:val="004A5B31"/>
    <w:rsid w:val="004A64A1"/>
    <w:rsid w:val="004A67F1"/>
    <w:rsid w:val="004A6B91"/>
    <w:rsid w:val="004A7A1F"/>
    <w:rsid w:val="004B164F"/>
    <w:rsid w:val="004B2B57"/>
    <w:rsid w:val="004B2E08"/>
    <w:rsid w:val="004B559D"/>
    <w:rsid w:val="004B57FC"/>
    <w:rsid w:val="004B5DED"/>
    <w:rsid w:val="004B5EB6"/>
    <w:rsid w:val="004B68AF"/>
    <w:rsid w:val="004B7632"/>
    <w:rsid w:val="004B7F47"/>
    <w:rsid w:val="004C1686"/>
    <w:rsid w:val="004C1A1E"/>
    <w:rsid w:val="004C2500"/>
    <w:rsid w:val="004C2C04"/>
    <w:rsid w:val="004C2FE6"/>
    <w:rsid w:val="004C35CC"/>
    <w:rsid w:val="004C4634"/>
    <w:rsid w:val="004C52D8"/>
    <w:rsid w:val="004C7786"/>
    <w:rsid w:val="004D2546"/>
    <w:rsid w:val="004D2728"/>
    <w:rsid w:val="004D322A"/>
    <w:rsid w:val="004D3738"/>
    <w:rsid w:val="004D3A3B"/>
    <w:rsid w:val="004E05BF"/>
    <w:rsid w:val="004E065D"/>
    <w:rsid w:val="004E06C5"/>
    <w:rsid w:val="004E0768"/>
    <w:rsid w:val="004E24F2"/>
    <w:rsid w:val="004E2904"/>
    <w:rsid w:val="004E3244"/>
    <w:rsid w:val="004E4086"/>
    <w:rsid w:val="004E46EC"/>
    <w:rsid w:val="004E54EE"/>
    <w:rsid w:val="004E5D1B"/>
    <w:rsid w:val="004E5E18"/>
    <w:rsid w:val="004F09FD"/>
    <w:rsid w:val="004F0F2A"/>
    <w:rsid w:val="004F21C7"/>
    <w:rsid w:val="004F37FD"/>
    <w:rsid w:val="004F5B67"/>
    <w:rsid w:val="004F6E20"/>
    <w:rsid w:val="004F7E93"/>
    <w:rsid w:val="005006AF"/>
    <w:rsid w:val="00501170"/>
    <w:rsid w:val="00502321"/>
    <w:rsid w:val="00502E78"/>
    <w:rsid w:val="0050399C"/>
    <w:rsid w:val="00506790"/>
    <w:rsid w:val="0050771A"/>
    <w:rsid w:val="005079B5"/>
    <w:rsid w:val="00507F4E"/>
    <w:rsid w:val="00511A95"/>
    <w:rsid w:val="005136D5"/>
    <w:rsid w:val="0051658E"/>
    <w:rsid w:val="00516EB8"/>
    <w:rsid w:val="005203B7"/>
    <w:rsid w:val="005219F2"/>
    <w:rsid w:val="00522C42"/>
    <w:rsid w:val="00522EB1"/>
    <w:rsid w:val="00522FC4"/>
    <w:rsid w:val="0052337E"/>
    <w:rsid w:val="00523662"/>
    <w:rsid w:val="00523A04"/>
    <w:rsid w:val="00523A48"/>
    <w:rsid w:val="005242AF"/>
    <w:rsid w:val="005247B1"/>
    <w:rsid w:val="00524F99"/>
    <w:rsid w:val="00525E18"/>
    <w:rsid w:val="00526011"/>
    <w:rsid w:val="00527543"/>
    <w:rsid w:val="005310D6"/>
    <w:rsid w:val="00535017"/>
    <w:rsid w:val="0053524A"/>
    <w:rsid w:val="0053561F"/>
    <w:rsid w:val="00537044"/>
    <w:rsid w:val="00537418"/>
    <w:rsid w:val="00543007"/>
    <w:rsid w:val="005431AD"/>
    <w:rsid w:val="00544E36"/>
    <w:rsid w:val="005450F4"/>
    <w:rsid w:val="005452D1"/>
    <w:rsid w:val="00546BC7"/>
    <w:rsid w:val="00547605"/>
    <w:rsid w:val="00547617"/>
    <w:rsid w:val="00552425"/>
    <w:rsid w:val="00552A2E"/>
    <w:rsid w:val="00553312"/>
    <w:rsid w:val="00553D4B"/>
    <w:rsid w:val="00554E02"/>
    <w:rsid w:val="005571A3"/>
    <w:rsid w:val="0055736B"/>
    <w:rsid w:val="00557602"/>
    <w:rsid w:val="00557BD9"/>
    <w:rsid w:val="00564A2C"/>
    <w:rsid w:val="00564C41"/>
    <w:rsid w:val="00564E6F"/>
    <w:rsid w:val="00564FEA"/>
    <w:rsid w:val="005651C2"/>
    <w:rsid w:val="00566F87"/>
    <w:rsid w:val="00567C8F"/>
    <w:rsid w:val="005707FB"/>
    <w:rsid w:val="00571F50"/>
    <w:rsid w:val="00572C6C"/>
    <w:rsid w:val="0057362F"/>
    <w:rsid w:val="00573D1B"/>
    <w:rsid w:val="00575566"/>
    <w:rsid w:val="005758B3"/>
    <w:rsid w:val="005779CA"/>
    <w:rsid w:val="005812A1"/>
    <w:rsid w:val="005825CD"/>
    <w:rsid w:val="00583DE1"/>
    <w:rsid w:val="005875BF"/>
    <w:rsid w:val="005911A3"/>
    <w:rsid w:val="00592152"/>
    <w:rsid w:val="0059216D"/>
    <w:rsid w:val="00594C76"/>
    <w:rsid w:val="005953F8"/>
    <w:rsid w:val="005A0B86"/>
    <w:rsid w:val="005A14F5"/>
    <w:rsid w:val="005A1F29"/>
    <w:rsid w:val="005A3407"/>
    <w:rsid w:val="005A4A72"/>
    <w:rsid w:val="005A7214"/>
    <w:rsid w:val="005A786C"/>
    <w:rsid w:val="005B334B"/>
    <w:rsid w:val="005B3AB1"/>
    <w:rsid w:val="005B3ACF"/>
    <w:rsid w:val="005B41FD"/>
    <w:rsid w:val="005B433C"/>
    <w:rsid w:val="005B46D9"/>
    <w:rsid w:val="005B5486"/>
    <w:rsid w:val="005B7784"/>
    <w:rsid w:val="005C0C07"/>
    <w:rsid w:val="005C1D85"/>
    <w:rsid w:val="005C27E5"/>
    <w:rsid w:val="005C2A0F"/>
    <w:rsid w:val="005C5A76"/>
    <w:rsid w:val="005C5F27"/>
    <w:rsid w:val="005C7FFD"/>
    <w:rsid w:val="005D1769"/>
    <w:rsid w:val="005D1F2C"/>
    <w:rsid w:val="005D2C92"/>
    <w:rsid w:val="005D386E"/>
    <w:rsid w:val="005D581B"/>
    <w:rsid w:val="005D5A11"/>
    <w:rsid w:val="005D61CD"/>
    <w:rsid w:val="005E1173"/>
    <w:rsid w:val="005E5B7E"/>
    <w:rsid w:val="005E613D"/>
    <w:rsid w:val="005E7AA5"/>
    <w:rsid w:val="005F0B26"/>
    <w:rsid w:val="005F1A01"/>
    <w:rsid w:val="005F3D13"/>
    <w:rsid w:val="005F416C"/>
    <w:rsid w:val="005F693A"/>
    <w:rsid w:val="005F6A6D"/>
    <w:rsid w:val="00600409"/>
    <w:rsid w:val="00601F9A"/>
    <w:rsid w:val="00602D1E"/>
    <w:rsid w:val="00602FC2"/>
    <w:rsid w:val="006048B0"/>
    <w:rsid w:val="00610001"/>
    <w:rsid w:val="00611346"/>
    <w:rsid w:val="0061179D"/>
    <w:rsid w:val="0061196C"/>
    <w:rsid w:val="006119AC"/>
    <w:rsid w:val="0061361D"/>
    <w:rsid w:val="00613F7A"/>
    <w:rsid w:val="00614D9B"/>
    <w:rsid w:val="00614D9E"/>
    <w:rsid w:val="0061695D"/>
    <w:rsid w:val="00617278"/>
    <w:rsid w:val="006173BB"/>
    <w:rsid w:val="006177BF"/>
    <w:rsid w:val="00620D1A"/>
    <w:rsid w:val="006216A9"/>
    <w:rsid w:val="00622184"/>
    <w:rsid w:val="00625F60"/>
    <w:rsid w:val="00626119"/>
    <w:rsid w:val="00626811"/>
    <w:rsid w:val="006271CA"/>
    <w:rsid w:val="006274E6"/>
    <w:rsid w:val="00627ECA"/>
    <w:rsid w:val="006303AC"/>
    <w:rsid w:val="00631956"/>
    <w:rsid w:val="006347C7"/>
    <w:rsid w:val="00634D23"/>
    <w:rsid w:val="00635AA1"/>
    <w:rsid w:val="0064102C"/>
    <w:rsid w:val="00641430"/>
    <w:rsid w:val="006416B4"/>
    <w:rsid w:val="00641877"/>
    <w:rsid w:val="0064290D"/>
    <w:rsid w:val="0064385F"/>
    <w:rsid w:val="006438ED"/>
    <w:rsid w:val="00643918"/>
    <w:rsid w:val="00644DA9"/>
    <w:rsid w:val="00644EEC"/>
    <w:rsid w:val="006501D0"/>
    <w:rsid w:val="00650DAC"/>
    <w:rsid w:val="00655CF2"/>
    <w:rsid w:val="00656149"/>
    <w:rsid w:val="006568BE"/>
    <w:rsid w:val="006572AB"/>
    <w:rsid w:val="00657DD1"/>
    <w:rsid w:val="00660466"/>
    <w:rsid w:val="006621E5"/>
    <w:rsid w:val="0066403D"/>
    <w:rsid w:val="006668D8"/>
    <w:rsid w:val="00666DED"/>
    <w:rsid w:val="006670B8"/>
    <w:rsid w:val="006701E9"/>
    <w:rsid w:val="00670886"/>
    <w:rsid w:val="006711FE"/>
    <w:rsid w:val="00671684"/>
    <w:rsid w:val="00672582"/>
    <w:rsid w:val="006743CE"/>
    <w:rsid w:val="00674847"/>
    <w:rsid w:val="00674CB6"/>
    <w:rsid w:val="00677296"/>
    <w:rsid w:val="00677D2C"/>
    <w:rsid w:val="00680921"/>
    <w:rsid w:val="0068104D"/>
    <w:rsid w:val="00681798"/>
    <w:rsid w:val="006847FF"/>
    <w:rsid w:val="006866B0"/>
    <w:rsid w:val="006866D8"/>
    <w:rsid w:val="00690169"/>
    <w:rsid w:val="00690C79"/>
    <w:rsid w:val="006910A2"/>
    <w:rsid w:val="006910B5"/>
    <w:rsid w:val="00693897"/>
    <w:rsid w:val="00693A33"/>
    <w:rsid w:val="006A0001"/>
    <w:rsid w:val="006A02B4"/>
    <w:rsid w:val="006A0C47"/>
    <w:rsid w:val="006A30C4"/>
    <w:rsid w:val="006A53DB"/>
    <w:rsid w:val="006A5511"/>
    <w:rsid w:val="006A724A"/>
    <w:rsid w:val="006B0224"/>
    <w:rsid w:val="006B026F"/>
    <w:rsid w:val="006B038A"/>
    <w:rsid w:val="006B10F8"/>
    <w:rsid w:val="006B34C3"/>
    <w:rsid w:val="006B3974"/>
    <w:rsid w:val="006B636B"/>
    <w:rsid w:val="006B6D81"/>
    <w:rsid w:val="006B71C2"/>
    <w:rsid w:val="006B7560"/>
    <w:rsid w:val="006C303B"/>
    <w:rsid w:val="006C5E94"/>
    <w:rsid w:val="006C5F7A"/>
    <w:rsid w:val="006C6180"/>
    <w:rsid w:val="006C6891"/>
    <w:rsid w:val="006C7506"/>
    <w:rsid w:val="006C76F2"/>
    <w:rsid w:val="006D3B5B"/>
    <w:rsid w:val="006D54D4"/>
    <w:rsid w:val="006D5582"/>
    <w:rsid w:val="006E041A"/>
    <w:rsid w:val="006E045C"/>
    <w:rsid w:val="006E1B56"/>
    <w:rsid w:val="006E3E9F"/>
    <w:rsid w:val="006E63F8"/>
    <w:rsid w:val="006F0A8B"/>
    <w:rsid w:val="006F0BA4"/>
    <w:rsid w:val="006F137E"/>
    <w:rsid w:val="006F1D0B"/>
    <w:rsid w:val="006F27B2"/>
    <w:rsid w:val="006F523B"/>
    <w:rsid w:val="006F68C7"/>
    <w:rsid w:val="007011EE"/>
    <w:rsid w:val="007013FF"/>
    <w:rsid w:val="00701D53"/>
    <w:rsid w:val="00702352"/>
    <w:rsid w:val="007047AA"/>
    <w:rsid w:val="0070502B"/>
    <w:rsid w:val="007055F0"/>
    <w:rsid w:val="007077FE"/>
    <w:rsid w:val="00710D83"/>
    <w:rsid w:val="00710E7C"/>
    <w:rsid w:val="00711406"/>
    <w:rsid w:val="007114DD"/>
    <w:rsid w:val="00711E35"/>
    <w:rsid w:val="00711FDA"/>
    <w:rsid w:val="00712E78"/>
    <w:rsid w:val="00712F02"/>
    <w:rsid w:val="007141DA"/>
    <w:rsid w:val="00714DFD"/>
    <w:rsid w:val="00716444"/>
    <w:rsid w:val="00717454"/>
    <w:rsid w:val="007205F5"/>
    <w:rsid w:val="00720897"/>
    <w:rsid w:val="007216C0"/>
    <w:rsid w:val="00721A6E"/>
    <w:rsid w:val="00721B9E"/>
    <w:rsid w:val="0072325D"/>
    <w:rsid w:val="00723818"/>
    <w:rsid w:val="00723AEF"/>
    <w:rsid w:val="0072528D"/>
    <w:rsid w:val="007253C0"/>
    <w:rsid w:val="0072795E"/>
    <w:rsid w:val="00727E4B"/>
    <w:rsid w:val="007306C9"/>
    <w:rsid w:val="00731FC3"/>
    <w:rsid w:val="00733516"/>
    <w:rsid w:val="00733E3E"/>
    <w:rsid w:val="00736E4C"/>
    <w:rsid w:val="007371A2"/>
    <w:rsid w:val="007377F5"/>
    <w:rsid w:val="00737B32"/>
    <w:rsid w:val="00737F01"/>
    <w:rsid w:val="00740F96"/>
    <w:rsid w:val="00741C39"/>
    <w:rsid w:val="00742CBC"/>
    <w:rsid w:val="00742ED6"/>
    <w:rsid w:val="007444C8"/>
    <w:rsid w:val="007447E2"/>
    <w:rsid w:val="00747D3C"/>
    <w:rsid w:val="007513EE"/>
    <w:rsid w:val="0075167E"/>
    <w:rsid w:val="00751945"/>
    <w:rsid w:val="0075353E"/>
    <w:rsid w:val="007550C5"/>
    <w:rsid w:val="00757593"/>
    <w:rsid w:val="00760614"/>
    <w:rsid w:val="00763F74"/>
    <w:rsid w:val="00766108"/>
    <w:rsid w:val="0076724E"/>
    <w:rsid w:val="00770404"/>
    <w:rsid w:val="00770FE5"/>
    <w:rsid w:val="0077530C"/>
    <w:rsid w:val="00775CC4"/>
    <w:rsid w:val="00775F6B"/>
    <w:rsid w:val="0077678C"/>
    <w:rsid w:val="007777E5"/>
    <w:rsid w:val="00780BBC"/>
    <w:rsid w:val="00780DEF"/>
    <w:rsid w:val="00781EFC"/>
    <w:rsid w:val="00784E2B"/>
    <w:rsid w:val="00785624"/>
    <w:rsid w:val="0078627B"/>
    <w:rsid w:val="0078642C"/>
    <w:rsid w:val="00786D49"/>
    <w:rsid w:val="007875F6"/>
    <w:rsid w:val="00790DF6"/>
    <w:rsid w:val="00791129"/>
    <w:rsid w:val="007A0704"/>
    <w:rsid w:val="007A0D79"/>
    <w:rsid w:val="007A3BCB"/>
    <w:rsid w:val="007A5A8F"/>
    <w:rsid w:val="007A73A5"/>
    <w:rsid w:val="007A79A9"/>
    <w:rsid w:val="007B176D"/>
    <w:rsid w:val="007B18F8"/>
    <w:rsid w:val="007B1FD2"/>
    <w:rsid w:val="007B24D9"/>
    <w:rsid w:val="007B309A"/>
    <w:rsid w:val="007B345E"/>
    <w:rsid w:val="007B435D"/>
    <w:rsid w:val="007B4C48"/>
    <w:rsid w:val="007B57A5"/>
    <w:rsid w:val="007B59B1"/>
    <w:rsid w:val="007B7A58"/>
    <w:rsid w:val="007C0567"/>
    <w:rsid w:val="007C1C6D"/>
    <w:rsid w:val="007C5946"/>
    <w:rsid w:val="007C5B28"/>
    <w:rsid w:val="007C635C"/>
    <w:rsid w:val="007C7189"/>
    <w:rsid w:val="007D2CBA"/>
    <w:rsid w:val="007D2D4B"/>
    <w:rsid w:val="007D40CA"/>
    <w:rsid w:val="007E0E41"/>
    <w:rsid w:val="007E1114"/>
    <w:rsid w:val="007E20D5"/>
    <w:rsid w:val="007E2FC8"/>
    <w:rsid w:val="007E429C"/>
    <w:rsid w:val="007E5184"/>
    <w:rsid w:val="007E5562"/>
    <w:rsid w:val="007E718E"/>
    <w:rsid w:val="007F13FC"/>
    <w:rsid w:val="007F4036"/>
    <w:rsid w:val="007F4DB0"/>
    <w:rsid w:val="007F536F"/>
    <w:rsid w:val="007F684E"/>
    <w:rsid w:val="007F729A"/>
    <w:rsid w:val="00800EA1"/>
    <w:rsid w:val="0080107A"/>
    <w:rsid w:val="008021CA"/>
    <w:rsid w:val="00802E30"/>
    <w:rsid w:val="00803DE8"/>
    <w:rsid w:val="00804427"/>
    <w:rsid w:val="00804668"/>
    <w:rsid w:val="00804738"/>
    <w:rsid w:val="00805586"/>
    <w:rsid w:val="0080645F"/>
    <w:rsid w:val="00806567"/>
    <w:rsid w:val="00806B7F"/>
    <w:rsid w:val="00806E27"/>
    <w:rsid w:val="00807539"/>
    <w:rsid w:val="00810C0D"/>
    <w:rsid w:val="00812805"/>
    <w:rsid w:val="00813551"/>
    <w:rsid w:val="00814909"/>
    <w:rsid w:val="00814EC7"/>
    <w:rsid w:val="00814F28"/>
    <w:rsid w:val="00815DF4"/>
    <w:rsid w:val="00816CC8"/>
    <w:rsid w:val="00817B06"/>
    <w:rsid w:val="00820554"/>
    <w:rsid w:val="00821F2E"/>
    <w:rsid w:val="0082255B"/>
    <w:rsid w:val="00822BB2"/>
    <w:rsid w:val="00822E15"/>
    <w:rsid w:val="00822ECF"/>
    <w:rsid w:val="008232DB"/>
    <w:rsid w:val="00823C6B"/>
    <w:rsid w:val="00825155"/>
    <w:rsid w:val="00825257"/>
    <w:rsid w:val="00827405"/>
    <w:rsid w:val="00827B0C"/>
    <w:rsid w:val="00827D63"/>
    <w:rsid w:val="00827FB6"/>
    <w:rsid w:val="00830028"/>
    <w:rsid w:val="008340BD"/>
    <w:rsid w:val="0083543A"/>
    <w:rsid w:val="008370A5"/>
    <w:rsid w:val="00840CE5"/>
    <w:rsid w:val="00841A83"/>
    <w:rsid w:val="00843C55"/>
    <w:rsid w:val="00845471"/>
    <w:rsid w:val="00845765"/>
    <w:rsid w:val="0084693A"/>
    <w:rsid w:val="008476D2"/>
    <w:rsid w:val="00851C28"/>
    <w:rsid w:val="0085584C"/>
    <w:rsid w:val="00856736"/>
    <w:rsid w:val="00856B3A"/>
    <w:rsid w:val="00863064"/>
    <w:rsid w:val="008649A1"/>
    <w:rsid w:val="00864EEC"/>
    <w:rsid w:val="008662DD"/>
    <w:rsid w:val="008667B2"/>
    <w:rsid w:val="008676F0"/>
    <w:rsid w:val="008701E9"/>
    <w:rsid w:val="008724BB"/>
    <w:rsid w:val="008729B7"/>
    <w:rsid w:val="00872A99"/>
    <w:rsid w:val="00874C6F"/>
    <w:rsid w:val="008758AA"/>
    <w:rsid w:val="00875B75"/>
    <w:rsid w:val="00876B93"/>
    <w:rsid w:val="00876ECE"/>
    <w:rsid w:val="0088030D"/>
    <w:rsid w:val="00880EDA"/>
    <w:rsid w:val="00880FC4"/>
    <w:rsid w:val="0088113D"/>
    <w:rsid w:val="00882210"/>
    <w:rsid w:val="008827D4"/>
    <w:rsid w:val="00883C22"/>
    <w:rsid w:val="008845C8"/>
    <w:rsid w:val="00885219"/>
    <w:rsid w:val="0088533A"/>
    <w:rsid w:val="00885539"/>
    <w:rsid w:val="008867C8"/>
    <w:rsid w:val="008901C6"/>
    <w:rsid w:val="00890703"/>
    <w:rsid w:val="0089114D"/>
    <w:rsid w:val="008921B2"/>
    <w:rsid w:val="008948F7"/>
    <w:rsid w:val="0089742B"/>
    <w:rsid w:val="00897BF5"/>
    <w:rsid w:val="008A0400"/>
    <w:rsid w:val="008A077E"/>
    <w:rsid w:val="008A0F3F"/>
    <w:rsid w:val="008A1BEF"/>
    <w:rsid w:val="008A28E2"/>
    <w:rsid w:val="008A29F4"/>
    <w:rsid w:val="008A50F8"/>
    <w:rsid w:val="008A5571"/>
    <w:rsid w:val="008A6080"/>
    <w:rsid w:val="008A6E20"/>
    <w:rsid w:val="008B040A"/>
    <w:rsid w:val="008B1A9B"/>
    <w:rsid w:val="008B2600"/>
    <w:rsid w:val="008B2BA4"/>
    <w:rsid w:val="008B3EB0"/>
    <w:rsid w:val="008B4427"/>
    <w:rsid w:val="008B7A7D"/>
    <w:rsid w:val="008C1DD1"/>
    <w:rsid w:val="008C3335"/>
    <w:rsid w:val="008C4E0D"/>
    <w:rsid w:val="008D035A"/>
    <w:rsid w:val="008D035B"/>
    <w:rsid w:val="008D045B"/>
    <w:rsid w:val="008D1198"/>
    <w:rsid w:val="008D1708"/>
    <w:rsid w:val="008D1FAE"/>
    <w:rsid w:val="008D3269"/>
    <w:rsid w:val="008D7AC3"/>
    <w:rsid w:val="008E2E89"/>
    <w:rsid w:val="008E3B8C"/>
    <w:rsid w:val="008E5418"/>
    <w:rsid w:val="008F04FD"/>
    <w:rsid w:val="008F0B9D"/>
    <w:rsid w:val="008F3C1A"/>
    <w:rsid w:val="008F4198"/>
    <w:rsid w:val="008F6765"/>
    <w:rsid w:val="008F7690"/>
    <w:rsid w:val="00901A1A"/>
    <w:rsid w:val="00905C0D"/>
    <w:rsid w:val="00907EBB"/>
    <w:rsid w:val="00911743"/>
    <w:rsid w:val="00912E55"/>
    <w:rsid w:val="009130FF"/>
    <w:rsid w:val="00914D61"/>
    <w:rsid w:val="00914D80"/>
    <w:rsid w:val="0091573B"/>
    <w:rsid w:val="009158B6"/>
    <w:rsid w:val="0091660B"/>
    <w:rsid w:val="00916EEB"/>
    <w:rsid w:val="009178C4"/>
    <w:rsid w:val="009179F8"/>
    <w:rsid w:val="00917E70"/>
    <w:rsid w:val="009204CA"/>
    <w:rsid w:val="00920F1E"/>
    <w:rsid w:val="00922219"/>
    <w:rsid w:val="009222B8"/>
    <w:rsid w:val="009222F9"/>
    <w:rsid w:val="00922EE2"/>
    <w:rsid w:val="00924DA6"/>
    <w:rsid w:val="00924F54"/>
    <w:rsid w:val="00925095"/>
    <w:rsid w:val="00930079"/>
    <w:rsid w:val="00931627"/>
    <w:rsid w:val="009318B7"/>
    <w:rsid w:val="00933292"/>
    <w:rsid w:val="0093501D"/>
    <w:rsid w:val="0093793F"/>
    <w:rsid w:val="0094251D"/>
    <w:rsid w:val="0094267F"/>
    <w:rsid w:val="00942846"/>
    <w:rsid w:val="009428EE"/>
    <w:rsid w:val="009429B1"/>
    <w:rsid w:val="00943DF5"/>
    <w:rsid w:val="00945CF0"/>
    <w:rsid w:val="00946A9D"/>
    <w:rsid w:val="0095047C"/>
    <w:rsid w:val="00950BAD"/>
    <w:rsid w:val="009511AC"/>
    <w:rsid w:val="0095588D"/>
    <w:rsid w:val="00955C01"/>
    <w:rsid w:val="00956E74"/>
    <w:rsid w:val="00957992"/>
    <w:rsid w:val="00963B79"/>
    <w:rsid w:val="009644CD"/>
    <w:rsid w:val="00964C82"/>
    <w:rsid w:val="00965B84"/>
    <w:rsid w:val="00965E6F"/>
    <w:rsid w:val="009666DD"/>
    <w:rsid w:val="00966A9B"/>
    <w:rsid w:val="00972525"/>
    <w:rsid w:val="009728C3"/>
    <w:rsid w:val="00972B4B"/>
    <w:rsid w:val="009739FA"/>
    <w:rsid w:val="009759EA"/>
    <w:rsid w:val="00975C6A"/>
    <w:rsid w:val="00976795"/>
    <w:rsid w:val="0097690B"/>
    <w:rsid w:val="00976ADB"/>
    <w:rsid w:val="0097729B"/>
    <w:rsid w:val="009774E2"/>
    <w:rsid w:val="00977981"/>
    <w:rsid w:val="00980112"/>
    <w:rsid w:val="009807EC"/>
    <w:rsid w:val="00982225"/>
    <w:rsid w:val="00982DA8"/>
    <w:rsid w:val="009833D0"/>
    <w:rsid w:val="0098348B"/>
    <w:rsid w:val="00984E97"/>
    <w:rsid w:val="00987F52"/>
    <w:rsid w:val="00991309"/>
    <w:rsid w:val="009924B2"/>
    <w:rsid w:val="00992EEE"/>
    <w:rsid w:val="009938B7"/>
    <w:rsid w:val="00993941"/>
    <w:rsid w:val="00993E04"/>
    <w:rsid w:val="00994B6E"/>
    <w:rsid w:val="0099513F"/>
    <w:rsid w:val="00995CC4"/>
    <w:rsid w:val="0099608C"/>
    <w:rsid w:val="0099670A"/>
    <w:rsid w:val="00996EDE"/>
    <w:rsid w:val="0099786A"/>
    <w:rsid w:val="009A26D9"/>
    <w:rsid w:val="009A2EC6"/>
    <w:rsid w:val="009A3EA4"/>
    <w:rsid w:val="009A6026"/>
    <w:rsid w:val="009A6A09"/>
    <w:rsid w:val="009B2EC4"/>
    <w:rsid w:val="009B4055"/>
    <w:rsid w:val="009B458B"/>
    <w:rsid w:val="009B4B56"/>
    <w:rsid w:val="009B4B71"/>
    <w:rsid w:val="009B6E02"/>
    <w:rsid w:val="009B7131"/>
    <w:rsid w:val="009C0356"/>
    <w:rsid w:val="009C1D0C"/>
    <w:rsid w:val="009C3A2F"/>
    <w:rsid w:val="009C5058"/>
    <w:rsid w:val="009C6647"/>
    <w:rsid w:val="009C68D5"/>
    <w:rsid w:val="009C732F"/>
    <w:rsid w:val="009D16B7"/>
    <w:rsid w:val="009D18BF"/>
    <w:rsid w:val="009D4DB7"/>
    <w:rsid w:val="009D4FBB"/>
    <w:rsid w:val="009D58CC"/>
    <w:rsid w:val="009D68EB"/>
    <w:rsid w:val="009D6ADD"/>
    <w:rsid w:val="009E1957"/>
    <w:rsid w:val="009E2C3D"/>
    <w:rsid w:val="009E31B1"/>
    <w:rsid w:val="009E59FA"/>
    <w:rsid w:val="009E6D77"/>
    <w:rsid w:val="009E719B"/>
    <w:rsid w:val="009E772E"/>
    <w:rsid w:val="009E777A"/>
    <w:rsid w:val="009F07BF"/>
    <w:rsid w:val="009F0B86"/>
    <w:rsid w:val="009F1A04"/>
    <w:rsid w:val="009F2DA5"/>
    <w:rsid w:val="009F42DF"/>
    <w:rsid w:val="009F56B9"/>
    <w:rsid w:val="009F5803"/>
    <w:rsid w:val="009F725C"/>
    <w:rsid w:val="00A00C2E"/>
    <w:rsid w:val="00A01779"/>
    <w:rsid w:val="00A034CF"/>
    <w:rsid w:val="00A037A5"/>
    <w:rsid w:val="00A06008"/>
    <w:rsid w:val="00A12442"/>
    <w:rsid w:val="00A14B70"/>
    <w:rsid w:val="00A15568"/>
    <w:rsid w:val="00A156C8"/>
    <w:rsid w:val="00A16A1C"/>
    <w:rsid w:val="00A17367"/>
    <w:rsid w:val="00A2083E"/>
    <w:rsid w:val="00A22B24"/>
    <w:rsid w:val="00A234A2"/>
    <w:rsid w:val="00A279CB"/>
    <w:rsid w:val="00A30318"/>
    <w:rsid w:val="00A30628"/>
    <w:rsid w:val="00A31073"/>
    <w:rsid w:val="00A31ACB"/>
    <w:rsid w:val="00A32BEF"/>
    <w:rsid w:val="00A32D3B"/>
    <w:rsid w:val="00A33A59"/>
    <w:rsid w:val="00A33F3E"/>
    <w:rsid w:val="00A34E82"/>
    <w:rsid w:val="00A36BC4"/>
    <w:rsid w:val="00A37700"/>
    <w:rsid w:val="00A40345"/>
    <w:rsid w:val="00A4152C"/>
    <w:rsid w:val="00A44519"/>
    <w:rsid w:val="00A45B85"/>
    <w:rsid w:val="00A45BE1"/>
    <w:rsid w:val="00A45D88"/>
    <w:rsid w:val="00A45F41"/>
    <w:rsid w:val="00A46400"/>
    <w:rsid w:val="00A46E5E"/>
    <w:rsid w:val="00A46EF2"/>
    <w:rsid w:val="00A47CB9"/>
    <w:rsid w:val="00A52BEB"/>
    <w:rsid w:val="00A52C0A"/>
    <w:rsid w:val="00A53194"/>
    <w:rsid w:val="00A538ED"/>
    <w:rsid w:val="00A53DEF"/>
    <w:rsid w:val="00A54D02"/>
    <w:rsid w:val="00A557E1"/>
    <w:rsid w:val="00A55DD1"/>
    <w:rsid w:val="00A55FB8"/>
    <w:rsid w:val="00A60ED8"/>
    <w:rsid w:val="00A6464E"/>
    <w:rsid w:val="00A64C60"/>
    <w:rsid w:val="00A65A7E"/>
    <w:rsid w:val="00A67369"/>
    <w:rsid w:val="00A70BAB"/>
    <w:rsid w:val="00A713D5"/>
    <w:rsid w:val="00A7272C"/>
    <w:rsid w:val="00A736F1"/>
    <w:rsid w:val="00A73747"/>
    <w:rsid w:val="00A73808"/>
    <w:rsid w:val="00A74493"/>
    <w:rsid w:val="00A7486B"/>
    <w:rsid w:val="00A75D5E"/>
    <w:rsid w:val="00A76A32"/>
    <w:rsid w:val="00A770EF"/>
    <w:rsid w:val="00A8181C"/>
    <w:rsid w:val="00A81975"/>
    <w:rsid w:val="00A828F4"/>
    <w:rsid w:val="00A830E0"/>
    <w:rsid w:val="00A841F3"/>
    <w:rsid w:val="00A84C54"/>
    <w:rsid w:val="00A85984"/>
    <w:rsid w:val="00A87F92"/>
    <w:rsid w:val="00A93AC1"/>
    <w:rsid w:val="00A950D1"/>
    <w:rsid w:val="00A95223"/>
    <w:rsid w:val="00A9627A"/>
    <w:rsid w:val="00A97311"/>
    <w:rsid w:val="00A9779F"/>
    <w:rsid w:val="00AA0171"/>
    <w:rsid w:val="00AA084A"/>
    <w:rsid w:val="00AA5B00"/>
    <w:rsid w:val="00AA7772"/>
    <w:rsid w:val="00AB4A35"/>
    <w:rsid w:val="00AB4FA1"/>
    <w:rsid w:val="00AB52F9"/>
    <w:rsid w:val="00AB5AEA"/>
    <w:rsid w:val="00AC1FA7"/>
    <w:rsid w:val="00AC5B0E"/>
    <w:rsid w:val="00AC5B59"/>
    <w:rsid w:val="00AC618D"/>
    <w:rsid w:val="00AC66E6"/>
    <w:rsid w:val="00AD020A"/>
    <w:rsid w:val="00AD0570"/>
    <w:rsid w:val="00AD228E"/>
    <w:rsid w:val="00AD2EE9"/>
    <w:rsid w:val="00AD4E3E"/>
    <w:rsid w:val="00AD6587"/>
    <w:rsid w:val="00AD6C20"/>
    <w:rsid w:val="00AD6FD1"/>
    <w:rsid w:val="00AD7574"/>
    <w:rsid w:val="00AD7F7B"/>
    <w:rsid w:val="00AE2220"/>
    <w:rsid w:val="00AE2C45"/>
    <w:rsid w:val="00AE2C89"/>
    <w:rsid w:val="00AE44CD"/>
    <w:rsid w:val="00AE47DC"/>
    <w:rsid w:val="00AE5FAE"/>
    <w:rsid w:val="00AE69E9"/>
    <w:rsid w:val="00AE783E"/>
    <w:rsid w:val="00AE7883"/>
    <w:rsid w:val="00AF0710"/>
    <w:rsid w:val="00AF3B99"/>
    <w:rsid w:val="00AF448C"/>
    <w:rsid w:val="00AF538E"/>
    <w:rsid w:val="00AF6089"/>
    <w:rsid w:val="00B015BF"/>
    <w:rsid w:val="00B02311"/>
    <w:rsid w:val="00B0380E"/>
    <w:rsid w:val="00B04419"/>
    <w:rsid w:val="00B0672A"/>
    <w:rsid w:val="00B071F0"/>
    <w:rsid w:val="00B0737C"/>
    <w:rsid w:val="00B073CF"/>
    <w:rsid w:val="00B07A8E"/>
    <w:rsid w:val="00B07FE8"/>
    <w:rsid w:val="00B1173F"/>
    <w:rsid w:val="00B120E5"/>
    <w:rsid w:val="00B15616"/>
    <w:rsid w:val="00B16B18"/>
    <w:rsid w:val="00B202CC"/>
    <w:rsid w:val="00B25524"/>
    <w:rsid w:val="00B30144"/>
    <w:rsid w:val="00B305F2"/>
    <w:rsid w:val="00B30B67"/>
    <w:rsid w:val="00B31A31"/>
    <w:rsid w:val="00B31F19"/>
    <w:rsid w:val="00B3273E"/>
    <w:rsid w:val="00B32DC0"/>
    <w:rsid w:val="00B32E1B"/>
    <w:rsid w:val="00B3425E"/>
    <w:rsid w:val="00B361A5"/>
    <w:rsid w:val="00B36343"/>
    <w:rsid w:val="00B36694"/>
    <w:rsid w:val="00B404B8"/>
    <w:rsid w:val="00B405D3"/>
    <w:rsid w:val="00B41A60"/>
    <w:rsid w:val="00B41DE0"/>
    <w:rsid w:val="00B425D5"/>
    <w:rsid w:val="00B426E6"/>
    <w:rsid w:val="00B43008"/>
    <w:rsid w:val="00B433A5"/>
    <w:rsid w:val="00B43C6E"/>
    <w:rsid w:val="00B43D25"/>
    <w:rsid w:val="00B44421"/>
    <w:rsid w:val="00B44D37"/>
    <w:rsid w:val="00B46327"/>
    <w:rsid w:val="00B506A1"/>
    <w:rsid w:val="00B50E9E"/>
    <w:rsid w:val="00B551A1"/>
    <w:rsid w:val="00B559A6"/>
    <w:rsid w:val="00B624D3"/>
    <w:rsid w:val="00B6763C"/>
    <w:rsid w:val="00B67F72"/>
    <w:rsid w:val="00B71283"/>
    <w:rsid w:val="00B725C4"/>
    <w:rsid w:val="00B74BC3"/>
    <w:rsid w:val="00B74E40"/>
    <w:rsid w:val="00B755CE"/>
    <w:rsid w:val="00B7700C"/>
    <w:rsid w:val="00B775D5"/>
    <w:rsid w:val="00B77EBA"/>
    <w:rsid w:val="00B77F3C"/>
    <w:rsid w:val="00B810D7"/>
    <w:rsid w:val="00B81DF0"/>
    <w:rsid w:val="00B84201"/>
    <w:rsid w:val="00B863CE"/>
    <w:rsid w:val="00B90A3A"/>
    <w:rsid w:val="00B91308"/>
    <w:rsid w:val="00B92F10"/>
    <w:rsid w:val="00B958B7"/>
    <w:rsid w:val="00B95ABE"/>
    <w:rsid w:val="00B961FD"/>
    <w:rsid w:val="00BA0001"/>
    <w:rsid w:val="00BA1C6B"/>
    <w:rsid w:val="00BA2A6D"/>
    <w:rsid w:val="00BA4CE0"/>
    <w:rsid w:val="00BB28E6"/>
    <w:rsid w:val="00BB3037"/>
    <w:rsid w:val="00BB3DE7"/>
    <w:rsid w:val="00BB3EC1"/>
    <w:rsid w:val="00BB4CEE"/>
    <w:rsid w:val="00BB57C1"/>
    <w:rsid w:val="00BB75A5"/>
    <w:rsid w:val="00BB7FC3"/>
    <w:rsid w:val="00BC1B59"/>
    <w:rsid w:val="00BC2DC4"/>
    <w:rsid w:val="00BC3508"/>
    <w:rsid w:val="00BC3DD1"/>
    <w:rsid w:val="00BC4130"/>
    <w:rsid w:val="00BC4A0A"/>
    <w:rsid w:val="00BC513F"/>
    <w:rsid w:val="00BC6061"/>
    <w:rsid w:val="00BC7E17"/>
    <w:rsid w:val="00BC7EC8"/>
    <w:rsid w:val="00BD074D"/>
    <w:rsid w:val="00BD0BBC"/>
    <w:rsid w:val="00BD4A08"/>
    <w:rsid w:val="00BD611A"/>
    <w:rsid w:val="00BD6ACE"/>
    <w:rsid w:val="00BE05F1"/>
    <w:rsid w:val="00BE0FEC"/>
    <w:rsid w:val="00BE1D5F"/>
    <w:rsid w:val="00BE23AA"/>
    <w:rsid w:val="00BE417C"/>
    <w:rsid w:val="00BE41A0"/>
    <w:rsid w:val="00BE710C"/>
    <w:rsid w:val="00BE7B72"/>
    <w:rsid w:val="00BF07D7"/>
    <w:rsid w:val="00BF0F5F"/>
    <w:rsid w:val="00BF2289"/>
    <w:rsid w:val="00BF257A"/>
    <w:rsid w:val="00BF2F44"/>
    <w:rsid w:val="00BF4175"/>
    <w:rsid w:val="00BF49BD"/>
    <w:rsid w:val="00BF4B5A"/>
    <w:rsid w:val="00BF5261"/>
    <w:rsid w:val="00BF6889"/>
    <w:rsid w:val="00BF6D20"/>
    <w:rsid w:val="00BF7BF5"/>
    <w:rsid w:val="00BF7E85"/>
    <w:rsid w:val="00C000F3"/>
    <w:rsid w:val="00C034C5"/>
    <w:rsid w:val="00C041AE"/>
    <w:rsid w:val="00C0453B"/>
    <w:rsid w:val="00C04D10"/>
    <w:rsid w:val="00C06299"/>
    <w:rsid w:val="00C06B1E"/>
    <w:rsid w:val="00C06D6D"/>
    <w:rsid w:val="00C06ED2"/>
    <w:rsid w:val="00C075CE"/>
    <w:rsid w:val="00C11830"/>
    <w:rsid w:val="00C119F2"/>
    <w:rsid w:val="00C12A59"/>
    <w:rsid w:val="00C13177"/>
    <w:rsid w:val="00C137FE"/>
    <w:rsid w:val="00C1445F"/>
    <w:rsid w:val="00C15A7A"/>
    <w:rsid w:val="00C15C14"/>
    <w:rsid w:val="00C1693C"/>
    <w:rsid w:val="00C176EF"/>
    <w:rsid w:val="00C21AAE"/>
    <w:rsid w:val="00C27427"/>
    <w:rsid w:val="00C27E4B"/>
    <w:rsid w:val="00C30768"/>
    <w:rsid w:val="00C32192"/>
    <w:rsid w:val="00C335E5"/>
    <w:rsid w:val="00C3478D"/>
    <w:rsid w:val="00C37452"/>
    <w:rsid w:val="00C37B76"/>
    <w:rsid w:val="00C4122F"/>
    <w:rsid w:val="00C43AB5"/>
    <w:rsid w:val="00C45677"/>
    <w:rsid w:val="00C47563"/>
    <w:rsid w:val="00C47EDA"/>
    <w:rsid w:val="00C522B6"/>
    <w:rsid w:val="00C53D47"/>
    <w:rsid w:val="00C5452A"/>
    <w:rsid w:val="00C55841"/>
    <w:rsid w:val="00C5655F"/>
    <w:rsid w:val="00C603EA"/>
    <w:rsid w:val="00C62840"/>
    <w:rsid w:val="00C6376E"/>
    <w:rsid w:val="00C644E8"/>
    <w:rsid w:val="00C6476F"/>
    <w:rsid w:val="00C65419"/>
    <w:rsid w:val="00C65786"/>
    <w:rsid w:val="00C65922"/>
    <w:rsid w:val="00C67287"/>
    <w:rsid w:val="00C71F25"/>
    <w:rsid w:val="00C73E17"/>
    <w:rsid w:val="00C7475B"/>
    <w:rsid w:val="00C75ED1"/>
    <w:rsid w:val="00C7663B"/>
    <w:rsid w:val="00C76E11"/>
    <w:rsid w:val="00C77807"/>
    <w:rsid w:val="00C77A81"/>
    <w:rsid w:val="00C81B1D"/>
    <w:rsid w:val="00C8264A"/>
    <w:rsid w:val="00C830D3"/>
    <w:rsid w:val="00C8349C"/>
    <w:rsid w:val="00C83765"/>
    <w:rsid w:val="00C84AF8"/>
    <w:rsid w:val="00C84B65"/>
    <w:rsid w:val="00C85286"/>
    <w:rsid w:val="00C85D2F"/>
    <w:rsid w:val="00C85F60"/>
    <w:rsid w:val="00C861C7"/>
    <w:rsid w:val="00C864BA"/>
    <w:rsid w:val="00C86C6D"/>
    <w:rsid w:val="00C87817"/>
    <w:rsid w:val="00C87B2E"/>
    <w:rsid w:val="00C90284"/>
    <w:rsid w:val="00C967DB"/>
    <w:rsid w:val="00CA1990"/>
    <w:rsid w:val="00CA3996"/>
    <w:rsid w:val="00CA425B"/>
    <w:rsid w:val="00CA4DCA"/>
    <w:rsid w:val="00CA5406"/>
    <w:rsid w:val="00CA6C04"/>
    <w:rsid w:val="00CA78FF"/>
    <w:rsid w:val="00CA7ADA"/>
    <w:rsid w:val="00CA7BEA"/>
    <w:rsid w:val="00CB2958"/>
    <w:rsid w:val="00CB2A81"/>
    <w:rsid w:val="00CB3525"/>
    <w:rsid w:val="00CB38C7"/>
    <w:rsid w:val="00CB3974"/>
    <w:rsid w:val="00CB3B0C"/>
    <w:rsid w:val="00CB3FFB"/>
    <w:rsid w:val="00CB41FA"/>
    <w:rsid w:val="00CB5CE1"/>
    <w:rsid w:val="00CB6FB8"/>
    <w:rsid w:val="00CC04B4"/>
    <w:rsid w:val="00CC2E25"/>
    <w:rsid w:val="00CC3889"/>
    <w:rsid w:val="00CC3AE9"/>
    <w:rsid w:val="00CC46CD"/>
    <w:rsid w:val="00CC4CE8"/>
    <w:rsid w:val="00CC4F3E"/>
    <w:rsid w:val="00CC67F4"/>
    <w:rsid w:val="00CC6F02"/>
    <w:rsid w:val="00CC7E05"/>
    <w:rsid w:val="00CD017F"/>
    <w:rsid w:val="00CD0D07"/>
    <w:rsid w:val="00CD0D9E"/>
    <w:rsid w:val="00CD1A1D"/>
    <w:rsid w:val="00CD1A8B"/>
    <w:rsid w:val="00CD2815"/>
    <w:rsid w:val="00CD306F"/>
    <w:rsid w:val="00CD3611"/>
    <w:rsid w:val="00CD69CF"/>
    <w:rsid w:val="00CD7C65"/>
    <w:rsid w:val="00CE17B9"/>
    <w:rsid w:val="00CE1D51"/>
    <w:rsid w:val="00CE24AE"/>
    <w:rsid w:val="00CE3E5D"/>
    <w:rsid w:val="00CE41B9"/>
    <w:rsid w:val="00CE43A7"/>
    <w:rsid w:val="00CE574D"/>
    <w:rsid w:val="00CE6099"/>
    <w:rsid w:val="00CE6416"/>
    <w:rsid w:val="00CE6E95"/>
    <w:rsid w:val="00CE73C7"/>
    <w:rsid w:val="00CF0804"/>
    <w:rsid w:val="00CF0899"/>
    <w:rsid w:val="00CF091E"/>
    <w:rsid w:val="00CF109D"/>
    <w:rsid w:val="00CF46BC"/>
    <w:rsid w:val="00CF5053"/>
    <w:rsid w:val="00CF57B1"/>
    <w:rsid w:val="00CF7D9C"/>
    <w:rsid w:val="00D00C4F"/>
    <w:rsid w:val="00D04A3A"/>
    <w:rsid w:val="00D05A41"/>
    <w:rsid w:val="00D05B05"/>
    <w:rsid w:val="00D105CB"/>
    <w:rsid w:val="00D10FAE"/>
    <w:rsid w:val="00D125A7"/>
    <w:rsid w:val="00D129DE"/>
    <w:rsid w:val="00D15187"/>
    <w:rsid w:val="00D205B7"/>
    <w:rsid w:val="00D211E8"/>
    <w:rsid w:val="00D21458"/>
    <w:rsid w:val="00D21C8C"/>
    <w:rsid w:val="00D220A4"/>
    <w:rsid w:val="00D2281A"/>
    <w:rsid w:val="00D22E85"/>
    <w:rsid w:val="00D23F81"/>
    <w:rsid w:val="00D24064"/>
    <w:rsid w:val="00D3140A"/>
    <w:rsid w:val="00D32E21"/>
    <w:rsid w:val="00D35026"/>
    <w:rsid w:val="00D35351"/>
    <w:rsid w:val="00D3615D"/>
    <w:rsid w:val="00D3772B"/>
    <w:rsid w:val="00D37E83"/>
    <w:rsid w:val="00D40C69"/>
    <w:rsid w:val="00D4177B"/>
    <w:rsid w:val="00D427F3"/>
    <w:rsid w:val="00D42AC9"/>
    <w:rsid w:val="00D43617"/>
    <w:rsid w:val="00D43D5D"/>
    <w:rsid w:val="00D46805"/>
    <w:rsid w:val="00D4753E"/>
    <w:rsid w:val="00D50309"/>
    <w:rsid w:val="00D50702"/>
    <w:rsid w:val="00D50B5F"/>
    <w:rsid w:val="00D50F9A"/>
    <w:rsid w:val="00D52F07"/>
    <w:rsid w:val="00D55218"/>
    <w:rsid w:val="00D5611F"/>
    <w:rsid w:val="00D56BEA"/>
    <w:rsid w:val="00D61776"/>
    <w:rsid w:val="00D633CB"/>
    <w:rsid w:val="00D7030A"/>
    <w:rsid w:val="00D70461"/>
    <w:rsid w:val="00D72780"/>
    <w:rsid w:val="00D73778"/>
    <w:rsid w:val="00D7489B"/>
    <w:rsid w:val="00D766B8"/>
    <w:rsid w:val="00D8032C"/>
    <w:rsid w:val="00D8218C"/>
    <w:rsid w:val="00D82327"/>
    <w:rsid w:val="00D84D7A"/>
    <w:rsid w:val="00D862B5"/>
    <w:rsid w:val="00D8652C"/>
    <w:rsid w:val="00D87DF4"/>
    <w:rsid w:val="00D916B8"/>
    <w:rsid w:val="00D917E2"/>
    <w:rsid w:val="00D92659"/>
    <w:rsid w:val="00D92C99"/>
    <w:rsid w:val="00D9419D"/>
    <w:rsid w:val="00D94282"/>
    <w:rsid w:val="00D9515D"/>
    <w:rsid w:val="00D97E80"/>
    <w:rsid w:val="00D97EC5"/>
    <w:rsid w:val="00DA31A5"/>
    <w:rsid w:val="00DA6B1B"/>
    <w:rsid w:val="00DA7459"/>
    <w:rsid w:val="00DB1362"/>
    <w:rsid w:val="00DB1A03"/>
    <w:rsid w:val="00DB2CF1"/>
    <w:rsid w:val="00DB3735"/>
    <w:rsid w:val="00DB3F55"/>
    <w:rsid w:val="00DB41E0"/>
    <w:rsid w:val="00DB5656"/>
    <w:rsid w:val="00DC75AA"/>
    <w:rsid w:val="00DD17BB"/>
    <w:rsid w:val="00DD2C6A"/>
    <w:rsid w:val="00DD2D30"/>
    <w:rsid w:val="00DD3836"/>
    <w:rsid w:val="00DD7A89"/>
    <w:rsid w:val="00DD7C87"/>
    <w:rsid w:val="00DE0429"/>
    <w:rsid w:val="00DE1262"/>
    <w:rsid w:val="00DE2244"/>
    <w:rsid w:val="00DE57EB"/>
    <w:rsid w:val="00DE61B6"/>
    <w:rsid w:val="00DE66B5"/>
    <w:rsid w:val="00DE6B2D"/>
    <w:rsid w:val="00DF0F4A"/>
    <w:rsid w:val="00DF306C"/>
    <w:rsid w:val="00DF4845"/>
    <w:rsid w:val="00DF5005"/>
    <w:rsid w:val="00DF58F8"/>
    <w:rsid w:val="00DF665C"/>
    <w:rsid w:val="00DF6742"/>
    <w:rsid w:val="00E043D5"/>
    <w:rsid w:val="00E06314"/>
    <w:rsid w:val="00E1142A"/>
    <w:rsid w:val="00E1158A"/>
    <w:rsid w:val="00E12B49"/>
    <w:rsid w:val="00E147AA"/>
    <w:rsid w:val="00E148D1"/>
    <w:rsid w:val="00E164A9"/>
    <w:rsid w:val="00E17325"/>
    <w:rsid w:val="00E20621"/>
    <w:rsid w:val="00E2355A"/>
    <w:rsid w:val="00E23CBC"/>
    <w:rsid w:val="00E24E57"/>
    <w:rsid w:val="00E26990"/>
    <w:rsid w:val="00E26C7A"/>
    <w:rsid w:val="00E2767F"/>
    <w:rsid w:val="00E27BB2"/>
    <w:rsid w:val="00E27CCE"/>
    <w:rsid w:val="00E3002F"/>
    <w:rsid w:val="00E3029F"/>
    <w:rsid w:val="00E31DF2"/>
    <w:rsid w:val="00E31F4A"/>
    <w:rsid w:val="00E32DBC"/>
    <w:rsid w:val="00E33EC2"/>
    <w:rsid w:val="00E3530C"/>
    <w:rsid w:val="00E35631"/>
    <w:rsid w:val="00E376CB"/>
    <w:rsid w:val="00E4228E"/>
    <w:rsid w:val="00E43E5F"/>
    <w:rsid w:val="00E43FA6"/>
    <w:rsid w:val="00E446E4"/>
    <w:rsid w:val="00E44A94"/>
    <w:rsid w:val="00E46003"/>
    <w:rsid w:val="00E47200"/>
    <w:rsid w:val="00E4789D"/>
    <w:rsid w:val="00E47F61"/>
    <w:rsid w:val="00E5077E"/>
    <w:rsid w:val="00E507EA"/>
    <w:rsid w:val="00E526A7"/>
    <w:rsid w:val="00E53A84"/>
    <w:rsid w:val="00E53D08"/>
    <w:rsid w:val="00E543A2"/>
    <w:rsid w:val="00E54407"/>
    <w:rsid w:val="00E565EB"/>
    <w:rsid w:val="00E57088"/>
    <w:rsid w:val="00E57661"/>
    <w:rsid w:val="00E60C61"/>
    <w:rsid w:val="00E61E63"/>
    <w:rsid w:val="00E61F65"/>
    <w:rsid w:val="00E6271E"/>
    <w:rsid w:val="00E62894"/>
    <w:rsid w:val="00E66539"/>
    <w:rsid w:val="00E666EC"/>
    <w:rsid w:val="00E67710"/>
    <w:rsid w:val="00E6781D"/>
    <w:rsid w:val="00E70628"/>
    <w:rsid w:val="00E70AA2"/>
    <w:rsid w:val="00E719A8"/>
    <w:rsid w:val="00E750B0"/>
    <w:rsid w:val="00E75244"/>
    <w:rsid w:val="00E76EC2"/>
    <w:rsid w:val="00E81E57"/>
    <w:rsid w:val="00E82C99"/>
    <w:rsid w:val="00E874DA"/>
    <w:rsid w:val="00E87D71"/>
    <w:rsid w:val="00E9014C"/>
    <w:rsid w:val="00E90B82"/>
    <w:rsid w:val="00E9163C"/>
    <w:rsid w:val="00E92A0B"/>
    <w:rsid w:val="00E92DA5"/>
    <w:rsid w:val="00E954B6"/>
    <w:rsid w:val="00E963E1"/>
    <w:rsid w:val="00E97DBD"/>
    <w:rsid w:val="00EA2B9B"/>
    <w:rsid w:val="00EA6ADB"/>
    <w:rsid w:val="00EA7116"/>
    <w:rsid w:val="00EB0D92"/>
    <w:rsid w:val="00EB16BF"/>
    <w:rsid w:val="00EB36BA"/>
    <w:rsid w:val="00EB585F"/>
    <w:rsid w:val="00EB5ADF"/>
    <w:rsid w:val="00EB67C7"/>
    <w:rsid w:val="00EB744B"/>
    <w:rsid w:val="00EB7F5B"/>
    <w:rsid w:val="00EC090F"/>
    <w:rsid w:val="00EC0B86"/>
    <w:rsid w:val="00EC0BFF"/>
    <w:rsid w:val="00EC0F5B"/>
    <w:rsid w:val="00EC1BF2"/>
    <w:rsid w:val="00EC2794"/>
    <w:rsid w:val="00EC2EE5"/>
    <w:rsid w:val="00EC3798"/>
    <w:rsid w:val="00EC4AD1"/>
    <w:rsid w:val="00EC4FDA"/>
    <w:rsid w:val="00EC57A6"/>
    <w:rsid w:val="00EC5843"/>
    <w:rsid w:val="00EC6AD2"/>
    <w:rsid w:val="00EC6F79"/>
    <w:rsid w:val="00EC730D"/>
    <w:rsid w:val="00ED0895"/>
    <w:rsid w:val="00ED0B64"/>
    <w:rsid w:val="00ED39BA"/>
    <w:rsid w:val="00ED3E98"/>
    <w:rsid w:val="00ED60E9"/>
    <w:rsid w:val="00ED66EE"/>
    <w:rsid w:val="00ED7DC5"/>
    <w:rsid w:val="00EE002F"/>
    <w:rsid w:val="00EE20DD"/>
    <w:rsid w:val="00EE3113"/>
    <w:rsid w:val="00EE33F1"/>
    <w:rsid w:val="00EE4C16"/>
    <w:rsid w:val="00EE4D91"/>
    <w:rsid w:val="00EE6211"/>
    <w:rsid w:val="00EE6CFF"/>
    <w:rsid w:val="00EE7265"/>
    <w:rsid w:val="00EE78B6"/>
    <w:rsid w:val="00EF0B32"/>
    <w:rsid w:val="00EF29C8"/>
    <w:rsid w:val="00EF2B15"/>
    <w:rsid w:val="00EF3F1E"/>
    <w:rsid w:val="00EF3F22"/>
    <w:rsid w:val="00EF4D36"/>
    <w:rsid w:val="00EF648A"/>
    <w:rsid w:val="00EF6BEC"/>
    <w:rsid w:val="00EF7A06"/>
    <w:rsid w:val="00EF7B93"/>
    <w:rsid w:val="00F00B77"/>
    <w:rsid w:val="00F00BCC"/>
    <w:rsid w:val="00F01188"/>
    <w:rsid w:val="00F028A5"/>
    <w:rsid w:val="00F03681"/>
    <w:rsid w:val="00F0369A"/>
    <w:rsid w:val="00F04515"/>
    <w:rsid w:val="00F04A2A"/>
    <w:rsid w:val="00F04B86"/>
    <w:rsid w:val="00F06211"/>
    <w:rsid w:val="00F0653B"/>
    <w:rsid w:val="00F06A2E"/>
    <w:rsid w:val="00F074E4"/>
    <w:rsid w:val="00F105CF"/>
    <w:rsid w:val="00F10E5C"/>
    <w:rsid w:val="00F11699"/>
    <w:rsid w:val="00F11A52"/>
    <w:rsid w:val="00F1213F"/>
    <w:rsid w:val="00F125F3"/>
    <w:rsid w:val="00F12F33"/>
    <w:rsid w:val="00F136C4"/>
    <w:rsid w:val="00F1499B"/>
    <w:rsid w:val="00F14FB7"/>
    <w:rsid w:val="00F15693"/>
    <w:rsid w:val="00F20130"/>
    <w:rsid w:val="00F2095A"/>
    <w:rsid w:val="00F24188"/>
    <w:rsid w:val="00F2492D"/>
    <w:rsid w:val="00F25654"/>
    <w:rsid w:val="00F27943"/>
    <w:rsid w:val="00F27D29"/>
    <w:rsid w:val="00F31225"/>
    <w:rsid w:val="00F315A2"/>
    <w:rsid w:val="00F32C8D"/>
    <w:rsid w:val="00F32F0E"/>
    <w:rsid w:val="00F334C1"/>
    <w:rsid w:val="00F340F3"/>
    <w:rsid w:val="00F35C00"/>
    <w:rsid w:val="00F35DDE"/>
    <w:rsid w:val="00F37081"/>
    <w:rsid w:val="00F4038E"/>
    <w:rsid w:val="00F40BA8"/>
    <w:rsid w:val="00F41AD6"/>
    <w:rsid w:val="00F42413"/>
    <w:rsid w:val="00F427B1"/>
    <w:rsid w:val="00F42BB9"/>
    <w:rsid w:val="00F440E4"/>
    <w:rsid w:val="00F44165"/>
    <w:rsid w:val="00F45453"/>
    <w:rsid w:val="00F454D9"/>
    <w:rsid w:val="00F55451"/>
    <w:rsid w:val="00F575C8"/>
    <w:rsid w:val="00F577AB"/>
    <w:rsid w:val="00F611F8"/>
    <w:rsid w:val="00F61556"/>
    <w:rsid w:val="00F62482"/>
    <w:rsid w:val="00F624FF"/>
    <w:rsid w:val="00F63CEC"/>
    <w:rsid w:val="00F64E2D"/>
    <w:rsid w:val="00F65630"/>
    <w:rsid w:val="00F66AB4"/>
    <w:rsid w:val="00F71E79"/>
    <w:rsid w:val="00F731DE"/>
    <w:rsid w:val="00F74790"/>
    <w:rsid w:val="00F76FDF"/>
    <w:rsid w:val="00F76FE9"/>
    <w:rsid w:val="00F7730A"/>
    <w:rsid w:val="00F80014"/>
    <w:rsid w:val="00F81A91"/>
    <w:rsid w:val="00F8213E"/>
    <w:rsid w:val="00F83774"/>
    <w:rsid w:val="00F8417A"/>
    <w:rsid w:val="00F85DAD"/>
    <w:rsid w:val="00F90435"/>
    <w:rsid w:val="00F9166F"/>
    <w:rsid w:val="00F93A5E"/>
    <w:rsid w:val="00F94395"/>
    <w:rsid w:val="00F94D51"/>
    <w:rsid w:val="00FA0006"/>
    <w:rsid w:val="00FA189C"/>
    <w:rsid w:val="00FA2615"/>
    <w:rsid w:val="00FA2DFB"/>
    <w:rsid w:val="00FA484B"/>
    <w:rsid w:val="00FA4B7B"/>
    <w:rsid w:val="00FA5AD8"/>
    <w:rsid w:val="00FA5F00"/>
    <w:rsid w:val="00FA6E4A"/>
    <w:rsid w:val="00FA6EC0"/>
    <w:rsid w:val="00FA7FAC"/>
    <w:rsid w:val="00FB0033"/>
    <w:rsid w:val="00FB11E9"/>
    <w:rsid w:val="00FB2AFB"/>
    <w:rsid w:val="00FB2F5F"/>
    <w:rsid w:val="00FB3A2F"/>
    <w:rsid w:val="00FB74D0"/>
    <w:rsid w:val="00FC1361"/>
    <w:rsid w:val="00FC27BA"/>
    <w:rsid w:val="00FC31AA"/>
    <w:rsid w:val="00FC37B9"/>
    <w:rsid w:val="00FC4076"/>
    <w:rsid w:val="00FC4791"/>
    <w:rsid w:val="00FC6E95"/>
    <w:rsid w:val="00FD02D9"/>
    <w:rsid w:val="00FD0883"/>
    <w:rsid w:val="00FD111C"/>
    <w:rsid w:val="00FD17B2"/>
    <w:rsid w:val="00FD2797"/>
    <w:rsid w:val="00FD2FA8"/>
    <w:rsid w:val="00FD334B"/>
    <w:rsid w:val="00FD5C03"/>
    <w:rsid w:val="00FD6643"/>
    <w:rsid w:val="00FD666A"/>
    <w:rsid w:val="00FD75AE"/>
    <w:rsid w:val="00FE03DE"/>
    <w:rsid w:val="00FE1569"/>
    <w:rsid w:val="00FE233F"/>
    <w:rsid w:val="00FE24F9"/>
    <w:rsid w:val="00FE27DE"/>
    <w:rsid w:val="00FE2F31"/>
    <w:rsid w:val="00FE358D"/>
    <w:rsid w:val="00FE40DB"/>
    <w:rsid w:val="00FE4E9B"/>
    <w:rsid w:val="00FE77A0"/>
    <w:rsid w:val="00FF171F"/>
    <w:rsid w:val="00FF231C"/>
    <w:rsid w:val="00FF47EC"/>
    <w:rsid w:val="00FF54BE"/>
    <w:rsid w:val="00FF6137"/>
    <w:rsid w:val="00FF6493"/>
    <w:rsid w:val="00FF6992"/>
    <w:rsid w:val="00FF6F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0E38DEA"/>
  <w15:docId w15:val="{CADF999B-BFD3-4F03-9D32-7579135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9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1">
    <w:name w:val="第1項"/>
    <w:basedOn w:val="a"/>
    <w:qFormat/>
    <w:rsid w:val="001432F0"/>
    <w:pPr>
      <w:adjustRightInd w:val="0"/>
      <w:snapToGrid w:val="0"/>
      <w:spacing w:line="300" w:lineRule="auto"/>
      <w:ind w:leftChars="10" w:left="204" w:rightChars="10" w:right="24" w:hangingChars="75" w:hanging="180"/>
      <w:jc w:val="both"/>
    </w:pPr>
    <w:rPr>
      <w:rFonts w:ascii="Times New Roman" w:eastAsia="標楷體"/>
    </w:rPr>
  </w:style>
  <w:style w:type="paragraph" w:customStyle="1" w:styleId="af1">
    <w:name w:val="款式"/>
    <w:basedOn w:val="a"/>
    <w:qFormat/>
    <w:rsid w:val="001432F0"/>
    <w:pPr>
      <w:spacing w:line="300" w:lineRule="auto"/>
      <w:ind w:leftChars="63" w:left="631" w:hangingChars="200" w:hanging="480"/>
      <w:jc w:val="both"/>
    </w:pPr>
    <w:rPr>
      <w:rFonts w:ascii="Times New Roman" w:eastAsia="標楷體"/>
    </w:rPr>
  </w:style>
  <w:style w:type="paragraph" w:customStyle="1" w:styleId="2">
    <w:name w:val="第2項後"/>
    <w:basedOn w:val="a"/>
    <w:qFormat/>
    <w:rsid w:val="001432F0"/>
    <w:pPr>
      <w:adjustRightInd w:val="0"/>
      <w:snapToGrid w:val="0"/>
      <w:spacing w:line="300" w:lineRule="auto"/>
      <w:ind w:leftChars="63" w:left="151" w:firstLineChars="200" w:firstLine="480"/>
      <w:jc w:val="both"/>
    </w:pPr>
    <w:rPr>
      <w:rFonts w:ascii="Times New Roman" w:eastAsia="標楷體" w:hAnsi="Times New Roman"/>
    </w:rPr>
  </w:style>
  <w:style w:type="paragraph" w:styleId="af2">
    <w:name w:val="Date"/>
    <w:basedOn w:val="a"/>
    <w:next w:val="a"/>
    <w:link w:val="af3"/>
    <w:uiPriority w:val="99"/>
    <w:semiHidden/>
    <w:unhideWhenUsed/>
    <w:rsid w:val="00F611F8"/>
    <w:pPr>
      <w:jc w:val="right"/>
    </w:pPr>
  </w:style>
  <w:style w:type="character" w:customStyle="1" w:styleId="af3">
    <w:name w:val="日期 字元"/>
    <w:basedOn w:val="a0"/>
    <w:link w:val="af2"/>
    <w:uiPriority w:val="99"/>
    <w:semiHidden/>
    <w:rsid w:val="00F611F8"/>
  </w:style>
  <w:style w:type="paragraph" w:styleId="af4">
    <w:name w:val="Revision"/>
    <w:hidden/>
    <w:uiPriority w:val="99"/>
    <w:semiHidden/>
    <w:rsid w:val="004B7F47"/>
    <w:pPr>
      <w:spacing w:line="240" w:lineRule="auto"/>
    </w:pPr>
  </w:style>
  <w:style w:type="character" w:styleId="af5">
    <w:name w:val="annotation reference"/>
    <w:basedOn w:val="a0"/>
    <w:uiPriority w:val="99"/>
    <w:semiHidden/>
    <w:unhideWhenUsed/>
    <w:rsid w:val="005571A3"/>
    <w:rPr>
      <w:sz w:val="18"/>
      <w:szCs w:val="18"/>
    </w:rPr>
  </w:style>
  <w:style w:type="paragraph" w:styleId="af6">
    <w:name w:val="annotation text"/>
    <w:basedOn w:val="a"/>
    <w:link w:val="af7"/>
    <w:uiPriority w:val="99"/>
    <w:unhideWhenUsed/>
    <w:rsid w:val="005571A3"/>
  </w:style>
  <w:style w:type="character" w:customStyle="1" w:styleId="af7">
    <w:name w:val="註解文字 字元"/>
    <w:basedOn w:val="a0"/>
    <w:link w:val="af6"/>
    <w:uiPriority w:val="99"/>
    <w:rsid w:val="005571A3"/>
  </w:style>
  <w:style w:type="paragraph" w:styleId="af8">
    <w:name w:val="annotation subject"/>
    <w:basedOn w:val="af6"/>
    <w:next w:val="af6"/>
    <w:link w:val="af9"/>
    <w:uiPriority w:val="99"/>
    <w:semiHidden/>
    <w:unhideWhenUsed/>
    <w:rsid w:val="005571A3"/>
    <w:rPr>
      <w:b/>
      <w:bCs/>
    </w:rPr>
  </w:style>
  <w:style w:type="character" w:customStyle="1" w:styleId="af9">
    <w:name w:val="註解主旨 字元"/>
    <w:basedOn w:val="af7"/>
    <w:link w:val="af8"/>
    <w:uiPriority w:val="99"/>
    <w:semiHidden/>
    <w:rsid w:val="00557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17312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72">
          <w:marLeft w:val="0"/>
          <w:marRight w:val="0"/>
          <w:marTop w:val="150"/>
          <w:marBottom w:val="0"/>
          <w:divBdr>
            <w:top w:val="none" w:sz="0" w:space="0" w:color="auto"/>
            <w:left w:val="none" w:sz="0" w:space="0" w:color="auto"/>
            <w:bottom w:val="none" w:sz="0" w:space="0" w:color="auto"/>
            <w:right w:val="none" w:sz="0" w:space="0" w:color="auto"/>
          </w:divBdr>
          <w:divsChild>
            <w:div w:id="83457495">
              <w:marLeft w:val="0"/>
              <w:marRight w:val="0"/>
              <w:marTop w:val="0"/>
              <w:marBottom w:val="0"/>
              <w:divBdr>
                <w:top w:val="none" w:sz="0" w:space="0" w:color="auto"/>
                <w:left w:val="none" w:sz="0" w:space="0" w:color="auto"/>
                <w:bottom w:val="none" w:sz="0" w:space="0" w:color="auto"/>
                <w:right w:val="none" w:sz="0" w:space="0" w:color="auto"/>
              </w:divBdr>
              <w:divsChild>
                <w:div w:id="259721944">
                  <w:marLeft w:val="0"/>
                  <w:marRight w:val="0"/>
                  <w:marTop w:val="0"/>
                  <w:marBottom w:val="0"/>
                  <w:divBdr>
                    <w:top w:val="none" w:sz="0" w:space="0" w:color="auto"/>
                    <w:left w:val="none" w:sz="0" w:space="0" w:color="auto"/>
                    <w:bottom w:val="none" w:sz="0" w:space="0" w:color="auto"/>
                    <w:right w:val="none" w:sz="0" w:space="0" w:color="auto"/>
                  </w:divBdr>
                  <w:divsChild>
                    <w:div w:id="967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1E5C2-A795-4CB3-A1C3-CB794670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keywords>管理規則大修</cp:keywords>
  <cp:lastModifiedBy>李彥穎</cp:lastModifiedBy>
  <cp:revision>4</cp:revision>
  <cp:lastPrinted>2020-12-30T08:05:00Z</cp:lastPrinted>
  <dcterms:created xsi:type="dcterms:W3CDTF">2021-01-05T06:22:00Z</dcterms:created>
  <dcterms:modified xsi:type="dcterms:W3CDTF">2021-03-17T02:36:00Z</dcterms:modified>
</cp:coreProperties>
</file>