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5E85" w14:textId="77777777" w:rsidR="00513936" w:rsidRPr="00360460" w:rsidRDefault="00D8574A" w:rsidP="00E417D0">
      <w:pPr>
        <w:spacing w:line="440" w:lineRule="exact"/>
        <w:jc w:val="center"/>
        <w:rPr>
          <w:rFonts w:ascii="Arial" w:eastAsia="標楷體" w:hAnsi="Arial" w:cs="Arial"/>
          <w:b/>
          <w:sz w:val="32"/>
          <w:szCs w:val="32"/>
        </w:rPr>
      </w:pPr>
      <w:r w:rsidRPr="00360460">
        <w:rPr>
          <w:rFonts w:ascii="Arial" w:eastAsia="標楷體" w:hAnsi="Arial" w:cs="Arial"/>
          <w:b/>
          <w:sz w:val="32"/>
          <w:szCs w:val="32"/>
        </w:rPr>
        <w:t>Taipei Exchange</w:t>
      </w:r>
      <w:r w:rsidR="00BA20EF" w:rsidRPr="00360460">
        <w:rPr>
          <w:rFonts w:ascii="Arial" w:eastAsia="標楷體" w:hAnsi="Arial" w:cs="Arial"/>
          <w:b/>
          <w:sz w:val="32"/>
          <w:szCs w:val="32"/>
        </w:rPr>
        <w:t xml:space="preserve"> Foundation</w:t>
      </w:r>
    </w:p>
    <w:p w14:paraId="49D1CEE9" w14:textId="77777777" w:rsidR="00E417D0" w:rsidRPr="00360460" w:rsidRDefault="00BA20EF" w:rsidP="00E417D0">
      <w:pPr>
        <w:spacing w:line="440" w:lineRule="exact"/>
        <w:jc w:val="center"/>
        <w:rPr>
          <w:rFonts w:ascii="Arial" w:eastAsia="標楷體" w:hAnsi="Arial" w:cs="Arial"/>
          <w:b/>
          <w:sz w:val="32"/>
          <w:szCs w:val="32"/>
        </w:rPr>
      </w:pPr>
      <w:r w:rsidRPr="00360460">
        <w:rPr>
          <w:rFonts w:ascii="Arial" w:eastAsia="標楷體" w:hAnsi="Arial" w:cs="Arial"/>
          <w:b/>
          <w:sz w:val="32"/>
          <w:szCs w:val="32"/>
        </w:rPr>
        <w:t xml:space="preserve">Host </w:t>
      </w:r>
      <w:r w:rsidR="00E417D0" w:rsidRPr="00360460">
        <w:rPr>
          <w:rFonts w:ascii="Arial" w:eastAsia="標楷體" w:hAnsi="Arial" w:cs="Arial"/>
          <w:b/>
          <w:sz w:val="32"/>
          <w:szCs w:val="32"/>
        </w:rPr>
        <w:t>Co-Location</w:t>
      </w:r>
      <w:r w:rsidRPr="00360460">
        <w:rPr>
          <w:rFonts w:ascii="Arial" w:eastAsia="標楷體" w:hAnsi="Arial" w:cs="Arial"/>
          <w:b/>
          <w:sz w:val="32"/>
          <w:szCs w:val="32"/>
        </w:rPr>
        <w:t xml:space="preserve"> Service Charge Standards</w:t>
      </w:r>
    </w:p>
    <w:p w14:paraId="10FB9C23" w14:textId="77777777" w:rsidR="00FD2734" w:rsidRPr="00360460" w:rsidRDefault="002E0635" w:rsidP="00360460">
      <w:pPr>
        <w:spacing w:line="440" w:lineRule="exact"/>
        <w:jc w:val="right"/>
        <w:rPr>
          <w:rFonts w:ascii="Arial" w:eastAsia="標楷體" w:hAnsi="Arial" w:cs="Arial"/>
          <w:color w:val="000000" w:themeColor="text1"/>
          <w:szCs w:val="24"/>
        </w:rPr>
      </w:pPr>
      <w:r w:rsidRPr="00360460">
        <w:rPr>
          <w:rFonts w:ascii="Arial" w:eastAsia="標楷體" w:hAnsi="Arial" w:cs="Arial"/>
          <w:color w:val="000000" w:themeColor="text1"/>
          <w:szCs w:val="24"/>
        </w:rPr>
        <w:t>Approved by</w:t>
      </w:r>
      <w:r w:rsidR="0078211E" w:rsidRPr="00360460">
        <w:rPr>
          <w:rFonts w:ascii="Arial" w:eastAsia="標楷體" w:hAnsi="Arial" w:cs="Arial"/>
          <w:color w:val="000000" w:themeColor="text1"/>
          <w:szCs w:val="24"/>
        </w:rPr>
        <w:t xml:space="preserve"> the</w:t>
      </w:r>
      <w:r w:rsidRPr="00360460">
        <w:rPr>
          <w:rFonts w:ascii="Arial" w:eastAsia="標楷體" w:hAnsi="Arial" w:cs="Arial"/>
          <w:color w:val="000000" w:themeColor="text1"/>
          <w:szCs w:val="24"/>
        </w:rPr>
        <w:t xml:space="preserve"> General Manager and Effective from November 27</w:t>
      </w:r>
      <w:r w:rsidRPr="00360460">
        <w:rPr>
          <w:rFonts w:ascii="Arial" w:eastAsia="標楷體" w:hAnsi="Arial" w:cs="Arial"/>
          <w:color w:val="000000" w:themeColor="text1"/>
          <w:szCs w:val="24"/>
          <w:vertAlign w:val="superscript"/>
        </w:rPr>
        <w:t>th</w:t>
      </w:r>
      <w:r w:rsidRPr="00360460">
        <w:rPr>
          <w:rFonts w:ascii="Arial" w:eastAsia="標楷體" w:hAnsi="Arial" w:cs="Arial"/>
          <w:color w:val="000000" w:themeColor="text1"/>
          <w:szCs w:val="24"/>
        </w:rPr>
        <w:t>, 2017</w:t>
      </w:r>
    </w:p>
    <w:p w14:paraId="1FA195E0" w14:textId="77777777" w:rsidR="00FD2734" w:rsidRPr="00360460" w:rsidRDefault="002E0635" w:rsidP="00360460">
      <w:pPr>
        <w:spacing w:line="440" w:lineRule="exact"/>
        <w:jc w:val="right"/>
        <w:rPr>
          <w:rFonts w:ascii="Arial" w:eastAsia="標楷體" w:hAnsi="Arial" w:cs="Arial"/>
          <w:color w:val="000000" w:themeColor="text1"/>
          <w:szCs w:val="24"/>
        </w:rPr>
      </w:pPr>
      <w:r w:rsidRPr="00360460">
        <w:rPr>
          <w:rFonts w:ascii="Arial" w:eastAsia="標楷體" w:hAnsi="Arial" w:cs="Arial"/>
          <w:color w:val="000000" w:themeColor="text1"/>
          <w:szCs w:val="24"/>
        </w:rPr>
        <w:t xml:space="preserve">Amendments Approved by </w:t>
      </w:r>
      <w:r w:rsidR="0078211E" w:rsidRPr="00360460">
        <w:rPr>
          <w:rFonts w:ascii="Arial" w:eastAsia="標楷體" w:hAnsi="Arial" w:cs="Arial"/>
          <w:color w:val="000000" w:themeColor="text1"/>
          <w:szCs w:val="24"/>
        </w:rPr>
        <w:t xml:space="preserve">the </w:t>
      </w:r>
      <w:r w:rsidRPr="00360460">
        <w:rPr>
          <w:rFonts w:ascii="Arial" w:eastAsia="標楷體" w:hAnsi="Arial" w:cs="Arial"/>
          <w:color w:val="000000" w:themeColor="text1"/>
          <w:szCs w:val="24"/>
        </w:rPr>
        <w:t>General Manager and Effective from January 19</w:t>
      </w:r>
      <w:r w:rsidRPr="00360460">
        <w:rPr>
          <w:rFonts w:ascii="Arial" w:eastAsia="標楷體" w:hAnsi="Arial" w:cs="Arial"/>
          <w:color w:val="000000" w:themeColor="text1"/>
          <w:szCs w:val="24"/>
          <w:vertAlign w:val="superscript"/>
        </w:rPr>
        <w:t>th</w:t>
      </w:r>
      <w:r w:rsidRPr="00360460">
        <w:rPr>
          <w:rFonts w:ascii="Arial" w:eastAsia="標楷體" w:hAnsi="Arial" w:cs="Arial"/>
          <w:color w:val="000000" w:themeColor="text1"/>
          <w:szCs w:val="24"/>
        </w:rPr>
        <w:t>, 2018</w:t>
      </w:r>
    </w:p>
    <w:p w14:paraId="14FF7DD5" w14:textId="77777777" w:rsidR="00FD2734" w:rsidRPr="00360460" w:rsidRDefault="002E0635" w:rsidP="00360460">
      <w:pPr>
        <w:spacing w:line="440" w:lineRule="exact"/>
        <w:jc w:val="right"/>
        <w:rPr>
          <w:rFonts w:ascii="Arial" w:eastAsia="標楷體" w:hAnsi="Arial" w:cs="Arial"/>
          <w:color w:val="000000" w:themeColor="text1"/>
          <w:szCs w:val="24"/>
        </w:rPr>
      </w:pPr>
      <w:r w:rsidRPr="00360460">
        <w:rPr>
          <w:rFonts w:ascii="Arial" w:eastAsia="標楷體" w:hAnsi="Arial" w:cs="Arial"/>
          <w:color w:val="000000" w:themeColor="text1"/>
          <w:szCs w:val="24"/>
        </w:rPr>
        <w:t xml:space="preserve">Amendments Approved by </w:t>
      </w:r>
      <w:r w:rsidR="0078211E" w:rsidRPr="00360460">
        <w:rPr>
          <w:rFonts w:ascii="Arial" w:eastAsia="標楷體" w:hAnsi="Arial" w:cs="Arial"/>
          <w:color w:val="000000" w:themeColor="text1"/>
          <w:szCs w:val="24"/>
        </w:rPr>
        <w:t xml:space="preserve">the </w:t>
      </w:r>
      <w:r w:rsidRPr="00360460">
        <w:rPr>
          <w:rFonts w:ascii="Arial" w:eastAsia="標楷體" w:hAnsi="Arial" w:cs="Arial"/>
          <w:color w:val="000000" w:themeColor="text1"/>
          <w:szCs w:val="24"/>
        </w:rPr>
        <w:t>General Manager and Effective from November 28</w:t>
      </w:r>
      <w:r w:rsidRPr="00360460">
        <w:rPr>
          <w:rFonts w:ascii="Arial" w:eastAsia="標楷體" w:hAnsi="Arial" w:cs="Arial"/>
          <w:color w:val="000000" w:themeColor="text1"/>
          <w:szCs w:val="24"/>
          <w:vertAlign w:val="superscript"/>
        </w:rPr>
        <w:t>th</w:t>
      </w:r>
      <w:r w:rsidRPr="00360460">
        <w:rPr>
          <w:rFonts w:ascii="Arial" w:eastAsia="標楷體" w:hAnsi="Arial" w:cs="Arial"/>
          <w:color w:val="000000" w:themeColor="text1"/>
          <w:szCs w:val="24"/>
        </w:rPr>
        <w:t>, 2018</w:t>
      </w:r>
    </w:p>
    <w:p w14:paraId="288B047C" w14:textId="77777777" w:rsidR="00004E97" w:rsidRPr="00360460" w:rsidRDefault="002E0635" w:rsidP="00360460">
      <w:pPr>
        <w:spacing w:line="440" w:lineRule="exact"/>
        <w:jc w:val="right"/>
        <w:rPr>
          <w:rFonts w:ascii="Arial" w:eastAsia="標楷體" w:hAnsi="Arial" w:cs="Arial"/>
          <w:color w:val="000000" w:themeColor="text1"/>
          <w:szCs w:val="24"/>
        </w:rPr>
      </w:pPr>
      <w:r w:rsidRPr="00360460">
        <w:rPr>
          <w:rFonts w:ascii="Arial" w:eastAsia="標楷體" w:hAnsi="Arial" w:cs="Arial"/>
          <w:color w:val="000000" w:themeColor="text1"/>
          <w:szCs w:val="24"/>
        </w:rPr>
        <w:t>Amendments Approved by</w:t>
      </w:r>
      <w:r w:rsidR="0078211E" w:rsidRPr="00360460">
        <w:rPr>
          <w:rFonts w:ascii="Arial" w:eastAsia="標楷體" w:hAnsi="Arial" w:cs="Arial"/>
          <w:color w:val="000000" w:themeColor="text1"/>
          <w:szCs w:val="24"/>
        </w:rPr>
        <w:t xml:space="preserve"> the</w:t>
      </w:r>
      <w:r w:rsidRPr="00360460">
        <w:rPr>
          <w:rFonts w:ascii="Arial" w:eastAsia="標楷體" w:hAnsi="Arial" w:cs="Arial"/>
          <w:color w:val="000000" w:themeColor="text1"/>
          <w:szCs w:val="24"/>
        </w:rPr>
        <w:t xml:space="preserve"> General Manager and Effective from September 27</w:t>
      </w:r>
      <w:r w:rsidRPr="00360460">
        <w:rPr>
          <w:rFonts w:ascii="Arial" w:eastAsia="標楷體" w:hAnsi="Arial" w:cs="Arial"/>
          <w:color w:val="000000" w:themeColor="text1"/>
          <w:szCs w:val="24"/>
          <w:vertAlign w:val="superscript"/>
        </w:rPr>
        <w:t>th</w:t>
      </w:r>
      <w:r w:rsidRPr="00360460">
        <w:rPr>
          <w:rFonts w:ascii="Arial" w:eastAsia="標楷體" w:hAnsi="Arial" w:cs="Arial"/>
          <w:color w:val="000000" w:themeColor="text1"/>
          <w:szCs w:val="24"/>
        </w:rPr>
        <w:t>, 2019</w:t>
      </w:r>
    </w:p>
    <w:p w14:paraId="7837D40C" w14:textId="77777777" w:rsidR="00E417D0" w:rsidRPr="00360460" w:rsidRDefault="00E417D0" w:rsidP="00E417D0">
      <w:pPr>
        <w:spacing w:line="440" w:lineRule="exact"/>
        <w:rPr>
          <w:rFonts w:ascii="Arial" w:eastAsia="標楷體" w:hAnsi="Arial" w:cs="Arial"/>
          <w:sz w:val="28"/>
          <w:szCs w:val="28"/>
        </w:rPr>
      </w:pPr>
    </w:p>
    <w:p w14:paraId="10CEC9BF" w14:textId="77777777" w:rsidR="00112252" w:rsidRPr="00360460" w:rsidRDefault="0051711C" w:rsidP="0051711C">
      <w:pPr>
        <w:pStyle w:val="a3"/>
        <w:numPr>
          <w:ilvl w:val="0"/>
          <w:numId w:val="5"/>
        </w:numPr>
        <w:spacing w:line="440" w:lineRule="exact"/>
        <w:ind w:leftChars="0"/>
        <w:rPr>
          <w:rFonts w:ascii="Arial" w:eastAsia="標楷體" w:hAnsi="Arial" w:cs="Arial"/>
          <w:sz w:val="28"/>
          <w:szCs w:val="28"/>
        </w:rPr>
      </w:pPr>
      <w:r w:rsidRPr="00360460">
        <w:rPr>
          <w:rFonts w:ascii="Arial" w:eastAsia="標楷體" w:hAnsi="Arial" w:cs="Arial"/>
          <w:sz w:val="28"/>
          <w:szCs w:val="28"/>
        </w:rPr>
        <w:t>Service Charge Standards of the Basic Services</w:t>
      </w:r>
    </w:p>
    <w:p w14:paraId="681E61C0" w14:textId="77777777" w:rsidR="0051711C" w:rsidRPr="00360460" w:rsidRDefault="0051711C" w:rsidP="0036635F">
      <w:pPr>
        <w:pStyle w:val="a3"/>
        <w:numPr>
          <w:ilvl w:val="1"/>
          <w:numId w:val="5"/>
        </w:numPr>
        <w:spacing w:line="440" w:lineRule="exact"/>
        <w:ind w:leftChars="0" w:left="1560" w:hanging="426"/>
        <w:rPr>
          <w:rFonts w:ascii="Arial" w:eastAsia="標楷體" w:hAnsi="Arial" w:cs="Arial"/>
          <w:sz w:val="28"/>
          <w:szCs w:val="28"/>
        </w:rPr>
      </w:pPr>
      <w:r w:rsidRPr="00360460">
        <w:rPr>
          <w:rFonts w:ascii="Arial" w:eastAsia="標楷體" w:hAnsi="Arial" w:cs="Arial"/>
          <w:sz w:val="28"/>
          <w:szCs w:val="28"/>
        </w:rPr>
        <w:t>Standard cabinet:</w:t>
      </w:r>
    </w:p>
    <w:p w14:paraId="7098F9E2" w14:textId="77777777" w:rsidR="0051711C" w:rsidRPr="00360460" w:rsidRDefault="00351CAD" w:rsidP="0036635F">
      <w:pPr>
        <w:pStyle w:val="a3"/>
        <w:numPr>
          <w:ilvl w:val="2"/>
          <w:numId w:val="5"/>
        </w:numPr>
        <w:spacing w:line="440" w:lineRule="exact"/>
        <w:ind w:leftChars="0" w:left="1985" w:hanging="425"/>
        <w:rPr>
          <w:rFonts w:ascii="Arial" w:eastAsia="標楷體" w:hAnsi="Arial" w:cs="Arial"/>
          <w:sz w:val="28"/>
          <w:szCs w:val="28"/>
        </w:rPr>
      </w:pPr>
      <w:r w:rsidRPr="00360460">
        <w:rPr>
          <w:rFonts w:ascii="Arial" w:eastAsia="標楷體" w:hAnsi="Arial" w:cs="Arial"/>
          <w:sz w:val="28"/>
          <w:szCs w:val="28"/>
        </w:rPr>
        <w:t>Service fee of the cabinet (60 cm in width, 120 cm in depth, 42U in height), provided with 4 KW of power and two 100Mbps cables for trading and market transmission separately, is NT$200,000/cabinet/month (tax included, apply to below);</w:t>
      </w:r>
      <w:r w:rsidRPr="00360460">
        <w:rPr>
          <w:rFonts w:ascii="Arial" w:hAnsi="Arial" w:cs="Arial"/>
        </w:rPr>
        <w:t xml:space="preserve"> </w:t>
      </w:r>
      <w:r w:rsidRPr="00360460">
        <w:rPr>
          <w:rFonts w:ascii="Arial" w:eastAsia="標楷體" w:hAnsi="Arial" w:cs="Arial"/>
          <w:sz w:val="28"/>
          <w:szCs w:val="28"/>
        </w:rPr>
        <w:t xml:space="preserve">for those provided with 5 KW of power, there shall be </w:t>
      </w:r>
      <w:r w:rsidR="00AC7B41" w:rsidRPr="00360460">
        <w:rPr>
          <w:rFonts w:ascii="Arial" w:eastAsia="標楷體" w:hAnsi="Arial" w:cs="Arial"/>
          <w:sz w:val="28"/>
          <w:szCs w:val="28"/>
        </w:rPr>
        <w:t xml:space="preserve">an </w:t>
      </w:r>
      <w:r w:rsidRPr="00360460">
        <w:rPr>
          <w:rFonts w:ascii="Arial" w:eastAsia="標楷體" w:hAnsi="Arial" w:cs="Arial"/>
          <w:sz w:val="28"/>
          <w:szCs w:val="28"/>
        </w:rPr>
        <w:t>incremental charge of NT$5,000/ cabinet/month.</w:t>
      </w:r>
    </w:p>
    <w:p w14:paraId="37B74BF6" w14:textId="77777777" w:rsidR="00351CAD" w:rsidRPr="00360460" w:rsidRDefault="00351CAD" w:rsidP="0036635F">
      <w:pPr>
        <w:pStyle w:val="a3"/>
        <w:numPr>
          <w:ilvl w:val="2"/>
          <w:numId w:val="5"/>
        </w:numPr>
        <w:spacing w:line="440" w:lineRule="exact"/>
        <w:ind w:leftChars="0" w:left="1985" w:hanging="425"/>
        <w:rPr>
          <w:rFonts w:ascii="Arial" w:eastAsia="標楷體" w:hAnsi="Arial" w:cs="Arial"/>
          <w:sz w:val="28"/>
          <w:szCs w:val="28"/>
        </w:rPr>
      </w:pPr>
      <w:r w:rsidRPr="00360460">
        <w:rPr>
          <w:rFonts w:ascii="Arial" w:eastAsia="標楷體" w:hAnsi="Arial" w:cs="Arial"/>
          <w:sz w:val="28"/>
          <w:szCs w:val="28"/>
        </w:rPr>
        <w:t>Service fee of the cabinet (60 cm in width, 120 cm in depth, 42U in height), provided with 4 KW of power and two 1Gbps cables for trading and market transmission separately, is NT$600,000/cabinet/month (tax included, apply to below);</w:t>
      </w:r>
      <w:r w:rsidRPr="00360460">
        <w:rPr>
          <w:rFonts w:ascii="Arial" w:hAnsi="Arial" w:cs="Arial"/>
        </w:rPr>
        <w:t xml:space="preserve"> </w:t>
      </w:r>
      <w:r w:rsidRPr="00360460">
        <w:rPr>
          <w:rFonts w:ascii="Arial" w:eastAsia="標楷體" w:hAnsi="Arial" w:cs="Arial"/>
          <w:sz w:val="28"/>
          <w:szCs w:val="28"/>
        </w:rPr>
        <w:t>for those provided with 5 KW of power, there shall be</w:t>
      </w:r>
      <w:r w:rsidR="00AC7B41" w:rsidRPr="00360460">
        <w:rPr>
          <w:rFonts w:ascii="Arial" w:eastAsia="標楷體" w:hAnsi="Arial" w:cs="Arial"/>
          <w:sz w:val="28"/>
          <w:szCs w:val="28"/>
        </w:rPr>
        <w:t xml:space="preserve"> an</w:t>
      </w:r>
      <w:r w:rsidRPr="00360460">
        <w:rPr>
          <w:rFonts w:ascii="Arial" w:eastAsia="標楷體" w:hAnsi="Arial" w:cs="Arial"/>
          <w:sz w:val="28"/>
          <w:szCs w:val="28"/>
        </w:rPr>
        <w:t xml:space="preserve"> incremental charge of NT$5,000/ cabinet/ month.</w:t>
      </w:r>
    </w:p>
    <w:p w14:paraId="0DE9F5C3" w14:textId="77777777" w:rsidR="0051711C" w:rsidRPr="00360460" w:rsidRDefault="007228B0" w:rsidP="0036635F">
      <w:pPr>
        <w:pStyle w:val="a3"/>
        <w:numPr>
          <w:ilvl w:val="1"/>
          <w:numId w:val="5"/>
        </w:numPr>
        <w:spacing w:line="440" w:lineRule="exact"/>
        <w:ind w:leftChars="0" w:left="1560" w:hanging="426"/>
        <w:rPr>
          <w:rFonts w:ascii="Arial" w:eastAsia="標楷體" w:hAnsi="Arial" w:cs="Arial"/>
          <w:sz w:val="28"/>
          <w:szCs w:val="28"/>
        </w:rPr>
      </w:pPr>
      <w:r w:rsidRPr="00360460">
        <w:rPr>
          <w:rFonts w:ascii="Arial" w:eastAsia="標楷體" w:hAnsi="Arial" w:cs="Arial"/>
          <w:sz w:val="28"/>
          <w:szCs w:val="28"/>
        </w:rPr>
        <w:t>Non-standard cabinet:</w:t>
      </w:r>
    </w:p>
    <w:p w14:paraId="6385E1B3" w14:textId="77777777" w:rsidR="007228B0" w:rsidRPr="00360460" w:rsidRDefault="00815026" w:rsidP="0036635F">
      <w:pPr>
        <w:pStyle w:val="a3"/>
        <w:spacing w:line="440" w:lineRule="exact"/>
        <w:ind w:leftChars="0" w:left="1560"/>
        <w:rPr>
          <w:rFonts w:ascii="Arial" w:eastAsia="標楷體" w:hAnsi="Arial" w:cs="Arial"/>
          <w:sz w:val="28"/>
          <w:szCs w:val="28"/>
        </w:rPr>
      </w:pPr>
      <w:r w:rsidRPr="00360460">
        <w:rPr>
          <w:rFonts w:ascii="Arial" w:eastAsia="標楷體" w:hAnsi="Arial" w:cs="Arial"/>
          <w:sz w:val="28"/>
          <w:szCs w:val="28"/>
        </w:rPr>
        <w:t>For cabinet</w:t>
      </w:r>
      <w:r w:rsidR="0078211E" w:rsidRPr="00360460">
        <w:rPr>
          <w:rFonts w:ascii="Arial" w:eastAsia="標楷體" w:hAnsi="Arial" w:cs="Arial"/>
          <w:sz w:val="28"/>
          <w:szCs w:val="28"/>
        </w:rPr>
        <w:t>s</w:t>
      </w:r>
      <w:r w:rsidRPr="00360460">
        <w:rPr>
          <w:rFonts w:ascii="Arial" w:eastAsia="標楷體" w:hAnsi="Arial" w:cs="Arial"/>
          <w:sz w:val="28"/>
          <w:szCs w:val="28"/>
        </w:rPr>
        <w:t xml:space="preserve"> with a width greater than 60 cm or a depth greater than 120 cm or a height between 42U and 45U (213cm), provided with 4KW or 5KW of power, two 100Mbps or 1Gbps cables for trading and market transmission separately, the units of use and the service fees shall be calculated and discussed by TPEx and the user, based on the actual area of use.</w:t>
      </w:r>
    </w:p>
    <w:p w14:paraId="22308225" w14:textId="77777777" w:rsidR="007228B0" w:rsidRPr="00360460" w:rsidRDefault="007374E1" w:rsidP="0036635F">
      <w:pPr>
        <w:pStyle w:val="a3"/>
        <w:numPr>
          <w:ilvl w:val="1"/>
          <w:numId w:val="5"/>
        </w:numPr>
        <w:spacing w:line="440" w:lineRule="exact"/>
        <w:ind w:leftChars="0" w:left="1560" w:hanging="426"/>
        <w:rPr>
          <w:rFonts w:ascii="Arial" w:eastAsia="標楷體" w:hAnsi="Arial" w:cs="Arial"/>
          <w:sz w:val="28"/>
          <w:szCs w:val="28"/>
        </w:rPr>
      </w:pPr>
      <w:r w:rsidRPr="00360460">
        <w:rPr>
          <w:rFonts w:ascii="Arial" w:eastAsia="標楷體" w:hAnsi="Arial" w:cs="Arial"/>
          <w:sz w:val="28"/>
          <w:szCs w:val="28"/>
        </w:rPr>
        <w:t>Basic service:</w:t>
      </w:r>
    </w:p>
    <w:p w14:paraId="39FD916B" w14:textId="77777777" w:rsidR="0066397E" w:rsidRPr="00360460" w:rsidRDefault="0066397E" w:rsidP="0036635F">
      <w:pPr>
        <w:pStyle w:val="a3"/>
        <w:spacing w:line="440" w:lineRule="exact"/>
        <w:ind w:leftChars="0" w:left="1560"/>
        <w:rPr>
          <w:rFonts w:ascii="Arial" w:eastAsia="標楷體" w:hAnsi="Arial" w:cs="Arial"/>
          <w:sz w:val="28"/>
          <w:szCs w:val="28"/>
        </w:rPr>
      </w:pPr>
      <w:r w:rsidRPr="00360460">
        <w:rPr>
          <w:rFonts w:ascii="Arial" w:eastAsia="標楷體" w:hAnsi="Arial" w:cs="Arial"/>
          <w:sz w:val="28"/>
          <w:szCs w:val="28"/>
        </w:rPr>
        <w:t xml:space="preserve">Users who rent only one cabinet in the host co-located server room and connect to the TWSE and TPEx markets at the same </w:t>
      </w:r>
      <w:r w:rsidRPr="00360460">
        <w:rPr>
          <w:rFonts w:ascii="Arial" w:eastAsia="標楷體" w:hAnsi="Arial" w:cs="Arial"/>
          <w:sz w:val="28"/>
          <w:szCs w:val="28"/>
        </w:rPr>
        <w:lastRenderedPageBreak/>
        <w:t>time can apply for this service.</w:t>
      </w:r>
      <w:r w:rsidR="00AC7B41" w:rsidRPr="00360460">
        <w:rPr>
          <w:rFonts w:ascii="Arial" w:eastAsia="標楷體" w:hAnsi="Arial" w:cs="Arial"/>
          <w:sz w:val="28"/>
          <w:szCs w:val="28"/>
        </w:rPr>
        <w:t xml:space="preserve"> The service fee for a standard cabinet, provided with 4 KW of power and 100Mbps cables for the trading and market transmission in TWSE and TPEx markets separately (a total of four 100Mbps cables for the two markets) is NT$200,000/cabinet/month; for those provided with 5 KW of power, there shall be an incremental charge of NT$5,000/ cabinet/ month.</w:t>
      </w:r>
    </w:p>
    <w:p w14:paraId="4FC096C1" w14:textId="77777777" w:rsidR="0066397E" w:rsidRPr="00360460" w:rsidRDefault="00370B01" w:rsidP="0036635F">
      <w:pPr>
        <w:pStyle w:val="a3"/>
        <w:numPr>
          <w:ilvl w:val="1"/>
          <w:numId w:val="5"/>
        </w:numPr>
        <w:spacing w:line="440" w:lineRule="exact"/>
        <w:ind w:leftChars="0" w:left="1560" w:hanging="567"/>
        <w:rPr>
          <w:rFonts w:ascii="Arial" w:eastAsia="標楷體" w:hAnsi="Arial" w:cs="Arial"/>
          <w:sz w:val="28"/>
          <w:szCs w:val="28"/>
        </w:rPr>
      </w:pPr>
      <w:r w:rsidRPr="00360460">
        <w:rPr>
          <w:rFonts w:ascii="Arial" w:eastAsia="標楷體" w:hAnsi="Arial" w:cs="Arial"/>
          <w:sz w:val="28"/>
          <w:szCs w:val="28"/>
        </w:rPr>
        <w:t>When apply for a cabinet, there is an installation fee of NT$ 6,000/ cabinet (unit).</w:t>
      </w:r>
    </w:p>
    <w:p w14:paraId="2A643EA2" w14:textId="77777777" w:rsidR="0051711C" w:rsidRPr="00360460" w:rsidRDefault="00370B01" w:rsidP="0051711C">
      <w:pPr>
        <w:pStyle w:val="a3"/>
        <w:numPr>
          <w:ilvl w:val="0"/>
          <w:numId w:val="5"/>
        </w:numPr>
        <w:spacing w:line="440" w:lineRule="exact"/>
        <w:ind w:leftChars="0"/>
        <w:rPr>
          <w:rFonts w:ascii="Arial" w:eastAsia="標楷體" w:hAnsi="Arial" w:cs="Arial"/>
          <w:sz w:val="28"/>
          <w:szCs w:val="28"/>
        </w:rPr>
      </w:pPr>
      <w:r w:rsidRPr="00360460">
        <w:rPr>
          <w:rFonts w:ascii="Arial" w:eastAsia="標楷體" w:hAnsi="Arial" w:cs="Arial"/>
          <w:sz w:val="28"/>
          <w:szCs w:val="28"/>
        </w:rPr>
        <w:t>Add-value service charge standard</w:t>
      </w:r>
      <w:r w:rsidR="003F279A" w:rsidRPr="00360460">
        <w:rPr>
          <w:rFonts w:ascii="Arial" w:eastAsia="標楷體" w:hAnsi="Arial" w:cs="Arial"/>
          <w:sz w:val="28"/>
          <w:szCs w:val="28"/>
        </w:rPr>
        <w:t>s</w:t>
      </w:r>
    </w:p>
    <w:p w14:paraId="62C3A27E" w14:textId="77777777" w:rsidR="003F279A" w:rsidRPr="00360460" w:rsidRDefault="00BE2E16" w:rsidP="0036635F">
      <w:pPr>
        <w:pStyle w:val="a3"/>
        <w:numPr>
          <w:ilvl w:val="1"/>
          <w:numId w:val="5"/>
        </w:numPr>
        <w:spacing w:line="440" w:lineRule="exact"/>
        <w:ind w:leftChars="0" w:left="1560" w:hanging="426"/>
        <w:rPr>
          <w:rFonts w:ascii="Arial" w:eastAsia="標楷體" w:hAnsi="Arial" w:cs="Arial"/>
          <w:sz w:val="28"/>
          <w:szCs w:val="28"/>
        </w:rPr>
      </w:pPr>
      <w:r w:rsidRPr="00360460">
        <w:rPr>
          <w:rFonts w:ascii="Arial" w:eastAsia="標楷體" w:hAnsi="Arial" w:cs="Arial"/>
          <w:sz w:val="28"/>
          <w:szCs w:val="28"/>
        </w:rPr>
        <w:t>The fee for</w:t>
      </w:r>
      <w:r w:rsidR="003F279A" w:rsidRPr="00360460">
        <w:rPr>
          <w:rFonts w:ascii="Arial" w:eastAsia="標楷體" w:hAnsi="Arial" w:cs="Arial"/>
          <w:sz w:val="28"/>
          <w:szCs w:val="28"/>
        </w:rPr>
        <w:t xml:space="preserve"> </w:t>
      </w:r>
      <w:r w:rsidR="00150583" w:rsidRPr="00360460">
        <w:rPr>
          <w:rFonts w:ascii="Arial" w:eastAsia="標楷體" w:hAnsi="Arial" w:cs="Arial"/>
          <w:sz w:val="28"/>
          <w:szCs w:val="28"/>
        </w:rPr>
        <w:t>relocating</w:t>
      </w:r>
      <w:r w:rsidR="003F279A" w:rsidRPr="00360460">
        <w:rPr>
          <w:rFonts w:ascii="Arial" w:eastAsia="標楷體" w:hAnsi="Arial" w:cs="Arial"/>
          <w:sz w:val="28"/>
          <w:szCs w:val="28"/>
        </w:rPr>
        <w:t xml:space="preserve"> the cabinet is NT$6,000/ cabinet (unit)/ time.</w:t>
      </w:r>
    </w:p>
    <w:p w14:paraId="063DAD38" w14:textId="77777777" w:rsidR="003F279A" w:rsidRPr="00360460" w:rsidRDefault="00BE2E16" w:rsidP="0036635F">
      <w:pPr>
        <w:pStyle w:val="a3"/>
        <w:numPr>
          <w:ilvl w:val="1"/>
          <w:numId w:val="5"/>
        </w:numPr>
        <w:spacing w:line="440" w:lineRule="exact"/>
        <w:ind w:leftChars="0" w:left="1560" w:hanging="426"/>
        <w:rPr>
          <w:rFonts w:ascii="Arial" w:eastAsia="標楷體" w:hAnsi="Arial" w:cs="Arial"/>
          <w:sz w:val="28"/>
          <w:szCs w:val="28"/>
        </w:rPr>
      </w:pPr>
      <w:r w:rsidRPr="00360460">
        <w:rPr>
          <w:rFonts w:ascii="Arial" w:eastAsia="標楷體" w:hAnsi="Arial" w:cs="Arial"/>
          <w:sz w:val="28"/>
          <w:szCs w:val="28"/>
        </w:rPr>
        <w:t>The fee for</w:t>
      </w:r>
      <w:r w:rsidR="003F279A" w:rsidRPr="00360460">
        <w:rPr>
          <w:rFonts w:ascii="Arial" w:eastAsia="標楷體" w:hAnsi="Arial" w:cs="Arial"/>
          <w:sz w:val="28"/>
          <w:szCs w:val="28"/>
        </w:rPr>
        <w:t xml:space="preserve"> reserving the cabinet is NT$ 30,000/ cabinet (unit)/ month. The reservation period is within six months from the date of TPEx approval.</w:t>
      </w:r>
    </w:p>
    <w:p w14:paraId="072AF0F9" w14:textId="77777777" w:rsidR="00BE2E16" w:rsidRPr="00360460" w:rsidRDefault="00BE2E16" w:rsidP="0036635F">
      <w:pPr>
        <w:pStyle w:val="a3"/>
        <w:numPr>
          <w:ilvl w:val="1"/>
          <w:numId w:val="5"/>
        </w:numPr>
        <w:spacing w:line="440" w:lineRule="exact"/>
        <w:ind w:leftChars="0" w:left="1560" w:hanging="426"/>
        <w:rPr>
          <w:rFonts w:ascii="Arial" w:eastAsia="標楷體" w:hAnsi="Arial" w:cs="Arial"/>
          <w:sz w:val="28"/>
          <w:szCs w:val="28"/>
        </w:rPr>
      </w:pPr>
      <w:r w:rsidRPr="00360460">
        <w:rPr>
          <w:rFonts w:ascii="Arial" w:eastAsia="標楷體" w:hAnsi="Arial" w:cs="Arial"/>
          <w:sz w:val="28"/>
          <w:szCs w:val="28"/>
        </w:rPr>
        <w:t>The fee</w:t>
      </w:r>
      <w:r w:rsidR="008E3F87" w:rsidRPr="00360460">
        <w:rPr>
          <w:rFonts w:ascii="Arial" w:eastAsia="標楷體" w:hAnsi="Arial" w:cs="Arial"/>
          <w:sz w:val="28"/>
          <w:szCs w:val="28"/>
        </w:rPr>
        <w:t>s</w:t>
      </w:r>
      <w:r w:rsidRPr="00360460">
        <w:rPr>
          <w:rFonts w:ascii="Arial" w:eastAsia="標楷體" w:hAnsi="Arial" w:cs="Arial"/>
          <w:sz w:val="28"/>
          <w:szCs w:val="28"/>
        </w:rPr>
        <w:t xml:space="preserve"> </w:t>
      </w:r>
      <w:r w:rsidR="008E3F87" w:rsidRPr="00360460">
        <w:rPr>
          <w:rFonts w:ascii="Arial" w:eastAsia="標楷體" w:hAnsi="Arial" w:cs="Arial"/>
          <w:sz w:val="28"/>
          <w:szCs w:val="28"/>
        </w:rPr>
        <w:t>of</w:t>
      </w:r>
      <w:r w:rsidRPr="00360460">
        <w:rPr>
          <w:rFonts w:ascii="Arial" w:eastAsia="標楷體" w:hAnsi="Arial" w:cs="Arial"/>
          <w:sz w:val="28"/>
          <w:szCs w:val="28"/>
        </w:rPr>
        <w:t xml:space="preserve"> </w:t>
      </w:r>
      <w:bookmarkStart w:id="0" w:name="_Hlk65528296"/>
      <w:r w:rsidRPr="00360460">
        <w:rPr>
          <w:rFonts w:ascii="Arial" w:eastAsia="標楷體" w:hAnsi="Arial" w:cs="Arial"/>
          <w:sz w:val="28"/>
          <w:szCs w:val="28"/>
        </w:rPr>
        <w:t>adding cables for trading or market transmission</w:t>
      </w:r>
      <w:bookmarkEnd w:id="0"/>
      <w:r w:rsidRPr="00360460">
        <w:rPr>
          <w:rFonts w:ascii="Arial" w:eastAsia="標楷體" w:hAnsi="Arial" w:cs="Arial"/>
          <w:sz w:val="28"/>
          <w:szCs w:val="28"/>
        </w:rPr>
        <w:t>:</w:t>
      </w:r>
    </w:p>
    <w:p w14:paraId="156B39B5" w14:textId="77777777" w:rsidR="008E3F87" w:rsidRPr="00360460" w:rsidRDefault="008E3F87" w:rsidP="0036635F">
      <w:pPr>
        <w:pStyle w:val="a3"/>
        <w:spacing w:line="440" w:lineRule="exact"/>
        <w:ind w:leftChars="649" w:left="1981" w:hangingChars="151" w:hanging="423"/>
        <w:rPr>
          <w:rFonts w:ascii="Arial" w:eastAsia="標楷體" w:hAnsi="Arial" w:cs="Arial"/>
          <w:sz w:val="28"/>
          <w:szCs w:val="28"/>
        </w:rPr>
      </w:pPr>
      <w:r w:rsidRPr="00360460">
        <w:rPr>
          <w:rFonts w:ascii="Arial" w:eastAsia="標楷體" w:hAnsi="Arial" w:cs="Arial"/>
          <w:sz w:val="28"/>
          <w:szCs w:val="28"/>
        </w:rPr>
        <w:t>1.</w:t>
      </w:r>
      <w:r w:rsidR="0036635F">
        <w:rPr>
          <w:rFonts w:ascii="Arial" w:eastAsia="標楷體" w:hAnsi="Arial" w:cs="Arial"/>
          <w:sz w:val="28"/>
          <w:szCs w:val="28"/>
        </w:rPr>
        <w:tab/>
      </w:r>
      <w:r w:rsidR="00EC6C21" w:rsidRPr="00360460">
        <w:rPr>
          <w:rFonts w:ascii="Arial" w:eastAsia="標楷體" w:hAnsi="Arial" w:cs="Arial"/>
          <w:sz w:val="28"/>
          <w:szCs w:val="28"/>
        </w:rPr>
        <w:t>For cables necessary for cabinet backup, the 100Mbps cable is NT$ 35,000/ cable/ month, and the number of cables used for trading or market transmission in each market is limited to one.</w:t>
      </w:r>
    </w:p>
    <w:p w14:paraId="4D917F8A" w14:textId="77777777" w:rsidR="008E3F87" w:rsidRPr="00360460" w:rsidRDefault="008E3F87" w:rsidP="0036635F">
      <w:pPr>
        <w:pStyle w:val="a3"/>
        <w:spacing w:line="440" w:lineRule="exact"/>
        <w:ind w:leftChars="649" w:left="1981" w:hangingChars="151" w:hanging="423"/>
        <w:rPr>
          <w:rFonts w:ascii="Arial" w:eastAsia="標楷體" w:hAnsi="Arial" w:cs="Arial"/>
          <w:sz w:val="28"/>
          <w:szCs w:val="28"/>
        </w:rPr>
      </w:pPr>
      <w:r w:rsidRPr="00360460">
        <w:rPr>
          <w:rFonts w:ascii="Arial" w:eastAsia="標楷體" w:hAnsi="Arial" w:cs="Arial"/>
          <w:sz w:val="28"/>
          <w:szCs w:val="28"/>
        </w:rPr>
        <w:t>2.</w:t>
      </w:r>
      <w:r w:rsidR="0036635F">
        <w:rPr>
          <w:rFonts w:ascii="Arial" w:eastAsia="標楷體" w:hAnsi="Arial" w:cs="Arial"/>
          <w:sz w:val="28"/>
          <w:szCs w:val="28"/>
        </w:rPr>
        <w:tab/>
      </w:r>
      <w:r w:rsidR="00EC6C21" w:rsidRPr="00360460">
        <w:rPr>
          <w:rFonts w:ascii="Arial" w:eastAsia="標楷體" w:hAnsi="Arial" w:cs="Arial"/>
          <w:sz w:val="28"/>
          <w:szCs w:val="28"/>
        </w:rPr>
        <w:t>Cables used for transaction or market transmission added for business needs:</w:t>
      </w:r>
    </w:p>
    <w:p w14:paraId="61D6A01B" w14:textId="77777777" w:rsidR="00A323C9" w:rsidRPr="00360460" w:rsidRDefault="008E3F87" w:rsidP="0036635F">
      <w:pPr>
        <w:pStyle w:val="a3"/>
        <w:spacing w:line="440" w:lineRule="exact"/>
        <w:ind w:leftChars="0" w:left="1985"/>
        <w:rPr>
          <w:rFonts w:ascii="Arial" w:eastAsia="標楷體" w:hAnsi="Arial" w:cs="Arial"/>
          <w:sz w:val="28"/>
          <w:szCs w:val="28"/>
        </w:rPr>
      </w:pPr>
      <w:r w:rsidRPr="00360460">
        <w:rPr>
          <w:rFonts w:ascii="Arial" w:eastAsia="標楷體" w:hAnsi="Arial" w:cs="Arial"/>
          <w:sz w:val="28"/>
          <w:szCs w:val="28"/>
        </w:rPr>
        <w:t>(1) 100Mbp</w:t>
      </w:r>
      <w:r w:rsidR="00A323C9" w:rsidRPr="00360460">
        <w:rPr>
          <w:rFonts w:ascii="Arial" w:eastAsia="標楷體" w:hAnsi="Arial" w:cs="Arial"/>
          <w:sz w:val="28"/>
          <w:szCs w:val="28"/>
        </w:rPr>
        <w:t>s cable: NT$70,000/ cable/ month.</w:t>
      </w:r>
    </w:p>
    <w:p w14:paraId="01C916E3" w14:textId="77777777" w:rsidR="008E3F87" w:rsidRPr="00360460" w:rsidRDefault="008E3F87" w:rsidP="0036635F">
      <w:pPr>
        <w:pStyle w:val="a3"/>
        <w:spacing w:line="440" w:lineRule="exact"/>
        <w:ind w:leftChars="0" w:left="1985"/>
        <w:rPr>
          <w:rFonts w:ascii="Arial" w:eastAsia="標楷體" w:hAnsi="Arial" w:cs="Arial"/>
          <w:sz w:val="28"/>
          <w:szCs w:val="28"/>
        </w:rPr>
      </w:pPr>
      <w:r w:rsidRPr="00360460">
        <w:rPr>
          <w:rFonts w:ascii="Arial" w:eastAsia="標楷體" w:hAnsi="Arial" w:cs="Arial"/>
          <w:sz w:val="28"/>
          <w:szCs w:val="28"/>
        </w:rPr>
        <w:t>(2) 1Gbps</w:t>
      </w:r>
      <w:r w:rsidR="00A323C9" w:rsidRPr="00360460">
        <w:rPr>
          <w:rFonts w:ascii="Arial" w:eastAsia="標楷體" w:hAnsi="Arial" w:cs="Arial"/>
          <w:sz w:val="28"/>
          <w:szCs w:val="28"/>
        </w:rPr>
        <w:t xml:space="preserve"> cable:</w:t>
      </w:r>
      <w:r w:rsidR="002C72B3" w:rsidRPr="00360460">
        <w:rPr>
          <w:rFonts w:ascii="Arial" w:eastAsia="標楷體" w:hAnsi="Arial" w:cs="Arial"/>
          <w:sz w:val="28"/>
          <w:szCs w:val="28"/>
        </w:rPr>
        <w:t xml:space="preserve"> </w:t>
      </w:r>
      <w:r w:rsidR="00A323C9" w:rsidRPr="00360460">
        <w:rPr>
          <w:rFonts w:ascii="Arial" w:eastAsia="標楷體" w:hAnsi="Arial" w:cs="Arial"/>
          <w:sz w:val="28"/>
          <w:szCs w:val="28"/>
        </w:rPr>
        <w:t>NT$ 2</w:t>
      </w:r>
      <w:r w:rsidR="002C72B3" w:rsidRPr="00360460">
        <w:rPr>
          <w:rFonts w:ascii="Arial" w:eastAsia="標楷體" w:hAnsi="Arial" w:cs="Arial"/>
          <w:sz w:val="28"/>
          <w:szCs w:val="28"/>
        </w:rPr>
        <w:t>70,000/ cable/ month</w:t>
      </w:r>
    </w:p>
    <w:p w14:paraId="1A7FA53C" w14:textId="77777777" w:rsidR="008E3F87" w:rsidRPr="00360460" w:rsidRDefault="0021659E" w:rsidP="0036635F">
      <w:pPr>
        <w:pStyle w:val="a3"/>
        <w:numPr>
          <w:ilvl w:val="1"/>
          <w:numId w:val="5"/>
        </w:numPr>
        <w:spacing w:line="440" w:lineRule="exact"/>
        <w:ind w:leftChars="0" w:left="1701" w:hanging="567"/>
        <w:rPr>
          <w:rFonts w:ascii="Arial" w:eastAsia="標楷體" w:hAnsi="Arial" w:cs="Arial"/>
          <w:sz w:val="28"/>
          <w:szCs w:val="28"/>
        </w:rPr>
      </w:pPr>
      <w:r w:rsidRPr="00360460">
        <w:rPr>
          <w:rFonts w:ascii="Arial" w:eastAsia="標楷體" w:hAnsi="Arial" w:cs="Arial"/>
          <w:sz w:val="28"/>
          <w:szCs w:val="28"/>
        </w:rPr>
        <w:t xml:space="preserve">For the </w:t>
      </w:r>
      <w:bookmarkStart w:id="1" w:name="_Hlk65528446"/>
      <w:r w:rsidRPr="00360460">
        <w:rPr>
          <w:rFonts w:ascii="Arial" w:eastAsia="標楷體" w:hAnsi="Arial" w:cs="Arial"/>
          <w:sz w:val="28"/>
          <w:szCs w:val="28"/>
        </w:rPr>
        <w:t xml:space="preserve">data leased lines of the telecommunications companies used to connect the host co-location cabinets that the users applied for and their back-end systems, </w:t>
      </w:r>
      <w:bookmarkEnd w:id="1"/>
      <w:r w:rsidRPr="00360460">
        <w:rPr>
          <w:rFonts w:ascii="Arial" w:eastAsia="標楷體" w:hAnsi="Arial" w:cs="Arial"/>
          <w:sz w:val="28"/>
          <w:szCs w:val="28"/>
        </w:rPr>
        <w:t xml:space="preserve">users shall determine the telecommunications companies and bandwidth and bear the related costs. TPEx or the person entrusted by TPEx shall rent and pay on behalf of users at the preferential price provided by each telecommunications company (including the connection </w:t>
      </w:r>
      <w:r w:rsidRPr="00360460">
        <w:rPr>
          <w:rFonts w:ascii="Arial" w:eastAsia="標楷體" w:hAnsi="Arial" w:cs="Arial"/>
          <w:sz w:val="28"/>
          <w:szCs w:val="28"/>
        </w:rPr>
        <w:lastRenderedPageBreak/>
        <w:t>fee). The relevant charge standards shall be conducted in accordance with the schedule 1, "Service Charge for Data Leased Lines of the Telecommunications Companies Connecting the Host Co-Location Cabinet Back to the User End", of the T</w:t>
      </w:r>
      <w:r w:rsidR="00B46B1A" w:rsidRPr="00360460">
        <w:rPr>
          <w:rFonts w:ascii="Arial" w:eastAsia="標楷體" w:hAnsi="Arial" w:cs="Arial"/>
          <w:sz w:val="28"/>
          <w:szCs w:val="28"/>
        </w:rPr>
        <w:t>aiwan Stock Exchange Corporation</w:t>
      </w:r>
      <w:r w:rsidR="00DA7138" w:rsidRPr="00360460">
        <w:rPr>
          <w:rFonts w:ascii="Arial" w:eastAsia="標楷體" w:hAnsi="Arial" w:cs="Arial"/>
          <w:sz w:val="28"/>
          <w:szCs w:val="28"/>
        </w:rPr>
        <w:t xml:space="preserve"> Host</w:t>
      </w:r>
      <w:r w:rsidRPr="00360460">
        <w:rPr>
          <w:rFonts w:ascii="Arial" w:eastAsia="標楷體" w:hAnsi="Arial" w:cs="Arial"/>
          <w:sz w:val="28"/>
          <w:szCs w:val="28"/>
        </w:rPr>
        <w:t xml:space="preserve"> Co-Location Service Charge Standards.</w:t>
      </w:r>
    </w:p>
    <w:p w14:paraId="2DF2AD11" w14:textId="77777777" w:rsidR="008C458E" w:rsidRPr="00360460" w:rsidRDefault="00DA7138" w:rsidP="0036635F">
      <w:pPr>
        <w:pStyle w:val="a3"/>
        <w:numPr>
          <w:ilvl w:val="1"/>
          <w:numId w:val="5"/>
        </w:numPr>
        <w:spacing w:line="440" w:lineRule="exact"/>
        <w:ind w:leftChars="0" w:left="1701" w:hanging="567"/>
        <w:rPr>
          <w:rFonts w:ascii="Arial" w:eastAsia="標楷體" w:hAnsi="Arial" w:cs="Arial"/>
          <w:sz w:val="28"/>
          <w:szCs w:val="28"/>
        </w:rPr>
      </w:pPr>
      <w:r w:rsidRPr="00360460">
        <w:rPr>
          <w:rFonts w:ascii="Arial" w:eastAsia="標楷體" w:hAnsi="Arial" w:cs="Arial"/>
          <w:sz w:val="28"/>
          <w:szCs w:val="28"/>
        </w:rPr>
        <w:t xml:space="preserve">Users who </w:t>
      </w:r>
      <w:bookmarkStart w:id="2" w:name="_Hlk65528700"/>
      <w:r w:rsidRPr="00360460">
        <w:rPr>
          <w:rFonts w:ascii="Arial" w:eastAsia="標楷體" w:hAnsi="Arial" w:cs="Arial"/>
          <w:sz w:val="28"/>
          <w:szCs w:val="28"/>
        </w:rPr>
        <w:t xml:space="preserve">apply for urgent authorization to </w:t>
      </w:r>
      <w:r w:rsidR="002F703E" w:rsidRPr="00360460">
        <w:rPr>
          <w:rFonts w:ascii="Arial" w:eastAsia="標楷體" w:hAnsi="Arial" w:cs="Arial"/>
          <w:sz w:val="28"/>
          <w:szCs w:val="28"/>
        </w:rPr>
        <w:t xml:space="preserve">conduct </w:t>
      </w:r>
      <w:r w:rsidRPr="00360460">
        <w:rPr>
          <w:rFonts w:ascii="Arial" w:eastAsia="標楷體" w:hAnsi="Arial" w:cs="Arial"/>
          <w:sz w:val="28"/>
          <w:szCs w:val="28"/>
        </w:rPr>
        <w:t xml:space="preserve">maintenance </w:t>
      </w:r>
      <w:bookmarkEnd w:id="2"/>
      <w:r w:rsidRPr="00360460">
        <w:rPr>
          <w:rFonts w:ascii="Arial" w:eastAsia="標楷體" w:hAnsi="Arial" w:cs="Arial"/>
          <w:sz w:val="28"/>
          <w:szCs w:val="28"/>
        </w:rPr>
        <w:t>shall be charged according to the Schedule 2, "Host Co-Location Maintenance Time and Charges" of the Taiwan Stock Exchange Corporation Host Co-Location Service Charge Standards.</w:t>
      </w:r>
    </w:p>
    <w:p w14:paraId="51E62D7B" w14:textId="77777777" w:rsidR="00D8574A" w:rsidRPr="00360460" w:rsidRDefault="008C458E" w:rsidP="009A4B50">
      <w:pPr>
        <w:pStyle w:val="a3"/>
        <w:numPr>
          <w:ilvl w:val="0"/>
          <w:numId w:val="5"/>
        </w:numPr>
        <w:spacing w:line="440" w:lineRule="exact"/>
        <w:ind w:leftChars="0"/>
        <w:rPr>
          <w:rFonts w:ascii="Arial" w:eastAsia="標楷體" w:hAnsi="Arial" w:cs="Arial"/>
          <w:sz w:val="28"/>
          <w:szCs w:val="28"/>
        </w:rPr>
      </w:pPr>
      <w:r w:rsidRPr="00360460">
        <w:rPr>
          <w:rFonts w:ascii="Arial" w:eastAsia="標楷體" w:hAnsi="Arial" w:cs="Arial"/>
          <w:sz w:val="28"/>
          <w:szCs w:val="28"/>
        </w:rPr>
        <w:t>The Service Charge Standards shall be implemented upon the approval of the general manager of TPEx, and so are the amendments.</w:t>
      </w:r>
    </w:p>
    <w:sectPr w:rsidR="00D8574A" w:rsidRPr="00360460" w:rsidSect="00E417D0">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D36A" w14:textId="77777777" w:rsidR="002D0CA3" w:rsidRDefault="002D0CA3" w:rsidP="00DF27FE">
      <w:r>
        <w:separator/>
      </w:r>
    </w:p>
  </w:endnote>
  <w:endnote w:type="continuationSeparator" w:id="0">
    <w:p w14:paraId="1DD08F2D" w14:textId="77777777" w:rsidR="002D0CA3" w:rsidRDefault="002D0CA3" w:rsidP="00DF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481375"/>
      <w:docPartObj>
        <w:docPartGallery w:val="Page Numbers (Bottom of Page)"/>
        <w:docPartUnique/>
      </w:docPartObj>
    </w:sdtPr>
    <w:sdtEndPr/>
    <w:sdtContent>
      <w:p w14:paraId="6A32C358" w14:textId="77777777" w:rsidR="00DF27FE" w:rsidRDefault="00DD1FD7">
        <w:pPr>
          <w:pStyle w:val="a7"/>
          <w:jc w:val="center"/>
        </w:pPr>
        <w:r>
          <w:fldChar w:fldCharType="begin"/>
        </w:r>
        <w:r w:rsidR="00DF27FE">
          <w:instrText>PAGE   \* MERGEFORMAT</w:instrText>
        </w:r>
        <w:r>
          <w:fldChar w:fldCharType="separate"/>
        </w:r>
        <w:r w:rsidR="0078211E" w:rsidRPr="0078211E">
          <w:rPr>
            <w:noProof/>
            <w:lang w:val="zh-TW"/>
          </w:rPr>
          <w:t>3</w:t>
        </w:r>
        <w:r>
          <w:fldChar w:fldCharType="end"/>
        </w:r>
      </w:p>
    </w:sdtContent>
  </w:sdt>
  <w:p w14:paraId="387CF7A9" w14:textId="77777777" w:rsidR="00DF27FE" w:rsidRDefault="00DF27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AC64" w14:textId="77777777" w:rsidR="002D0CA3" w:rsidRDefault="002D0CA3" w:rsidP="00DF27FE">
      <w:r>
        <w:separator/>
      </w:r>
    </w:p>
  </w:footnote>
  <w:footnote w:type="continuationSeparator" w:id="0">
    <w:p w14:paraId="6D72473A" w14:textId="77777777" w:rsidR="002D0CA3" w:rsidRDefault="002D0CA3" w:rsidP="00DF2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A3E"/>
    <w:multiLevelType w:val="hybridMultilevel"/>
    <w:tmpl w:val="63C4C920"/>
    <w:lvl w:ilvl="0" w:tplc="B15474F4">
      <w:start w:val="1"/>
      <w:numFmt w:val="upperRoman"/>
      <w:lvlText w:val="%1."/>
      <w:lvlJc w:val="left"/>
      <w:pPr>
        <w:ind w:left="1080" w:hanging="720"/>
      </w:pPr>
      <w:rPr>
        <w:rFonts w:hint="default"/>
      </w:rPr>
    </w:lvl>
    <w:lvl w:ilvl="1" w:tplc="5F9414A6">
      <w:start w:val="1"/>
      <w:numFmt w:val="upperRoman"/>
      <w:lvlText w:val="(%2)"/>
      <w:lvlJc w:val="left"/>
      <w:pPr>
        <w:ind w:left="1800" w:hanging="720"/>
      </w:pPr>
      <w:rPr>
        <w:rFonts w:hint="default"/>
      </w:rPr>
    </w:lvl>
    <w:lvl w:ilvl="2" w:tplc="7084DCCE">
      <w:start w:val="1"/>
      <w:numFmt w:val="decimal"/>
      <w:lvlText w:val="%3."/>
      <w:lvlJc w:val="left"/>
      <w:pPr>
        <w:ind w:left="2340" w:hanging="36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E2403"/>
    <w:multiLevelType w:val="hybridMultilevel"/>
    <w:tmpl w:val="6C126E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B6C7821"/>
    <w:multiLevelType w:val="hybridMultilevel"/>
    <w:tmpl w:val="09BA62D4"/>
    <w:lvl w:ilvl="0" w:tplc="175C6C2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487610"/>
    <w:multiLevelType w:val="hybridMultilevel"/>
    <w:tmpl w:val="D1A8CA9E"/>
    <w:lvl w:ilvl="0" w:tplc="04090015">
      <w:start w:val="1"/>
      <w:numFmt w:val="taiwaneseCountingThousand"/>
      <w:lvlText w:val="%1、"/>
      <w:lvlJc w:val="left"/>
      <w:pPr>
        <w:ind w:left="5180" w:hanging="360"/>
      </w:pPr>
      <w:rPr>
        <w:rFonts w:hint="default"/>
        <w:sz w:val="28"/>
        <w:szCs w:val="28"/>
      </w:rPr>
    </w:lvl>
    <w:lvl w:ilvl="1" w:tplc="04090019" w:tentative="1">
      <w:start w:val="1"/>
      <w:numFmt w:val="ideographTraditional"/>
      <w:lvlText w:val="%2、"/>
      <w:lvlJc w:val="left"/>
      <w:pPr>
        <w:ind w:left="5780" w:hanging="480"/>
      </w:pPr>
    </w:lvl>
    <w:lvl w:ilvl="2" w:tplc="0409001B" w:tentative="1">
      <w:start w:val="1"/>
      <w:numFmt w:val="lowerRoman"/>
      <w:lvlText w:val="%3."/>
      <w:lvlJc w:val="right"/>
      <w:pPr>
        <w:ind w:left="6260" w:hanging="480"/>
      </w:pPr>
    </w:lvl>
    <w:lvl w:ilvl="3" w:tplc="0409000F" w:tentative="1">
      <w:start w:val="1"/>
      <w:numFmt w:val="decimal"/>
      <w:lvlText w:val="%4."/>
      <w:lvlJc w:val="left"/>
      <w:pPr>
        <w:ind w:left="6740" w:hanging="480"/>
      </w:pPr>
    </w:lvl>
    <w:lvl w:ilvl="4" w:tplc="04090019" w:tentative="1">
      <w:start w:val="1"/>
      <w:numFmt w:val="ideographTraditional"/>
      <w:lvlText w:val="%5、"/>
      <w:lvlJc w:val="left"/>
      <w:pPr>
        <w:ind w:left="7220" w:hanging="480"/>
      </w:pPr>
    </w:lvl>
    <w:lvl w:ilvl="5" w:tplc="0409001B" w:tentative="1">
      <w:start w:val="1"/>
      <w:numFmt w:val="lowerRoman"/>
      <w:lvlText w:val="%6."/>
      <w:lvlJc w:val="right"/>
      <w:pPr>
        <w:ind w:left="7700" w:hanging="480"/>
      </w:pPr>
    </w:lvl>
    <w:lvl w:ilvl="6" w:tplc="0409000F" w:tentative="1">
      <w:start w:val="1"/>
      <w:numFmt w:val="decimal"/>
      <w:lvlText w:val="%7."/>
      <w:lvlJc w:val="left"/>
      <w:pPr>
        <w:ind w:left="8180" w:hanging="480"/>
      </w:pPr>
    </w:lvl>
    <w:lvl w:ilvl="7" w:tplc="04090019" w:tentative="1">
      <w:start w:val="1"/>
      <w:numFmt w:val="ideographTraditional"/>
      <w:lvlText w:val="%8、"/>
      <w:lvlJc w:val="left"/>
      <w:pPr>
        <w:ind w:left="8660" w:hanging="480"/>
      </w:pPr>
    </w:lvl>
    <w:lvl w:ilvl="8" w:tplc="0409001B" w:tentative="1">
      <w:start w:val="1"/>
      <w:numFmt w:val="lowerRoman"/>
      <w:lvlText w:val="%9."/>
      <w:lvlJc w:val="right"/>
      <w:pPr>
        <w:ind w:left="9140" w:hanging="480"/>
      </w:pPr>
    </w:lvl>
  </w:abstractNum>
  <w:abstractNum w:abstractNumId="4" w15:restartNumberingAfterBreak="0">
    <w:nsid w:val="62C67EB3"/>
    <w:multiLevelType w:val="hybridMultilevel"/>
    <w:tmpl w:val="B8701E7A"/>
    <w:lvl w:ilvl="0" w:tplc="A7C81E5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D0"/>
    <w:rsid w:val="00004E97"/>
    <w:rsid w:val="0002261E"/>
    <w:rsid w:val="000568E9"/>
    <w:rsid w:val="00080FC1"/>
    <w:rsid w:val="00091B91"/>
    <w:rsid w:val="000A259C"/>
    <w:rsid w:val="000D29CD"/>
    <w:rsid w:val="000D41AA"/>
    <w:rsid w:val="000E3899"/>
    <w:rsid w:val="000E493A"/>
    <w:rsid w:val="00112252"/>
    <w:rsid w:val="001400BA"/>
    <w:rsid w:val="00141F73"/>
    <w:rsid w:val="00150583"/>
    <w:rsid w:val="00160D10"/>
    <w:rsid w:val="001B194B"/>
    <w:rsid w:val="001F1231"/>
    <w:rsid w:val="00205216"/>
    <w:rsid w:val="0021659E"/>
    <w:rsid w:val="0025164D"/>
    <w:rsid w:val="00287C84"/>
    <w:rsid w:val="002A0F7C"/>
    <w:rsid w:val="002A4D9B"/>
    <w:rsid w:val="002C1C71"/>
    <w:rsid w:val="002C72B3"/>
    <w:rsid w:val="002D0CA3"/>
    <w:rsid w:val="002E0635"/>
    <w:rsid w:val="002F703E"/>
    <w:rsid w:val="00331CDF"/>
    <w:rsid w:val="00351CAD"/>
    <w:rsid w:val="00360460"/>
    <w:rsid w:val="0036635F"/>
    <w:rsid w:val="00370B01"/>
    <w:rsid w:val="003833D8"/>
    <w:rsid w:val="00384465"/>
    <w:rsid w:val="003A0130"/>
    <w:rsid w:val="003F279A"/>
    <w:rsid w:val="00414984"/>
    <w:rsid w:val="004251A4"/>
    <w:rsid w:val="00431021"/>
    <w:rsid w:val="0049078A"/>
    <w:rsid w:val="004916AB"/>
    <w:rsid w:val="004A3C24"/>
    <w:rsid w:val="004B74E6"/>
    <w:rsid w:val="004C0303"/>
    <w:rsid w:val="004D3426"/>
    <w:rsid w:val="004E66A5"/>
    <w:rsid w:val="004F5060"/>
    <w:rsid w:val="00510841"/>
    <w:rsid w:val="00513936"/>
    <w:rsid w:val="0051711C"/>
    <w:rsid w:val="00525113"/>
    <w:rsid w:val="00591716"/>
    <w:rsid w:val="005E6A44"/>
    <w:rsid w:val="0066397E"/>
    <w:rsid w:val="00682FC2"/>
    <w:rsid w:val="006B3223"/>
    <w:rsid w:val="006F0507"/>
    <w:rsid w:val="007228B0"/>
    <w:rsid w:val="00732E69"/>
    <w:rsid w:val="007374E1"/>
    <w:rsid w:val="0078211E"/>
    <w:rsid w:val="007D415E"/>
    <w:rsid w:val="0080163B"/>
    <w:rsid w:val="00815026"/>
    <w:rsid w:val="00823702"/>
    <w:rsid w:val="008512FE"/>
    <w:rsid w:val="008607BE"/>
    <w:rsid w:val="00867C3A"/>
    <w:rsid w:val="00875DF8"/>
    <w:rsid w:val="008A7FE2"/>
    <w:rsid w:val="008B3007"/>
    <w:rsid w:val="008C458E"/>
    <w:rsid w:val="008D5938"/>
    <w:rsid w:val="008E2C21"/>
    <w:rsid w:val="008E3F87"/>
    <w:rsid w:val="008E7054"/>
    <w:rsid w:val="009358DD"/>
    <w:rsid w:val="00946CCF"/>
    <w:rsid w:val="009832F2"/>
    <w:rsid w:val="00992CC4"/>
    <w:rsid w:val="009A4B50"/>
    <w:rsid w:val="009A6878"/>
    <w:rsid w:val="009E21DD"/>
    <w:rsid w:val="00A323C9"/>
    <w:rsid w:val="00A8094B"/>
    <w:rsid w:val="00AC7B41"/>
    <w:rsid w:val="00B46B1A"/>
    <w:rsid w:val="00B54829"/>
    <w:rsid w:val="00B57DD4"/>
    <w:rsid w:val="00B979C3"/>
    <w:rsid w:val="00BA20EF"/>
    <w:rsid w:val="00BC7F5B"/>
    <w:rsid w:val="00BD30F5"/>
    <w:rsid w:val="00BE2E16"/>
    <w:rsid w:val="00BF5BC1"/>
    <w:rsid w:val="00C039F9"/>
    <w:rsid w:val="00C5165B"/>
    <w:rsid w:val="00CB288B"/>
    <w:rsid w:val="00CD7703"/>
    <w:rsid w:val="00D4303A"/>
    <w:rsid w:val="00D54002"/>
    <w:rsid w:val="00D8574A"/>
    <w:rsid w:val="00D91865"/>
    <w:rsid w:val="00DA7138"/>
    <w:rsid w:val="00DB49E7"/>
    <w:rsid w:val="00DB615A"/>
    <w:rsid w:val="00DD1FD7"/>
    <w:rsid w:val="00DD661F"/>
    <w:rsid w:val="00DF27FE"/>
    <w:rsid w:val="00E02A80"/>
    <w:rsid w:val="00E07683"/>
    <w:rsid w:val="00E14B0C"/>
    <w:rsid w:val="00E417D0"/>
    <w:rsid w:val="00E704EA"/>
    <w:rsid w:val="00EC296E"/>
    <w:rsid w:val="00EC69A3"/>
    <w:rsid w:val="00EC6C21"/>
    <w:rsid w:val="00F82D92"/>
    <w:rsid w:val="00F85C52"/>
    <w:rsid w:val="00F96AD1"/>
    <w:rsid w:val="00FB6DC1"/>
    <w:rsid w:val="00FD273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BBBB83D"/>
  <w15:docId w15:val="{4F46CD2D-80A1-4DDF-A4BE-0CB7275D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FD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7D0"/>
    <w:pPr>
      <w:ind w:leftChars="200" w:left="480"/>
    </w:pPr>
    <w:rPr>
      <w:rFonts w:ascii="Times New Roman" w:eastAsia="新細明體" w:hAnsi="Times New Roman" w:cs="Times New Roman"/>
      <w:szCs w:val="24"/>
    </w:rPr>
  </w:style>
  <w:style w:type="table" w:customStyle="1" w:styleId="1">
    <w:name w:val="表格格線1"/>
    <w:basedOn w:val="a1"/>
    <w:next w:val="a4"/>
    <w:uiPriority w:val="59"/>
    <w:rsid w:val="00E4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59"/>
    <w:rsid w:val="00E41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格格線3"/>
    <w:basedOn w:val="a1"/>
    <w:next w:val="a4"/>
    <w:uiPriority w:val="59"/>
    <w:rsid w:val="00E41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E4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27FE"/>
    <w:pPr>
      <w:tabs>
        <w:tab w:val="center" w:pos="4153"/>
        <w:tab w:val="right" w:pos="8306"/>
      </w:tabs>
      <w:snapToGrid w:val="0"/>
    </w:pPr>
    <w:rPr>
      <w:sz w:val="20"/>
      <w:szCs w:val="20"/>
    </w:rPr>
  </w:style>
  <w:style w:type="character" w:customStyle="1" w:styleId="a6">
    <w:name w:val="頁首 字元"/>
    <w:basedOn w:val="a0"/>
    <w:link w:val="a5"/>
    <w:uiPriority w:val="99"/>
    <w:rsid w:val="00DF27FE"/>
    <w:rPr>
      <w:sz w:val="20"/>
      <w:szCs w:val="20"/>
    </w:rPr>
  </w:style>
  <w:style w:type="paragraph" w:styleId="a7">
    <w:name w:val="footer"/>
    <w:basedOn w:val="a"/>
    <w:link w:val="a8"/>
    <w:uiPriority w:val="99"/>
    <w:unhideWhenUsed/>
    <w:rsid w:val="00DF27FE"/>
    <w:pPr>
      <w:tabs>
        <w:tab w:val="center" w:pos="4153"/>
        <w:tab w:val="right" w:pos="8306"/>
      </w:tabs>
      <w:snapToGrid w:val="0"/>
    </w:pPr>
    <w:rPr>
      <w:sz w:val="20"/>
      <w:szCs w:val="20"/>
    </w:rPr>
  </w:style>
  <w:style w:type="character" w:customStyle="1" w:styleId="a8">
    <w:name w:val="頁尾 字元"/>
    <w:basedOn w:val="a0"/>
    <w:link w:val="a7"/>
    <w:uiPriority w:val="99"/>
    <w:rsid w:val="00DF27FE"/>
    <w:rPr>
      <w:sz w:val="20"/>
      <w:szCs w:val="20"/>
    </w:rPr>
  </w:style>
  <w:style w:type="character" w:styleId="a9">
    <w:name w:val="annotation reference"/>
    <w:basedOn w:val="a0"/>
    <w:uiPriority w:val="99"/>
    <w:semiHidden/>
    <w:unhideWhenUsed/>
    <w:rsid w:val="00591716"/>
    <w:rPr>
      <w:sz w:val="18"/>
      <w:szCs w:val="18"/>
    </w:rPr>
  </w:style>
  <w:style w:type="paragraph" w:styleId="aa">
    <w:name w:val="annotation text"/>
    <w:basedOn w:val="a"/>
    <w:link w:val="ab"/>
    <w:uiPriority w:val="99"/>
    <w:semiHidden/>
    <w:unhideWhenUsed/>
    <w:rsid w:val="00591716"/>
  </w:style>
  <w:style w:type="character" w:customStyle="1" w:styleId="ab">
    <w:name w:val="註解文字 字元"/>
    <w:basedOn w:val="a0"/>
    <w:link w:val="aa"/>
    <w:uiPriority w:val="99"/>
    <w:semiHidden/>
    <w:rsid w:val="00591716"/>
  </w:style>
  <w:style w:type="paragraph" w:styleId="ac">
    <w:name w:val="annotation subject"/>
    <w:basedOn w:val="aa"/>
    <w:next w:val="aa"/>
    <w:link w:val="ad"/>
    <w:uiPriority w:val="99"/>
    <w:semiHidden/>
    <w:unhideWhenUsed/>
    <w:rsid w:val="00591716"/>
    <w:rPr>
      <w:b/>
      <w:bCs/>
    </w:rPr>
  </w:style>
  <w:style w:type="character" w:customStyle="1" w:styleId="ad">
    <w:name w:val="註解主旨 字元"/>
    <w:basedOn w:val="ab"/>
    <w:link w:val="ac"/>
    <w:uiPriority w:val="99"/>
    <w:semiHidden/>
    <w:rsid w:val="00591716"/>
    <w:rPr>
      <w:b/>
      <w:bCs/>
    </w:rPr>
  </w:style>
  <w:style w:type="paragraph" w:styleId="ae">
    <w:name w:val="Balloon Text"/>
    <w:basedOn w:val="a"/>
    <w:link w:val="af"/>
    <w:uiPriority w:val="99"/>
    <w:semiHidden/>
    <w:unhideWhenUsed/>
    <w:rsid w:val="0059171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91716"/>
    <w:rPr>
      <w:rFonts w:asciiTheme="majorHAnsi" w:eastAsiaTheme="majorEastAsia" w:hAnsiTheme="majorHAnsi" w:cstheme="majorBidi"/>
      <w:sz w:val="18"/>
      <w:szCs w:val="18"/>
    </w:rPr>
  </w:style>
  <w:style w:type="table" w:customStyle="1" w:styleId="5-11">
    <w:name w:val="格線表格 5 深色 - 輔色 11"/>
    <w:basedOn w:val="a1"/>
    <w:uiPriority w:val="50"/>
    <w:rsid w:val="00EC29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4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51714-8B58-4AFC-BCBB-3E8567B5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3313</Characters>
  <Application>Microsoft Office Word</Application>
  <DocSecurity>4</DocSecurity>
  <Lines>27</Lines>
  <Paragraphs>7</Paragraphs>
  <ScaleCrop>false</ScaleCrop>
  <Company>TWSE 臺灣證券交易所</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孫琳威</dc:creator>
  <cp:lastModifiedBy>郭勇明</cp:lastModifiedBy>
  <cp:revision>2</cp:revision>
  <cp:lastPrinted>2019-09-04T01:23:00Z</cp:lastPrinted>
  <dcterms:created xsi:type="dcterms:W3CDTF">2021-05-11T01:22:00Z</dcterms:created>
  <dcterms:modified xsi:type="dcterms:W3CDTF">2021-05-11T01:22:00Z</dcterms:modified>
</cp:coreProperties>
</file>