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8823" w14:textId="457F3A98" w:rsidR="00EB3667" w:rsidRPr="00CC51E2" w:rsidRDefault="00EB3667">
      <w:pPr>
        <w:rPr>
          <w:rFonts w:ascii="標楷體" w:eastAsia="標楷體" w:hAnsi="標楷體"/>
          <w:b/>
          <w:color w:val="000000" w:themeColor="text1"/>
          <w:sz w:val="28"/>
          <w:szCs w:val="28"/>
        </w:rPr>
      </w:pPr>
      <w:r w:rsidRPr="00CC51E2">
        <w:rPr>
          <w:rFonts w:ascii="標楷體" w:eastAsia="標楷體" w:hAnsi="標楷體"/>
          <w:b/>
          <w:color w:val="000000" w:themeColor="text1"/>
          <w:sz w:val="28"/>
          <w:szCs w:val="28"/>
        </w:rPr>
        <w:t>財團法人中華民國證券櫃檯買賣中心櫃檯買賣公布或通知注意交易資訊暨處置作業要點</w:t>
      </w:r>
      <w:r w:rsidR="004C0414" w:rsidRPr="00CC51E2">
        <w:rPr>
          <w:rFonts w:ascii="標楷體" w:eastAsia="標楷體" w:hAnsi="標楷體" w:hint="eastAsia"/>
          <w:b/>
          <w:color w:val="000000" w:themeColor="text1"/>
          <w:sz w:val="28"/>
          <w:szCs w:val="28"/>
        </w:rPr>
        <w:t>第四條、</w:t>
      </w:r>
      <w:r w:rsidR="00F7117E" w:rsidRPr="00CC51E2">
        <w:rPr>
          <w:rFonts w:ascii="標楷體" w:eastAsia="標楷體" w:hAnsi="標楷體" w:hint="eastAsia"/>
          <w:b/>
          <w:color w:val="000000" w:themeColor="text1"/>
          <w:sz w:val="28"/>
          <w:szCs w:val="28"/>
        </w:rPr>
        <w:t>第六條</w:t>
      </w:r>
      <w:r w:rsidRPr="00CC51E2">
        <w:rPr>
          <w:rFonts w:ascii="標楷體" w:eastAsia="標楷體" w:hAnsi="標楷體" w:hint="eastAsia"/>
          <w:b/>
          <w:color w:val="000000" w:themeColor="text1"/>
          <w:sz w:val="28"/>
          <w:szCs w:val="28"/>
        </w:rPr>
        <w:t>修正</w:t>
      </w:r>
      <w:r w:rsidR="00C368F2">
        <w:rPr>
          <w:rFonts w:ascii="標楷體" w:eastAsia="標楷體" w:hAnsi="標楷體" w:hint="eastAsia"/>
          <w:b/>
          <w:color w:val="000000" w:themeColor="text1"/>
          <w:sz w:val="28"/>
          <w:szCs w:val="28"/>
        </w:rPr>
        <w:t>條文</w:t>
      </w:r>
      <w:r w:rsidR="005356D2" w:rsidRPr="00CC51E2">
        <w:rPr>
          <w:rFonts w:ascii="標楷體" w:eastAsia="標楷體" w:hAnsi="標楷體" w:hint="eastAsia"/>
          <w:b/>
          <w:color w:val="000000" w:themeColor="text1"/>
          <w:sz w:val="28"/>
          <w:szCs w:val="28"/>
        </w:rPr>
        <w:t>對照表</w:t>
      </w:r>
    </w:p>
    <w:p w14:paraId="3A0C771D" w14:textId="019CAA01" w:rsidR="00AE07D4" w:rsidRPr="00CC51E2" w:rsidRDefault="00AE07D4" w:rsidP="00AE07D4">
      <w:pPr>
        <w:jc w:val="right"/>
        <w:rPr>
          <w:rFonts w:ascii="Times New Roman" w:eastAsia="標楷體" w:hAnsi="Times New Roman" w:cs="Times New Roman"/>
          <w:b/>
          <w:color w:val="000000" w:themeColor="text1"/>
          <w:szCs w:val="24"/>
        </w:rPr>
      </w:pPr>
    </w:p>
    <w:tbl>
      <w:tblPr>
        <w:tblW w:w="997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685"/>
        <w:gridCol w:w="2604"/>
      </w:tblGrid>
      <w:tr w:rsidR="00CC51E2" w:rsidRPr="00CC51E2" w14:paraId="15865242" w14:textId="77777777" w:rsidTr="00EF437A">
        <w:trPr>
          <w:tblHeader/>
        </w:trPr>
        <w:tc>
          <w:tcPr>
            <w:tcW w:w="3685" w:type="dxa"/>
            <w:shd w:val="clear" w:color="auto" w:fill="auto"/>
            <w:vAlign w:val="center"/>
          </w:tcPr>
          <w:p w14:paraId="0DD83425" w14:textId="77777777" w:rsidR="00EF437A" w:rsidRPr="00CC51E2" w:rsidRDefault="00EF437A" w:rsidP="006863C5">
            <w:pPr>
              <w:snapToGrid w:val="0"/>
              <w:spacing w:line="360" w:lineRule="atLeast"/>
              <w:jc w:val="center"/>
              <w:rPr>
                <w:rFonts w:ascii="標楷體" w:eastAsia="標楷體" w:hAnsi="標楷體"/>
                <w:b/>
                <w:bCs/>
                <w:color w:val="000000" w:themeColor="text1"/>
                <w:szCs w:val="24"/>
              </w:rPr>
            </w:pPr>
            <w:r w:rsidRPr="00CC51E2">
              <w:rPr>
                <w:rFonts w:ascii="標楷體" w:eastAsia="標楷體" w:hAnsi="標楷體" w:hint="eastAsia"/>
                <w:b/>
                <w:bCs/>
                <w:color w:val="000000" w:themeColor="text1"/>
                <w:szCs w:val="24"/>
              </w:rPr>
              <w:t>修正條文</w:t>
            </w:r>
          </w:p>
        </w:tc>
        <w:tc>
          <w:tcPr>
            <w:tcW w:w="3685" w:type="dxa"/>
            <w:shd w:val="clear" w:color="auto" w:fill="auto"/>
            <w:vAlign w:val="center"/>
          </w:tcPr>
          <w:p w14:paraId="3A5534D3" w14:textId="77777777" w:rsidR="00EF437A" w:rsidRPr="00CC51E2" w:rsidRDefault="00EF437A" w:rsidP="006863C5">
            <w:pPr>
              <w:snapToGrid w:val="0"/>
              <w:spacing w:line="360" w:lineRule="atLeast"/>
              <w:jc w:val="center"/>
              <w:rPr>
                <w:rFonts w:ascii="標楷體" w:eastAsia="標楷體" w:hAnsi="標楷體"/>
                <w:b/>
                <w:bCs/>
                <w:color w:val="000000" w:themeColor="text1"/>
                <w:szCs w:val="24"/>
              </w:rPr>
            </w:pPr>
            <w:r w:rsidRPr="00CC51E2">
              <w:rPr>
                <w:rFonts w:ascii="標楷體" w:eastAsia="標楷體" w:hAnsi="標楷體" w:hint="eastAsia"/>
                <w:b/>
                <w:bCs/>
                <w:color w:val="000000" w:themeColor="text1"/>
                <w:szCs w:val="24"/>
              </w:rPr>
              <w:t>現行條文</w:t>
            </w:r>
          </w:p>
        </w:tc>
        <w:tc>
          <w:tcPr>
            <w:tcW w:w="2604" w:type="dxa"/>
            <w:vAlign w:val="center"/>
          </w:tcPr>
          <w:p w14:paraId="71D86422" w14:textId="77777777" w:rsidR="00EF437A" w:rsidRPr="00CC51E2" w:rsidRDefault="00EF437A" w:rsidP="006863C5">
            <w:pPr>
              <w:snapToGrid w:val="0"/>
              <w:spacing w:line="360" w:lineRule="atLeast"/>
              <w:jc w:val="center"/>
              <w:rPr>
                <w:rFonts w:ascii="標楷體" w:eastAsia="標楷體" w:hAnsi="標楷體"/>
                <w:b/>
                <w:bCs/>
                <w:color w:val="000000" w:themeColor="text1"/>
                <w:szCs w:val="24"/>
              </w:rPr>
            </w:pPr>
            <w:r w:rsidRPr="00CC51E2">
              <w:rPr>
                <w:rFonts w:ascii="標楷體" w:eastAsia="標楷體" w:hAnsi="標楷體" w:hint="eastAsia"/>
                <w:b/>
                <w:bCs/>
                <w:color w:val="000000" w:themeColor="text1"/>
                <w:szCs w:val="24"/>
              </w:rPr>
              <w:t>說明</w:t>
            </w:r>
          </w:p>
        </w:tc>
      </w:tr>
      <w:tr w:rsidR="00CC51E2" w:rsidRPr="00CC51E2" w14:paraId="313F9DA7" w14:textId="77777777" w:rsidTr="00EF437A">
        <w:tc>
          <w:tcPr>
            <w:tcW w:w="3685" w:type="dxa"/>
            <w:shd w:val="clear" w:color="auto" w:fill="auto"/>
          </w:tcPr>
          <w:p w14:paraId="1F6B06C2" w14:textId="77777777" w:rsidR="00EF437A" w:rsidRPr="00CC51E2" w:rsidRDefault="00EF437A" w:rsidP="00EF437A">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第四條</w:t>
            </w:r>
          </w:p>
          <w:p w14:paraId="1375AF2E" w14:textId="1329BABA" w:rsidR="00EF437A" w:rsidRPr="00CC51E2" w:rsidRDefault="00EF437A" w:rsidP="003042DE">
            <w:pPr>
              <w:snapToGrid w:val="0"/>
              <w:rPr>
                <w:rFonts w:ascii="標楷體" w:eastAsia="標楷體" w:hAnsi="標楷體"/>
                <w:color w:val="000000" w:themeColor="text1"/>
              </w:rPr>
            </w:pPr>
            <w:r w:rsidRPr="00CC51E2">
              <w:rPr>
                <w:rFonts w:ascii="標楷體" w:eastAsia="標楷體" w:hAnsi="標楷體" w:hint="eastAsia"/>
                <w:color w:val="000000" w:themeColor="text1"/>
              </w:rPr>
              <w:t>本中心每日於交易時間結束後，即分析等價、等</w:t>
            </w:r>
            <w:proofErr w:type="gramStart"/>
            <w:r w:rsidRPr="00CC51E2">
              <w:rPr>
                <w:rFonts w:ascii="標楷體" w:eastAsia="標楷體" w:hAnsi="標楷體" w:hint="eastAsia"/>
                <w:color w:val="000000" w:themeColor="text1"/>
              </w:rPr>
              <w:t>殖</w:t>
            </w:r>
            <w:proofErr w:type="gramEnd"/>
            <w:r w:rsidRPr="00CC51E2">
              <w:rPr>
                <w:rFonts w:ascii="標楷體" w:eastAsia="標楷體" w:hAnsi="標楷體" w:hint="eastAsia"/>
                <w:color w:val="000000" w:themeColor="text1"/>
              </w:rPr>
              <w:t>成交系統有價證券之交易，發現有下列情形之一時，公告其交易資訊（漲跌幅度、成交量、週轉率、集中度、本益比、股價淨值比、</w:t>
            </w:r>
            <w:proofErr w:type="gramStart"/>
            <w:r w:rsidRPr="00CC51E2">
              <w:rPr>
                <w:rFonts w:ascii="標楷體" w:eastAsia="標楷體" w:hAnsi="標楷體" w:hint="eastAsia"/>
                <w:color w:val="000000" w:themeColor="text1"/>
              </w:rPr>
              <w:t>券</w:t>
            </w:r>
            <w:proofErr w:type="gramEnd"/>
            <w:r w:rsidRPr="00CC51E2">
              <w:rPr>
                <w:rFonts w:ascii="標楷體" w:eastAsia="標楷體" w:hAnsi="標楷體" w:hint="eastAsia"/>
                <w:color w:val="000000" w:themeColor="text1"/>
              </w:rPr>
              <w:t>資比、溢折價百分比、借</w:t>
            </w:r>
            <w:proofErr w:type="gramStart"/>
            <w:r w:rsidRPr="00CC51E2">
              <w:rPr>
                <w:rFonts w:ascii="標楷體" w:eastAsia="標楷體" w:hAnsi="標楷體" w:hint="eastAsia"/>
                <w:color w:val="000000" w:themeColor="text1"/>
              </w:rPr>
              <w:t>券</w:t>
            </w:r>
            <w:proofErr w:type="gramEnd"/>
            <w:r w:rsidRPr="00CC51E2">
              <w:rPr>
                <w:rFonts w:ascii="標楷體" w:eastAsia="標楷體" w:hAnsi="標楷體" w:hint="eastAsia"/>
                <w:color w:val="000000" w:themeColor="text1"/>
              </w:rPr>
              <w:t>賣出</w:t>
            </w:r>
            <w:r w:rsidRPr="00CC51E2">
              <w:rPr>
                <w:rFonts w:ascii="標楷體" w:eastAsia="標楷體" w:hAnsi="標楷體" w:hint="eastAsia"/>
                <w:color w:val="000000" w:themeColor="text1"/>
                <w:u w:val="single"/>
              </w:rPr>
              <w:t>、當日沖銷百分比</w:t>
            </w:r>
            <w:r w:rsidRPr="00CC51E2">
              <w:rPr>
                <w:rFonts w:ascii="標楷體" w:eastAsia="標楷體" w:hAnsi="標楷體" w:hint="eastAsia"/>
                <w:color w:val="000000" w:themeColor="text1"/>
              </w:rPr>
              <w:t>等）：</w:t>
            </w:r>
          </w:p>
          <w:p w14:paraId="24CE232C"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一、最近一段期間累積之最後成交價漲跌百分比異常者。</w:t>
            </w:r>
          </w:p>
          <w:p w14:paraId="13280FF3"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二、最近一段期間起、迄兩個營業日之最後成交價漲跌百分比異常者。</w:t>
            </w:r>
          </w:p>
          <w:p w14:paraId="02F8A344"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三、最近一段期間累積之最後成交價漲跌百分比異常，且其當日之成交量較最近一段期間之日平均成交量異常放大者。</w:t>
            </w:r>
          </w:p>
          <w:p w14:paraId="179C0DD8"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四、最近一段期間累積之最後成交價漲跌百分比異常，且其當日之週轉率過高者。</w:t>
            </w:r>
          </w:p>
          <w:p w14:paraId="58CBDC67"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五、最近一段期間累積之最後成交價漲跌百分比異常，且證券商當日受託買賣該有價證券之成交買進或賣出數量，占當日該有價證券總成交量比率過高者。</w:t>
            </w:r>
          </w:p>
          <w:p w14:paraId="1FD35075"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六、本益比、股價淨值比及當日週轉率</w:t>
            </w:r>
            <w:r w:rsidRPr="00CC51E2">
              <w:rPr>
                <w:rFonts w:ascii="Times New Roman" w:eastAsia="標楷體" w:hAnsi="Times New Roman" w:cs="Times New Roman" w:hint="eastAsia"/>
                <w:color w:val="000000" w:themeColor="text1"/>
                <w:szCs w:val="24"/>
              </w:rPr>
              <w:t>過高</w:t>
            </w:r>
            <w:r w:rsidRPr="00CC51E2">
              <w:rPr>
                <w:rFonts w:ascii="標楷體" w:eastAsia="標楷體" w:hAnsi="標楷體" w:hint="eastAsia"/>
                <w:color w:val="000000" w:themeColor="text1"/>
              </w:rPr>
              <w:t>，且符合其所屬產業類別股價淨值比偏高、任</w:t>
            </w:r>
            <w:proofErr w:type="gramStart"/>
            <w:r w:rsidRPr="00CC51E2">
              <w:rPr>
                <w:rFonts w:ascii="標楷體" w:eastAsia="標楷體" w:hAnsi="標楷體" w:hint="eastAsia"/>
                <w:color w:val="000000" w:themeColor="text1"/>
              </w:rPr>
              <w:t>一</w:t>
            </w:r>
            <w:proofErr w:type="gramEnd"/>
            <w:r w:rsidRPr="00CC51E2">
              <w:rPr>
                <w:rFonts w:ascii="標楷體" w:eastAsia="標楷體" w:hAnsi="標楷體" w:hint="eastAsia"/>
                <w:color w:val="000000" w:themeColor="text1"/>
              </w:rPr>
              <w:t>證券商當日成交買進或賣出金額占當日該有價證券總成交金額比率過高或任</w:t>
            </w:r>
            <w:proofErr w:type="gramStart"/>
            <w:r w:rsidRPr="00CC51E2">
              <w:rPr>
                <w:rFonts w:ascii="標楷體" w:eastAsia="標楷體" w:hAnsi="標楷體" w:hint="eastAsia"/>
                <w:color w:val="000000" w:themeColor="text1"/>
              </w:rPr>
              <w:t>一</w:t>
            </w:r>
            <w:proofErr w:type="gramEnd"/>
            <w:r w:rsidRPr="00CC51E2">
              <w:rPr>
                <w:rFonts w:ascii="標楷體" w:eastAsia="標楷體" w:hAnsi="標楷體" w:hint="eastAsia"/>
                <w:color w:val="000000" w:themeColor="text1"/>
              </w:rPr>
              <w:t>投資人當日成交買進或賣出金額占當日該有價證券總成交金額比率過高等三種情形</w:t>
            </w:r>
            <w:r w:rsidRPr="00CC51E2">
              <w:rPr>
                <w:rFonts w:ascii="標楷體" w:eastAsia="標楷體" w:hAnsi="標楷體" w:hint="eastAsia"/>
                <w:color w:val="000000" w:themeColor="text1"/>
              </w:rPr>
              <w:lastRenderedPageBreak/>
              <w:t>之</w:t>
            </w:r>
            <w:proofErr w:type="gramStart"/>
            <w:r w:rsidRPr="00CC51E2">
              <w:rPr>
                <w:rFonts w:ascii="標楷體" w:eastAsia="標楷體" w:hAnsi="標楷體" w:hint="eastAsia"/>
                <w:color w:val="000000" w:themeColor="text1"/>
              </w:rPr>
              <w:t>一</w:t>
            </w:r>
            <w:proofErr w:type="gramEnd"/>
            <w:r w:rsidRPr="00CC51E2">
              <w:rPr>
                <w:rFonts w:ascii="標楷體" w:eastAsia="標楷體" w:hAnsi="標楷體" w:hint="eastAsia"/>
                <w:color w:val="000000" w:themeColor="text1"/>
              </w:rPr>
              <w:t>者。</w:t>
            </w:r>
          </w:p>
          <w:p w14:paraId="08C267B5"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七、最近一段</w:t>
            </w:r>
            <w:r w:rsidRPr="00CC51E2">
              <w:rPr>
                <w:rFonts w:ascii="Times New Roman" w:eastAsia="標楷體" w:hAnsi="Times New Roman" w:cs="Times New Roman" w:hint="eastAsia"/>
                <w:color w:val="000000" w:themeColor="text1"/>
                <w:szCs w:val="24"/>
              </w:rPr>
              <w:t>期間</w:t>
            </w:r>
            <w:r w:rsidRPr="00CC51E2">
              <w:rPr>
                <w:rFonts w:ascii="標楷體" w:eastAsia="標楷體" w:hAnsi="標楷體" w:hint="eastAsia"/>
                <w:color w:val="000000" w:themeColor="text1"/>
              </w:rPr>
              <w:t>累積之最後成交價漲跌百分比異常，且</w:t>
            </w:r>
            <w:proofErr w:type="gramStart"/>
            <w:r w:rsidRPr="00CC51E2">
              <w:rPr>
                <w:rFonts w:ascii="標楷體" w:eastAsia="標楷體" w:hAnsi="標楷體" w:hint="eastAsia"/>
                <w:color w:val="000000" w:themeColor="text1"/>
              </w:rPr>
              <w:t>券</w:t>
            </w:r>
            <w:proofErr w:type="gramEnd"/>
            <w:r w:rsidRPr="00CC51E2">
              <w:rPr>
                <w:rFonts w:ascii="標楷體" w:eastAsia="標楷體" w:hAnsi="標楷體" w:hint="eastAsia"/>
                <w:color w:val="000000" w:themeColor="text1"/>
              </w:rPr>
              <w:t>資比明顯放大者。</w:t>
            </w:r>
          </w:p>
          <w:p w14:paraId="25113E02"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八、臺灣存託憑證最後成交價與其表彰</w:t>
            </w:r>
            <w:r w:rsidRPr="00CC51E2">
              <w:rPr>
                <w:rFonts w:ascii="Times New Roman" w:eastAsia="標楷體" w:hAnsi="Times New Roman" w:cs="Times New Roman" w:hint="eastAsia"/>
                <w:color w:val="000000" w:themeColor="text1"/>
                <w:szCs w:val="24"/>
              </w:rPr>
              <w:t>股票</w:t>
            </w:r>
            <w:r w:rsidRPr="00CC51E2">
              <w:rPr>
                <w:rFonts w:ascii="標楷體" w:eastAsia="標楷體" w:hAnsi="標楷體" w:hint="eastAsia"/>
                <w:color w:val="000000" w:themeColor="text1"/>
              </w:rPr>
              <w:t>所屬國交易市場最後成交價計算</w:t>
            </w:r>
            <w:proofErr w:type="gramStart"/>
            <w:r w:rsidRPr="00CC51E2">
              <w:rPr>
                <w:rFonts w:ascii="標楷體" w:eastAsia="標楷體" w:hAnsi="標楷體" w:hint="eastAsia"/>
                <w:color w:val="000000" w:themeColor="text1"/>
              </w:rPr>
              <w:t>之溢折價</w:t>
            </w:r>
            <w:proofErr w:type="gramEnd"/>
            <w:r w:rsidRPr="00CC51E2">
              <w:rPr>
                <w:rFonts w:ascii="標楷體" w:eastAsia="標楷體" w:hAnsi="標楷體" w:hint="eastAsia"/>
                <w:color w:val="000000" w:themeColor="text1"/>
              </w:rPr>
              <w:t>百分比異常者。</w:t>
            </w:r>
          </w:p>
          <w:p w14:paraId="21848F7F"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九、當日及最近數日之日平均成交量較</w:t>
            </w:r>
            <w:r w:rsidRPr="00CC51E2">
              <w:rPr>
                <w:rFonts w:ascii="Times New Roman" w:eastAsia="標楷體" w:hAnsi="Times New Roman" w:cs="Times New Roman" w:hint="eastAsia"/>
                <w:color w:val="000000" w:themeColor="text1"/>
                <w:szCs w:val="24"/>
              </w:rPr>
              <w:t>最近</w:t>
            </w:r>
            <w:r w:rsidRPr="00CC51E2">
              <w:rPr>
                <w:rFonts w:ascii="標楷體" w:eastAsia="標楷體" w:hAnsi="標楷體" w:hint="eastAsia"/>
                <w:color w:val="000000" w:themeColor="text1"/>
              </w:rPr>
              <w:t>一段期間之日平均成交量明顯放大者。</w:t>
            </w:r>
          </w:p>
          <w:p w14:paraId="7581BA86"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十、最近一段期間之累積週轉率明顯過高者。</w:t>
            </w:r>
          </w:p>
          <w:p w14:paraId="0CDD9A26" w14:textId="77777777"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r w:rsidRPr="00CC51E2">
              <w:rPr>
                <w:rFonts w:ascii="標楷體" w:eastAsia="標楷體" w:hAnsi="標楷體" w:hint="eastAsia"/>
                <w:color w:val="000000" w:themeColor="text1"/>
              </w:rPr>
              <w:t>十一、最近</w:t>
            </w:r>
            <w:r w:rsidRPr="00CC51E2">
              <w:rPr>
                <w:rFonts w:ascii="Times New Roman" w:eastAsia="標楷體" w:hAnsi="Times New Roman" w:cs="Times New Roman" w:hint="eastAsia"/>
                <w:color w:val="000000" w:themeColor="text1"/>
                <w:szCs w:val="24"/>
              </w:rPr>
              <w:t>一段</w:t>
            </w:r>
            <w:r w:rsidRPr="00CC51E2">
              <w:rPr>
                <w:rFonts w:ascii="標楷體" w:eastAsia="標楷體" w:hAnsi="標楷體" w:hint="eastAsia"/>
                <w:color w:val="000000" w:themeColor="text1"/>
              </w:rPr>
              <w:t>期間起、迄兩個營業日之最後成交價</w:t>
            </w:r>
            <w:proofErr w:type="gramStart"/>
            <w:r w:rsidRPr="00CC51E2">
              <w:rPr>
                <w:rFonts w:ascii="標楷體" w:eastAsia="標楷體" w:hAnsi="標楷體" w:hint="eastAsia"/>
                <w:color w:val="000000" w:themeColor="text1"/>
              </w:rPr>
              <w:t>價差異常者</w:t>
            </w:r>
            <w:proofErr w:type="gramEnd"/>
            <w:r w:rsidRPr="00CC51E2">
              <w:rPr>
                <w:rFonts w:ascii="標楷體" w:eastAsia="標楷體" w:hAnsi="標楷體" w:hint="eastAsia"/>
                <w:color w:val="000000" w:themeColor="text1"/>
              </w:rPr>
              <w:t>。</w:t>
            </w:r>
          </w:p>
          <w:p w14:paraId="2C6F53D6" w14:textId="010C1E02"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r w:rsidRPr="00CC51E2">
              <w:rPr>
                <w:rFonts w:ascii="標楷體" w:eastAsia="標楷體" w:hAnsi="標楷體" w:hint="eastAsia"/>
                <w:color w:val="000000" w:themeColor="text1"/>
              </w:rPr>
              <w:t>十二、最近</w:t>
            </w:r>
            <w:r w:rsidRPr="00CC51E2">
              <w:rPr>
                <w:rFonts w:ascii="Times New Roman" w:eastAsia="標楷體" w:hAnsi="Times New Roman" w:cs="Times New Roman" w:hint="eastAsia"/>
                <w:color w:val="000000" w:themeColor="text1"/>
                <w:szCs w:val="24"/>
              </w:rPr>
              <w:t>一段</w:t>
            </w:r>
            <w:r w:rsidRPr="00CC51E2">
              <w:rPr>
                <w:rFonts w:ascii="標楷體" w:eastAsia="標楷體" w:hAnsi="標楷體" w:hint="eastAsia"/>
                <w:color w:val="000000" w:themeColor="text1"/>
              </w:rPr>
              <w:t>期間之借</w:t>
            </w:r>
            <w:proofErr w:type="gramStart"/>
            <w:r w:rsidRPr="00CC51E2">
              <w:rPr>
                <w:rFonts w:ascii="標楷體" w:eastAsia="標楷體" w:hAnsi="標楷體" w:hint="eastAsia"/>
                <w:color w:val="000000" w:themeColor="text1"/>
              </w:rPr>
              <w:t>券</w:t>
            </w:r>
            <w:proofErr w:type="gramEnd"/>
            <w:r w:rsidRPr="00CC51E2">
              <w:rPr>
                <w:rFonts w:ascii="標楷體" w:eastAsia="標楷體" w:hAnsi="標楷體" w:hint="eastAsia"/>
                <w:color w:val="000000" w:themeColor="text1"/>
              </w:rPr>
              <w:t>賣出成交量占總成交量比率明顯過高者。</w:t>
            </w:r>
          </w:p>
          <w:p w14:paraId="69D837A0" w14:textId="6729DC71"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u w:val="single"/>
              </w:rPr>
            </w:pPr>
            <w:r w:rsidRPr="00CC51E2">
              <w:rPr>
                <w:rFonts w:ascii="標楷體" w:eastAsia="標楷體" w:hAnsi="標楷體" w:hint="eastAsia"/>
                <w:color w:val="000000" w:themeColor="text1"/>
                <w:u w:val="single"/>
              </w:rPr>
              <w:t>十三、最近</w:t>
            </w:r>
            <w:r w:rsidRPr="00CC51E2">
              <w:rPr>
                <w:rFonts w:ascii="Times New Roman" w:eastAsia="標楷體" w:hAnsi="Times New Roman" w:cs="Times New Roman" w:hint="eastAsia"/>
                <w:color w:val="000000" w:themeColor="text1"/>
                <w:szCs w:val="24"/>
                <w:u w:val="single"/>
              </w:rPr>
              <w:t>一段</w:t>
            </w:r>
            <w:r w:rsidRPr="00CC51E2">
              <w:rPr>
                <w:rFonts w:ascii="標楷體" w:eastAsia="標楷體" w:hAnsi="標楷體" w:hint="eastAsia"/>
                <w:color w:val="000000" w:themeColor="text1"/>
                <w:u w:val="single"/>
              </w:rPr>
              <w:t>期間之當日沖銷交易成交量占總成交量比率明顯過高者。</w:t>
            </w:r>
          </w:p>
          <w:p w14:paraId="45EFFCC7" w14:textId="4A204255"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r w:rsidRPr="00CC51E2">
              <w:rPr>
                <w:rFonts w:ascii="標楷體" w:eastAsia="標楷體" w:hAnsi="標楷體" w:hint="eastAsia"/>
                <w:color w:val="000000" w:themeColor="text1"/>
                <w:u w:val="single"/>
              </w:rPr>
              <w:t>十四</w:t>
            </w:r>
            <w:r w:rsidRPr="00CC51E2">
              <w:rPr>
                <w:rFonts w:ascii="標楷體" w:eastAsia="標楷體" w:hAnsi="標楷體" w:hint="eastAsia"/>
                <w:color w:val="000000" w:themeColor="text1"/>
              </w:rPr>
              <w:t>、</w:t>
            </w:r>
            <w:r w:rsidRPr="00CC51E2">
              <w:rPr>
                <w:rFonts w:ascii="Times New Roman" w:eastAsia="標楷體" w:hAnsi="Times New Roman" w:cs="Times New Roman" w:hint="eastAsia"/>
                <w:color w:val="000000" w:themeColor="text1"/>
                <w:szCs w:val="24"/>
              </w:rPr>
              <w:t>其他交易</w:t>
            </w:r>
            <w:r w:rsidRPr="00CC51E2">
              <w:rPr>
                <w:rFonts w:ascii="標楷體" w:eastAsia="標楷體" w:hAnsi="標楷體" w:hint="eastAsia"/>
                <w:color w:val="000000" w:themeColor="text1"/>
              </w:rPr>
              <w:t>情形異常經監視業務督導會報決議者。</w:t>
            </w:r>
          </w:p>
          <w:p w14:paraId="59A4545C" w14:textId="77777777" w:rsidR="00EF437A" w:rsidRPr="00CC51E2" w:rsidRDefault="00EF437A" w:rsidP="003042DE">
            <w:pPr>
              <w:snapToGrid w:val="0"/>
              <w:spacing w:beforeLines="50" w:before="180"/>
              <w:rPr>
                <w:rFonts w:ascii="標楷體" w:eastAsia="標楷體" w:hAnsi="標楷體"/>
                <w:color w:val="000000" w:themeColor="text1"/>
              </w:rPr>
            </w:pPr>
          </w:p>
          <w:p w14:paraId="22C13570" w14:textId="3F9887F3" w:rsidR="00EF437A" w:rsidRPr="00CC51E2" w:rsidRDefault="00EF437A" w:rsidP="003042DE">
            <w:pPr>
              <w:snapToGrid w:val="0"/>
              <w:spacing w:beforeLines="50" w:before="180"/>
              <w:rPr>
                <w:rFonts w:ascii="標楷體" w:eastAsia="標楷體" w:hAnsi="標楷體"/>
                <w:color w:val="000000" w:themeColor="text1"/>
              </w:rPr>
            </w:pPr>
            <w:r w:rsidRPr="00CC51E2">
              <w:rPr>
                <w:rFonts w:ascii="標楷體" w:eastAsia="標楷體" w:hAnsi="標楷體" w:hint="eastAsia"/>
                <w:color w:val="000000" w:themeColor="text1"/>
              </w:rPr>
              <w:t>有價證券當日無前項計算異常標準所使用之最後成交價者，依本中心證券商營業處所買賣有價證券業務規則第五十七條所決定之參考價格替代。</w:t>
            </w:r>
          </w:p>
          <w:p w14:paraId="692BC6AD" w14:textId="77777777" w:rsidR="00EF437A" w:rsidRPr="00CC51E2" w:rsidRDefault="00EF437A" w:rsidP="003042DE">
            <w:pPr>
              <w:snapToGrid w:val="0"/>
              <w:spacing w:beforeLines="50" w:before="180"/>
              <w:rPr>
                <w:rFonts w:ascii="標楷體" w:eastAsia="標楷體" w:hAnsi="標楷體"/>
                <w:color w:val="000000" w:themeColor="text1"/>
              </w:rPr>
            </w:pPr>
            <w:r w:rsidRPr="00CC51E2">
              <w:rPr>
                <w:rFonts w:ascii="標楷體" w:eastAsia="標楷體" w:hAnsi="標楷體" w:hint="eastAsia"/>
                <w:color w:val="000000" w:themeColor="text1"/>
              </w:rPr>
              <w:t>實收資本額未達新臺幣八千萬元之發行公司股票不適用第一項有關全體、同類股有價證券及成交量之規定。</w:t>
            </w:r>
          </w:p>
          <w:p w14:paraId="4F71D581" w14:textId="77777777" w:rsidR="00EF437A" w:rsidRPr="00CC51E2" w:rsidRDefault="00EF437A" w:rsidP="003042DE">
            <w:pPr>
              <w:snapToGrid w:val="0"/>
              <w:spacing w:beforeLines="50" w:before="180"/>
              <w:rPr>
                <w:rFonts w:ascii="標楷體" w:eastAsia="標楷體" w:hAnsi="標楷體"/>
                <w:color w:val="000000" w:themeColor="text1"/>
              </w:rPr>
            </w:pPr>
            <w:r w:rsidRPr="00CC51E2">
              <w:rPr>
                <w:rFonts w:ascii="標楷體" w:eastAsia="標楷體" w:hAnsi="標楷體" w:hint="eastAsia"/>
                <w:color w:val="000000" w:themeColor="text1"/>
              </w:rPr>
              <w:t>政府公債、一般公司債與外國普通公司債不適用第一項各款標準。</w:t>
            </w:r>
          </w:p>
          <w:p w14:paraId="5D189CF7" w14:textId="77777777" w:rsidR="00EF437A" w:rsidRPr="00CC51E2" w:rsidRDefault="00EF437A" w:rsidP="003042DE">
            <w:pPr>
              <w:snapToGrid w:val="0"/>
              <w:rPr>
                <w:rFonts w:ascii="標楷體" w:eastAsia="標楷體" w:hAnsi="標楷體"/>
                <w:color w:val="000000" w:themeColor="text1"/>
              </w:rPr>
            </w:pPr>
            <w:r w:rsidRPr="00CC51E2">
              <w:rPr>
                <w:rFonts w:ascii="標楷體" w:eastAsia="標楷體" w:hAnsi="標楷體" w:hint="eastAsia"/>
                <w:color w:val="000000" w:themeColor="text1"/>
              </w:rPr>
              <w:t>有價證券升降幅度計算公式含有以標的證券或標的指數等計算因素者，期間累計漲跌百分比差幅之計算，</w:t>
            </w:r>
            <w:proofErr w:type="gramStart"/>
            <w:r w:rsidRPr="00CC51E2">
              <w:rPr>
                <w:rFonts w:ascii="標楷體" w:eastAsia="標楷體" w:hAnsi="標楷體" w:hint="eastAsia"/>
                <w:color w:val="000000" w:themeColor="text1"/>
              </w:rPr>
              <w:t>準</w:t>
            </w:r>
            <w:proofErr w:type="gramEnd"/>
            <w:r w:rsidRPr="00CC51E2">
              <w:rPr>
                <w:rFonts w:ascii="標楷體" w:eastAsia="標楷體" w:hAnsi="標楷體" w:hint="eastAsia"/>
                <w:color w:val="000000" w:themeColor="text1"/>
              </w:rPr>
              <w:t>用第二條第四項之規</w:t>
            </w:r>
            <w:r w:rsidRPr="00CC51E2">
              <w:rPr>
                <w:rFonts w:ascii="標楷體" w:eastAsia="標楷體" w:hAnsi="標楷體" w:hint="eastAsia"/>
                <w:color w:val="000000" w:themeColor="text1"/>
              </w:rPr>
              <w:lastRenderedPageBreak/>
              <w:t>定。</w:t>
            </w:r>
          </w:p>
          <w:p w14:paraId="144A872D" w14:textId="77777777" w:rsidR="00EF437A" w:rsidRPr="00CC51E2" w:rsidRDefault="00EF437A" w:rsidP="003042DE">
            <w:pPr>
              <w:snapToGrid w:val="0"/>
              <w:spacing w:beforeLines="50" w:before="180"/>
              <w:rPr>
                <w:rFonts w:ascii="標楷體" w:eastAsia="標楷體" w:hAnsi="標楷體"/>
                <w:color w:val="000000" w:themeColor="text1"/>
              </w:rPr>
            </w:pPr>
            <w:r w:rsidRPr="00CC51E2">
              <w:rPr>
                <w:rFonts w:ascii="標楷體" w:eastAsia="標楷體" w:hAnsi="標楷體" w:hint="eastAsia"/>
                <w:color w:val="000000" w:themeColor="text1"/>
              </w:rPr>
              <w:t>有價證券交易單位低於一千單位（股、受益權單位、存託憑證單位等）者，其成交（委託）量交易單位數據標準，</w:t>
            </w:r>
            <w:proofErr w:type="gramStart"/>
            <w:r w:rsidRPr="00CC51E2">
              <w:rPr>
                <w:rFonts w:ascii="標楷體" w:eastAsia="標楷體" w:hAnsi="標楷體" w:hint="eastAsia"/>
                <w:color w:val="000000" w:themeColor="text1"/>
              </w:rPr>
              <w:t>準</w:t>
            </w:r>
            <w:proofErr w:type="gramEnd"/>
            <w:r w:rsidRPr="00CC51E2">
              <w:rPr>
                <w:rFonts w:ascii="標楷體" w:eastAsia="標楷體" w:hAnsi="標楷體" w:hint="eastAsia"/>
                <w:color w:val="000000" w:themeColor="text1"/>
              </w:rPr>
              <w:t>用第二條第六項之規定。</w:t>
            </w:r>
          </w:p>
          <w:p w14:paraId="6F4190A4" w14:textId="0A307BDA" w:rsidR="00EF437A" w:rsidRPr="00CC51E2" w:rsidRDefault="00EF437A" w:rsidP="007334D1">
            <w:pPr>
              <w:pStyle w:val="HTML"/>
              <w:snapToGrid w:val="0"/>
              <w:ind w:rightChars="14" w:right="34"/>
              <w:rPr>
                <w:rFonts w:ascii="標楷體" w:eastAsia="標楷體" w:hAnsi="標楷體"/>
                <w:color w:val="000000" w:themeColor="text1"/>
              </w:rPr>
            </w:pPr>
            <w:r w:rsidRPr="00CC51E2">
              <w:rPr>
                <w:rFonts w:ascii="標楷體" w:eastAsia="標楷體" w:hAnsi="標楷體" w:hint="eastAsia"/>
                <w:color w:val="000000" w:themeColor="text1"/>
              </w:rPr>
              <w:t>第一項各款異常標準之詳細數據及其除外情形，本中心另訂之。</w:t>
            </w:r>
          </w:p>
        </w:tc>
        <w:tc>
          <w:tcPr>
            <w:tcW w:w="3685" w:type="dxa"/>
            <w:shd w:val="clear" w:color="auto" w:fill="auto"/>
          </w:tcPr>
          <w:p w14:paraId="1D8D391D" w14:textId="77777777" w:rsidR="00EF437A" w:rsidRPr="00CC51E2" w:rsidRDefault="00EF437A" w:rsidP="00EF437A">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lastRenderedPageBreak/>
              <w:t>第四條</w:t>
            </w:r>
          </w:p>
          <w:p w14:paraId="2F72BBDA" w14:textId="67EEF84C" w:rsidR="00EF437A" w:rsidRPr="00CC51E2" w:rsidRDefault="00EF437A" w:rsidP="003042DE">
            <w:pPr>
              <w:snapToGrid w:val="0"/>
              <w:rPr>
                <w:rFonts w:ascii="標楷體" w:eastAsia="標楷體" w:hAnsi="標楷體"/>
                <w:color w:val="000000" w:themeColor="text1"/>
              </w:rPr>
            </w:pPr>
            <w:r w:rsidRPr="00CC51E2">
              <w:rPr>
                <w:rFonts w:ascii="標楷體" w:eastAsia="標楷體" w:hAnsi="標楷體" w:hint="eastAsia"/>
                <w:color w:val="000000" w:themeColor="text1"/>
              </w:rPr>
              <w:t>本中心每日於交易時間結束後，即分析等價、等</w:t>
            </w:r>
            <w:proofErr w:type="gramStart"/>
            <w:r w:rsidRPr="00CC51E2">
              <w:rPr>
                <w:rFonts w:ascii="標楷體" w:eastAsia="標楷體" w:hAnsi="標楷體" w:hint="eastAsia"/>
                <w:color w:val="000000" w:themeColor="text1"/>
              </w:rPr>
              <w:t>殖</w:t>
            </w:r>
            <w:proofErr w:type="gramEnd"/>
            <w:r w:rsidRPr="00CC51E2">
              <w:rPr>
                <w:rFonts w:ascii="標楷體" w:eastAsia="標楷體" w:hAnsi="標楷體" w:hint="eastAsia"/>
                <w:color w:val="000000" w:themeColor="text1"/>
              </w:rPr>
              <w:t>成交系統有價證券之交易，發現有下列情形之一時，公告其交易資訊（漲跌幅度、成交量、週轉率、集中度、本益比、股價淨值比、</w:t>
            </w:r>
            <w:proofErr w:type="gramStart"/>
            <w:r w:rsidRPr="00CC51E2">
              <w:rPr>
                <w:rFonts w:ascii="標楷體" w:eastAsia="標楷體" w:hAnsi="標楷體" w:hint="eastAsia"/>
                <w:color w:val="000000" w:themeColor="text1"/>
              </w:rPr>
              <w:t>券</w:t>
            </w:r>
            <w:proofErr w:type="gramEnd"/>
            <w:r w:rsidRPr="00CC51E2">
              <w:rPr>
                <w:rFonts w:ascii="標楷體" w:eastAsia="標楷體" w:hAnsi="標楷體" w:hint="eastAsia"/>
                <w:color w:val="000000" w:themeColor="text1"/>
              </w:rPr>
              <w:t>資比、溢折價百分比、借</w:t>
            </w:r>
            <w:proofErr w:type="gramStart"/>
            <w:r w:rsidRPr="00CC51E2">
              <w:rPr>
                <w:rFonts w:ascii="標楷體" w:eastAsia="標楷體" w:hAnsi="標楷體" w:hint="eastAsia"/>
                <w:color w:val="000000" w:themeColor="text1"/>
              </w:rPr>
              <w:t>券</w:t>
            </w:r>
            <w:proofErr w:type="gramEnd"/>
            <w:r w:rsidRPr="00CC51E2">
              <w:rPr>
                <w:rFonts w:ascii="標楷體" w:eastAsia="標楷體" w:hAnsi="標楷體" w:hint="eastAsia"/>
                <w:color w:val="000000" w:themeColor="text1"/>
              </w:rPr>
              <w:t>賣出等）：</w:t>
            </w:r>
          </w:p>
          <w:p w14:paraId="528F3CB1" w14:textId="77777777" w:rsidR="00EF437A" w:rsidRPr="00CC51E2" w:rsidRDefault="00EF437A" w:rsidP="003042DE">
            <w:pPr>
              <w:snapToGrid w:val="0"/>
              <w:rPr>
                <w:rFonts w:ascii="標楷體" w:eastAsia="標楷體" w:hAnsi="標楷體"/>
                <w:color w:val="000000" w:themeColor="text1"/>
              </w:rPr>
            </w:pPr>
          </w:p>
          <w:p w14:paraId="5F9D7322"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一、最近一段期間累積之最後成交價漲跌百分比異常者。</w:t>
            </w:r>
          </w:p>
          <w:p w14:paraId="3656D07F"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二、最近一段期間起、迄兩個營業日之最後成交價漲跌百分比異常者。</w:t>
            </w:r>
          </w:p>
          <w:p w14:paraId="3B895641"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三、最近一段期間累積之最後成交價漲跌百分比異常，且其當日之成交量較最近一段期間之日平均成交量異常放大者。</w:t>
            </w:r>
          </w:p>
          <w:p w14:paraId="1EBEC558"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四、最近一段期間累積之最後成交價漲跌百分比異常，且其當日之週轉率過高者。</w:t>
            </w:r>
          </w:p>
          <w:p w14:paraId="17A5909F"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五、最近一段期間累積之最後成交價漲跌百分比異常，且證券商當日受託買賣該有價證券之成交買進或賣出數量，占當日該有價證券總成交量比率過高者。</w:t>
            </w:r>
          </w:p>
          <w:p w14:paraId="45A9DA76"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六、本益比、股價淨值比及當日週轉率</w:t>
            </w:r>
            <w:r w:rsidRPr="00CC51E2">
              <w:rPr>
                <w:rFonts w:ascii="Times New Roman" w:eastAsia="標楷體" w:hAnsi="Times New Roman" w:cs="Times New Roman" w:hint="eastAsia"/>
                <w:color w:val="000000" w:themeColor="text1"/>
                <w:szCs w:val="24"/>
              </w:rPr>
              <w:t>過高</w:t>
            </w:r>
            <w:r w:rsidRPr="00CC51E2">
              <w:rPr>
                <w:rFonts w:ascii="標楷體" w:eastAsia="標楷體" w:hAnsi="標楷體" w:hint="eastAsia"/>
                <w:color w:val="000000" w:themeColor="text1"/>
              </w:rPr>
              <w:t>，且符合其所屬產業類別股價淨值比偏高、任</w:t>
            </w:r>
            <w:proofErr w:type="gramStart"/>
            <w:r w:rsidRPr="00CC51E2">
              <w:rPr>
                <w:rFonts w:ascii="標楷體" w:eastAsia="標楷體" w:hAnsi="標楷體" w:hint="eastAsia"/>
                <w:color w:val="000000" w:themeColor="text1"/>
              </w:rPr>
              <w:t>一</w:t>
            </w:r>
            <w:proofErr w:type="gramEnd"/>
            <w:r w:rsidRPr="00CC51E2">
              <w:rPr>
                <w:rFonts w:ascii="標楷體" w:eastAsia="標楷體" w:hAnsi="標楷體" w:hint="eastAsia"/>
                <w:color w:val="000000" w:themeColor="text1"/>
              </w:rPr>
              <w:t>證券商當日成交買進或賣出金額占當日該有價證券總成交金額比率過高或任</w:t>
            </w:r>
            <w:proofErr w:type="gramStart"/>
            <w:r w:rsidRPr="00CC51E2">
              <w:rPr>
                <w:rFonts w:ascii="標楷體" w:eastAsia="標楷體" w:hAnsi="標楷體" w:hint="eastAsia"/>
                <w:color w:val="000000" w:themeColor="text1"/>
              </w:rPr>
              <w:t>一</w:t>
            </w:r>
            <w:proofErr w:type="gramEnd"/>
            <w:r w:rsidRPr="00CC51E2">
              <w:rPr>
                <w:rFonts w:ascii="標楷體" w:eastAsia="標楷體" w:hAnsi="標楷體" w:hint="eastAsia"/>
                <w:color w:val="000000" w:themeColor="text1"/>
              </w:rPr>
              <w:t>投資人當日成交買進或賣出金額占當日該有價證券總成交金額比率過高等三種情形</w:t>
            </w:r>
            <w:r w:rsidRPr="00CC51E2">
              <w:rPr>
                <w:rFonts w:ascii="標楷體" w:eastAsia="標楷體" w:hAnsi="標楷體" w:hint="eastAsia"/>
                <w:color w:val="000000" w:themeColor="text1"/>
              </w:rPr>
              <w:lastRenderedPageBreak/>
              <w:t>之</w:t>
            </w:r>
            <w:proofErr w:type="gramStart"/>
            <w:r w:rsidRPr="00CC51E2">
              <w:rPr>
                <w:rFonts w:ascii="標楷體" w:eastAsia="標楷體" w:hAnsi="標楷體" w:hint="eastAsia"/>
                <w:color w:val="000000" w:themeColor="text1"/>
              </w:rPr>
              <w:t>一</w:t>
            </w:r>
            <w:proofErr w:type="gramEnd"/>
            <w:r w:rsidRPr="00CC51E2">
              <w:rPr>
                <w:rFonts w:ascii="標楷體" w:eastAsia="標楷體" w:hAnsi="標楷體" w:hint="eastAsia"/>
                <w:color w:val="000000" w:themeColor="text1"/>
              </w:rPr>
              <w:t>者。</w:t>
            </w:r>
          </w:p>
          <w:p w14:paraId="202EAB46"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七、最近一段</w:t>
            </w:r>
            <w:r w:rsidRPr="00CC51E2">
              <w:rPr>
                <w:rFonts w:ascii="Times New Roman" w:eastAsia="標楷體" w:hAnsi="Times New Roman" w:cs="Times New Roman" w:hint="eastAsia"/>
                <w:color w:val="000000" w:themeColor="text1"/>
                <w:szCs w:val="24"/>
              </w:rPr>
              <w:t>期間</w:t>
            </w:r>
            <w:r w:rsidRPr="00CC51E2">
              <w:rPr>
                <w:rFonts w:ascii="標楷體" w:eastAsia="標楷體" w:hAnsi="標楷體" w:hint="eastAsia"/>
                <w:color w:val="000000" w:themeColor="text1"/>
              </w:rPr>
              <w:t>累積之最後成交價漲跌百分比異常，且</w:t>
            </w:r>
            <w:proofErr w:type="gramStart"/>
            <w:r w:rsidRPr="00CC51E2">
              <w:rPr>
                <w:rFonts w:ascii="標楷體" w:eastAsia="標楷體" w:hAnsi="標楷體" w:hint="eastAsia"/>
                <w:color w:val="000000" w:themeColor="text1"/>
              </w:rPr>
              <w:t>券</w:t>
            </w:r>
            <w:proofErr w:type="gramEnd"/>
            <w:r w:rsidRPr="00CC51E2">
              <w:rPr>
                <w:rFonts w:ascii="標楷體" w:eastAsia="標楷體" w:hAnsi="標楷體" w:hint="eastAsia"/>
                <w:color w:val="000000" w:themeColor="text1"/>
              </w:rPr>
              <w:t>資比明顯放大者。</w:t>
            </w:r>
          </w:p>
          <w:p w14:paraId="396D5E11"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八、臺灣存託憑證最後成交價與其表彰</w:t>
            </w:r>
            <w:r w:rsidRPr="00CC51E2">
              <w:rPr>
                <w:rFonts w:ascii="Times New Roman" w:eastAsia="標楷體" w:hAnsi="Times New Roman" w:cs="Times New Roman" w:hint="eastAsia"/>
                <w:color w:val="000000" w:themeColor="text1"/>
                <w:szCs w:val="24"/>
              </w:rPr>
              <w:t>股票</w:t>
            </w:r>
            <w:r w:rsidRPr="00CC51E2">
              <w:rPr>
                <w:rFonts w:ascii="標楷體" w:eastAsia="標楷體" w:hAnsi="標楷體" w:hint="eastAsia"/>
                <w:color w:val="000000" w:themeColor="text1"/>
              </w:rPr>
              <w:t>所屬國交易市場最後成交價計算</w:t>
            </w:r>
            <w:proofErr w:type="gramStart"/>
            <w:r w:rsidRPr="00CC51E2">
              <w:rPr>
                <w:rFonts w:ascii="標楷體" w:eastAsia="標楷體" w:hAnsi="標楷體" w:hint="eastAsia"/>
                <w:color w:val="000000" w:themeColor="text1"/>
              </w:rPr>
              <w:t>之溢折價</w:t>
            </w:r>
            <w:proofErr w:type="gramEnd"/>
            <w:r w:rsidRPr="00CC51E2">
              <w:rPr>
                <w:rFonts w:ascii="標楷體" w:eastAsia="標楷體" w:hAnsi="標楷體" w:hint="eastAsia"/>
                <w:color w:val="000000" w:themeColor="text1"/>
              </w:rPr>
              <w:t>百分比異常者。</w:t>
            </w:r>
          </w:p>
          <w:p w14:paraId="33BE9083"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九、當日及最近數日之日平均成交量較</w:t>
            </w:r>
            <w:r w:rsidRPr="00CC51E2">
              <w:rPr>
                <w:rFonts w:ascii="Times New Roman" w:eastAsia="標楷體" w:hAnsi="Times New Roman" w:cs="Times New Roman" w:hint="eastAsia"/>
                <w:color w:val="000000" w:themeColor="text1"/>
                <w:szCs w:val="24"/>
              </w:rPr>
              <w:t>最近</w:t>
            </w:r>
            <w:r w:rsidRPr="00CC51E2">
              <w:rPr>
                <w:rFonts w:ascii="標楷體" w:eastAsia="標楷體" w:hAnsi="標楷體" w:hint="eastAsia"/>
                <w:color w:val="000000" w:themeColor="text1"/>
              </w:rPr>
              <w:t>一段期間之日平均成交量明顯放大者。</w:t>
            </w:r>
          </w:p>
          <w:p w14:paraId="30BABF5E" w14:textId="77777777" w:rsidR="00EF437A" w:rsidRPr="00CC51E2" w:rsidRDefault="00EF437A" w:rsidP="003042DE">
            <w:pPr>
              <w:snapToGrid w:val="0"/>
              <w:spacing w:line="280" w:lineRule="atLeast"/>
              <w:ind w:leftChars="10" w:left="504" w:hangingChars="200" w:hanging="480"/>
              <w:rPr>
                <w:rFonts w:ascii="標楷體" w:eastAsia="標楷體" w:hAnsi="標楷體"/>
                <w:color w:val="000000" w:themeColor="text1"/>
              </w:rPr>
            </w:pPr>
            <w:r w:rsidRPr="00CC51E2">
              <w:rPr>
                <w:rFonts w:ascii="標楷體" w:eastAsia="標楷體" w:hAnsi="標楷體" w:hint="eastAsia"/>
                <w:color w:val="000000" w:themeColor="text1"/>
              </w:rPr>
              <w:t>十、最近一段期間之累積週轉率明顯過高者。</w:t>
            </w:r>
          </w:p>
          <w:p w14:paraId="074C4175" w14:textId="77777777"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r w:rsidRPr="00CC51E2">
              <w:rPr>
                <w:rFonts w:ascii="標楷體" w:eastAsia="標楷體" w:hAnsi="標楷體" w:hint="eastAsia"/>
                <w:color w:val="000000" w:themeColor="text1"/>
              </w:rPr>
              <w:t>十一、最近</w:t>
            </w:r>
            <w:r w:rsidRPr="00CC51E2">
              <w:rPr>
                <w:rFonts w:ascii="Times New Roman" w:eastAsia="標楷體" w:hAnsi="Times New Roman" w:cs="Times New Roman" w:hint="eastAsia"/>
                <w:color w:val="000000" w:themeColor="text1"/>
                <w:szCs w:val="24"/>
              </w:rPr>
              <w:t>一段</w:t>
            </w:r>
            <w:r w:rsidRPr="00CC51E2">
              <w:rPr>
                <w:rFonts w:ascii="標楷體" w:eastAsia="標楷體" w:hAnsi="標楷體" w:hint="eastAsia"/>
                <w:color w:val="000000" w:themeColor="text1"/>
              </w:rPr>
              <w:t>期間起、迄兩個營業日之最後成交價</w:t>
            </w:r>
            <w:proofErr w:type="gramStart"/>
            <w:r w:rsidRPr="00CC51E2">
              <w:rPr>
                <w:rFonts w:ascii="標楷體" w:eastAsia="標楷體" w:hAnsi="標楷體" w:hint="eastAsia"/>
                <w:color w:val="000000" w:themeColor="text1"/>
              </w:rPr>
              <w:t>價差異常者</w:t>
            </w:r>
            <w:proofErr w:type="gramEnd"/>
            <w:r w:rsidRPr="00CC51E2">
              <w:rPr>
                <w:rFonts w:ascii="標楷體" w:eastAsia="標楷體" w:hAnsi="標楷體" w:hint="eastAsia"/>
                <w:color w:val="000000" w:themeColor="text1"/>
              </w:rPr>
              <w:t>。</w:t>
            </w:r>
          </w:p>
          <w:p w14:paraId="1377E3D9" w14:textId="77777777"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r w:rsidRPr="00CC51E2">
              <w:rPr>
                <w:rFonts w:ascii="標楷體" w:eastAsia="標楷體" w:hAnsi="標楷體" w:hint="eastAsia"/>
                <w:color w:val="000000" w:themeColor="text1"/>
              </w:rPr>
              <w:t>十二、最近</w:t>
            </w:r>
            <w:r w:rsidRPr="00CC51E2">
              <w:rPr>
                <w:rFonts w:ascii="Times New Roman" w:eastAsia="標楷體" w:hAnsi="Times New Roman" w:cs="Times New Roman" w:hint="eastAsia"/>
                <w:color w:val="000000" w:themeColor="text1"/>
                <w:szCs w:val="24"/>
              </w:rPr>
              <w:t>一段</w:t>
            </w:r>
            <w:r w:rsidRPr="00CC51E2">
              <w:rPr>
                <w:rFonts w:ascii="標楷體" w:eastAsia="標楷體" w:hAnsi="標楷體" w:hint="eastAsia"/>
                <w:color w:val="000000" w:themeColor="text1"/>
              </w:rPr>
              <w:t>期間之借</w:t>
            </w:r>
            <w:proofErr w:type="gramStart"/>
            <w:r w:rsidRPr="00CC51E2">
              <w:rPr>
                <w:rFonts w:ascii="標楷體" w:eastAsia="標楷體" w:hAnsi="標楷體" w:hint="eastAsia"/>
                <w:color w:val="000000" w:themeColor="text1"/>
              </w:rPr>
              <w:t>券</w:t>
            </w:r>
            <w:proofErr w:type="gramEnd"/>
            <w:r w:rsidRPr="00CC51E2">
              <w:rPr>
                <w:rFonts w:ascii="標楷體" w:eastAsia="標楷體" w:hAnsi="標楷體" w:hint="eastAsia"/>
                <w:color w:val="000000" w:themeColor="text1"/>
              </w:rPr>
              <w:t>賣出成交量占總成交量比率明顯過高者。</w:t>
            </w:r>
          </w:p>
          <w:p w14:paraId="796CB41A" w14:textId="5EAF0035"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r w:rsidRPr="00CC51E2">
              <w:rPr>
                <w:rFonts w:ascii="標楷體" w:eastAsia="標楷體" w:hAnsi="標楷體" w:hint="eastAsia"/>
                <w:color w:val="000000" w:themeColor="text1"/>
              </w:rPr>
              <w:t>十三、</w:t>
            </w:r>
            <w:r w:rsidRPr="00CC51E2">
              <w:rPr>
                <w:rFonts w:ascii="Times New Roman" w:eastAsia="標楷體" w:hAnsi="Times New Roman" w:cs="Times New Roman" w:hint="eastAsia"/>
                <w:color w:val="000000" w:themeColor="text1"/>
                <w:szCs w:val="24"/>
              </w:rPr>
              <w:t>其他交易</w:t>
            </w:r>
            <w:r w:rsidRPr="00CC51E2">
              <w:rPr>
                <w:rFonts w:ascii="標楷體" w:eastAsia="標楷體" w:hAnsi="標楷體" w:hint="eastAsia"/>
                <w:color w:val="000000" w:themeColor="text1"/>
              </w:rPr>
              <w:t>情形異常經監視業務督導會報決議者。</w:t>
            </w:r>
          </w:p>
          <w:p w14:paraId="7AA7C94B" w14:textId="11E22C7F"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p>
          <w:p w14:paraId="2CD1CD7E" w14:textId="07C52DF3"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p>
          <w:p w14:paraId="32806838" w14:textId="032AF4E1" w:rsidR="00EF437A" w:rsidRPr="00CC51E2" w:rsidRDefault="00EF437A" w:rsidP="003042DE">
            <w:pPr>
              <w:snapToGrid w:val="0"/>
              <w:spacing w:line="280" w:lineRule="atLeast"/>
              <w:ind w:leftChars="10" w:left="744" w:hangingChars="300" w:hanging="720"/>
              <w:rPr>
                <w:rFonts w:ascii="標楷體" w:eastAsia="標楷體" w:hAnsi="標楷體"/>
                <w:color w:val="000000" w:themeColor="text1"/>
              </w:rPr>
            </w:pPr>
          </w:p>
          <w:p w14:paraId="0D1456CD" w14:textId="6052A8BF" w:rsidR="00EF437A" w:rsidRPr="00CC51E2" w:rsidRDefault="00EF437A" w:rsidP="00EF437A">
            <w:pPr>
              <w:snapToGrid w:val="0"/>
              <w:spacing w:beforeLines="50" w:before="180" w:line="280" w:lineRule="atLeast"/>
              <w:rPr>
                <w:rFonts w:ascii="標楷體" w:eastAsia="標楷體" w:hAnsi="標楷體"/>
                <w:color w:val="000000" w:themeColor="text1"/>
              </w:rPr>
            </w:pPr>
          </w:p>
          <w:p w14:paraId="5A463318" w14:textId="67784C45" w:rsidR="00EF437A" w:rsidRPr="00CC51E2" w:rsidRDefault="00EF437A" w:rsidP="003042DE">
            <w:pPr>
              <w:snapToGrid w:val="0"/>
              <w:spacing w:beforeLines="50" w:before="180"/>
              <w:rPr>
                <w:rFonts w:ascii="標楷體" w:eastAsia="標楷體" w:hAnsi="標楷體"/>
                <w:color w:val="000000" w:themeColor="text1"/>
              </w:rPr>
            </w:pPr>
            <w:r w:rsidRPr="00CC51E2">
              <w:rPr>
                <w:rFonts w:ascii="標楷體" w:eastAsia="標楷體" w:hAnsi="標楷體" w:hint="eastAsia"/>
                <w:color w:val="000000" w:themeColor="text1"/>
              </w:rPr>
              <w:t>有價證券當日無前項計算異常標準所使用之最後成交價者，依本中心證券商營業處所買賣有價證券業務規則第五十七條所決定之參考價格替代。</w:t>
            </w:r>
          </w:p>
          <w:p w14:paraId="5222FE0D" w14:textId="77777777" w:rsidR="00EF437A" w:rsidRPr="00CC51E2" w:rsidRDefault="00EF437A" w:rsidP="003042DE">
            <w:pPr>
              <w:snapToGrid w:val="0"/>
              <w:spacing w:beforeLines="50" w:before="180"/>
              <w:rPr>
                <w:rFonts w:ascii="標楷體" w:eastAsia="標楷體" w:hAnsi="標楷體"/>
                <w:color w:val="000000" w:themeColor="text1"/>
              </w:rPr>
            </w:pPr>
            <w:r w:rsidRPr="00CC51E2">
              <w:rPr>
                <w:rFonts w:ascii="標楷體" w:eastAsia="標楷體" w:hAnsi="標楷體" w:hint="eastAsia"/>
                <w:color w:val="000000" w:themeColor="text1"/>
              </w:rPr>
              <w:t>實收資本額未達新臺幣八千萬元之發行公司股票不適用第一項有關全體、同類股有價證券及成交量之規定。</w:t>
            </w:r>
          </w:p>
          <w:p w14:paraId="23792CDD" w14:textId="77777777" w:rsidR="00EF437A" w:rsidRPr="00CC51E2" w:rsidRDefault="00EF437A" w:rsidP="003042DE">
            <w:pPr>
              <w:snapToGrid w:val="0"/>
              <w:spacing w:beforeLines="50" w:before="180"/>
              <w:rPr>
                <w:rFonts w:ascii="標楷體" w:eastAsia="標楷體" w:hAnsi="標楷體"/>
                <w:color w:val="000000" w:themeColor="text1"/>
              </w:rPr>
            </w:pPr>
            <w:r w:rsidRPr="00CC51E2">
              <w:rPr>
                <w:rFonts w:ascii="標楷體" w:eastAsia="標楷體" w:hAnsi="標楷體" w:hint="eastAsia"/>
                <w:color w:val="000000" w:themeColor="text1"/>
              </w:rPr>
              <w:t>政府公債、一般公司債與外國普通公司債不適用第一項各款標準。</w:t>
            </w:r>
          </w:p>
          <w:p w14:paraId="7ABAE296" w14:textId="77777777" w:rsidR="00EF437A" w:rsidRPr="00CC51E2" w:rsidRDefault="00EF437A" w:rsidP="003042DE">
            <w:pPr>
              <w:snapToGrid w:val="0"/>
              <w:rPr>
                <w:rFonts w:ascii="標楷體" w:eastAsia="標楷體" w:hAnsi="標楷體"/>
                <w:color w:val="000000" w:themeColor="text1"/>
              </w:rPr>
            </w:pPr>
            <w:r w:rsidRPr="00CC51E2">
              <w:rPr>
                <w:rFonts w:ascii="標楷體" w:eastAsia="標楷體" w:hAnsi="標楷體" w:hint="eastAsia"/>
                <w:color w:val="000000" w:themeColor="text1"/>
              </w:rPr>
              <w:t>有價證券升降幅度計算公式含有以標的證券或標的指數等計算因素者，期間累計漲跌百分比差幅之計算，</w:t>
            </w:r>
            <w:proofErr w:type="gramStart"/>
            <w:r w:rsidRPr="00CC51E2">
              <w:rPr>
                <w:rFonts w:ascii="標楷體" w:eastAsia="標楷體" w:hAnsi="標楷體" w:hint="eastAsia"/>
                <w:color w:val="000000" w:themeColor="text1"/>
              </w:rPr>
              <w:t>準</w:t>
            </w:r>
            <w:proofErr w:type="gramEnd"/>
            <w:r w:rsidRPr="00CC51E2">
              <w:rPr>
                <w:rFonts w:ascii="標楷體" w:eastAsia="標楷體" w:hAnsi="標楷體" w:hint="eastAsia"/>
                <w:color w:val="000000" w:themeColor="text1"/>
              </w:rPr>
              <w:t>用第二條第四項之規</w:t>
            </w:r>
            <w:r w:rsidRPr="00CC51E2">
              <w:rPr>
                <w:rFonts w:ascii="標楷體" w:eastAsia="標楷體" w:hAnsi="標楷體" w:hint="eastAsia"/>
                <w:color w:val="000000" w:themeColor="text1"/>
              </w:rPr>
              <w:lastRenderedPageBreak/>
              <w:t>定。</w:t>
            </w:r>
          </w:p>
          <w:p w14:paraId="6E939F8E" w14:textId="77777777" w:rsidR="00EF437A" w:rsidRPr="00CC51E2" w:rsidRDefault="00EF437A" w:rsidP="003042DE">
            <w:pPr>
              <w:snapToGrid w:val="0"/>
              <w:spacing w:beforeLines="50" w:before="180"/>
              <w:rPr>
                <w:rFonts w:ascii="標楷體" w:eastAsia="標楷體" w:hAnsi="標楷體"/>
                <w:color w:val="000000" w:themeColor="text1"/>
              </w:rPr>
            </w:pPr>
            <w:r w:rsidRPr="00CC51E2">
              <w:rPr>
                <w:rFonts w:ascii="標楷體" w:eastAsia="標楷體" w:hAnsi="標楷體" w:hint="eastAsia"/>
                <w:color w:val="000000" w:themeColor="text1"/>
              </w:rPr>
              <w:t>有價證券交易單位低於一千單位（股、受益權單位、存託憑證單位等）者，其成交（委託）量交易單位數據標準，</w:t>
            </w:r>
            <w:proofErr w:type="gramStart"/>
            <w:r w:rsidRPr="00CC51E2">
              <w:rPr>
                <w:rFonts w:ascii="標楷體" w:eastAsia="標楷體" w:hAnsi="標楷體" w:hint="eastAsia"/>
                <w:color w:val="000000" w:themeColor="text1"/>
              </w:rPr>
              <w:t>準</w:t>
            </w:r>
            <w:proofErr w:type="gramEnd"/>
            <w:r w:rsidRPr="00CC51E2">
              <w:rPr>
                <w:rFonts w:ascii="標楷體" w:eastAsia="標楷體" w:hAnsi="標楷體" w:hint="eastAsia"/>
                <w:color w:val="000000" w:themeColor="text1"/>
              </w:rPr>
              <w:t>用第二條第六項之規定。</w:t>
            </w:r>
          </w:p>
          <w:p w14:paraId="4156E32E" w14:textId="305D0F96" w:rsidR="00EF437A" w:rsidRPr="00CC51E2" w:rsidRDefault="00EF437A" w:rsidP="003042DE">
            <w:pPr>
              <w:snapToGrid w:val="0"/>
              <w:rPr>
                <w:rFonts w:ascii="標楷體" w:eastAsia="標楷體" w:hAnsi="標楷體"/>
                <w:color w:val="000000" w:themeColor="text1"/>
              </w:rPr>
            </w:pPr>
            <w:r w:rsidRPr="00CC51E2">
              <w:rPr>
                <w:rFonts w:ascii="標楷體" w:eastAsia="標楷體" w:hAnsi="標楷體" w:hint="eastAsia"/>
                <w:color w:val="000000" w:themeColor="text1"/>
              </w:rPr>
              <w:t>第一項各款異常標準之詳細數據及其除外情形，本中心另訂之。</w:t>
            </w:r>
          </w:p>
        </w:tc>
        <w:tc>
          <w:tcPr>
            <w:tcW w:w="2604" w:type="dxa"/>
          </w:tcPr>
          <w:p w14:paraId="5798FBD3" w14:textId="39B6BC95" w:rsidR="00EF437A" w:rsidRPr="007334D1" w:rsidRDefault="003C7BC3" w:rsidP="007334D1">
            <w:pPr>
              <w:spacing w:afterLines="50" w:after="180"/>
              <w:ind w:left="482" w:hangingChars="201" w:hanging="482"/>
              <w:jc w:val="both"/>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lastRenderedPageBreak/>
              <w:t>一、</w:t>
            </w:r>
            <w:r w:rsidR="00EF437A" w:rsidRPr="007334D1">
              <w:rPr>
                <w:rFonts w:ascii="標楷體" w:eastAsia="標楷體" w:hAnsi="標楷體" w:cs="DFKaiShu-SB-Estd-BF" w:hint="eastAsia"/>
                <w:color w:val="000000" w:themeColor="text1"/>
                <w:kern w:val="0"/>
                <w:szCs w:val="24"/>
              </w:rPr>
              <w:t>為將有價證券當日沖銷交易異常變動情形納入規範，以提醒投資人注意交易風險，</w:t>
            </w:r>
            <w:proofErr w:type="gramStart"/>
            <w:r w:rsidR="00EF437A" w:rsidRPr="007334D1">
              <w:rPr>
                <w:rFonts w:ascii="標楷體" w:eastAsia="標楷體" w:hAnsi="標楷體" w:cs="DFKaiShu-SB-Estd-BF" w:hint="eastAsia"/>
                <w:color w:val="000000" w:themeColor="text1"/>
                <w:kern w:val="0"/>
                <w:szCs w:val="24"/>
              </w:rPr>
              <w:t>爰</w:t>
            </w:r>
            <w:proofErr w:type="gramEnd"/>
            <w:r w:rsidR="00EF437A" w:rsidRPr="007334D1">
              <w:rPr>
                <w:rFonts w:ascii="標楷體" w:eastAsia="標楷體" w:hAnsi="標楷體" w:cs="DFKaiShu-SB-Estd-BF" w:hint="eastAsia"/>
                <w:color w:val="000000" w:themeColor="text1"/>
                <w:kern w:val="0"/>
                <w:szCs w:val="24"/>
              </w:rPr>
              <w:t>修正第</w:t>
            </w:r>
            <w:r w:rsidR="00EF437A" w:rsidRPr="007334D1">
              <w:rPr>
                <w:rFonts w:ascii="標楷體" w:eastAsia="標楷體" w:hAnsi="標楷體" w:cs="DFKaiShu-SB-Estd-BF"/>
                <w:color w:val="000000" w:themeColor="text1"/>
                <w:kern w:val="0"/>
                <w:szCs w:val="24"/>
              </w:rPr>
              <w:t>1</w:t>
            </w:r>
            <w:r w:rsidR="00EF437A" w:rsidRPr="007334D1">
              <w:rPr>
                <w:rFonts w:ascii="標楷體" w:eastAsia="標楷體" w:hAnsi="標楷體" w:cs="DFKaiShu-SB-Estd-BF" w:hint="eastAsia"/>
                <w:color w:val="000000" w:themeColor="text1"/>
                <w:kern w:val="0"/>
                <w:szCs w:val="24"/>
              </w:rPr>
              <w:t>項本文及增訂第</w:t>
            </w:r>
            <w:r w:rsidR="00EF437A" w:rsidRPr="007334D1">
              <w:rPr>
                <w:rFonts w:ascii="標楷體" w:eastAsia="標楷體" w:hAnsi="標楷體" w:cs="DFKaiShu-SB-Estd-BF"/>
                <w:color w:val="000000" w:themeColor="text1"/>
                <w:kern w:val="0"/>
                <w:szCs w:val="24"/>
              </w:rPr>
              <w:t>13</w:t>
            </w:r>
            <w:r w:rsidR="00EF437A" w:rsidRPr="007334D1">
              <w:rPr>
                <w:rFonts w:ascii="標楷體" w:eastAsia="標楷體" w:hAnsi="標楷體" w:cs="DFKaiShu-SB-Estd-BF" w:hint="eastAsia"/>
                <w:color w:val="000000" w:themeColor="text1"/>
                <w:kern w:val="0"/>
                <w:szCs w:val="24"/>
              </w:rPr>
              <w:t>款「有價證券當日沖銷交易成交量占總成交量比率明顯過高者」之規定。</w:t>
            </w:r>
          </w:p>
          <w:p w14:paraId="3D564270" w14:textId="1D592BE2" w:rsidR="00EF437A" w:rsidRPr="007334D1" w:rsidRDefault="003C7BC3" w:rsidP="007334D1">
            <w:pPr>
              <w:spacing w:afterLines="50" w:after="180"/>
              <w:ind w:left="482" w:hangingChars="201" w:hanging="482"/>
              <w:jc w:val="both"/>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t>二、</w:t>
            </w:r>
            <w:r w:rsidR="00EF437A" w:rsidRPr="007334D1">
              <w:rPr>
                <w:rFonts w:ascii="標楷體" w:eastAsia="標楷體" w:hAnsi="標楷體" w:cs="DFKaiShu-SB-Estd-BF" w:hint="eastAsia"/>
                <w:color w:val="000000" w:themeColor="text1"/>
                <w:kern w:val="0"/>
                <w:szCs w:val="24"/>
              </w:rPr>
              <w:t>配合第</w:t>
            </w:r>
            <w:r w:rsidR="00EF437A" w:rsidRPr="007334D1">
              <w:rPr>
                <w:rFonts w:ascii="標楷體" w:eastAsia="標楷體" w:hAnsi="標楷體" w:cs="DFKaiShu-SB-Estd-BF"/>
                <w:color w:val="000000" w:themeColor="text1"/>
                <w:kern w:val="0"/>
                <w:szCs w:val="24"/>
              </w:rPr>
              <w:t>4</w:t>
            </w:r>
            <w:r w:rsidR="00EF437A" w:rsidRPr="007334D1">
              <w:rPr>
                <w:rFonts w:ascii="標楷體" w:eastAsia="標楷體" w:hAnsi="標楷體" w:cs="DFKaiShu-SB-Estd-BF" w:hint="eastAsia"/>
                <w:color w:val="000000" w:themeColor="text1"/>
                <w:kern w:val="0"/>
                <w:szCs w:val="24"/>
              </w:rPr>
              <w:t>條第</w:t>
            </w:r>
            <w:r w:rsidR="00EF437A" w:rsidRPr="007334D1">
              <w:rPr>
                <w:rFonts w:ascii="標楷體" w:eastAsia="標楷體" w:hAnsi="標楷體" w:cs="DFKaiShu-SB-Estd-BF"/>
                <w:color w:val="000000" w:themeColor="text1"/>
                <w:kern w:val="0"/>
                <w:szCs w:val="24"/>
              </w:rPr>
              <w:t>1</w:t>
            </w:r>
            <w:r w:rsidR="00EF437A" w:rsidRPr="007334D1">
              <w:rPr>
                <w:rFonts w:ascii="標楷體" w:eastAsia="標楷體" w:hAnsi="標楷體" w:cs="DFKaiShu-SB-Estd-BF" w:hint="eastAsia"/>
                <w:color w:val="000000" w:themeColor="text1"/>
                <w:kern w:val="0"/>
                <w:szCs w:val="24"/>
              </w:rPr>
              <w:t>項增訂第</w:t>
            </w:r>
            <w:r w:rsidR="00EF437A" w:rsidRPr="007334D1">
              <w:rPr>
                <w:rFonts w:ascii="標楷體" w:eastAsia="標楷體" w:hAnsi="標楷體" w:cs="DFKaiShu-SB-Estd-BF"/>
                <w:color w:val="000000" w:themeColor="text1"/>
                <w:kern w:val="0"/>
                <w:szCs w:val="24"/>
              </w:rPr>
              <w:t>13</w:t>
            </w:r>
            <w:r w:rsidR="00EF437A" w:rsidRPr="007334D1">
              <w:rPr>
                <w:rFonts w:ascii="標楷體" w:eastAsia="標楷體" w:hAnsi="標楷體" w:cs="DFKaiShu-SB-Estd-BF" w:hint="eastAsia"/>
                <w:color w:val="000000" w:themeColor="text1"/>
                <w:kern w:val="0"/>
                <w:szCs w:val="24"/>
              </w:rPr>
              <w:t>款，原第</w:t>
            </w:r>
            <w:r w:rsidR="00EF437A" w:rsidRPr="007334D1">
              <w:rPr>
                <w:rFonts w:ascii="標楷體" w:eastAsia="標楷體" w:hAnsi="標楷體" w:cs="DFKaiShu-SB-Estd-BF"/>
                <w:color w:val="000000" w:themeColor="text1"/>
                <w:kern w:val="0"/>
                <w:szCs w:val="24"/>
              </w:rPr>
              <w:t>13</w:t>
            </w:r>
            <w:r w:rsidR="00EF437A" w:rsidRPr="007334D1">
              <w:rPr>
                <w:rFonts w:ascii="標楷體" w:eastAsia="標楷體" w:hAnsi="標楷體" w:cs="DFKaiShu-SB-Estd-BF" w:hint="eastAsia"/>
                <w:color w:val="000000" w:themeColor="text1"/>
                <w:kern w:val="0"/>
                <w:szCs w:val="24"/>
              </w:rPr>
              <w:t>款款次調整為第</w:t>
            </w:r>
            <w:r w:rsidR="00EF437A" w:rsidRPr="007334D1">
              <w:rPr>
                <w:rFonts w:ascii="標楷體" w:eastAsia="標楷體" w:hAnsi="標楷體" w:cs="DFKaiShu-SB-Estd-BF"/>
                <w:color w:val="000000" w:themeColor="text1"/>
                <w:kern w:val="0"/>
                <w:szCs w:val="24"/>
              </w:rPr>
              <w:t>14</w:t>
            </w:r>
            <w:r w:rsidR="00EF437A" w:rsidRPr="007334D1">
              <w:rPr>
                <w:rFonts w:ascii="標楷體" w:eastAsia="標楷體" w:hAnsi="標楷體" w:cs="DFKaiShu-SB-Estd-BF" w:hint="eastAsia"/>
                <w:color w:val="000000" w:themeColor="text1"/>
                <w:kern w:val="0"/>
                <w:szCs w:val="24"/>
              </w:rPr>
              <w:t>款。</w:t>
            </w:r>
          </w:p>
        </w:tc>
      </w:tr>
      <w:tr w:rsidR="00CC51E2" w:rsidRPr="00CC51E2" w14:paraId="0E6245F8" w14:textId="77777777" w:rsidTr="00EF437A">
        <w:tc>
          <w:tcPr>
            <w:tcW w:w="3685" w:type="dxa"/>
            <w:shd w:val="clear" w:color="auto" w:fill="auto"/>
          </w:tcPr>
          <w:p w14:paraId="08D6A409" w14:textId="77777777" w:rsidR="00EF437A" w:rsidRPr="00CC51E2" w:rsidRDefault="00EF437A" w:rsidP="00EF437A">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lastRenderedPageBreak/>
              <w:t>第六條</w:t>
            </w:r>
          </w:p>
          <w:p w14:paraId="5D961CF2" w14:textId="7781704D" w:rsidR="00EF437A" w:rsidRPr="00CC51E2" w:rsidRDefault="00EF437A" w:rsidP="00B36052">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有價證券之交易有下列情形之一時，本中心即發布為處置之有價證券：</w:t>
            </w:r>
          </w:p>
          <w:p w14:paraId="62E16506"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一、連續三個營業日經本中心依第四條第一項第一款發布交易資訊者。</w:t>
            </w:r>
          </w:p>
          <w:p w14:paraId="7BED93B5"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二、連續五個營業日或最近十個營業日內有六個營業日或最近三十</w:t>
            </w:r>
            <w:proofErr w:type="gramStart"/>
            <w:r w:rsidRPr="00CC51E2">
              <w:rPr>
                <w:rFonts w:ascii="標楷體" w:eastAsia="標楷體" w:hAnsi="標楷體" w:cs="Times New Roman" w:hint="eastAsia"/>
                <w:bCs/>
                <w:color w:val="000000" w:themeColor="text1"/>
                <w:szCs w:val="24"/>
              </w:rPr>
              <w:t>個</w:t>
            </w:r>
            <w:proofErr w:type="gramEnd"/>
            <w:r w:rsidRPr="00CC51E2">
              <w:rPr>
                <w:rFonts w:ascii="標楷體" w:eastAsia="標楷體" w:hAnsi="標楷體" w:cs="Times New Roman" w:hint="eastAsia"/>
                <w:bCs/>
                <w:color w:val="000000" w:themeColor="text1"/>
                <w:szCs w:val="24"/>
              </w:rPr>
              <w:t>營業日內有十二</w:t>
            </w:r>
            <w:proofErr w:type="gramStart"/>
            <w:r w:rsidRPr="00CC51E2">
              <w:rPr>
                <w:rFonts w:ascii="標楷體" w:eastAsia="標楷體" w:hAnsi="標楷體" w:cs="Times New Roman" w:hint="eastAsia"/>
                <w:bCs/>
                <w:color w:val="000000" w:themeColor="text1"/>
                <w:szCs w:val="24"/>
              </w:rPr>
              <w:t>個</w:t>
            </w:r>
            <w:proofErr w:type="gramEnd"/>
            <w:r w:rsidRPr="00CC51E2">
              <w:rPr>
                <w:rFonts w:ascii="標楷體" w:eastAsia="標楷體" w:hAnsi="標楷體" w:cs="Times New Roman" w:hint="eastAsia"/>
                <w:bCs/>
                <w:color w:val="000000" w:themeColor="text1"/>
                <w:szCs w:val="24"/>
              </w:rPr>
              <w:t>營業日經本中心依第四條第一項第一款至第八款發布交易資訊者。</w:t>
            </w:r>
          </w:p>
          <w:p w14:paraId="4CC77E40"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1C434674"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有價證券最近三十</w:t>
            </w:r>
            <w:proofErr w:type="gramStart"/>
            <w:r w:rsidRPr="00CC51E2">
              <w:rPr>
                <w:rFonts w:ascii="標楷體" w:eastAsia="標楷體" w:hAnsi="標楷體" w:cs="Times New Roman" w:hint="eastAsia"/>
                <w:bCs/>
                <w:color w:val="000000" w:themeColor="text1"/>
                <w:szCs w:val="24"/>
              </w:rPr>
              <w:t>個</w:t>
            </w:r>
            <w:proofErr w:type="gramEnd"/>
            <w:r w:rsidRPr="00CC51E2">
              <w:rPr>
                <w:rFonts w:ascii="標楷體" w:eastAsia="標楷體" w:hAnsi="標楷體" w:cs="Times New Roman" w:hint="eastAsia"/>
                <w:bCs/>
                <w:color w:val="000000" w:themeColor="text1"/>
                <w:szCs w:val="24"/>
              </w:rPr>
              <w:t>營業日內，第一次依前項標準發布處置者，本中心於次一營業日起十個營業日內，同時</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行下列之措施：</w:t>
            </w:r>
          </w:p>
          <w:p w14:paraId="5BF28484"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一、對該有價證券以人工管制之撮合終端機執行撮合作業（約每五分鐘撮合一次，但變更交易方法有價證券約每十分鐘撮合一次、分盤方式交易有價證券約每四十五分鐘撮合一次、管理股票約每六十分鐘撮合一次）。</w:t>
            </w:r>
          </w:p>
          <w:p w14:paraId="01D29486"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二、通知各證券經紀商於前開期間對於投資人每日委託買賣該</w:t>
            </w:r>
            <w:r w:rsidRPr="00CC51E2">
              <w:rPr>
                <w:rFonts w:ascii="標楷體" w:eastAsia="標楷體" w:hAnsi="標楷體" w:hint="eastAsia"/>
                <w:bCs/>
                <w:color w:val="000000" w:themeColor="text1"/>
              </w:rPr>
              <w:t>有價證券</w:t>
            </w:r>
            <w:r w:rsidRPr="00CC51E2">
              <w:rPr>
                <w:rFonts w:ascii="標楷體" w:eastAsia="標楷體" w:hAnsi="標楷體" w:cs="Times New Roman" w:hint="eastAsia"/>
                <w:bCs/>
                <w:color w:val="000000" w:themeColor="text1"/>
                <w:szCs w:val="24"/>
              </w:rPr>
              <w:t>數量</w:t>
            </w:r>
            <w:proofErr w:type="gramStart"/>
            <w:r w:rsidRPr="00CC51E2">
              <w:rPr>
                <w:rFonts w:ascii="標楷體" w:eastAsia="標楷體" w:hAnsi="標楷體" w:cs="Times New Roman" w:hint="eastAsia"/>
                <w:bCs/>
                <w:color w:val="000000" w:themeColor="text1"/>
                <w:szCs w:val="24"/>
              </w:rPr>
              <w:t>單筆達</w:t>
            </w:r>
            <w:proofErr w:type="gramEnd"/>
            <w:r w:rsidRPr="00CC51E2">
              <w:rPr>
                <w:rFonts w:ascii="標楷體" w:eastAsia="標楷體" w:hAnsi="標楷體" w:cs="Times New Roman" w:hint="eastAsia"/>
                <w:bCs/>
                <w:color w:val="000000" w:themeColor="text1"/>
                <w:szCs w:val="24"/>
              </w:rPr>
              <w:t>十交易單位或多筆累積達三十交易單位以上時，應就其當日已委託之買賣，向該投資人收取全部之買進價金或賣出證券，信用交易部分，則收</w:t>
            </w:r>
            <w:r w:rsidRPr="00CC51E2">
              <w:rPr>
                <w:rFonts w:ascii="標楷體" w:eastAsia="標楷體" w:hAnsi="標楷體" w:cs="Times New Roman" w:hint="eastAsia"/>
                <w:bCs/>
                <w:color w:val="000000" w:themeColor="text1"/>
                <w:szCs w:val="24"/>
              </w:rPr>
              <w:lastRenderedPageBreak/>
              <w:t>足融資自備款或融券保證金；至於當日達上開數量後之委託亦應於委辦時向其收取全部之買進價金或賣出證券，信用交易部分，則收足融資自備款或融券保證金。但信用交易了結或違約專戶、認購（售）權證流動量提供者專戶或認購（售）權證避險專戶（不含帳號編碼前三碼為「九二九」帳戶）委託買賣該有價證券者，不在此限。實收資本額未達新臺幣八千萬元之發行公司股票部分，則通知各證券經紀商於前開期間對於每日委託買賣該有價證券之投資人，應就其當日已委託之買賣，向該投資人收取全部買進價金或賣出證券。</w:t>
            </w:r>
          </w:p>
          <w:p w14:paraId="0698809F"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238B0020"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有價證券最近三十</w:t>
            </w:r>
            <w:proofErr w:type="gramStart"/>
            <w:r w:rsidRPr="00CC51E2">
              <w:rPr>
                <w:rFonts w:ascii="標楷體" w:eastAsia="標楷體" w:hAnsi="標楷體" w:cs="Times New Roman" w:hint="eastAsia"/>
                <w:bCs/>
                <w:color w:val="000000" w:themeColor="text1"/>
                <w:szCs w:val="24"/>
              </w:rPr>
              <w:t>個</w:t>
            </w:r>
            <w:proofErr w:type="gramEnd"/>
            <w:r w:rsidRPr="00CC51E2">
              <w:rPr>
                <w:rFonts w:ascii="標楷體" w:eastAsia="標楷體" w:hAnsi="標楷體" w:cs="Times New Roman" w:hint="eastAsia"/>
                <w:bCs/>
                <w:color w:val="000000" w:themeColor="text1"/>
                <w:szCs w:val="24"/>
              </w:rPr>
              <w:t>營業日內，曾依第一項規定發布處置者，其當日再次依第一項標準發布處置，本中心於次一營業日起十個營業日內，同時</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行下列之措施：</w:t>
            </w:r>
          </w:p>
          <w:p w14:paraId="2690841D"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一、對該有價證券以人工管制之撮合終端機執行撮合作業（約每二十分鐘撮合一次，但變更交易方法有價證券約每二十五分鐘撮合一次、分盤方式交易有價證券約每六十分鐘撮合一次、管理股票約每九十分鐘撮合一次）。</w:t>
            </w:r>
          </w:p>
          <w:p w14:paraId="1129157B"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二、通知各證券經紀商於前開期間對於所有投資人每日委託買賣該有價證券，應就其當日已委託之買賣，向該投資人收取全部之買進價金或賣出證券，信用交易部分，則收足融資自備款或融券保證金。但信用交易了結或違約</w:t>
            </w:r>
            <w:r w:rsidRPr="00CC51E2">
              <w:rPr>
                <w:rFonts w:ascii="標楷體" w:eastAsia="標楷體" w:hAnsi="標楷體" w:cs="Times New Roman" w:hint="eastAsia"/>
                <w:bCs/>
                <w:color w:val="000000" w:themeColor="text1"/>
                <w:szCs w:val="24"/>
              </w:rPr>
              <w:lastRenderedPageBreak/>
              <w:t>專戶、認購（售）權證流動量提供者專戶或認購（售）權證避險專戶（不含帳號編碼前三碼為「九二九」帳戶）委託買賣該有價證券者，不在此限。實收資本額未達新臺幣八千萬元之發行公司股票部分，則通知各證券經紀商於前開期間對於每日委託買賣該有價證券之投資人，應就其當日已委託之買賣，向該投資人收取全部買進價金或賣出證券。</w:t>
            </w:r>
          </w:p>
          <w:p w14:paraId="47EA030E" w14:textId="39A6FB53" w:rsidR="00FB4053" w:rsidRDefault="00EF437A" w:rsidP="00A6617C">
            <w:pPr>
              <w:pStyle w:val="HTML"/>
              <w:snapToGrid w:val="0"/>
              <w:ind w:rightChars="14" w:right="34"/>
              <w:rPr>
                <w:rFonts w:ascii="標楷體" w:eastAsia="標楷體" w:hAnsi="標楷體"/>
                <w:color w:val="000000" w:themeColor="text1"/>
                <w:u w:val="single"/>
              </w:rPr>
            </w:pPr>
            <w:r w:rsidRPr="007F1113">
              <w:rPr>
                <w:rFonts w:ascii="標楷體" w:eastAsia="標楷體" w:hAnsi="標楷體" w:hint="eastAsia"/>
                <w:color w:val="000000" w:themeColor="text1"/>
                <w:u w:val="single"/>
              </w:rPr>
              <w:t>有價證券因連續三個營業日經本中心依第四條第一項第一款發布交易資訊或連續五個營業日依第四條</w:t>
            </w:r>
            <w:r w:rsidRPr="00E07D0F">
              <w:rPr>
                <w:rFonts w:ascii="標楷體" w:eastAsia="標楷體" w:hAnsi="標楷體" w:hint="eastAsia"/>
                <w:color w:val="000000" w:themeColor="text1"/>
                <w:u w:val="single"/>
              </w:rPr>
              <w:t>第一項第一款</w:t>
            </w:r>
            <w:r w:rsidRPr="007F1113">
              <w:rPr>
                <w:rFonts w:ascii="標楷體" w:eastAsia="標楷體" w:hAnsi="標楷體" w:hint="eastAsia"/>
                <w:color w:val="000000" w:themeColor="text1"/>
                <w:u w:val="single"/>
              </w:rPr>
              <w:t>至第八款發布交易資訊，並依本條第二項或第三項規定發布處置，</w:t>
            </w:r>
            <w:r w:rsidRPr="0040389B">
              <w:rPr>
                <w:rFonts w:ascii="標楷體" w:eastAsia="標楷體" w:hAnsi="標楷體" w:hint="eastAsia"/>
                <w:color w:val="000000" w:themeColor="text1"/>
                <w:u w:val="single"/>
              </w:rPr>
              <w:t>其在計算發布處置基數</w:t>
            </w:r>
            <w:proofErr w:type="gramStart"/>
            <w:r w:rsidRPr="0040389B">
              <w:rPr>
                <w:rFonts w:ascii="標楷體" w:eastAsia="標楷體" w:hAnsi="標楷體" w:hint="eastAsia"/>
                <w:color w:val="000000" w:themeColor="text1"/>
                <w:u w:val="single"/>
              </w:rPr>
              <w:t>期間</w:t>
            </w:r>
            <w:r w:rsidRPr="007F1113">
              <w:rPr>
                <w:rFonts w:ascii="標楷體" w:eastAsia="標楷體" w:hAnsi="標楷體" w:hint="eastAsia"/>
                <w:color w:val="000000" w:themeColor="text1"/>
                <w:u w:val="single"/>
              </w:rPr>
              <w:t>，</w:t>
            </w:r>
            <w:proofErr w:type="gramEnd"/>
            <w:r w:rsidRPr="007F1113">
              <w:rPr>
                <w:rFonts w:ascii="標楷體" w:eastAsia="標楷體" w:hAnsi="標楷體" w:hint="eastAsia"/>
                <w:color w:val="000000" w:themeColor="text1"/>
                <w:u w:val="single"/>
              </w:rPr>
              <w:t>曾依第四條第一項第十三款公布注意交易資訊者，</w:t>
            </w:r>
            <w:r w:rsidR="00FB4053" w:rsidRPr="007F1113">
              <w:rPr>
                <w:rFonts w:ascii="標楷體" w:eastAsia="標楷體" w:hAnsi="標楷體" w:hint="eastAsia"/>
                <w:color w:val="000000" w:themeColor="text1"/>
                <w:u w:val="single"/>
              </w:rPr>
              <w:t>該有價證券處置期間調整為次一營業日起十二</w:t>
            </w:r>
            <w:proofErr w:type="gramStart"/>
            <w:r w:rsidR="00FB4053" w:rsidRPr="007F1113">
              <w:rPr>
                <w:rFonts w:ascii="標楷體" w:eastAsia="標楷體" w:hAnsi="標楷體" w:hint="eastAsia"/>
                <w:color w:val="000000" w:themeColor="text1"/>
                <w:u w:val="single"/>
              </w:rPr>
              <w:t>個</w:t>
            </w:r>
            <w:proofErr w:type="gramEnd"/>
            <w:r w:rsidR="00FB4053" w:rsidRPr="007F1113">
              <w:rPr>
                <w:rFonts w:ascii="標楷體" w:eastAsia="標楷體" w:hAnsi="標楷體" w:hint="eastAsia"/>
                <w:color w:val="000000" w:themeColor="text1"/>
                <w:u w:val="single"/>
              </w:rPr>
              <w:t>營業日。</w:t>
            </w:r>
          </w:p>
          <w:p w14:paraId="56CA8E82" w14:textId="56046057" w:rsidR="00313ABC" w:rsidRDefault="00313ABC" w:rsidP="00A6617C">
            <w:pPr>
              <w:pStyle w:val="HTML"/>
              <w:snapToGrid w:val="0"/>
              <w:ind w:rightChars="14" w:right="34"/>
              <w:rPr>
                <w:rFonts w:ascii="標楷體" w:eastAsia="標楷體" w:hAnsi="標楷體"/>
                <w:color w:val="000000" w:themeColor="text1"/>
                <w:u w:val="single"/>
              </w:rPr>
            </w:pPr>
          </w:p>
          <w:p w14:paraId="00F0C47F" w14:textId="28F195B3" w:rsidR="00FB4053" w:rsidRDefault="00FB4053" w:rsidP="00A6617C">
            <w:pPr>
              <w:pStyle w:val="HTML"/>
              <w:snapToGrid w:val="0"/>
              <w:ind w:rightChars="14" w:right="34"/>
              <w:rPr>
                <w:rFonts w:ascii="標楷體" w:eastAsia="標楷體" w:hAnsi="標楷體"/>
                <w:color w:val="000000" w:themeColor="text1"/>
                <w:u w:val="single"/>
              </w:rPr>
            </w:pPr>
          </w:p>
          <w:p w14:paraId="5708C459" w14:textId="77777777" w:rsidR="007D474F" w:rsidRPr="00CC51E2" w:rsidRDefault="007D474F" w:rsidP="00A6617C">
            <w:pPr>
              <w:pStyle w:val="HTML"/>
              <w:snapToGrid w:val="0"/>
              <w:ind w:rightChars="14" w:right="34"/>
              <w:rPr>
                <w:rFonts w:ascii="標楷體" w:eastAsia="標楷體" w:hAnsi="標楷體"/>
                <w:color w:val="000000" w:themeColor="text1"/>
                <w:u w:val="single"/>
              </w:rPr>
            </w:pPr>
          </w:p>
          <w:p w14:paraId="0F1247E8" w14:textId="755CFAFD" w:rsidR="00EF437A" w:rsidRPr="00CC51E2" w:rsidRDefault="00EF437A" w:rsidP="00B36052">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有價證券經依本條第二項或第三項規定發布處置，而其處置原因含有第四條第一項第六款情事，或於處置期間再經本中心依上開第六款發布交易資訊者，或經依第四條第一項第九款、第十款、第十一款、第十二款</w:t>
            </w:r>
            <w:r w:rsidRPr="00CC51E2">
              <w:rPr>
                <w:rFonts w:ascii="標楷體" w:eastAsia="標楷體" w:hAnsi="標楷體" w:hint="eastAsia"/>
                <w:color w:val="000000" w:themeColor="text1"/>
                <w:u w:val="single"/>
              </w:rPr>
              <w:t>、第十三款</w:t>
            </w:r>
            <w:r w:rsidRPr="00CC51E2">
              <w:rPr>
                <w:rFonts w:ascii="標楷體" w:eastAsia="標楷體" w:hAnsi="標楷體" w:cs="Times New Roman" w:hint="eastAsia"/>
                <w:bCs/>
                <w:color w:val="000000" w:themeColor="text1"/>
                <w:szCs w:val="24"/>
              </w:rPr>
              <w:t>公布注意交易資訊，並分析有異常情事者，或本中心認為有價證券之交易異常並嚴重影響市場給付結算安全之虞時，或其他認有必要時，經提報監視業務督導會報討論決議後，得採取下列處置措施並議定處置期間：</w:t>
            </w:r>
          </w:p>
          <w:p w14:paraId="4B5D55CA"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一、本條第二項或第三項規定之處置</w:t>
            </w:r>
            <w:r w:rsidRPr="00CC51E2">
              <w:rPr>
                <w:rFonts w:ascii="標楷體" w:eastAsia="標楷體" w:hAnsi="標楷體" w:hint="eastAsia"/>
                <w:bCs/>
                <w:color w:val="000000" w:themeColor="text1"/>
              </w:rPr>
              <w:t>措施</w:t>
            </w:r>
            <w:r w:rsidRPr="00CC51E2">
              <w:rPr>
                <w:rFonts w:ascii="標楷體" w:eastAsia="標楷體" w:hAnsi="標楷體" w:cs="Times New Roman" w:hint="eastAsia"/>
                <w:bCs/>
                <w:color w:val="000000" w:themeColor="text1"/>
                <w:szCs w:val="24"/>
              </w:rPr>
              <w:t>，必要時得依下列項目彈性調整：</w:t>
            </w:r>
          </w:p>
          <w:p w14:paraId="56B0FD4C" w14:textId="77777777" w:rsidR="00EF437A" w:rsidRPr="00CC51E2" w:rsidRDefault="00EF437A" w:rsidP="00B36052">
            <w:pPr>
              <w:snapToGrid w:val="0"/>
              <w:spacing w:line="280" w:lineRule="atLeast"/>
              <w:ind w:leftChars="-109" w:left="698" w:hangingChars="400" w:hanging="96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lastRenderedPageBreak/>
              <w:t xml:space="preserve">  （一）有價證券以人工管制撮合終端機執行撮合作業時間。</w:t>
            </w:r>
          </w:p>
          <w:p w14:paraId="5EF2416C" w14:textId="77777777" w:rsidR="00EF437A" w:rsidRPr="00CC51E2" w:rsidRDefault="00EF437A" w:rsidP="00B36052">
            <w:pPr>
              <w:snapToGrid w:val="0"/>
              <w:spacing w:line="280" w:lineRule="atLeast"/>
              <w:ind w:leftChars="-109" w:left="698" w:hangingChars="400" w:hanging="96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 xml:space="preserve">  （二）投資人委託買賣該異常有價證券時預收一定比例或全部買進價金或賣出證券或融資自備款或融券保證金。</w:t>
            </w:r>
          </w:p>
          <w:p w14:paraId="0EC4ACE5" w14:textId="77777777" w:rsidR="00EF437A" w:rsidRPr="00CC51E2" w:rsidRDefault="00EF437A" w:rsidP="00B36052">
            <w:pPr>
              <w:snapToGrid w:val="0"/>
              <w:spacing w:line="280" w:lineRule="atLeast"/>
              <w:ind w:leftChars="-109" w:left="698" w:hangingChars="400" w:hanging="96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 xml:space="preserve">  （三）處置期間。</w:t>
            </w:r>
          </w:p>
          <w:p w14:paraId="2A298CCF"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二、各證券商每日買進或賣出該有價證券之申報金額，總公司不得超過新臺幣四千萬元，每一分支機構不得超過新臺幣一千萬元。但信用交易了結或違約專戶、認購（售）權證流動量提供者專戶或認購（售）權證避險專戶（不含帳號編碼前三碼為「九二九」帳戶）委託買賣該有價證券者，不在此限；實收資本額未達新臺幣八千萬元之發行公司股票於前述之買進或賣出申報金額減至二分之一，必要時得視該有價證券交易狀況、市值或發行公司資本額調整各證券商總分公司每日買進或賣出該有價證券之申報金額。</w:t>
            </w:r>
          </w:p>
          <w:p w14:paraId="170B9CD8"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三、通知各證券商於買賣交易異常之有價證券時，增繳給付結算基金。</w:t>
            </w:r>
          </w:p>
          <w:p w14:paraId="338CD46D"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四、暫停該有價證券融資融券交易。但信用交易了結，不在此限。</w:t>
            </w:r>
          </w:p>
          <w:p w14:paraId="3CBE17CA"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五、報經主管機關核准後停止該有價證券一定期間之買賣。</w:t>
            </w:r>
          </w:p>
          <w:p w14:paraId="63A37114" w14:textId="2FBAFA0F" w:rsidR="00EF437A" w:rsidRPr="00CC51E2" w:rsidRDefault="00EF437A" w:rsidP="00B36052">
            <w:pPr>
              <w:snapToGrid w:val="0"/>
              <w:spacing w:line="280" w:lineRule="atLeast"/>
              <w:ind w:leftChars="10" w:left="305" w:hangingChars="117" w:hanging="281"/>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六、其他之處置。</w:t>
            </w:r>
          </w:p>
          <w:p w14:paraId="3317EAC4" w14:textId="77777777" w:rsidR="00EF437A" w:rsidRPr="00CC51E2" w:rsidRDefault="00EF437A" w:rsidP="00B36052">
            <w:pPr>
              <w:snapToGrid w:val="0"/>
              <w:spacing w:line="280" w:lineRule="atLeast"/>
              <w:ind w:leftChars="10" w:left="305" w:hangingChars="117" w:hanging="281"/>
              <w:rPr>
                <w:rFonts w:ascii="標楷體" w:eastAsia="標楷體" w:hAnsi="標楷體" w:cs="Times New Roman"/>
                <w:bCs/>
                <w:color w:val="000000" w:themeColor="text1"/>
                <w:szCs w:val="24"/>
              </w:rPr>
            </w:pPr>
          </w:p>
          <w:p w14:paraId="36807726" w14:textId="23E4B792"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前項第二款之處置措施，亦得由櫃檯買賣交易市場共同責任制給付結算基金管理委員會決議</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行並議定處置期間。</w:t>
            </w:r>
          </w:p>
          <w:p w14:paraId="18632CD1"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5BEEDB61" w14:textId="1E87BAE5"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lastRenderedPageBreak/>
              <w:t>有價證券之交易經監視業務督導會報或櫃檯買賣交易市場共同責任制給付結算基金管理委員會決議</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行處置措施，於處置措施執行前與處置期間所發布之交易資訊日數，得不納入本條第一項之計算</w:t>
            </w:r>
            <w:r w:rsidR="00C93A97" w:rsidRPr="00CC51E2">
              <w:rPr>
                <w:rFonts w:ascii="標楷體" w:eastAsia="標楷體" w:hAnsi="標楷體" w:hint="eastAsia"/>
                <w:color w:val="000000" w:themeColor="text1"/>
                <w:u w:val="single"/>
              </w:rPr>
              <w:t>發布處置</w:t>
            </w:r>
            <w:r w:rsidRPr="00CC51E2">
              <w:rPr>
                <w:rFonts w:ascii="標楷體" w:eastAsia="標楷體" w:hAnsi="標楷體" w:cs="Times New Roman" w:hint="eastAsia"/>
                <w:bCs/>
                <w:color w:val="000000" w:themeColor="text1"/>
                <w:szCs w:val="24"/>
              </w:rPr>
              <w:t>基數。</w:t>
            </w:r>
          </w:p>
          <w:p w14:paraId="76DDA16B" w14:textId="77777777" w:rsidR="006B1665" w:rsidRDefault="006B1665" w:rsidP="008B5A46">
            <w:pPr>
              <w:snapToGrid w:val="0"/>
              <w:spacing w:line="280" w:lineRule="atLeast"/>
              <w:rPr>
                <w:rFonts w:ascii="標楷體" w:eastAsia="標楷體" w:hAnsi="標楷體" w:cs="Times New Roman"/>
                <w:bCs/>
                <w:color w:val="000000" w:themeColor="text1"/>
                <w:szCs w:val="24"/>
              </w:rPr>
            </w:pPr>
          </w:p>
          <w:p w14:paraId="46E5B2E5" w14:textId="5819AD5F"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有價證券達本要點發布處置者，發行公司對該有價證券交易異常情形之處置原因，得提出最近期相關財務業務具體</w:t>
            </w:r>
            <w:proofErr w:type="gramStart"/>
            <w:r w:rsidRPr="00CC51E2">
              <w:rPr>
                <w:rFonts w:ascii="標楷體" w:eastAsia="標楷體" w:hAnsi="標楷體" w:cs="Times New Roman" w:hint="eastAsia"/>
                <w:bCs/>
                <w:color w:val="000000" w:themeColor="text1"/>
                <w:szCs w:val="24"/>
              </w:rPr>
              <w:t>資料申議</w:t>
            </w:r>
            <w:proofErr w:type="gramEnd"/>
            <w:r w:rsidRPr="00CC51E2">
              <w:rPr>
                <w:rFonts w:ascii="標楷體" w:eastAsia="標楷體" w:hAnsi="標楷體" w:cs="Times New Roman" w:hint="eastAsia"/>
                <w:bCs/>
                <w:color w:val="000000" w:themeColor="text1"/>
                <w:szCs w:val="24"/>
              </w:rPr>
              <w:t>，經提報監視業務督導會報討論決議後，得終止或調整處置措施。</w:t>
            </w:r>
          </w:p>
          <w:p w14:paraId="0231A572"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0A657E00" w14:textId="5A9DF52C"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證券經紀商之綜合交易帳戶於處置期間委託買賣該有價證券，適用</w:t>
            </w:r>
            <w:r w:rsidRPr="00A32972">
              <w:rPr>
                <w:rFonts w:ascii="標楷體" w:eastAsia="標楷體" w:hAnsi="標楷體" w:cs="Times New Roman" w:hint="eastAsia"/>
                <w:bCs/>
                <w:color w:val="000000" w:themeColor="text1"/>
                <w:szCs w:val="24"/>
              </w:rPr>
              <w:t>各該</w:t>
            </w:r>
            <w:r w:rsidRPr="00CC51E2">
              <w:rPr>
                <w:rFonts w:ascii="標楷體" w:eastAsia="標楷體" w:hAnsi="標楷體" w:cs="Times New Roman" w:hint="eastAsia"/>
                <w:bCs/>
                <w:color w:val="000000" w:themeColor="text1"/>
                <w:szCs w:val="24"/>
              </w:rPr>
              <w:t>處置規定，並由證券商向各代表人（受任人）</w:t>
            </w:r>
            <w:proofErr w:type="gramStart"/>
            <w:r w:rsidRPr="00CC51E2">
              <w:rPr>
                <w:rFonts w:ascii="標楷體" w:eastAsia="標楷體" w:hAnsi="標楷體" w:cs="Times New Roman" w:hint="eastAsia"/>
                <w:bCs/>
                <w:color w:val="000000" w:themeColor="text1"/>
                <w:szCs w:val="24"/>
              </w:rPr>
              <w:t>就項下</w:t>
            </w:r>
            <w:proofErr w:type="gramEnd"/>
            <w:r w:rsidRPr="00CC51E2">
              <w:rPr>
                <w:rFonts w:ascii="標楷體" w:eastAsia="標楷體" w:hAnsi="標楷體" w:cs="Times New Roman" w:hint="eastAsia"/>
                <w:bCs/>
                <w:color w:val="000000" w:themeColor="text1"/>
                <w:szCs w:val="24"/>
              </w:rPr>
              <w:t>委託人達標準者收取一定比例或全部買進價金或賣出證券。</w:t>
            </w:r>
          </w:p>
          <w:p w14:paraId="2C1F2BBD" w14:textId="732C906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3EEA99BC" w14:textId="77777777" w:rsidR="00635B0E" w:rsidRPr="00CC51E2" w:rsidRDefault="00635B0E" w:rsidP="008B5A46">
            <w:pPr>
              <w:snapToGrid w:val="0"/>
              <w:spacing w:line="280" w:lineRule="atLeast"/>
              <w:rPr>
                <w:rFonts w:ascii="標楷體" w:eastAsia="標楷體" w:hAnsi="標楷體" w:cs="Times New Roman"/>
                <w:bCs/>
                <w:color w:val="000000" w:themeColor="text1"/>
                <w:szCs w:val="24"/>
              </w:rPr>
            </w:pPr>
          </w:p>
          <w:p w14:paraId="69F8BB04" w14:textId="5011737A"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轉（交）換公司債之標的證券經本中心或臺灣證券交易所股份有限公司發布處置者，本中心得</w:t>
            </w:r>
            <w:proofErr w:type="gramStart"/>
            <w:r w:rsidRPr="00CC51E2">
              <w:rPr>
                <w:rFonts w:ascii="標楷體" w:eastAsia="標楷體" w:hAnsi="標楷體" w:cs="Times New Roman" w:hint="eastAsia"/>
                <w:bCs/>
                <w:color w:val="000000" w:themeColor="text1"/>
                <w:szCs w:val="24"/>
              </w:rPr>
              <w:t>併</w:t>
            </w:r>
            <w:proofErr w:type="gramEnd"/>
            <w:r w:rsidRPr="00CC51E2">
              <w:rPr>
                <w:rFonts w:ascii="標楷體" w:eastAsia="標楷體" w:hAnsi="標楷體" w:cs="Times New Roman" w:hint="eastAsia"/>
                <w:bCs/>
                <w:color w:val="000000" w:themeColor="text1"/>
                <w:szCs w:val="24"/>
              </w:rPr>
              <w:t>同對該轉（交）換公司債</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行處置措施。</w:t>
            </w:r>
          </w:p>
          <w:p w14:paraId="4887E38A"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050B9733" w14:textId="20310545"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有價證券交易單位低於一千單位（股、受益權單位、存託憑證單位等）者，其成交（委託）量交易單位數據標準，</w:t>
            </w:r>
            <w:proofErr w:type="gramStart"/>
            <w:r w:rsidRPr="00CC51E2">
              <w:rPr>
                <w:rFonts w:ascii="標楷體" w:eastAsia="標楷體" w:hAnsi="標楷體" w:cs="Times New Roman" w:hint="eastAsia"/>
                <w:bCs/>
                <w:color w:val="000000" w:themeColor="text1"/>
                <w:szCs w:val="24"/>
              </w:rPr>
              <w:t>準</w:t>
            </w:r>
            <w:proofErr w:type="gramEnd"/>
            <w:r w:rsidRPr="00CC51E2">
              <w:rPr>
                <w:rFonts w:ascii="標楷體" w:eastAsia="標楷體" w:hAnsi="標楷體" w:cs="Times New Roman" w:hint="eastAsia"/>
                <w:bCs/>
                <w:color w:val="000000" w:themeColor="text1"/>
                <w:szCs w:val="24"/>
              </w:rPr>
              <w:t>用第二條第六項之規定。</w:t>
            </w:r>
          </w:p>
          <w:p w14:paraId="1444CEB2" w14:textId="318BBF94" w:rsidR="00EF437A" w:rsidRPr="00CC51E2" w:rsidRDefault="00EF437A" w:rsidP="006F285C">
            <w:pPr>
              <w:pStyle w:val="HTML"/>
              <w:snapToGrid w:val="0"/>
              <w:ind w:rightChars="14" w:right="34"/>
              <w:rPr>
                <w:rFonts w:ascii="標楷體" w:eastAsia="標楷體" w:hAnsi="標楷體"/>
                <w:color w:val="000000" w:themeColor="text1"/>
              </w:rPr>
            </w:pPr>
          </w:p>
        </w:tc>
        <w:tc>
          <w:tcPr>
            <w:tcW w:w="3685" w:type="dxa"/>
            <w:shd w:val="clear" w:color="auto" w:fill="auto"/>
          </w:tcPr>
          <w:p w14:paraId="34ECA664" w14:textId="77777777" w:rsidR="00EF437A" w:rsidRPr="00CC51E2" w:rsidRDefault="00EF437A" w:rsidP="00EF437A">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lastRenderedPageBreak/>
              <w:t>第六條</w:t>
            </w:r>
          </w:p>
          <w:p w14:paraId="56DEC296" w14:textId="2D5FA9F7" w:rsidR="00EF437A" w:rsidRPr="00CC51E2" w:rsidRDefault="00EF437A" w:rsidP="00B36052">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有價證券之交易有下列情形之一時，本中心即發布為處置之有價證券：</w:t>
            </w:r>
          </w:p>
          <w:p w14:paraId="3ADBE21D"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一、連續三個營業日經本中心依第四條第一項第一款發布交易資訊者。</w:t>
            </w:r>
          </w:p>
          <w:p w14:paraId="207E4269"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二、連續五個營業日或最近十個營業日內有六個營業日或最近三十</w:t>
            </w:r>
            <w:proofErr w:type="gramStart"/>
            <w:r w:rsidRPr="00CC51E2">
              <w:rPr>
                <w:rFonts w:ascii="標楷體" w:eastAsia="標楷體" w:hAnsi="標楷體" w:cs="Times New Roman" w:hint="eastAsia"/>
                <w:bCs/>
                <w:color w:val="000000" w:themeColor="text1"/>
                <w:szCs w:val="24"/>
              </w:rPr>
              <w:t>個</w:t>
            </w:r>
            <w:proofErr w:type="gramEnd"/>
            <w:r w:rsidRPr="00CC51E2">
              <w:rPr>
                <w:rFonts w:ascii="標楷體" w:eastAsia="標楷體" w:hAnsi="標楷體" w:cs="Times New Roman" w:hint="eastAsia"/>
                <w:bCs/>
                <w:color w:val="000000" w:themeColor="text1"/>
                <w:szCs w:val="24"/>
              </w:rPr>
              <w:t>營業日內有十二</w:t>
            </w:r>
            <w:proofErr w:type="gramStart"/>
            <w:r w:rsidRPr="00CC51E2">
              <w:rPr>
                <w:rFonts w:ascii="標楷體" w:eastAsia="標楷體" w:hAnsi="標楷體" w:cs="Times New Roman" w:hint="eastAsia"/>
                <w:bCs/>
                <w:color w:val="000000" w:themeColor="text1"/>
                <w:szCs w:val="24"/>
              </w:rPr>
              <w:t>個</w:t>
            </w:r>
            <w:proofErr w:type="gramEnd"/>
            <w:r w:rsidRPr="00CC51E2">
              <w:rPr>
                <w:rFonts w:ascii="標楷體" w:eastAsia="標楷體" w:hAnsi="標楷體" w:cs="Times New Roman" w:hint="eastAsia"/>
                <w:bCs/>
                <w:color w:val="000000" w:themeColor="text1"/>
                <w:szCs w:val="24"/>
              </w:rPr>
              <w:t>營業日經本中心依第四條第一項第一款至第八款發布交易資訊者。</w:t>
            </w:r>
          </w:p>
          <w:p w14:paraId="286C60CB"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60CA0E81"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有價證券最近三十</w:t>
            </w:r>
            <w:proofErr w:type="gramStart"/>
            <w:r w:rsidRPr="00CC51E2">
              <w:rPr>
                <w:rFonts w:ascii="標楷體" w:eastAsia="標楷體" w:hAnsi="標楷體" w:cs="Times New Roman" w:hint="eastAsia"/>
                <w:bCs/>
                <w:color w:val="000000" w:themeColor="text1"/>
                <w:szCs w:val="24"/>
              </w:rPr>
              <w:t>個</w:t>
            </w:r>
            <w:proofErr w:type="gramEnd"/>
            <w:r w:rsidRPr="00CC51E2">
              <w:rPr>
                <w:rFonts w:ascii="標楷體" w:eastAsia="標楷體" w:hAnsi="標楷體" w:cs="Times New Roman" w:hint="eastAsia"/>
                <w:bCs/>
                <w:color w:val="000000" w:themeColor="text1"/>
                <w:szCs w:val="24"/>
              </w:rPr>
              <w:t>營業日內，第一次依前項標準發布處置者，本中心於次一營業日起十個營業日內，同時</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行下列之措施：</w:t>
            </w:r>
          </w:p>
          <w:p w14:paraId="429B64FF"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一、對該有價證券以人工管制之撮合終端機執行撮合作業（約每五分鐘撮合一次，但變更交易方法有價證券約每十分鐘撮合一次、分盤方式交易有價證券約每四十五分鐘撮合一次、管理股票約每六十分鐘撮合一次）。</w:t>
            </w:r>
          </w:p>
          <w:p w14:paraId="5E7E6752"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二、通知各證券經紀商於前開期間對於投資人每日委託買賣該</w:t>
            </w:r>
            <w:r w:rsidRPr="00CC51E2">
              <w:rPr>
                <w:rFonts w:ascii="標楷體" w:eastAsia="標楷體" w:hAnsi="標楷體" w:hint="eastAsia"/>
                <w:bCs/>
                <w:color w:val="000000" w:themeColor="text1"/>
              </w:rPr>
              <w:t>有價證券</w:t>
            </w:r>
            <w:r w:rsidRPr="00CC51E2">
              <w:rPr>
                <w:rFonts w:ascii="標楷體" w:eastAsia="標楷體" w:hAnsi="標楷體" w:cs="Times New Roman" w:hint="eastAsia"/>
                <w:bCs/>
                <w:color w:val="000000" w:themeColor="text1"/>
                <w:szCs w:val="24"/>
              </w:rPr>
              <w:t>數量</w:t>
            </w:r>
            <w:proofErr w:type="gramStart"/>
            <w:r w:rsidRPr="00CC51E2">
              <w:rPr>
                <w:rFonts w:ascii="標楷體" w:eastAsia="標楷體" w:hAnsi="標楷體" w:cs="Times New Roman" w:hint="eastAsia"/>
                <w:bCs/>
                <w:color w:val="000000" w:themeColor="text1"/>
                <w:szCs w:val="24"/>
              </w:rPr>
              <w:t>單筆達</w:t>
            </w:r>
            <w:proofErr w:type="gramEnd"/>
            <w:r w:rsidRPr="00CC51E2">
              <w:rPr>
                <w:rFonts w:ascii="標楷體" w:eastAsia="標楷體" w:hAnsi="標楷體" w:cs="Times New Roman" w:hint="eastAsia"/>
                <w:bCs/>
                <w:color w:val="000000" w:themeColor="text1"/>
                <w:szCs w:val="24"/>
              </w:rPr>
              <w:t>十交易單位或多筆累積達三十交易單位以上時，應就其當日已委託之買賣，向該投資人收取全部之買進價金或賣出證券，信用交易部分，則收</w:t>
            </w:r>
            <w:r w:rsidRPr="00CC51E2">
              <w:rPr>
                <w:rFonts w:ascii="標楷體" w:eastAsia="標楷體" w:hAnsi="標楷體" w:cs="Times New Roman" w:hint="eastAsia"/>
                <w:bCs/>
                <w:color w:val="000000" w:themeColor="text1"/>
                <w:szCs w:val="24"/>
              </w:rPr>
              <w:lastRenderedPageBreak/>
              <w:t>足融資自備款或融券保證金；至於當日達上開數量後之委託亦應於委辦時向其收取全部之買進價金或賣出證券，信用交易部分，則收足融資自備款或融券保證金。但信用交易了結或違約專戶、認購（售）權證流動量提供者專戶或認購（售）權證避險專戶（不含帳號編碼前三碼為「九二九」帳戶）委託買賣該有價證券者，不在此限。實收資本額未達新臺幣八千萬元之發行公司股票部分，則通知各證券經紀商於前開期間對於每日委託買賣該有價證券之投資人，應就其當日已委託之買賣，向該投資人收取全部買進價金或賣出證券。</w:t>
            </w:r>
          </w:p>
          <w:p w14:paraId="324EA914"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0EB93A83"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有價證券最近三十</w:t>
            </w:r>
            <w:proofErr w:type="gramStart"/>
            <w:r w:rsidRPr="00CC51E2">
              <w:rPr>
                <w:rFonts w:ascii="標楷體" w:eastAsia="標楷體" w:hAnsi="標楷體" w:cs="Times New Roman" w:hint="eastAsia"/>
                <w:bCs/>
                <w:color w:val="000000" w:themeColor="text1"/>
                <w:szCs w:val="24"/>
              </w:rPr>
              <w:t>個</w:t>
            </w:r>
            <w:proofErr w:type="gramEnd"/>
            <w:r w:rsidRPr="00CC51E2">
              <w:rPr>
                <w:rFonts w:ascii="標楷體" w:eastAsia="標楷體" w:hAnsi="標楷體" w:cs="Times New Roman" w:hint="eastAsia"/>
                <w:bCs/>
                <w:color w:val="000000" w:themeColor="text1"/>
                <w:szCs w:val="24"/>
              </w:rPr>
              <w:t>營業日內，曾依第一項規定發布處置者，其當日再次依第一項標準發布處置，本中心於次一營業日起十個營業日內，同時</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行下列之措施：</w:t>
            </w:r>
          </w:p>
          <w:p w14:paraId="730669AF"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一、對該有價證券以人工管制之撮合終端機執行撮合作業（約每二十分鐘撮合一次，但變更交易方法有價證券約每二十五分鐘撮合一次、分盤方式交易有價證券約每六十分鐘撮合一次、管理股票約每九十分鐘撮合一次）。</w:t>
            </w:r>
          </w:p>
          <w:p w14:paraId="58116452"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二、通知各證券經紀商於前開期間對於所有投資人每日委託買賣該有價證券，應就其當日已委託之買賣，向該投資人收取全部之買進價金或賣出證券，信用交易部分，則收足融資自備款或融券保證金。但信用交易了結或違約</w:t>
            </w:r>
            <w:r w:rsidRPr="00CC51E2">
              <w:rPr>
                <w:rFonts w:ascii="標楷體" w:eastAsia="標楷體" w:hAnsi="標楷體" w:cs="Times New Roman" w:hint="eastAsia"/>
                <w:bCs/>
                <w:color w:val="000000" w:themeColor="text1"/>
                <w:szCs w:val="24"/>
              </w:rPr>
              <w:lastRenderedPageBreak/>
              <w:t>專戶、認購（售）權證流動量提供者專戶或認購（售）權證避險專戶（不含帳號編碼前三碼為「九二九」帳戶）委託買賣該有價證券者，不在此限。實收資本額未達新臺幣八千萬元之發行公司股票部分，則通知各證券經紀商於前開期間對於每日委託買賣該有價證券之投資人，應就其當日已委託之買賣，向該投資人收取全部買進價金或賣出證券。</w:t>
            </w:r>
          </w:p>
          <w:p w14:paraId="2E428079" w14:textId="19CA25DF"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7B1B91BB" w14:textId="6BB2BC33"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42EAE7BD" w14:textId="48C91733"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658BDBB0" w14:textId="4177D8D0"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2DC5704A" w14:textId="0A71A0BA"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442FAAE1" w14:textId="73BB5320"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7470E736" w14:textId="2A62F4BC"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31539C5A" w14:textId="6FA1EA2E"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31A1DD79" w14:textId="29BA410D"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695E5E3F" w14:textId="64527E83"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3402648B" w14:textId="7F0337BA" w:rsidR="00EF437A" w:rsidRDefault="00EF437A" w:rsidP="00B36052">
            <w:pPr>
              <w:snapToGrid w:val="0"/>
              <w:spacing w:line="280" w:lineRule="atLeast"/>
              <w:rPr>
                <w:rFonts w:ascii="標楷體" w:eastAsia="標楷體" w:hAnsi="標楷體" w:cs="Times New Roman"/>
                <w:bCs/>
                <w:color w:val="000000" w:themeColor="text1"/>
                <w:szCs w:val="24"/>
              </w:rPr>
            </w:pPr>
          </w:p>
          <w:p w14:paraId="397DC4BF" w14:textId="77777777" w:rsidR="007D474F" w:rsidRPr="00CC51E2" w:rsidRDefault="007D474F" w:rsidP="00B36052">
            <w:pPr>
              <w:snapToGrid w:val="0"/>
              <w:spacing w:line="280" w:lineRule="atLeast"/>
              <w:rPr>
                <w:rFonts w:ascii="標楷體" w:eastAsia="標楷體" w:hAnsi="標楷體" w:cs="Times New Roman"/>
                <w:bCs/>
                <w:color w:val="000000" w:themeColor="text1"/>
                <w:szCs w:val="24"/>
              </w:rPr>
            </w:pPr>
          </w:p>
          <w:p w14:paraId="1FC11C84"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p>
          <w:p w14:paraId="48475DE6" w14:textId="77777777" w:rsidR="00EF437A" w:rsidRPr="00CC51E2" w:rsidRDefault="00EF437A" w:rsidP="00B36052">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經依本條第二項或第三項規定發布處置，而其處置原因含有第四條第一項第六款情事，或於處置期間再經本中心依上開第六款發布交易資訊者，或經依第四條第一項第九款、第十款、第十一款、第十二款公布注意交易資訊，並分析有異常情事者，或本中心認為有價證券之交易異常並嚴重影響市場給付結算安全之虞時，或其他認有必要時，經提報監視業務督導會報討論決議後，得採取下列處置措施並議定處置期間：</w:t>
            </w:r>
          </w:p>
          <w:p w14:paraId="74EA2661"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一、本條第二項或第三項規定之處置</w:t>
            </w:r>
            <w:r w:rsidRPr="00CC51E2">
              <w:rPr>
                <w:rFonts w:ascii="標楷體" w:eastAsia="標楷體" w:hAnsi="標楷體" w:hint="eastAsia"/>
                <w:bCs/>
                <w:color w:val="000000" w:themeColor="text1"/>
              </w:rPr>
              <w:t>措施</w:t>
            </w:r>
            <w:r w:rsidRPr="00CC51E2">
              <w:rPr>
                <w:rFonts w:ascii="標楷體" w:eastAsia="標楷體" w:hAnsi="標楷體" w:cs="Times New Roman" w:hint="eastAsia"/>
                <w:bCs/>
                <w:color w:val="000000" w:themeColor="text1"/>
                <w:szCs w:val="24"/>
              </w:rPr>
              <w:t>，必要時得依下列項目彈性調整：</w:t>
            </w:r>
          </w:p>
          <w:p w14:paraId="55CF51AC" w14:textId="77777777" w:rsidR="00EF437A" w:rsidRPr="00CC51E2" w:rsidRDefault="00EF437A" w:rsidP="00B36052">
            <w:pPr>
              <w:snapToGrid w:val="0"/>
              <w:spacing w:line="280" w:lineRule="atLeast"/>
              <w:ind w:leftChars="-109" w:left="698" w:hangingChars="400" w:hanging="96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lastRenderedPageBreak/>
              <w:t xml:space="preserve">  （一）有價證券以人工管制撮合終端機執行撮合作業時間。</w:t>
            </w:r>
          </w:p>
          <w:p w14:paraId="0D7D05D5" w14:textId="77777777" w:rsidR="00EF437A" w:rsidRPr="00CC51E2" w:rsidRDefault="00EF437A" w:rsidP="00B36052">
            <w:pPr>
              <w:snapToGrid w:val="0"/>
              <w:spacing w:line="280" w:lineRule="atLeast"/>
              <w:ind w:leftChars="-109" w:left="698" w:hangingChars="400" w:hanging="96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 xml:space="preserve">  （二）投資人委託買賣該異常有價證券時預收一定比例或全部買進價金或賣出證券或融資自備款或融券保證金。</w:t>
            </w:r>
          </w:p>
          <w:p w14:paraId="105587C3" w14:textId="77777777" w:rsidR="00EF437A" w:rsidRPr="00CC51E2" w:rsidRDefault="00EF437A" w:rsidP="00B36052">
            <w:pPr>
              <w:snapToGrid w:val="0"/>
              <w:spacing w:line="280" w:lineRule="atLeast"/>
              <w:ind w:leftChars="-109" w:left="698" w:hangingChars="400" w:hanging="96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 xml:space="preserve">  （三）處置期間。</w:t>
            </w:r>
          </w:p>
          <w:p w14:paraId="3C45ECFA"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二、各證券商每日買進或賣出該有價證券之申報金額，總公司不得超過新臺幣四千萬元，每一分支機構不得超過新臺幣一千萬元。但信用交易了結或違約專戶、認購（售）權證流動量提供者專戶或認購（售）權證避險專戶（不含帳號編碼前三碼為「九二九」帳戶）委託買賣該有價證券者，不在此限；實收資本額未達新臺幣八千萬元之發行公司股票於前述之買進或賣出申報金額減至二分之一，必要時得視該有價證券交易狀況、市值或發行公司資本額調整各證券商總分公司每日買進或賣出該有價證券之申報金額。</w:t>
            </w:r>
          </w:p>
          <w:p w14:paraId="61A101F1"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三、通知各證券商於買賣交易異常之有價證券時，增繳給付結算基金。</w:t>
            </w:r>
          </w:p>
          <w:p w14:paraId="78D4738F"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四、暫停該有價證券融資融券交易。但信用交易了結，不在此限。</w:t>
            </w:r>
          </w:p>
          <w:p w14:paraId="09621C34" w14:textId="77777777" w:rsidR="00EF437A" w:rsidRPr="00CC51E2" w:rsidRDefault="00EF437A" w:rsidP="00B36052">
            <w:pPr>
              <w:snapToGrid w:val="0"/>
              <w:spacing w:line="280" w:lineRule="atLeast"/>
              <w:ind w:leftChars="10" w:left="504" w:hangingChars="200" w:hanging="480"/>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五、報經主管機關核准後停止該有價證券一定期間之買賣。</w:t>
            </w:r>
          </w:p>
          <w:p w14:paraId="13E0B60F" w14:textId="77777777" w:rsidR="00EF437A" w:rsidRPr="00CC51E2" w:rsidRDefault="00EF437A" w:rsidP="00B36052">
            <w:pPr>
              <w:snapToGrid w:val="0"/>
              <w:spacing w:line="280" w:lineRule="atLeast"/>
              <w:ind w:leftChars="10" w:left="305" w:hangingChars="117" w:hanging="281"/>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六、其他之處置。</w:t>
            </w:r>
          </w:p>
          <w:p w14:paraId="30333FD0"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3923DCB7"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前項第二款之處置措施，亦得由櫃檯買賣交易市場共同責任制給付結算基金管理委員會決議</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行並議定處置期間。</w:t>
            </w:r>
          </w:p>
          <w:p w14:paraId="2FD71D44"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5FD55DFB" w14:textId="6C1CE89B"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lastRenderedPageBreak/>
              <w:t>有價證券之交易經監視業務督導會報或櫃檯買賣交易市場共同責任制給付結算基金管理委員會決議</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行處置措施，於處置措施執行前與處置期間所發布之交易資訊日數，得不納入本條第一項之計算基數。</w:t>
            </w:r>
          </w:p>
          <w:p w14:paraId="51FC6BAF" w14:textId="77777777" w:rsidR="0005430C" w:rsidRPr="00CC51E2" w:rsidRDefault="0005430C" w:rsidP="008B5A46">
            <w:pPr>
              <w:snapToGrid w:val="0"/>
              <w:spacing w:line="280" w:lineRule="atLeast"/>
              <w:rPr>
                <w:rFonts w:ascii="標楷體" w:eastAsia="標楷體" w:hAnsi="標楷體" w:cs="Times New Roman"/>
                <w:bCs/>
                <w:color w:val="000000" w:themeColor="text1"/>
                <w:szCs w:val="24"/>
              </w:rPr>
            </w:pPr>
          </w:p>
          <w:p w14:paraId="3E065236" w14:textId="2C146D02"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有價證券達本要點發布處置者，發行公司對該有價證券交易異常情形之處置原因，得提出最近期相關財務業務具體</w:t>
            </w:r>
            <w:proofErr w:type="gramStart"/>
            <w:r w:rsidRPr="00CC51E2">
              <w:rPr>
                <w:rFonts w:ascii="標楷體" w:eastAsia="標楷體" w:hAnsi="標楷體" w:cs="Times New Roman" w:hint="eastAsia"/>
                <w:bCs/>
                <w:color w:val="000000" w:themeColor="text1"/>
                <w:szCs w:val="24"/>
              </w:rPr>
              <w:t>資料申議</w:t>
            </w:r>
            <w:proofErr w:type="gramEnd"/>
            <w:r w:rsidRPr="00CC51E2">
              <w:rPr>
                <w:rFonts w:ascii="標楷體" w:eastAsia="標楷體" w:hAnsi="標楷體" w:cs="Times New Roman" w:hint="eastAsia"/>
                <w:bCs/>
                <w:color w:val="000000" w:themeColor="text1"/>
                <w:szCs w:val="24"/>
              </w:rPr>
              <w:t>，經提報監視業務督導會報討論決議後，得終止或調整處置措施。</w:t>
            </w:r>
          </w:p>
          <w:p w14:paraId="138CA6DB"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45605CCE" w14:textId="3DCAC6D6"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證券經紀商之綜合交易帳戶於</w:t>
            </w:r>
            <w:r w:rsidRPr="00CC51E2">
              <w:rPr>
                <w:rFonts w:ascii="標楷體" w:eastAsia="標楷體" w:hAnsi="標楷體" w:cs="Times New Roman" w:hint="eastAsia"/>
                <w:bCs/>
                <w:color w:val="000000" w:themeColor="text1"/>
                <w:szCs w:val="24"/>
                <w:u w:val="single"/>
              </w:rPr>
              <w:t>第二至第四項</w:t>
            </w:r>
            <w:r w:rsidRPr="00CC51E2">
              <w:rPr>
                <w:rFonts w:ascii="標楷體" w:eastAsia="標楷體" w:hAnsi="標楷體" w:cs="Times New Roman" w:hint="eastAsia"/>
                <w:bCs/>
                <w:color w:val="000000" w:themeColor="text1"/>
                <w:szCs w:val="24"/>
              </w:rPr>
              <w:t>處置期間委託買賣該有價證券，適用各該處置規定，並由證券商向各代表人（受任人）</w:t>
            </w:r>
            <w:proofErr w:type="gramStart"/>
            <w:r w:rsidRPr="00CC51E2">
              <w:rPr>
                <w:rFonts w:ascii="標楷體" w:eastAsia="標楷體" w:hAnsi="標楷體" w:cs="Times New Roman" w:hint="eastAsia"/>
                <w:bCs/>
                <w:color w:val="000000" w:themeColor="text1"/>
                <w:szCs w:val="24"/>
              </w:rPr>
              <w:t>就項下</w:t>
            </w:r>
            <w:proofErr w:type="gramEnd"/>
            <w:r w:rsidRPr="00CC51E2">
              <w:rPr>
                <w:rFonts w:ascii="標楷體" w:eastAsia="標楷體" w:hAnsi="標楷體" w:cs="Times New Roman" w:hint="eastAsia"/>
                <w:bCs/>
                <w:color w:val="000000" w:themeColor="text1"/>
                <w:szCs w:val="24"/>
              </w:rPr>
              <w:t>委託人達標準者收取一定比例或全部買進價金或賣出證券。</w:t>
            </w:r>
          </w:p>
          <w:p w14:paraId="1CD52521"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37FE11BF"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轉（交）換公司債之標的證券經本中心或臺灣證券交易所股份有限公司發布處置者，本中心得</w:t>
            </w:r>
            <w:proofErr w:type="gramStart"/>
            <w:r w:rsidRPr="00CC51E2">
              <w:rPr>
                <w:rFonts w:ascii="標楷體" w:eastAsia="標楷體" w:hAnsi="標楷體" w:cs="Times New Roman" w:hint="eastAsia"/>
                <w:bCs/>
                <w:color w:val="000000" w:themeColor="text1"/>
                <w:szCs w:val="24"/>
              </w:rPr>
              <w:t>併</w:t>
            </w:r>
            <w:proofErr w:type="gramEnd"/>
            <w:r w:rsidRPr="00CC51E2">
              <w:rPr>
                <w:rFonts w:ascii="標楷體" w:eastAsia="標楷體" w:hAnsi="標楷體" w:cs="Times New Roman" w:hint="eastAsia"/>
                <w:bCs/>
                <w:color w:val="000000" w:themeColor="text1"/>
                <w:szCs w:val="24"/>
              </w:rPr>
              <w:t>同對該轉（交）換公司債</w:t>
            </w:r>
            <w:proofErr w:type="gramStart"/>
            <w:r w:rsidRPr="00CC51E2">
              <w:rPr>
                <w:rFonts w:ascii="標楷體" w:eastAsia="標楷體" w:hAnsi="標楷體" w:cs="Times New Roman" w:hint="eastAsia"/>
                <w:bCs/>
                <w:color w:val="000000" w:themeColor="text1"/>
                <w:szCs w:val="24"/>
              </w:rPr>
              <w:t>採</w:t>
            </w:r>
            <w:proofErr w:type="gramEnd"/>
            <w:r w:rsidRPr="00CC51E2">
              <w:rPr>
                <w:rFonts w:ascii="標楷體" w:eastAsia="標楷體" w:hAnsi="標楷體" w:cs="Times New Roman" w:hint="eastAsia"/>
                <w:bCs/>
                <w:color w:val="000000" w:themeColor="text1"/>
                <w:szCs w:val="24"/>
              </w:rPr>
              <w:t>行處置措施。</w:t>
            </w:r>
          </w:p>
          <w:p w14:paraId="28FB8D0D"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p>
          <w:p w14:paraId="555EFC32" w14:textId="77777777" w:rsidR="00EF437A" w:rsidRPr="00CC51E2" w:rsidRDefault="00EF437A" w:rsidP="008B5A46">
            <w:pPr>
              <w:snapToGrid w:val="0"/>
              <w:spacing w:line="280" w:lineRule="atLeast"/>
              <w:rPr>
                <w:rFonts w:ascii="標楷體" w:eastAsia="標楷體" w:hAnsi="標楷體" w:cs="Times New Roman"/>
                <w:bCs/>
                <w:color w:val="000000" w:themeColor="text1"/>
                <w:szCs w:val="24"/>
              </w:rPr>
            </w:pPr>
            <w:r w:rsidRPr="00CC51E2">
              <w:rPr>
                <w:rFonts w:ascii="標楷體" w:eastAsia="標楷體" w:hAnsi="標楷體" w:cs="Times New Roman" w:hint="eastAsia"/>
                <w:bCs/>
                <w:color w:val="000000" w:themeColor="text1"/>
                <w:szCs w:val="24"/>
              </w:rPr>
              <w:t>有價證券交易單位低於一千單位（股、受益權單位、存託憑證單位等）者，其成交（委託）量交易單位數據標準，</w:t>
            </w:r>
            <w:proofErr w:type="gramStart"/>
            <w:r w:rsidRPr="00CC51E2">
              <w:rPr>
                <w:rFonts w:ascii="標楷體" w:eastAsia="標楷體" w:hAnsi="標楷體" w:cs="Times New Roman" w:hint="eastAsia"/>
                <w:bCs/>
                <w:color w:val="000000" w:themeColor="text1"/>
                <w:szCs w:val="24"/>
              </w:rPr>
              <w:t>準</w:t>
            </w:r>
            <w:proofErr w:type="gramEnd"/>
            <w:r w:rsidRPr="00CC51E2">
              <w:rPr>
                <w:rFonts w:ascii="標楷體" w:eastAsia="標楷體" w:hAnsi="標楷體" w:cs="Times New Roman" w:hint="eastAsia"/>
                <w:bCs/>
                <w:color w:val="000000" w:themeColor="text1"/>
                <w:szCs w:val="24"/>
              </w:rPr>
              <w:t>用第二條第六項之規定。</w:t>
            </w:r>
          </w:p>
          <w:p w14:paraId="2EBA4F9E" w14:textId="49ED506D" w:rsidR="00EF437A" w:rsidRPr="00CC51E2" w:rsidRDefault="00EF437A" w:rsidP="008B5A46">
            <w:pPr>
              <w:snapToGrid w:val="0"/>
              <w:spacing w:line="280" w:lineRule="atLeast"/>
              <w:rPr>
                <w:rFonts w:ascii="標楷體" w:eastAsia="標楷體" w:hAnsi="標楷體"/>
                <w:color w:val="000000" w:themeColor="text1"/>
              </w:rPr>
            </w:pPr>
          </w:p>
        </w:tc>
        <w:tc>
          <w:tcPr>
            <w:tcW w:w="2604" w:type="dxa"/>
          </w:tcPr>
          <w:p w14:paraId="1C8067A5" w14:textId="77777777" w:rsidR="00EF437A" w:rsidRPr="00CC51E2" w:rsidRDefault="00EF437A" w:rsidP="00B36052">
            <w:pPr>
              <w:jc w:val="both"/>
              <w:rPr>
                <w:rFonts w:ascii="標楷體" w:eastAsia="標楷體" w:hAnsi="標楷體" w:cs="DFKaiShu-SB-Estd-BF"/>
                <w:color w:val="000000" w:themeColor="text1"/>
                <w:kern w:val="0"/>
                <w:szCs w:val="24"/>
              </w:rPr>
            </w:pPr>
          </w:p>
          <w:p w14:paraId="2456BC1E" w14:textId="26A6B261" w:rsidR="001D22AB" w:rsidRPr="007334D1" w:rsidRDefault="001D22AB" w:rsidP="007334D1">
            <w:pPr>
              <w:spacing w:afterLines="50" w:after="180"/>
              <w:ind w:left="482" w:hangingChars="201" w:hanging="482"/>
              <w:jc w:val="both"/>
              <w:rPr>
                <w:rFonts w:ascii="標楷體" w:eastAsia="標楷體" w:hAnsi="標楷體"/>
                <w:color w:val="000000" w:themeColor="text1"/>
                <w:szCs w:val="24"/>
              </w:rPr>
            </w:pPr>
            <w:r>
              <w:rPr>
                <w:rFonts w:ascii="標楷體" w:eastAsia="標楷體" w:hAnsi="標楷體" w:cs="DFKaiShu-SB-Estd-BF" w:hint="eastAsia"/>
                <w:color w:val="000000" w:themeColor="text1"/>
                <w:kern w:val="0"/>
                <w:szCs w:val="24"/>
              </w:rPr>
              <w:t>一、</w:t>
            </w:r>
            <w:r w:rsidR="00EF437A" w:rsidRPr="007334D1">
              <w:rPr>
                <w:rFonts w:ascii="標楷體" w:eastAsia="標楷體" w:hAnsi="標楷體" w:cs="DFKaiShu-SB-Estd-BF" w:hint="eastAsia"/>
                <w:color w:val="000000" w:themeColor="text1"/>
                <w:kern w:val="0"/>
                <w:szCs w:val="24"/>
              </w:rPr>
              <w:t>為提醒投資人注意交易風險並強化當沖交易市場秩序，於有價證券交易價量連續異常達處置標準之計算</w:t>
            </w:r>
            <w:r w:rsidR="007D474F" w:rsidRPr="007334D1">
              <w:rPr>
                <w:rFonts w:ascii="標楷體" w:eastAsia="標楷體" w:hAnsi="標楷體" w:cs="DFKaiShu-SB-Estd-BF" w:hint="eastAsia"/>
                <w:color w:val="000000" w:themeColor="text1"/>
                <w:kern w:val="0"/>
                <w:szCs w:val="24"/>
              </w:rPr>
              <w:t>發布處置</w:t>
            </w:r>
            <w:r w:rsidR="00F70492" w:rsidRPr="007334D1">
              <w:rPr>
                <w:rFonts w:ascii="標楷體" w:eastAsia="標楷體" w:hAnsi="標楷體" w:cs="DFKaiShu-SB-Estd-BF" w:hint="eastAsia"/>
                <w:color w:val="000000" w:themeColor="text1"/>
                <w:kern w:val="0"/>
                <w:szCs w:val="24"/>
              </w:rPr>
              <w:t>基數</w:t>
            </w:r>
            <w:proofErr w:type="gramStart"/>
            <w:r w:rsidR="00EF437A" w:rsidRPr="007334D1">
              <w:rPr>
                <w:rFonts w:ascii="標楷體" w:eastAsia="標楷體" w:hAnsi="標楷體" w:cs="DFKaiShu-SB-Estd-BF" w:hint="eastAsia"/>
                <w:color w:val="000000" w:themeColor="text1"/>
                <w:kern w:val="0"/>
                <w:szCs w:val="24"/>
              </w:rPr>
              <w:t>期間，</w:t>
            </w:r>
            <w:proofErr w:type="gramEnd"/>
            <w:r w:rsidR="00EF437A" w:rsidRPr="007334D1">
              <w:rPr>
                <w:rFonts w:ascii="標楷體" w:eastAsia="標楷體" w:hAnsi="標楷體" w:cs="DFKaiShu-SB-Estd-BF" w:hint="eastAsia"/>
                <w:color w:val="000000" w:themeColor="text1"/>
                <w:kern w:val="0"/>
                <w:szCs w:val="24"/>
              </w:rPr>
              <w:t>如該期間曾達當沖異常標準者，處置期間自</w:t>
            </w:r>
            <w:r w:rsidR="00EF437A" w:rsidRPr="007334D1">
              <w:rPr>
                <w:rFonts w:ascii="標楷體" w:eastAsia="標楷體" w:hAnsi="標楷體" w:cs="DFKaiShu-SB-Estd-BF"/>
                <w:color w:val="000000" w:themeColor="text1"/>
                <w:kern w:val="0"/>
                <w:szCs w:val="24"/>
              </w:rPr>
              <w:t>10</w:t>
            </w:r>
            <w:r w:rsidR="00EF437A" w:rsidRPr="007334D1">
              <w:rPr>
                <w:rFonts w:ascii="標楷體" w:eastAsia="標楷體" w:hAnsi="標楷體" w:cs="DFKaiShu-SB-Estd-BF" w:hint="eastAsia"/>
                <w:color w:val="000000" w:themeColor="text1"/>
                <w:kern w:val="0"/>
                <w:szCs w:val="24"/>
              </w:rPr>
              <w:t>個營業日延長為</w:t>
            </w:r>
            <w:r w:rsidR="00EF437A" w:rsidRPr="007334D1">
              <w:rPr>
                <w:rFonts w:ascii="標楷體" w:eastAsia="標楷體" w:hAnsi="標楷體" w:cs="DFKaiShu-SB-Estd-BF"/>
                <w:color w:val="000000" w:themeColor="text1"/>
                <w:kern w:val="0"/>
                <w:szCs w:val="24"/>
              </w:rPr>
              <w:t>12</w:t>
            </w:r>
            <w:r w:rsidR="00EF437A" w:rsidRPr="007334D1">
              <w:rPr>
                <w:rFonts w:ascii="標楷體" w:eastAsia="標楷體" w:hAnsi="標楷體" w:cs="DFKaiShu-SB-Estd-BF" w:hint="eastAsia"/>
                <w:color w:val="000000" w:themeColor="text1"/>
                <w:kern w:val="0"/>
                <w:szCs w:val="24"/>
              </w:rPr>
              <w:t>個營業日，</w:t>
            </w:r>
            <w:proofErr w:type="gramStart"/>
            <w:r w:rsidR="00EF437A" w:rsidRPr="007334D1">
              <w:rPr>
                <w:rFonts w:ascii="標楷體" w:eastAsia="標楷體" w:hAnsi="標楷體" w:cs="DFKaiShu-SB-Estd-BF" w:hint="eastAsia"/>
                <w:color w:val="000000" w:themeColor="text1"/>
                <w:kern w:val="0"/>
                <w:szCs w:val="24"/>
              </w:rPr>
              <w:t>爰</w:t>
            </w:r>
            <w:proofErr w:type="gramEnd"/>
            <w:r w:rsidR="00EF437A" w:rsidRPr="007334D1">
              <w:rPr>
                <w:rFonts w:ascii="標楷體" w:eastAsia="標楷體" w:hAnsi="標楷體" w:cs="DFKaiShu-SB-Estd-BF" w:hint="eastAsia"/>
                <w:color w:val="000000" w:themeColor="text1"/>
                <w:kern w:val="0"/>
                <w:szCs w:val="24"/>
              </w:rPr>
              <w:t>新增第</w:t>
            </w:r>
            <w:r w:rsidR="00EF437A" w:rsidRPr="007334D1">
              <w:rPr>
                <w:rFonts w:ascii="標楷體" w:eastAsia="標楷體" w:hAnsi="標楷體" w:cs="DFKaiShu-SB-Estd-BF"/>
                <w:color w:val="000000" w:themeColor="text1"/>
                <w:kern w:val="0"/>
                <w:szCs w:val="24"/>
              </w:rPr>
              <w:t>4</w:t>
            </w:r>
            <w:r w:rsidR="00EF437A" w:rsidRPr="007334D1">
              <w:rPr>
                <w:rFonts w:ascii="標楷體" w:eastAsia="標楷體" w:hAnsi="標楷體" w:cs="DFKaiShu-SB-Estd-BF" w:hint="eastAsia"/>
                <w:color w:val="000000" w:themeColor="text1"/>
                <w:kern w:val="0"/>
                <w:szCs w:val="24"/>
              </w:rPr>
              <w:t>項。</w:t>
            </w:r>
            <w:r>
              <w:rPr>
                <w:rFonts w:ascii="標楷體" w:eastAsia="標楷體" w:hAnsi="標楷體" w:cs="DFKaiShu-SB-Estd-BF" w:hint="eastAsia"/>
                <w:color w:val="000000" w:themeColor="text1"/>
                <w:kern w:val="0"/>
                <w:szCs w:val="24"/>
              </w:rPr>
              <w:t>原第4至10項，依次調整為第5至11項。</w:t>
            </w:r>
          </w:p>
          <w:p w14:paraId="23BEF25E" w14:textId="62345712" w:rsidR="00EF437A" w:rsidRPr="00CC51E2" w:rsidRDefault="001D22AB" w:rsidP="007334D1">
            <w:pPr>
              <w:spacing w:afterLines="50" w:after="180"/>
              <w:ind w:left="482" w:hangingChars="201" w:hanging="482"/>
              <w:jc w:val="both"/>
              <w:rPr>
                <w:rFonts w:ascii="標楷體" w:eastAsia="標楷體" w:hAnsi="標楷體" w:cs="DFKaiShu-SB-Estd-BF"/>
                <w:color w:val="000000" w:themeColor="text1"/>
                <w:kern w:val="0"/>
                <w:szCs w:val="24"/>
              </w:rPr>
            </w:pPr>
            <w:r>
              <w:rPr>
                <w:rFonts w:ascii="標楷體" w:eastAsia="標楷體" w:hAnsi="標楷體" w:hint="eastAsia"/>
                <w:bCs/>
                <w:color w:val="000000" w:themeColor="text1"/>
              </w:rPr>
              <w:t>二、</w:t>
            </w:r>
            <w:r w:rsidR="00EF437A" w:rsidRPr="007334D1">
              <w:rPr>
                <w:rFonts w:ascii="標楷體" w:eastAsia="標楷體" w:hAnsi="標楷體" w:hint="eastAsia"/>
                <w:bCs/>
                <w:color w:val="000000" w:themeColor="text1"/>
              </w:rPr>
              <w:t>有價證券</w:t>
            </w:r>
            <w:r w:rsidR="00EF437A" w:rsidRPr="007334D1">
              <w:rPr>
                <w:rFonts w:ascii="標楷體" w:eastAsia="標楷體" w:hAnsi="標楷體" w:cs="DFKaiShu-SB-Estd-BF" w:hint="eastAsia"/>
                <w:color w:val="000000" w:themeColor="text1"/>
                <w:kern w:val="0"/>
                <w:szCs w:val="24"/>
              </w:rPr>
              <w:t>當日沖銷交易</w:t>
            </w:r>
            <w:r w:rsidR="00EF437A" w:rsidRPr="007334D1">
              <w:rPr>
                <w:rFonts w:ascii="標楷體" w:eastAsia="標楷體" w:hAnsi="標楷體" w:hint="eastAsia"/>
                <w:bCs/>
                <w:color w:val="000000" w:themeColor="text1"/>
              </w:rPr>
              <w:t>達第</w:t>
            </w:r>
            <w:r w:rsidR="00EF437A" w:rsidRPr="007334D1">
              <w:rPr>
                <w:rFonts w:ascii="標楷體" w:eastAsia="標楷體" w:hAnsi="標楷體"/>
                <w:bCs/>
                <w:color w:val="000000" w:themeColor="text1"/>
              </w:rPr>
              <w:t>4</w:t>
            </w:r>
            <w:r w:rsidR="00EF437A" w:rsidRPr="007334D1">
              <w:rPr>
                <w:rFonts w:ascii="標楷體" w:eastAsia="標楷體" w:hAnsi="標楷體" w:hint="eastAsia"/>
                <w:bCs/>
                <w:color w:val="000000" w:themeColor="text1"/>
              </w:rPr>
              <w:t>條第</w:t>
            </w:r>
            <w:r w:rsidR="00EF437A" w:rsidRPr="007334D1">
              <w:rPr>
                <w:rFonts w:ascii="標楷體" w:eastAsia="標楷體" w:hAnsi="標楷體"/>
                <w:bCs/>
                <w:color w:val="000000" w:themeColor="text1"/>
              </w:rPr>
              <w:t>1</w:t>
            </w:r>
            <w:r w:rsidR="00EF437A" w:rsidRPr="007334D1">
              <w:rPr>
                <w:rFonts w:ascii="標楷體" w:eastAsia="標楷體" w:hAnsi="標楷體" w:hint="eastAsia"/>
                <w:bCs/>
                <w:color w:val="000000" w:themeColor="text1"/>
              </w:rPr>
              <w:t>項第</w:t>
            </w:r>
            <w:r w:rsidR="00EF437A" w:rsidRPr="007334D1">
              <w:rPr>
                <w:rFonts w:ascii="標楷體" w:eastAsia="標楷體" w:hAnsi="標楷體"/>
                <w:bCs/>
                <w:color w:val="000000" w:themeColor="text1"/>
              </w:rPr>
              <w:t>13</w:t>
            </w:r>
            <w:r w:rsidR="00EF437A" w:rsidRPr="007334D1">
              <w:rPr>
                <w:rFonts w:ascii="標楷體" w:eastAsia="標楷體" w:hAnsi="標楷體" w:hint="eastAsia"/>
                <w:bCs/>
                <w:color w:val="000000" w:themeColor="text1"/>
              </w:rPr>
              <w:t>款所訂標準，經分析有異常情事者，必要時得召開監視業務督導會報決議</w:t>
            </w:r>
            <w:proofErr w:type="gramStart"/>
            <w:r w:rsidR="00EF437A" w:rsidRPr="007334D1">
              <w:rPr>
                <w:rFonts w:ascii="標楷體" w:eastAsia="標楷體" w:hAnsi="標楷體" w:hint="eastAsia"/>
                <w:bCs/>
                <w:color w:val="000000" w:themeColor="text1"/>
              </w:rPr>
              <w:t>採</w:t>
            </w:r>
            <w:proofErr w:type="gramEnd"/>
            <w:r w:rsidR="00EF437A" w:rsidRPr="007334D1">
              <w:rPr>
                <w:rFonts w:ascii="標楷體" w:eastAsia="標楷體" w:hAnsi="標楷體" w:hint="eastAsia"/>
                <w:bCs/>
                <w:color w:val="000000" w:themeColor="text1"/>
              </w:rPr>
              <w:t>行處置措施，</w:t>
            </w:r>
            <w:proofErr w:type="gramStart"/>
            <w:r w:rsidR="00EF437A" w:rsidRPr="007334D1">
              <w:rPr>
                <w:rFonts w:ascii="標楷體" w:eastAsia="標楷體" w:hAnsi="標楷體" w:hint="eastAsia"/>
                <w:bCs/>
                <w:color w:val="000000" w:themeColor="text1"/>
              </w:rPr>
              <w:t>爰</w:t>
            </w:r>
            <w:proofErr w:type="gramEnd"/>
            <w:r w:rsidR="00EF437A" w:rsidRPr="007334D1">
              <w:rPr>
                <w:rFonts w:ascii="標楷體" w:eastAsia="標楷體" w:hAnsi="標楷體" w:hint="eastAsia"/>
                <w:bCs/>
                <w:color w:val="000000" w:themeColor="text1"/>
              </w:rPr>
              <w:t>修正</w:t>
            </w:r>
            <w:r>
              <w:rPr>
                <w:rFonts w:ascii="標楷體" w:eastAsia="標楷體" w:hAnsi="標楷體" w:hint="eastAsia"/>
                <w:bCs/>
                <w:color w:val="000000" w:themeColor="text1"/>
              </w:rPr>
              <w:t>第5</w:t>
            </w:r>
            <w:r w:rsidR="00EF437A" w:rsidRPr="007334D1">
              <w:rPr>
                <w:rFonts w:ascii="標楷體" w:eastAsia="標楷體" w:hAnsi="標楷體" w:hint="eastAsia"/>
                <w:bCs/>
                <w:color w:val="000000" w:themeColor="text1"/>
              </w:rPr>
              <w:t>項規定。</w:t>
            </w:r>
          </w:p>
          <w:p w14:paraId="55B309A3" w14:textId="2963DBF4" w:rsidR="00EF437A" w:rsidRPr="00E53C0A" w:rsidRDefault="001D22AB" w:rsidP="007334D1">
            <w:pPr>
              <w:spacing w:afterLines="50" w:after="180"/>
              <w:ind w:left="482" w:hangingChars="201" w:hanging="482"/>
              <w:jc w:val="both"/>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t>三、</w:t>
            </w:r>
            <w:r w:rsidR="0005430C" w:rsidRPr="007334D1">
              <w:rPr>
                <w:rFonts w:ascii="標楷體" w:eastAsia="標楷體" w:hAnsi="標楷體" w:cs="DFKaiShu-SB-Estd-BF" w:hint="eastAsia"/>
                <w:color w:val="000000" w:themeColor="text1"/>
                <w:kern w:val="0"/>
                <w:szCs w:val="24"/>
              </w:rPr>
              <w:t>配合本條新增第</w:t>
            </w:r>
            <w:r w:rsidR="0005430C" w:rsidRPr="007334D1">
              <w:rPr>
                <w:rFonts w:ascii="標楷體" w:eastAsia="標楷體" w:hAnsi="標楷體" w:cs="DFKaiShu-SB-Estd-BF"/>
                <w:color w:val="000000" w:themeColor="text1"/>
                <w:kern w:val="0"/>
                <w:szCs w:val="24"/>
              </w:rPr>
              <w:t>4</w:t>
            </w:r>
            <w:r w:rsidR="0005430C" w:rsidRPr="007334D1">
              <w:rPr>
                <w:rFonts w:ascii="標楷體" w:eastAsia="標楷體" w:hAnsi="標楷體" w:cs="DFKaiShu-SB-Estd-BF" w:hint="eastAsia"/>
                <w:color w:val="000000" w:themeColor="text1"/>
                <w:kern w:val="0"/>
                <w:szCs w:val="24"/>
              </w:rPr>
              <w:t>項，</w:t>
            </w:r>
            <w:proofErr w:type="gramStart"/>
            <w:r w:rsidRPr="007334D1">
              <w:rPr>
                <w:rFonts w:ascii="標楷體" w:eastAsia="標楷體" w:hAnsi="標楷體" w:cs="DFKaiShu-SB-Estd-BF" w:hint="eastAsia"/>
                <w:color w:val="000000" w:themeColor="text1"/>
                <w:kern w:val="0"/>
                <w:szCs w:val="24"/>
              </w:rPr>
              <w:t>第</w:t>
            </w:r>
            <w:r w:rsidRPr="007334D1">
              <w:rPr>
                <w:rFonts w:ascii="標楷體" w:eastAsia="標楷體" w:hAnsi="標楷體" w:cs="DFKaiShu-SB-Estd-BF"/>
                <w:color w:val="000000" w:themeColor="text1"/>
                <w:kern w:val="0"/>
                <w:szCs w:val="24"/>
              </w:rPr>
              <w:t>7</w:t>
            </w:r>
            <w:r w:rsidRPr="007334D1">
              <w:rPr>
                <w:rFonts w:ascii="標楷體" w:eastAsia="標楷體" w:hAnsi="標楷體" w:cs="DFKaiShu-SB-Estd-BF" w:hint="eastAsia"/>
                <w:color w:val="000000" w:themeColor="text1"/>
                <w:kern w:val="0"/>
                <w:szCs w:val="24"/>
              </w:rPr>
              <w:t>項</w:t>
            </w:r>
            <w:r w:rsidR="005755E1" w:rsidRPr="007334D1">
              <w:rPr>
                <w:rFonts w:ascii="標楷體" w:eastAsia="標楷體" w:hAnsi="標楷體" w:hint="eastAsia"/>
                <w:color w:val="000000" w:themeColor="text1"/>
              </w:rPr>
              <w:t>酌作</w:t>
            </w:r>
            <w:proofErr w:type="gramEnd"/>
            <w:r w:rsidR="005755E1" w:rsidRPr="007334D1">
              <w:rPr>
                <w:rFonts w:ascii="標楷體" w:eastAsia="標楷體" w:hAnsi="標楷體" w:hint="eastAsia"/>
                <w:color w:val="000000" w:themeColor="text1"/>
              </w:rPr>
              <w:t>文字調整。</w:t>
            </w:r>
          </w:p>
          <w:p w14:paraId="0E69E745" w14:textId="76F9D955" w:rsidR="00EF437A" w:rsidRPr="007334D1" w:rsidRDefault="001D22AB" w:rsidP="007334D1">
            <w:pPr>
              <w:spacing w:afterLines="50" w:after="180"/>
              <w:ind w:left="482" w:hangingChars="201" w:hanging="482"/>
              <w:jc w:val="both"/>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lastRenderedPageBreak/>
              <w:t>四、</w:t>
            </w:r>
            <w:r w:rsidR="00EF437A" w:rsidRPr="007334D1">
              <w:rPr>
                <w:rFonts w:ascii="標楷體" w:eastAsia="標楷體" w:hAnsi="標楷體" w:cs="DFKaiShu-SB-Estd-BF" w:hint="eastAsia"/>
                <w:color w:val="000000" w:themeColor="text1"/>
                <w:kern w:val="0"/>
                <w:szCs w:val="24"/>
              </w:rPr>
              <w:t>配合本條新增第</w:t>
            </w:r>
            <w:r w:rsidR="00EF437A" w:rsidRPr="007334D1">
              <w:rPr>
                <w:rFonts w:ascii="標楷體" w:eastAsia="標楷體" w:hAnsi="標楷體" w:cs="DFKaiShu-SB-Estd-BF"/>
                <w:color w:val="000000" w:themeColor="text1"/>
                <w:kern w:val="0"/>
                <w:szCs w:val="24"/>
              </w:rPr>
              <w:t>4</w:t>
            </w:r>
            <w:r w:rsidR="00EF437A" w:rsidRPr="007334D1">
              <w:rPr>
                <w:rFonts w:ascii="標楷體" w:eastAsia="標楷體" w:hAnsi="標楷體" w:cs="DFKaiShu-SB-Estd-BF" w:hint="eastAsia"/>
                <w:color w:val="000000" w:themeColor="text1"/>
                <w:kern w:val="0"/>
                <w:szCs w:val="24"/>
              </w:rPr>
              <w:t>項，</w:t>
            </w:r>
            <w:proofErr w:type="gramStart"/>
            <w:r w:rsidR="00EF437A" w:rsidRPr="007334D1">
              <w:rPr>
                <w:rFonts w:ascii="標楷體" w:eastAsia="標楷體" w:hAnsi="標楷體" w:cs="DFKaiShu-SB-Estd-BF" w:hint="eastAsia"/>
                <w:color w:val="000000" w:themeColor="text1"/>
                <w:kern w:val="0"/>
                <w:szCs w:val="24"/>
              </w:rPr>
              <w:t>爰</w:t>
            </w:r>
            <w:proofErr w:type="gramEnd"/>
            <w:r w:rsidR="0005430C" w:rsidRPr="007334D1">
              <w:rPr>
                <w:rFonts w:ascii="標楷體" w:eastAsia="標楷體" w:hAnsi="標楷體" w:cs="DFKaiShu-SB-Estd-BF" w:hint="eastAsia"/>
                <w:color w:val="000000" w:themeColor="text1"/>
                <w:kern w:val="0"/>
                <w:szCs w:val="24"/>
              </w:rPr>
              <w:t>修正</w:t>
            </w:r>
            <w:r>
              <w:rPr>
                <w:rFonts w:ascii="標楷體" w:eastAsia="標楷體" w:hAnsi="標楷體" w:cs="DFKaiShu-SB-Estd-BF" w:hint="eastAsia"/>
                <w:color w:val="000000" w:themeColor="text1"/>
                <w:kern w:val="0"/>
                <w:szCs w:val="24"/>
              </w:rPr>
              <w:t>第9</w:t>
            </w:r>
            <w:r w:rsidR="00EF437A" w:rsidRPr="007334D1">
              <w:rPr>
                <w:rFonts w:ascii="標楷體" w:eastAsia="標楷體" w:hAnsi="標楷體" w:cs="DFKaiShu-SB-Estd-BF" w:hint="eastAsia"/>
                <w:color w:val="000000" w:themeColor="text1"/>
                <w:kern w:val="0"/>
                <w:szCs w:val="24"/>
              </w:rPr>
              <w:t>項部分文字。</w:t>
            </w:r>
          </w:p>
          <w:p w14:paraId="3C8D28C8" w14:textId="7DC8B306" w:rsidR="00EF437A" w:rsidRPr="00CC51E2" w:rsidRDefault="00EF437A" w:rsidP="00B36052">
            <w:pPr>
              <w:jc w:val="both"/>
              <w:rPr>
                <w:rFonts w:ascii="標楷體" w:eastAsia="標楷體" w:hAnsi="標楷體" w:cs="DFKaiShu-SB-Estd-BF"/>
                <w:color w:val="000000" w:themeColor="text1"/>
                <w:kern w:val="0"/>
                <w:szCs w:val="24"/>
              </w:rPr>
            </w:pPr>
          </w:p>
        </w:tc>
      </w:tr>
    </w:tbl>
    <w:p w14:paraId="66E4BB90" w14:textId="77777777" w:rsidR="00EB3667" w:rsidRPr="00CC51E2" w:rsidRDefault="00EB3667" w:rsidP="00250324">
      <w:pPr>
        <w:widowControl/>
        <w:rPr>
          <w:rFonts w:ascii="標楷體" w:eastAsia="標楷體" w:hAnsi="標楷體"/>
          <w:b/>
          <w:color w:val="000000" w:themeColor="text1"/>
          <w:sz w:val="28"/>
          <w:szCs w:val="28"/>
        </w:rPr>
      </w:pPr>
    </w:p>
    <w:sectPr w:rsidR="00EB3667" w:rsidRPr="00CC51E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352B" w14:textId="77777777" w:rsidR="00B84882" w:rsidRDefault="00B84882" w:rsidP="00644C36">
      <w:r>
        <w:separator/>
      </w:r>
    </w:p>
  </w:endnote>
  <w:endnote w:type="continuationSeparator" w:id="0">
    <w:p w14:paraId="4503006C" w14:textId="77777777" w:rsidR="00B84882" w:rsidRDefault="00B84882" w:rsidP="0064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69456"/>
      <w:docPartObj>
        <w:docPartGallery w:val="Page Numbers (Bottom of Page)"/>
        <w:docPartUnique/>
      </w:docPartObj>
    </w:sdtPr>
    <w:sdtEndPr/>
    <w:sdtContent>
      <w:p w14:paraId="2343B46E" w14:textId="77777777" w:rsidR="00644C36" w:rsidRDefault="00644C36">
        <w:pPr>
          <w:pStyle w:val="a9"/>
          <w:jc w:val="center"/>
        </w:pPr>
        <w:r>
          <w:fldChar w:fldCharType="begin"/>
        </w:r>
        <w:r>
          <w:instrText>PAGE   \* MERGEFORMAT</w:instrText>
        </w:r>
        <w:r>
          <w:fldChar w:fldCharType="separate"/>
        </w:r>
        <w:r w:rsidR="00C825F4" w:rsidRPr="00C825F4">
          <w:rPr>
            <w:noProof/>
            <w:lang w:val="zh-TW"/>
          </w:rPr>
          <w:t>2</w:t>
        </w:r>
        <w:r>
          <w:fldChar w:fldCharType="end"/>
        </w:r>
      </w:p>
    </w:sdtContent>
  </w:sdt>
  <w:p w14:paraId="776D95FB" w14:textId="77777777" w:rsidR="00644C36" w:rsidRDefault="00644C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315F" w14:textId="77777777" w:rsidR="00B84882" w:rsidRDefault="00B84882" w:rsidP="00644C36">
      <w:r>
        <w:separator/>
      </w:r>
    </w:p>
  </w:footnote>
  <w:footnote w:type="continuationSeparator" w:id="0">
    <w:p w14:paraId="3105CCB9" w14:textId="77777777" w:rsidR="00B84882" w:rsidRDefault="00B84882" w:rsidP="00644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91"/>
    <w:multiLevelType w:val="hybridMultilevel"/>
    <w:tmpl w:val="CD54B9A2"/>
    <w:lvl w:ilvl="0" w:tplc="FCB8E59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339BA"/>
    <w:multiLevelType w:val="hybridMultilevel"/>
    <w:tmpl w:val="BDE8FFC8"/>
    <w:lvl w:ilvl="0" w:tplc="FCB8E59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45D48"/>
    <w:multiLevelType w:val="hybridMultilevel"/>
    <w:tmpl w:val="C6A6652C"/>
    <w:lvl w:ilvl="0" w:tplc="04090015">
      <w:start w:val="1"/>
      <w:numFmt w:val="taiwaneseCountingThousand"/>
      <w:lvlText w:val="%1、"/>
      <w:lvlJc w:val="left"/>
      <w:pPr>
        <w:ind w:left="653" w:hanging="480"/>
      </w:p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3" w15:restartNumberingAfterBreak="0">
    <w:nsid w:val="0C7212AE"/>
    <w:multiLevelType w:val="hybridMultilevel"/>
    <w:tmpl w:val="E528D1EA"/>
    <w:lvl w:ilvl="0" w:tplc="0409000F">
      <w:start w:val="1"/>
      <w:numFmt w:val="decimal"/>
      <w:lvlText w:val="%1."/>
      <w:lvlJc w:val="left"/>
      <w:pPr>
        <w:ind w:left="653" w:hanging="480"/>
      </w:p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 w15:restartNumberingAfterBreak="0">
    <w:nsid w:val="0D22037A"/>
    <w:multiLevelType w:val="hybridMultilevel"/>
    <w:tmpl w:val="0450B538"/>
    <w:lvl w:ilvl="0" w:tplc="6B6690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7905FB"/>
    <w:multiLevelType w:val="hybridMultilevel"/>
    <w:tmpl w:val="424265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558B4"/>
    <w:multiLevelType w:val="hybridMultilevel"/>
    <w:tmpl w:val="5D9C8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491D68"/>
    <w:multiLevelType w:val="hybridMultilevel"/>
    <w:tmpl w:val="5D9C8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23006"/>
    <w:multiLevelType w:val="hybridMultilevel"/>
    <w:tmpl w:val="D8827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AF1ED1"/>
    <w:multiLevelType w:val="hybridMultilevel"/>
    <w:tmpl w:val="64405B3A"/>
    <w:lvl w:ilvl="0" w:tplc="7E9A55B4">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0" w15:restartNumberingAfterBreak="0">
    <w:nsid w:val="28E75F6E"/>
    <w:multiLevelType w:val="hybridMultilevel"/>
    <w:tmpl w:val="0BD64F62"/>
    <w:lvl w:ilvl="0" w:tplc="CA56C6C8">
      <w:start w:val="1"/>
      <w:numFmt w:val="taiwaneseCountingThousand"/>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603C80"/>
    <w:multiLevelType w:val="hybridMultilevel"/>
    <w:tmpl w:val="5D9C8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F93CA6"/>
    <w:multiLevelType w:val="hybridMultilevel"/>
    <w:tmpl w:val="BDE8FFC8"/>
    <w:lvl w:ilvl="0" w:tplc="FCB8E59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82388F"/>
    <w:multiLevelType w:val="hybridMultilevel"/>
    <w:tmpl w:val="0278048A"/>
    <w:lvl w:ilvl="0" w:tplc="E7543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EA1868"/>
    <w:multiLevelType w:val="hybridMultilevel"/>
    <w:tmpl w:val="F42E32FC"/>
    <w:lvl w:ilvl="0" w:tplc="04090015">
      <w:start w:val="1"/>
      <w:numFmt w:val="taiwaneseCountingThousand"/>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5" w15:restartNumberingAfterBreak="0">
    <w:nsid w:val="4A684B58"/>
    <w:multiLevelType w:val="hybridMultilevel"/>
    <w:tmpl w:val="424265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C7DC1"/>
    <w:multiLevelType w:val="hybridMultilevel"/>
    <w:tmpl w:val="A9D0328A"/>
    <w:lvl w:ilvl="0" w:tplc="26828C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3000F6"/>
    <w:multiLevelType w:val="hybridMultilevel"/>
    <w:tmpl w:val="86DC2D60"/>
    <w:lvl w:ilvl="0" w:tplc="6B669028">
      <w:start w:val="1"/>
      <w:numFmt w:val="taiwaneseCountingThousand"/>
      <w:lvlText w:val="(%1)"/>
      <w:lvlJc w:val="left"/>
      <w:pPr>
        <w:ind w:left="374" w:hanging="480"/>
      </w:pPr>
      <w:rPr>
        <w:rFonts w:hint="eastAsia"/>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8" w15:restartNumberingAfterBreak="0">
    <w:nsid w:val="51A321C6"/>
    <w:multiLevelType w:val="hybridMultilevel"/>
    <w:tmpl w:val="5D9C8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D17D62"/>
    <w:multiLevelType w:val="hybridMultilevel"/>
    <w:tmpl w:val="45A0677C"/>
    <w:lvl w:ilvl="0" w:tplc="D45E9324">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2A2F85"/>
    <w:multiLevelType w:val="hybridMultilevel"/>
    <w:tmpl w:val="CCCC326E"/>
    <w:lvl w:ilvl="0" w:tplc="FCB8E59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B5523B"/>
    <w:multiLevelType w:val="hybridMultilevel"/>
    <w:tmpl w:val="D8827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6E289C"/>
    <w:multiLevelType w:val="hybridMultilevel"/>
    <w:tmpl w:val="90EC1DF8"/>
    <w:lvl w:ilvl="0" w:tplc="58A66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7A1921"/>
    <w:multiLevelType w:val="hybridMultilevel"/>
    <w:tmpl w:val="86DC2D60"/>
    <w:lvl w:ilvl="0" w:tplc="6B669028">
      <w:start w:val="1"/>
      <w:numFmt w:val="taiwaneseCountingThousand"/>
      <w:lvlText w:val="(%1)"/>
      <w:lvlJc w:val="left"/>
      <w:pPr>
        <w:ind w:left="374" w:hanging="480"/>
      </w:pPr>
      <w:rPr>
        <w:rFonts w:hint="eastAsia"/>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4" w15:restartNumberingAfterBreak="0">
    <w:nsid w:val="7C702046"/>
    <w:multiLevelType w:val="hybridMultilevel"/>
    <w:tmpl w:val="F35E1CEE"/>
    <w:lvl w:ilvl="0" w:tplc="255C8F1E">
      <w:start w:val="1"/>
      <w:numFmt w:val="taiwaneseCountingThousand"/>
      <w:lvlText w:val="%1、"/>
      <w:lvlJc w:val="left"/>
      <w:pPr>
        <w:ind w:left="451" w:hanging="420"/>
      </w:pPr>
      <w:rPr>
        <w:rFonts w:hint="default"/>
        <w:color w:val="000000"/>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24"/>
  </w:num>
  <w:num w:numId="2">
    <w:abstractNumId w:val="12"/>
  </w:num>
  <w:num w:numId="3">
    <w:abstractNumId w:val="10"/>
  </w:num>
  <w:num w:numId="4">
    <w:abstractNumId w:val="2"/>
  </w:num>
  <w:num w:numId="5">
    <w:abstractNumId w:val="4"/>
  </w:num>
  <w:num w:numId="6">
    <w:abstractNumId w:val="22"/>
  </w:num>
  <w:num w:numId="7">
    <w:abstractNumId w:val="1"/>
  </w:num>
  <w:num w:numId="8">
    <w:abstractNumId w:val="21"/>
  </w:num>
  <w:num w:numId="9">
    <w:abstractNumId w:val="0"/>
  </w:num>
  <w:num w:numId="10">
    <w:abstractNumId w:val="15"/>
  </w:num>
  <w:num w:numId="11">
    <w:abstractNumId w:val="19"/>
  </w:num>
  <w:num w:numId="12">
    <w:abstractNumId w:val="6"/>
  </w:num>
  <w:num w:numId="13">
    <w:abstractNumId w:val="20"/>
  </w:num>
  <w:num w:numId="14">
    <w:abstractNumId w:val="11"/>
  </w:num>
  <w:num w:numId="15">
    <w:abstractNumId w:val="14"/>
  </w:num>
  <w:num w:numId="16">
    <w:abstractNumId w:val="7"/>
  </w:num>
  <w:num w:numId="17">
    <w:abstractNumId w:val="5"/>
  </w:num>
  <w:num w:numId="18">
    <w:abstractNumId w:val="8"/>
  </w:num>
  <w:num w:numId="19">
    <w:abstractNumId w:val="18"/>
  </w:num>
  <w:num w:numId="20">
    <w:abstractNumId w:val="23"/>
  </w:num>
  <w:num w:numId="21">
    <w:abstractNumId w:val="9"/>
  </w:num>
  <w:num w:numId="22">
    <w:abstractNumId w:val="17"/>
  </w:num>
  <w:num w:numId="23">
    <w:abstractNumId w:val="3"/>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67"/>
    <w:rsid w:val="000113C5"/>
    <w:rsid w:val="00017BE7"/>
    <w:rsid w:val="000459D5"/>
    <w:rsid w:val="00050731"/>
    <w:rsid w:val="0005430C"/>
    <w:rsid w:val="00074362"/>
    <w:rsid w:val="000926F9"/>
    <w:rsid w:val="00093F45"/>
    <w:rsid w:val="000962D0"/>
    <w:rsid w:val="000A4F3A"/>
    <w:rsid w:val="000B0096"/>
    <w:rsid w:val="000B3D19"/>
    <w:rsid w:val="000C1BA1"/>
    <w:rsid w:val="000C3400"/>
    <w:rsid w:val="000C7C4C"/>
    <w:rsid w:val="000E092E"/>
    <w:rsid w:val="000E6085"/>
    <w:rsid w:val="00111FD0"/>
    <w:rsid w:val="00113F25"/>
    <w:rsid w:val="0013234C"/>
    <w:rsid w:val="00133FA2"/>
    <w:rsid w:val="0014369B"/>
    <w:rsid w:val="00152965"/>
    <w:rsid w:val="00164A9E"/>
    <w:rsid w:val="0017026D"/>
    <w:rsid w:val="001A42FB"/>
    <w:rsid w:val="001B6433"/>
    <w:rsid w:val="001C3CBF"/>
    <w:rsid w:val="001C5066"/>
    <w:rsid w:val="001D22AB"/>
    <w:rsid w:val="001E0B45"/>
    <w:rsid w:val="001F0091"/>
    <w:rsid w:val="001F128C"/>
    <w:rsid w:val="001F2122"/>
    <w:rsid w:val="00214208"/>
    <w:rsid w:val="00230E57"/>
    <w:rsid w:val="00237340"/>
    <w:rsid w:val="00240386"/>
    <w:rsid w:val="00246E94"/>
    <w:rsid w:val="00250324"/>
    <w:rsid w:val="0025192F"/>
    <w:rsid w:val="002549DE"/>
    <w:rsid w:val="00262122"/>
    <w:rsid w:val="002623EB"/>
    <w:rsid w:val="0026270C"/>
    <w:rsid w:val="00264D60"/>
    <w:rsid w:val="00271091"/>
    <w:rsid w:val="00273FF9"/>
    <w:rsid w:val="00280E16"/>
    <w:rsid w:val="00291481"/>
    <w:rsid w:val="00292A1F"/>
    <w:rsid w:val="002B7E0D"/>
    <w:rsid w:val="002D61C5"/>
    <w:rsid w:val="002E16DF"/>
    <w:rsid w:val="003042DE"/>
    <w:rsid w:val="00313ABC"/>
    <w:rsid w:val="00314161"/>
    <w:rsid w:val="0031458C"/>
    <w:rsid w:val="0032305F"/>
    <w:rsid w:val="00326FBA"/>
    <w:rsid w:val="00334DB3"/>
    <w:rsid w:val="0034075A"/>
    <w:rsid w:val="00340E80"/>
    <w:rsid w:val="003546B9"/>
    <w:rsid w:val="00365726"/>
    <w:rsid w:val="00390665"/>
    <w:rsid w:val="00390766"/>
    <w:rsid w:val="00396AE1"/>
    <w:rsid w:val="003B003C"/>
    <w:rsid w:val="003C6ACF"/>
    <w:rsid w:val="003C7BC3"/>
    <w:rsid w:val="003D537E"/>
    <w:rsid w:val="003E60C3"/>
    <w:rsid w:val="003E6E40"/>
    <w:rsid w:val="003F19BE"/>
    <w:rsid w:val="003F5F0F"/>
    <w:rsid w:val="003F75FF"/>
    <w:rsid w:val="0040389B"/>
    <w:rsid w:val="004208F3"/>
    <w:rsid w:val="00443235"/>
    <w:rsid w:val="00454884"/>
    <w:rsid w:val="004A1B48"/>
    <w:rsid w:val="004B480D"/>
    <w:rsid w:val="004C0414"/>
    <w:rsid w:val="004C590D"/>
    <w:rsid w:val="004C6A4D"/>
    <w:rsid w:val="004D5600"/>
    <w:rsid w:val="004F214E"/>
    <w:rsid w:val="004F56CC"/>
    <w:rsid w:val="005056B0"/>
    <w:rsid w:val="00507317"/>
    <w:rsid w:val="00520211"/>
    <w:rsid w:val="005273B4"/>
    <w:rsid w:val="00532F2E"/>
    <w:rsid w:val="005356D2"/>
    <w:rsid w:val="00536FF5"/>
    <w:rsid w:val="00547407"/>
    <w:rsid w:val="0054777F"/>
    <w:rsid w:val="005636AF"/>
    <w:rsid w:val="00566F6C"/>
    <w:rsid w:val="005755E1"/>
    <w:rsid w:val="00577D86"/>
    <w:rsid w:val="00581A99"/>
    <w:rsid w:val="00582254"/>
    <w:rsid w:val="005A0B80"/>
    <w:rsid w:val="005B3D00"/>
    <w:rsid w:val="005B5F21"/>
    <w:rsid w:val="005C6511"/>
    <w:rsid w:val="005E4050"/>
    <w:rsid w:val="005F0B72"/>
    <w:rsid w:val="005F0EC3"/>
    <w:rsid w:val="005F201A"/>
    <w:rsid w:val="00602E54"/>
    <w:rsid w:val="00603990"/>
    <w:rsid w:val="006251EF"/>
    <w:rsid w:val="00627FCD"/>
    <w:rsid w:val="00635B0E"/>
    <w:rsid w:val="00644C36"/>
    <w:rsid w:val="00645DFF"/>
    <w:rsid w:val="00667441"/>
    <w:rsid w:val="006863C5"/>
    <w:rsid w:val="006877D4"/>
    <w:rsid w:val="00690642"/>
    <w:rsid w:val="006924FD"/>
    <w:rsid w:val="006A1602"/>
    <w:rsid w:val="006B13B5"/>
    <w:rsid w:val="006B1665"/>
    <w:rsid w:val="006B5598"/>
    <w:rsid w:val="006B6D87"/>
    <w:rsid w:val="006C08BF"/>
    <w:rsid w:val="006C16CA"/>
    <w:rsid w:val="006C29E5"/>
    <w:rsid w:val="006E7C8B"/>
    <w:rsid w:val="006F285C"/>
    <w:rsid w:val="00703815"/>
    <w:rsid w:val="00711F8E"/>
    <w:rsid w:val="0071262C"/>
    <w:rsid w:val="007334D1"/>
    <w:rsid w:val="007511BC"/>
    <w:rsid w:val="007617BA"/>
    <w:rsid w:val="0077249E"/>
    <w:rsid w:val="007762A9"/>
    <w:rsid w:val="007769E2"/>
    <w:rsid w:val="00797D5D"/>
    <w:rsid w:val="007A2DC6"/>
    <w:rsid w:val="007B4B7E"/>
    <w:rsid w:val="007C3D36"/>
    <w:rsid w:val="007D474F"/>
    <w:rsid w:val="007D68A3"/>
    <w:rsid w:val="007F1113"/>
    <w:rsid w:val="008040DF"/>
    <w:rsid w:val="00817299"/>
    <w:rsid w:val="008252D6"/>
    <w:rsid w:val="00830387"/>
    <w:rsid w:val="0083156B"/>
    <w:rsid w:val="008344D3"/>
    <w:rsid w:val="00835407"/>
    <w:rsid w:val="00844720"/>
    <w:rsid w:val="008A414F"/>
    <w:rsid w:val="008A7557"/>
    <w:rsid w:val="008B2377"/>
    <w:rsid w:val="008B5A46"/>
    <w:rsid w:val="008C5DBE"/>
    <w:rsid w:val="008F7A8A"/>
    <w:rsid w:val="009049A4"/>
    <w:rsid w:val="009067A6"/>
    <w:rsid w:val="00924907"/>
    <w:rsid w:val="00931179"/>
    <w:rsid w:val="00951CC6"/>
    <w:rsid w:val="00960C45"/>
    <w:rsid w:val="0096238C"/>
    <w:rsid w:val="00964ADE"/>
    <w:rsid w:val="00990BFB"/>
    <w:rsid w:val="0099364F"/>
    <w:rsid w:val="009A7267"/>
    <w:rsid w:val="009B2C5A"/>
    <w:rsid w:val="009E3930"/>
    <w:rsid w:val="009F7FCD"/>
    <w:rsid w:val="00A037E8"/>
    <w:rsid w:val="00A0732E"/>
    <w:rsid w:val="00A26959"/>
    <w:rsid w:val="00A32972"/>
    <w:rsid w:val="00A52E3F"/>
    <w:rsid w:val="00A6199D"/>
    <w:rsid w:val="00A625F1"/>
    <w:rsid w:val="00A6617C"/>
    <w:rsid w:val="00A6767B"/>
    <w:rsid w:val="00A72B45"/>
    <w:rsid w:val="00AA2D63"/>
    <w:rsid w:val="00AC1AE3"/>
    <w:rsid w:val="00AC539E"/>
    <w:rsid w:val="00AC626D"/>
    <w:rsid w:val="00AD501D"/>
    <w:rsid w:val="00AE07D4"/>
    <w:rsid w:val="00AF4330"/>
    <w:rsid w:val="00AF7CDF"/>
    <w:rsid w:val="00B07EFD"/>
    <w:rsid w:val="00B27033"/>
    <w:rsid w:val="00B272D1"/>
    <w:rsid w:val="00B36052"/>
    <w:rsid w:val="00B428BF"/>
    <w:rsid w:val="00B508C0"/>
    <w:rsid w:val="00B5435F"/>
    <w:rsid w:val="00B5678B"/>
    <w:rsid w:val="00B700DF"/>
    <w:rsid w:val="00B728B1"/>
    <w:rsid w:val="00B73195"/>
    <w:rsid w:val="00B7431B"/>
    <w:rsid w:val="00B84882"/>
    <w:rsid w:val="00BC0181"/>
    <w:rsid w:val="00BD6C84"/>
    <w:rsid w:val="00BD7AEF"/>
    <w:rsid w:val="00C11DE6"/>
    <w:rsid w:val="00C13BF9"/>
    <w:rsid w:val="00C216CC"/>
    <w:rsid w:val="00C26D52"/>
    <w:rsid w:val="00C368F2"/>
    <w:rsid w:val="00C36B61"/>
    <w:rsid w:val="00C40A15"/>
    <w:rsid w:val="00C42F28"/>
    <w:rsid w:val="00C50703"/>
    <w:rsid w:val="00C5562B"/>
    <w:rsid w:val="00C7076B"/>
    <w:rsid w:val="00C744C3"/>
    <w:rsid w:val="00C771E2"/>
    <w:rsid w:val="00C825F4"/>
    <w:rsid w:val="00C9321B"/>
    <w:rsid w:val="00C93A97"/>
    <w:rsid w:val="00C9468B"/>
    <w:rsid w:val="00CA4CEF"/>
    <w:rsid w:val="00CB133D"/>
    <w:rsid w:val="00CB49C5"/>
    <w:rsid w:val="00CC51E2"/>
    <w:rsid w:val="00CD30F3"/>
    <w:rsid w:val="00CD3D9E"/>
    <w:rsid w:val="00CE1AFE"/>
    <w:rsid w:val="00CF0753"/>
    <w:rsid w:val="00D0212F"/>
    <w:rsid w:val="00D03CFF"/>
    <w:rsid w:val="00D05CC7"/>
    <w:rsid w:val="00D403B1"/>
    <w:rsid w:val="00D40AF6"/>
    <w:rsid w:val="00D430C9"/>
    <w:rsid w:val="00D432D4"/>
    <w:rsid w:val="00D61C56"/>
    <w:rsid w:val="00D67965"/>
    <w:rsid w:val="00D740D7"/>
    <w:rsid w:val="00D7619C"/>
    <w:rsid w:val="00D763A6"/>
    <w:rsid w:val="00D835CB"/>
    <w:rsid w:val="00D954BC"/>
    <w:rsid w:val="00DC297F"/>
    <w:rsid w:val="00DC3B9F"/>
    <w:rsid w:val="00DD4D7C"/>
    <w:rsid w:val="00E0336A"/>
    <w:rsid w:val="00E07D0F"/>
    <w:rsid w:val="00E32F05"/>
    <w:rsid w:val="00E40948"/>
    <w:rsid w:val="00E50710"/>
    <w:rsid w:val="00E53C0A"/>
    <w:rsid w:val="00E67A85"/>
    <w:rsid w:val="00E907BC"/>
    <w:rsid w:val="00E9461B"/>
    <w:rsid w:val="00EA0116"/>
    <w:rsid w:val="00EA739E"/>
    <w:rsid w:val="00EB3667"/>
    <w:rsid w:val="00EC32CC"/>
    <w:rsid w:val="00ED11B2"/>
    <w:rsid w:val="00ED6110"/>
    <w:rsid w:val="00ED7F0A"/>
    <w:rsid w:val="00EE3EBB"/>
    <w:rsid w:val="00EF437A"/>
    <w:rsid w:val="00F1543B"/>
    <w:rsid w:val="00F35C73"/>
    <w:rsid w:val="00F44CA4"/>
    <w:rsid w:val="00F46239"/>
    <w:rsid w:val="00F6113E"/>
    <w:rsid w:val="00F70492"/>
    <w:rsid w:val="00F7117E"/>
    <w:rsid w:val="00F85502"/>
    <w:rsid w:val="00F92C98"/>
    <w:rsid w:val="00FB1C25"/>
    <w:rsid w:val="00FB4053"/>
    <w:rsid w:val="00FB4F6B"/>
    <w:rsid w:val="00FD63EE"/>
    <w:rsid w:val="00FD7D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857AE"/>
  <w15:docId w15:val="{B4638C59-1557-4B10-8191-DFA448DC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7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B3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EB3667"/>
    <w:rPr>
      <w:rFonts w:ascii="細明體" w:eastAsia="細明體" w:hAnsi="細明體" w:cs="細明體"/>
      <w:color w:val="333333"/>
      <w:kern w:val="0"/>
      <w:szCs w:val="24"/>
    </w:rPr>
  </w:style>
  <w:style w:type="paragraph" w:styleId="a3">
    <w:name w:val="Body Text"/>
    <w:basedOn w:val="a"/>
    <w:link w:val="a4"/>
    <w:rsid w:val="00EB3667"/>
    <w:rPr>
      <w:rFonts w:ascii="Times New Roman" w:eastAsia="標楷體" w:hAnsi="Times New Roman" w:cs="Times New Roman"/>
      <w:sz w:val="36"/>
      <w:szCs w:val="20"/>
    </w:rPr>
  </w:style>
  <w:style w:type="character" w:customStyle="1" w:styleId="a4">
    <w:name w:val="本文 字元"/>
    <w:basedOn w:val="a0"/>
    <w:link w:val="a3"/>
    <w:rsid w:val="00EB3667"/>
    <w:rPr>
      <w:rFonts w:ascii="Times New Roman" w:eastAsia="標楷體" w:hAnsi="Times New Roman" w:cs="Times New Roman"/>
      <w:sz w:val="36"/>
      <w:szCs w:val="20"/>
    </w:rPr>
  </w:style>
  <w:style w:type="paragraph" w:styleId="a5">
    <w:name w:val="Balloon Text"/>
    <w:basedOn w:val="a"/>
    <w:link w:val="a6"/>
    <w:uiPriority w:val="99"/>
    <w:semiHidden/>
    <w:unhideWhenUsed/>
    <w:rsid w:val="00644C3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4C36"/>
    <w:rPr>
      <w:rFonts w:asciiTheme="majorHAnsi" w:eastAsiaTheme="majorEastAsia" w:hAnsiTheme="majorHAnsi" w:cstheme="majorBidi"/>
      <w:sz w:val="18"/>
      <w:szCs w:val="18"/>
    </w:rPr>
  </w:style>
  <w:style w:type="paragraph" w:styleId="a7">
    <w:name w:val="header"/>
    <w:basedOn w:val="a"/>
    <w:link w:val="a8"/>
    <w:uiPriority w:val="99"/>
    <w:unhideWhenUsed/>
    <w:rsid w:val="00644C36"/>
    <w:pPr>
      <w:tabs>
        <w:tab w:val="center" w:pos="4153"/>
        <w:tab w:val="right" w:pos="8306"/>
      </w:tabs>
      <w:snapToGrid w:val="0"/>
    </w:pPr>
    <w:rPr>
      <w:sz w:val="20"/>
      <w:szCs w:val="20"/>
    </w:rPr>
  </w:style>
  <w:style w:type="character" w:customStyle="1" w:styleId="a8">
    <w:name w:val="頁首 字元"/>
    <w:basedOn w:val="a0"/>
    <w:link w:val="a7"/>
    <w:uiPriority w:val="99"/>
    <w:rsid w:val="00644C36"/>
    <w:rPr>
      <w:sz w:val="20"/>
      <w:szCs w:val="20"/>
    </w:rPr>
  </w:style>
  <w:style w:type="paragraph" w:styleId="a9">
    <w:name w:val="footer"/>
    <w:basedOn w:val="a"/>
    <w:link w:val="aa"/>
    <w:uiPriority w:val="99"/>
    <w:unhideWhenUsed/>
    <w:rsid w:val="00644C36"/>
    <w:pPr>
      <w:tabs>
        <w:tab w:val="center" w:pos="4153"/>
        <w:tab w:val="right" w:pos="8306"/>
      </w:tabs>
      <w:snapToGrid w:val="0"/>
    </w:pPr>
    <w:rPr>
      <w:sz w:val="20"/>
      <w:szCs w:val="20"/>
    </w:rPr>
  </w:style>
  <w:style w:type="character" w:customStyle="1" w:styleId="aa">
    <w:name w:val="頁尾 字元"/>
    <w:basedOn w:val="a0"/>
    <w:link w:val="a9"/>
    <w:uiPriority w:val="99"/>
    <w:rsid w:val="00644C36"/>
    <w:rPr>
      <w:sz w:val="20"/>
      <w:szCs w:val="20"/>
    </w:rPr>
  </w:style>
  <w:style w:type="paragraph" w:styleId="ab">
    <w:name w:val="List Paragraph"/>
    <w:basedOn w:val="a"/>
    <w:uiPriority w:val="34"/>
    <w:qFormat/>
    <w:rsid w:val="005F0B72"/>
    <w:pPr>
      <w:ind w:leftChars="200" w:left="480"/>
    </w:pPr>
  </w:style>
  <w:style w:type="table" w:styleId="ac">
    <w:name w:val="Table Grid"/>
    <w:basedOn w:val="a1"/>
    <w:uiPriority w:val="59"/>
    <w:rsid w:val="003042D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07D0F"/>
    <w:rPr>
      <w:sz w:val="18"/>
      <w:szCs w:val="18"/>
    </w:rPr>
  </w:style>
  <w:style w:type="paragraph" w:styleId="ae">
    <w:name w:val="annotation text"/>
    <w:basedOn w:val="a"/>
    <w:link w:val="af"/>
    <w:uiPriority w:val="99"/>
    <w:semiHidden/>
    <w:unhideWhenUsed/>
    <w:rsid w:val="00E07D0F"/>
  </w:style>
  <w:style w:type="character" w:customStyle="1" w:styleId="af">
    <w:name w:val="註解文字 字元"/>
    <w:basedOn w:val="a0"/>
    <w:link w:val="ae"/>
    <w:uiPriority w:val="99"/>
    <w:semiHidden/>
    <w:rsid w:val="00E07D0F"/>
  </w:style>
  <w:style w:type="paragraph" w:styleId="af0">
    <w:name w:val="annotation subject"/>
    <w:basedOn w:val="ae"/>
    <w:next w:val="ae"/>
    <w:link w:val="af1"/>
    <w:uiPriority w:val="99"/>
    <w:semiHidden/>
    <w:unhideWhenUsed/>
    <w:rsid w:val="00E07D0F"/>
    <w:rPr>
      <w:b/>
      <w:bCs/>
    </w:rPr>
  </w:style>
  <w:style w:type="character" w:customStyle="1" w:styleId="af1">
    <w:name w:val="註解主旨 字元"/>
    <w:basedOn w:val="af"/>
    <w:link w:val="af0"/>
    <w:uiPriority w:val="99"/>
    <w:semiHidden/>
    <w:rsid w:val="00E07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8105">
      <w:bodyDiv w:val="1"/>
      <w:marLeft w:val="0"/>
      <w:marRight w:val="0"/>
      <w:marTop w:val="0"/>
      <w:marBottom w:val="0"/>
      <w:divBdr>
        <w:top w:val="none" w:sz="0" w:space="0" w:color="auto"/>
        <w:left w:val="none" w:sz="0" w:space="0" w:color="auto"/>
        <w:bottom w:val="none" w:sz="0" w:space="0" w:color="auto"/>
        <w:right w:val="none" w:sz="0" w:space="0" w:color="auto"/>
      </w:divBdr>
    </w:div>
    <w:div w:id="1001156943">
      <w:bodyDiv w:val="1"/>
      <w:marLeft w:val="0"/>
      <w:marRight w:val="0"/>
      <w:marTop w:val="0"/>
      <w:marBottom w:val="0"/>
      <w:divBdr>
        <w:top w:val="none" w:sz="0" w:space="0" w:color="auto"/>
        <w:left w:val="none" w:sz="0" w:space="0" w:color="auto"/>
        <w:bottom w:val="none" w:sz="0" w:space="0" w:color="auto"/>
        <w:right w:val="none" w:sz="0" w:space="0" w:color="auto"/>
      </w:divBdr>
    </w:div>
    <w:div w:id="20097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2FC4-136D-4BE5-9820-EF479A09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1012</Words>
  <Characters>5775</Characters>
  <Application>Microsoft Office Word</Application>
  <DocSecurity>0</DocSecurity>
  <Lines>48</Lines>
  <Paragraphs>13</Paragraphs>
  <ScaleCrop>false</ScaleCrop>
  <Company>Hewlett-Packard Company</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黃毓倫</dc:creator>
  <cp:lastModifiedBy>邱之駿</cp:lastModifiedBy>
  <cp:revision>3</cp:revision>
  <cp:lastPrinted>2021-07-01T00:57:00Z</cp:lastPrinted>
  <dcterms:created xsi:type="dcterms:W3CDTF">2021-07-22T04:19:00Z</dcterms:created>
  <dcterms:modified xsi:type="dcterms:W3CDTF">2021-07-22T04:19:00Z</dcterms:modified>
</cp:coreProperties>
</file>