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141A" w14:textId="49234D85" w:rsidR="0098115A" w:rsidRPr="0074731C" w:rsidRDefault="0098115A" w:rsidP="004A4D9A">
      <w:pPr>
        <w:widowControl/>
        <w:snapToGrid w:val="0"/>
        <w:spacing w:line="480" w:lineRule="atLeast"/>
        <w:rPr>
          <w:rFonts w:ascii="Times New Roman" w:eastAsia="標楷體" w:hAnsi="Times New Roman"/>
          <w:b/>
          <w:color w:val="000000" w:themeColor="text1"/>
          <w:sz w:val="28"/>
          <w:szCs w:val="28"/>
        </w:rPr>
      </w:pPr>
      <w:r w:rsidRPr="0074731C">
        <w:rPr>
          <w:rFonts w:ascii="Times New Roman" w:eastAsia="標楷體" w:hAnsi="Times New Roman" w:hint="eastAsia"/>
          <w:b/>
          <w:color w:val="000000" w:themeColor="text1"/>
          <w:sz w:val="28"/>
          <w:szCs w:val="28"/>
        </w:rPr>
        <w:t>財團法人中華民國證券櫃檯買賣中心櫃檯買賣公布或通知注意交易資訊暨處置作業要點第四條第一項各款異常標準之詳細數據及除外情形</w:t>
      </w:r>
      <w:r w:rsidR="001F383B" w:rsidRPr="001F383B">
        <w:rPr>
          <w:rFonts w:ascii="Times New Roman" w:eastAsia="標楷體" w:hAnsi="Times New Roman" w:hint="eastAsia"/>
          <w:b/>
          <w:color w:val="000000" w:themeColor="text1"/>
          <w:sz w:val="28"/>
          <w:szCs w:val="28"/>
        </w:rPr>
        <w:t>第</w:t>
      </w:r>
      <w:r w:rsidR="001F383B">
        <w:rPr>
          <w:rFonts w:ascii="Times New Roman" w:eastAsia="標楷體" w:hAnsi="Times New Roman" w:hint="eastAsia"/>
          <w:b/>
          <w:color w:val="000000" w:themeColor="text1"/>
          <w:sz w:val="28"/>
          <w:szCs w:val="28"/>
        </w:rPr>
        <w:t>十</w:t>
      </w:r>
      <w:r w:rsidR="001F383B" w:rsidRPr="001F383B">
        <w:rPr>
          <w:rFonts w:ascii="Times New Roman" w:eastAsia="標楷體" w:hAnsi="Times New Roman" w:hint="eastAsia"/>
          <w:b/>
          <w:color w:val="000000" w:themeColor="text1"/>
          <w:sz w:val="28"/>
          <w:szCs w:val="28"/>
        </w:rPr>
        <w:t>條、第</w:t>
      </w:r>
      <w:r w:rsidR="001F383B">
        <w:rPr>
          <w:rFonts w:ascii="Times New Roman" w:eastAsia="標楷體" w:hAnsi="Times New Roman" w:hint="eastAsia"/>
          <w:b/>
          <w:color w:val="000000" w:themeColor="text1"/>
          <w:sz w:val="28"/>
          <w:szCs w:val="28"/>
        </w:rPr>
        <w:t>十一</w:t>
      </w:r>
      <w:r w:rsidR="001F383B" w:rsidRPr="001F383B">
        <w:rPr>
          <w:rFonts w:ascii="Times New Roman" w:eastAsia="標楷體" w:hAnsi="Times New Roman" w:hint="eastAsia"/>
          <w:b/>
          <w:color w:val="000000" w:themeColor="text1"/>
          <w:sz w:val="28"/>
          <w:szCs w:val="28"/>
        </w:rPr>
        <w:t>條、第</w:t>
      </w:r>
      <w:r w:rsidR="001F383B">
        <w:rPr>
          <w:rFonts w:ascii="Times New Roman" w:eastAsia="標楷體" w:hAnsi="Times New Roman" w:hint="eastAsia"/>
          <w:b/>
          <w:color w:val="000000" w:themeColor="text1"/>
          <w:sz w:val="28"/>
          <w:szCs w:val="28"/>
        </w:rPr>
        <w:t>十四</w:t>
      </w:r>
      <w:r w:rsidR="001F383B" w:rsidRPr="001F383B">
        <w:rPr>
          <w:rFonts w:ascii="Times New Roman" w:eastAsia="標楷體" w:hAnsi="Times New Roman" w:hint="eastAsia"/>
          <w:b/>
          <w:color w:val="000000" w:themeColor="text1"/>
          <w:sz w:val="28"/>
          <w:szCs w:val="28"/>
        </w:rPr>
        <w:t>條及第</w:t>
      </w:r>
      <w:r w:rsidR="001F383B">
        <w:rPr>
          <w:rFonts w:ascii="Times New Roman" w:eastAsia="標楷體" w:hAnsi="Times New Roman" w:hint="eastAsia"/>
          <w:b/>
          <w:color w:val="000000" w:themeColor="text1"/>
          <w:sz w:val="28"/>
          <w:szCs w:val="28"/>
        </w:rPr>
        <w:t>十五</w:t>
      </w:r>
      <w:r w:rsidR="001F383B" w:rsidRPr="001F383B">
        <w:rPr>
          <w:rFonts w:ascii="Times New Roman" w:eastAsia="標楷體" w:hAnsi="Times New Roman" w:hint="eastAsia"/>
          <w:b/>
          <w:color w:val="000000" w:themeColor="text1"/>
          <w:sz w:val="28"/>
          <w:szCs w:val="28"/>
        </w:rPr>
        <w:t>條</w:t>
      </w:r>
      <w:r w:rsidR="0099081E" w:rsidRPr="0074731C">
        <w:rPr>
          <w:rFonts w:ascii="Times New Roman" w:eastAsia="標楷體" w:hAnsi="Times New Roman" w:hint="eastAsia"/>
          <w:b/>
          <w:color w:val="000000" w:themeColor="text1"/>
          <w:sz w:val="28"/>
          <w:szCs w:val="28"/>
        </w:rPr>
        <w:t>修正</w:t>
      </w:r>
      <w:r w:rsidR="001F383B">
        <w:rPr>
          <w:rFonts w:ascii="Times New Roman" w:eastAsia="標楷體" w:hAnsi="Times New Roman" w:hint="eastAsia"/>
          <w:b/>
          <w:color w:val="000000" w:themeColor="text1"/>
          <w:sz w:val="28"/>
          <w:szCs w:val="28"/>
        </w:rPr>
        <w:t>條文</w:t>
      </w:r>
      <w:r w:rsidRPr="0074731C">
        <w:rPr>
          <w:rFonts w:ascii="Times New Roman" w:eastAsia="標楷體" w:hAnsi="Times New Roman" w:hint="eastAsia"/>
          <w:b/>
          <w:color w:val="000000" w:themeColor="text1"/>
          <w:sz w:val="28"/>
          <w:szCs w:val="28"/>
        </w:rPr>
        <w:t>對照表</w:t>
      </w:r>
    </w:p>
    <w:p w14:paraId="5E630049" w14:textId="000E07F1" w:rsidR="0098115A" w:rsidRDefault="0098115A" w:rsidP="0098115A">
      <w:pPr>
        <w:snapToGrid w:val="0"/>
        <w:spacing w:line="560" w:lineRule="exact"/>
        <w:jc w:val="right"/>
        <w:rPr>
          <w:rFonts w:ascii="Times New Roman" w:eastAsia="標楷體" w:hAnsi="Times New Roman"/>
          <w:b/>
          <w:color w:val="000000" w:themeColor="text1"/>
          <w:szCs w:val="24"/>
        </w:rPr>
      </w:pPr>
    </w:p>
    <w:tbl>
      <w:tblPr>
        <w:tblW w:w="992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969"/>
        <w:gridCol w:w="1984"/>
      </w:tblGrid>
      <w:tr w:rsidR="0074731C" w:rsidRPr="0074731C" w14:paraId="61FAB589" w14:textId="77777777" w:rsidTr="00DF2AE5">
        <w:trPr>
          <w:tblHeader/>
        </w:trPr>
        <w:tc>
          <w:tcPr>
            <w:tcW w:w="3969" w:type="dxa"/>
            <w:shd w:val="clear" w:color="auto" w:fill="auto"/>
            <w:vAlign w:val="center"/>
          </w:tcPr>
          <w:p w14:paraId="170EDE5E" w14:textId="0DA6591E" w:rsidR="00DF2AE5" w:rsidRPr="0074731C" w:rsidRDefault="00DF2AE5" w:rsidP="00E04F8D">
            <w:pPr>
              <w:snapToGrid w:val="0"/>
              <w:spacing w:line="360" w:lineRule="atLeast"/>
              <w:jc w:val="center"/>
              <w:rPr>
                <w:rFonts w:ascii="標楷體" w:eastAsia="標楷體" w:hAnsi="標楷體"/>
                <w:b/>
                <w:bCs/>
                <w:color w:val="000000" w:themeColor="text1"/>
                <w:spacing w:val="20"/>
                <w:szCs w:val="24"/>
              </w:rPr>
            </w:pPr>
            <w:r w:rsidRPr="0074731C">
              <w:rPr>
                <w:rFonts w:ascii="標楷體" w:eastAsia="標楷體" w:hAnsi="標楷體" w:hint="eastAsia"/>
                <w:b/>
                <w:bCs/>
                <w:color w:val="000000" w:themeColor="text1"/>
                <w:spacing w:val="20"/>
                <w:szCs w:val="24"/>
              </w:rPr>
              <w:t>修正條文</w:t>
            </w:r>
          </w:p>
        </w:tc>
        <w:tc>
          <w:tcPr>
            <w:tcW w:w="3969" w:type="dxa"/>
            <w:vAlign w:val="center"/>
          </w:tcPr>
          <w:p w14:paraId="30757A91" w14:textId="77777777" w:rsidR="00DF2AE5" w:rsidRPr="0074731C" w:rsidRDefault="00DF2AE5" w:rsidP="00E04F8D">
            <w:pPr>
              <w:snapToGrid w:val="0"/>
              <w:spacing w:line="360" w:lineRule="atLeast"/>
              <w:jc w:val="center"/>
              <w:rPr>
                <w:rFonts w:ascii="標楷體" w:eastAsia="標楷體" w:hAnsi="標楷體"/>
                <w:b/>
                <w:bCs/>
                <w:color w:val="000000" w:themeColor="text1"/>
                <w:spacing w:val="20"/>
                <w:szCs w:val="24"/>
              </w:rPr>
            </w:pPr>
            <w:r w:rsidRPr="0074731C">
              <w:rPr>
                <w:rFonts w:ascii="標楷體" w:eastAsia="標楷體" w:hAnsi="標楷體" w:hint="eastAsia"/>
                <w:b/>
                <w:bCs/>
                <w:color w:val="000000" w:themeColor="text1"/>
                <w:spacing w:val="20"/>
                <w:szCs w:val="24"/>
              </w:rPr>
              <w:t>現行條文</w:t>
            </w:r>
          </w:p>
        </w:tc>
        <w:tc>
          <w:tcPr>
            <w:tcW w:w="1984" w:type="dxa"/>
            <w:vAlign w:val="center"/>
          </w:tcPr>
          <w:p w14:paraId="25EBCBEB" w14:textId="77777777" w:rsidR="00DF2AE5" w:rsidRPr="0074731C" w:rsidRDefault="00DF2AE5" w:rsidP="00E04F8D">
            <w:pPr>
              <w:snapToGrid w:val="0"/>
              <w:spacing w:line="360" w:lineRule="atLeast"/>
              <w:jc w:val="center"/>
              <w:rPr>
                <w:rFonts w:ascii="標楷體" w:eastAsia="標楷體" w:hAnsi="標楷體"/>
                <w:b/>
                <w:bCs/>
                <w:color w:val="000000" w:themeColor="text1"/>
                <w:spacing w:val="20"/>
                <w:szCs w:val="24"/>
              </w:rPr>
            </w:pPr>
            <w:r w:rsidRPr="0074731C">
              <w:rPr>
                <w:rFonts w:ascii="標楷體" w:eastAsia="標楷體" w:hAnsi="標楷體" w:hint="eastAsia"/>
                <w:b/>
                <w:bCs/>
                <w:color w:val="000000" w:themeColor="text1"/>
                <w:spacing w:val="20"/>
                <w:szCs w:val="24"/>
              </w:rPr>
              <w:t>說明</w:t>
            </w:r>
          </w:p>
        </w:tc>
      </w:tr>
      <w:tr w:rsidR="0074731C" w:rsidRPr="0074731C" w14:paraId="0514C883" w14:textId="77777777" w:rsidTr="00DF2AE5">
        <w:tc>
          <w:tcPr>
            <w:tcW w:w="3969" w:type="dxa"/>
            <w:shd w:val="clear" w:color="auto" w:fill="auto"/>
          </w:tcPr>
          <w:p w14:paraId="5E208685" w14:textId="40E9F624"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第十條</w:t>
            </w:r>
          </w:p>
          <w:p w14:paraId="27EC9A3D" w14:textId="4D30A46B"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作業要點第四條第一項第九款「有價證券當日及最近數日之日平均成交量較最近一段期間之日平均成交量明顯放大者」，係指有價證券當日同時達下列各款情事者：</w:t>
            </w:r>
          </w:p>
          <w:p w14:paraId="3AE5DE8B" w14:textId="69FCC2B3" w:rsidR="00DF2AE5" w:rsidRPr="0074731C" w:rsidRDefault="00DF2AE5" w:rsidP="00237B76">
            <w:pPr>
              <w:pStyle w:val="a3"/>
              <w:numPr>
                <w:ilvl w:val="0"/>
                <w:numId w:val="19"/>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有價證券最近六個營業日（含當日）之日平均成交量較最近六十</w:t>
            </w:r>
            <w:proofErr w:type="gramStart"/>
            <w:r w:rsidRPr="0074731C">
              <w:rPr>
                <w:rFonts w:ascii="標楷體" w:eastAsia="標楷體" w:hAnsi="標楷體" w:hint="eastAsia"/>
                <w:color w:val="000000" w:themeColor="text1"/>
              </w:rPr>
              <w:t>個</w:t>
            </w:r>
            <w:proofErr w:type="gramEnd"/>
            <w:r w:rsidRPr="0074731C">
              <w:rPr>
                <w:rFonts w:ascii="標楷體" w:eastAsia="標楷體" w:hAnsi="標楷體" w:hint="eastAsia"/>
                <w:color w:val="000000" w:themeColor="text1"/>
              </w:rPr>
              <w:t>營業日（含當日）之日平均成交量放大為五倍以上，且其放大倍數與全體有價證券依本款規定計算之平均值相差四倍以上。</w:t>
            </w:r>
          </w:p>
          <w:p w14:paraId="1F973FCF" w14:textId="45A7C66B" w:rsidR="00DF2AE5" w:rsidRPr="0074731C" w:rsidRDefault="00DF2AE5" w:rsidP="00237B76">
            <w:pPr>
              <w:pStyle w:val="a3"/>
              <w:numPr>
                <w:ilvl w:val="0"/>
                <w:numId w:val="19"/>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當日成交量較最近六十</w:t>
            </w:r>
            <w:proofErr w:type="gramStart"/>
            <w:r w:rsidRPr="0074731C">
              <w:rPr>
                <w:rFonts w:ascii="標楷體" w:eastAsia="標楷體" w:hAnsi="標楷體" w:hint="eastAsia"/>
                <w:color w:val="000000" w:themeColor="text1"/>
              </w:rPr>
              <w:t>個</w:t>
            </w:r>
            <w:proofErr w:type="gramEnd"/>
            <w:r w:rsidRPr="0074731C">
              <w:rPr>
                <w:rFonts w:ascii="標楷體" w:eastAsia="標楷體" w:hAnsi="標楷體" w:hint="eastAsia"/>
                <w:color w:val="000000" w:themeColor="text1"/>
              </w:rPr>
              <w:t>營業日（含當日）之日平均成交量放大為五倍以上，且其放大倍數與全體有價證券依本款規定計算之平均值相差四倍以上。</w:t>
            </w:r>
          </w:p>
          <w:p w14:paraId="08779C5A" w14:textId="77777777"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前項除外情形如下：</w:t>
            </w:r>
          </w:p>
          <w:p w14:paraId="6FB5EC5A" w14:textId="1A8FD896" w:rsidR="00DF2AE5" w:rsidRPr="0074731C" w:rsidRDefault="00DF2AE5" w:rsidP="00237B76">
            <w:pPr>
              <w:pStyle w:val="a3"/>
              <w:numPr>
                <w:ilvl w:val="0"/>
                <w:numId w:val="25"/>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股票初次上櫃者，除管理股票外，自其櫃檯買賣開始日起連續五個營業日。</w:t>
            </w:r>
          </w:p>
          <w:p w14:paraId="313939B9" w14:textId="34C792CB" w:rsidR="00DF2AE5" w:rsidRPr="0074731C" w:rsidRDefault="00DF2AE5" w:rsidP="00237B76">
            <w:pPr>
              <w:pStyle w:val="a3"/>
              <w:numPr>
                <w:ilvl w:val="0"/>
                <w:numId w:val="25"/>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在最近六個營業日（含當日）內，已依作業要點第四條第一項第三款公布注意交易資訊之有價證券。</w:t>
            </w:r>
          </w:p>
          <w:p w14:paraId="1DB9B91D" w14:textId="6A43E2B9" w:rsidR="00DF2AE5" w:rsidRPr="002B07A6" w:rsidRDefault="00DF2AE5" w:rsidP="002A74AE">
            <w:pPr>
              <w:pStyle w:val="a3"/>
              <w:numPr>
                <w:ilvl w:val="0"/>
                <w:numId w:val="25"/>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轉換公司債、交換公司債、非分離型附認股權公司債、非分離型附認股權特別股、債券換股權利證書、股款繳納憑證、認購（售）權證、認股權憑證、指數股票型基金受益憑證</w:t>
            </w:r>
            <w:r w:rsidR="00784B69" w:rsidRPr="002B07A6">
              <w:rPr>
                <w:rFonts w:ascii="標楷體" w:eastAsia="標楷體" w:hAnsi="標楷體" w:hint="eastAsia"/>
                <w:color w:val="000000" w:themeColor="text1"/>
                <w:u w:val="single"/>
              </w:rPr>
              <w:t>、</w:t>
            </w:r>
            <w:r w:rsidRPr="002B07A6">
              <w:rPr>
                <w:rFonts w:ascii="標楷體" w:eastAsia="標楷體" w:hAnsi="標楷體" w:hint="eastAsia"/>
                <w:color w:val="000000" w:themeColor="text1"/>
              </w:rPr>
              <w:t>指數投資證券</w:t>
            </w:r>
            <w:r w:rsidR="00784B69" w:rsidRPr="002B07A6">
              <w:rPr>
                <w:rFonts w:ascii="標楷體" w:eastAsia="標楷體" w:hAnsi="標楷體" w:hint="eastAsia"/>
                <w:color w:val="000000" w:themeColor="text1"/>
                <w:u w:val="single"/>
              </w:rPr>
              <w:t>及</w:t>
            </w:r>
            <w:r w:rsidR="00DA294D" w:rsidRPr="002B07A6">
              <w:rPr>
                <w:rFonts w:ascii="標楷體" w:eastAsia="標楷體" w:hAnsi="標楷體" w:cs="細明體" w:hint="eastAsia"/>
                <w:color w:val="000000" w:themeColor="text1"/>
                <w:kern w:val="0"/>
                <w:szCs w:val="24"/>
                <w:u w:val="single"/>
              </w:rPr>
              <w:t>不動產投資信託受益證券</w:t>
            </w:r>
            <w:r w:rsidR="00DA294D" w:rsidRPr="002B07A6">
              <w:rPr>
                <w:rFonts w:ascii="標楷體" w:eastAsia="標楷體" w:hAnsi="標楷體" w:hint="eastAsia"/>
                <w:color w:val="000000" w:themeColor="text1"/>
              </w:rPr>
              <w:t>。</w:t>
            </w:r>
          </w:p>
          <w:p w14:paraId="7A787A06" w14:textId="6AF880C9" w:rsidR="00DF2AE5" w:rsidRPr="0074731C" w:rsidRDefault="00DF2AE5" w:rsidP="00BD7028">
            <w:pPr>
              <w:pStyle w:val="a3"/>
              <w:numPr>
                <w:ilvl w:val="0"/>
                <w:numId w:val="25"/>
              </w:numPr>
              <w:ind w:leftChars="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lastRenderedPageBreak/>
              <w:t>有價證券當日達下列情事之</w:t>
            </w:r>
            <w:proofErr w:type="gramStart"/>
            <w:r w:rsidRPr="0074731C">
              <w:rPr>
                <w:rFonts w:ascii="標楷體" w:eastAsia="標楷體" w:hAnsi="標楷體" w:hint="eastAsia"/>
                <w:color w:val="000000" w:themeColor="text1"/>
                <w:u w:val="single"/>
              </w:rPr>
              <w:t>一</w:t>
            </w:r>
            <w:proofErr w:type="gramEnd"/>
            <w:r w:rsidRPr="0074731C">
              <w:rPr>
                <w:rFonts w:ascii="標楷體" w:eastAsia="標楷體" w:hAnsi="標楷體" w:hint="eastAsia"/>
                <w:color w:val="000000" w:themeColor="text1"/>
                <w:u w:val="single"/>
              </w:rPr>
              <w:t>者，不適用前項標準：</w:t>
            </w:r>
          </w:p>
          <w:p w14:paraId="7AEE2D97" w14:textId="1330895E" w:rsidR="00DF2AE5" w:rsidRPr="0074731C" w:rsidRDefault="00DF2AE5" w:rsidP="00BD7028">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w:t>
            </w:r>
            <w:proofErr w:type="gramStart"/>
            <w:r w:rsidRPr="0074731C">
              <w:rPr>
                <w:rFonts w:ascii="標楷體" w:eastAsia="標楷體" w:hAnsi="標楷體" w:hint="eastAsia"/>
                <w:color w:val="000000" w:themeColor="text1"/>
                <w:u w:val="single"/>
              </w:rPr>
              <w:t>一</w:t>
            </w:r>
            <w:proofErr w:type="gramEnd"/>
            <w:r w:rsidRPr="0074731C">
              <w:rPr>
                <w:rFonts w:ascii="標楷體" w:eastAsia="標楷體" w:hAnsi="標楷體" w:hint="eastAsia"/>
                <w:color w:val="000000" w:themeColor="text1"/>
                <w:u w:val="single"/>
              </w:rPr>
              <w:t>)週轉率未超過百分之一。</w:t>
            </w:r>
          </w:p>
          <w:p w14:paraId="1E57EBF9" w14:textId="422499B6" w:rsidR="00DF2AE5" w:rsidRPr="0074731C" w:rsidRDefault="00DF2AE5" w:rsidP="00BD7028">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(二)成交量未超過三百交易單位。</w:t>
            </w:r>
          </w:p>
          <w:p w14:paraId="2E047B83" w14:textId="73F2FFBF" w:rsidR="00DF2AE5" w:rsidRPr="0074731C" w:rsidRDefault="00DF2AE5" w:rsidP="00BD7028">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(三)成交金額未超過新臺幣二千萬元。</w:t>
            </w:r>
          </w:p>
          <w:p w14:paraId="7D031213" w14:textId="519A7A9D" w:rsidR="00DF2AE5" w:rsidRPr="0074731C" w:rsidRDefault="00DF2AE5" w:rsidP="00BD7028">
            <w:pPr>
              <w:pStyle w:val="a3"/>
              <w:numPr>
                <w:ilvl w:val="0"/>
                <w:numId w:val="25"/>
              </w:numPr>
              <w:ind w:leftChars="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最近六個營業日（含當日）內，當日之前五個營業日已依本要點第四條第一項第九款公布注意交易資訊之有價證券，其當日達下列情事之</w:t>
            </w:r>
            <w:proofErr w:type="gramStart"/>
            <w:r w:rsidRPr="0074731C">
              <w:rPr>
                <w:rFonts w:ascii="標楷體" w:eastAsia="標楷體" w:hAnsi="標楷體" w:hint="eastAsia"/>
                <w:color w:val="000000" w:themeColor="text1"/>
                <w:u w:val="single"/>
              </w:rPr>
              <w:t>一</w:t>
            </w:r>
            <w:proofErr w:type="gramEnd"/>
            <w:r w:rsidRPr="0074731C">
              <w:rPr>
                <w:rFonts w:ascii="標楷體" w:eastAsia="標楷體" w:hAnsi="標楷體" w:hint="eastAsia"/>
                <w:color w:val="000000" w:themeColor="text1"/>
                <w:u w:val="single"/>
              </w:rPr>
              <w:t>者，不適用前項標準：</w:t>
            </w:r>
          </w:p>
          <w:p w14:paraId="79D959A9" w14:textId="1D9C1202" w:rsidR="00DF2AE5" w:rsidRPr="0074731C" w:rsidRDefault="00DF2AE5" w:rsidP="00BD7028">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w:t>
            </w:r>
            <w:proofErr w:type="gramStart"/>
            <w:r w:rsidRPr="0074731C">
              <w:rPr>
                <w:rFonts w:ascii="標楷體" w:eastAsia="標楷體" w:hAnsi="標楷體" w:hint="eastAsia"/>
                <w:color w:val="000000" w:themeColor="text1"/>
                <w:u w:val="single"/>
              </w:rPr>
              <w:t>一</w:t>
            </w:r>
            <w:proofErr w:type="gramEnd"/>
            <w:r w:rsidRPr="0074731C">
              <w:rPr>
                <w:rFonts w:ascii="標楷體" w:eastAsia="標楷體" w:hAnsi="標楷體" w:hint="eastAsia"/>
                <w:color w:val="000000" w:themeColor="text1"/>
                <w:u w:val="single"/>
              </w:rPr>
              <w:t>)該有價證券最近六個營業日（含當日）之日平均成交量放大倍數</w:t>
            </w:r>
            <w:proofErr w:type="gramStart"/>
            <w:r w:rsidRPr="0074731C">
              <w:rPr>
                <w:rFonts w:ascii="標楷體" w:eastAsia="標楷體" w:hAnsi="標楷體" w:hint="eastAsia"/>
                <w:color w:val="000000" w:themeColor="text1"/>
                <w:u w:val="single"/>
              </w:rPr>
              <w:t>≦</w:t>
            </w:r>
            <w:proofErr w:type="gramEnd"/>
            <w:r w:rsidRPr="0074731C">
              <w:rPr>
                <w:rFonts w:ascii="標楷體" w:eastAsia="標楷體" w:hAnsi="標楷體" w:hint="eastAsia"/>
                <w:color w:val="000000" w:themeColor="text1"/>
                <w:u w:val="single"/>
              </w:rPr>
              <w:t>最近六個營業日（含當日）之日平均成交量放大倍數數據標準</w:t>
            </w:r>
            <w:proofErr w:type="gramStart"/>
            <w:r w:rsidRPr="0074731C">
              <w:rPr>
                <w:rFonts w:ascii="標楷體" w:eastAsia="標楷體" w:hAnsi="標楷體" w:hint="eastAsia"/>
                <w:color w:val="000000" w:themeColor="text1"/>
                <w:u w:val="single"/>
              </w:rPr>
              <w:t>ｘ</w:t>
            </w:r>
            <w:proofErr w:type="gramEnd"/>
            <w:r w:rsidRPr="0074731C">
              <w:rPr>
                <w:rFonts w:ascii="標楷體" w:eastAsia="標楷體" w:hAnsi="標楷體" w:hint="eastAsia"/>
                <w:color w:val="000000" w:themeColor="text1"/>
                <w:u w:val="single"/>
              </w:rPr>
              <w:t>（1+該有價證券當日之前六個營業日之當日沖銷成交量÷當日之前六個營業日總成交量【不含當日沖銷成交量】）。</w:t>
            </w:r>
          </w:p>
          <w:p w14:paraId="2251A4DA" w14:textId="506681A4" w:rsidR="00DF2AE5" w:rsidRPr="0074731C" w:rsidRDefault="00DF2AE5" w:rsidP="00BA0FE4">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(二)該有價證券當日之成交量放大倍數</w:t>
            </w:r>
            <w:proofErr w:type="gramStart"/>
            <w:r w:rsidRPr="0074731C">
              <w:rPr>
                <w:rFonts w:ascii="標楷體" w:eastAsia="標楷體" w:hAnsi="標楷體" w:hint="eastAsia"/>
                <w:color w:val="000000" w:themeColor="text1"/>
                <w:u w:val="single"/>
              </w:rPr>
              <w:t>≦</w:t>
            </w:r>
            <w:proofErr w:type="gramEnd"/>
            <w:r w:rsidRPr="0074731C">
              <w:rPr>
                <w:rFonts w:ascii="標楷體" w:eastAsia="標楷體" w:hAnsi="標楷體" w:hint="eastAsia"/>
                <w:color w:val="000000" w:themeColor="text1"/>
                <w:u w:val="single"/>
              </w:rPr>
              <w:t>當日之成交量放大倍數數據標準</w:t>
            </w:r>
            <w:proofErr w:type="gramStart"/>
            <w:r w:rsidRPr="0074731C">
              <w:rPr>
                <w:rFonts w:ascii="標楷體" w:eastAsia="標楷體" w:hAnsi="標楷體" w:hint="eastAsia"/>
                <w:color w:val="000000" w:themeColor="text1"/>
                <w:u w:val="single"/>
              </w:rPr>
              <w:t>ｘ</w:t>
            </w:r>
            <w:proofErr w:type="gramEnd"/>
            <w:r w:rsidRPr="0074731C">
              <w:rPr>
                <w:rFonts w:ascii="標楷體" w:eastAsia="標楷體" w:hAnsi="標楷體" w:hint="eastAsia"/>
                <w:color w:val="000000" w:themeColor="text1"/>
                <w:u w:val="single"/>
              </w:rPr>
              <w:t>（1+該有價證券當日之前一個營業日之當日沖銷成交量÷當日之前一個營業日總成交量【不含當日沖銷成交量】）。</w:t>
            </w:r>
          </w:p>
          <w:p w14:paraId="42DCFCA0" w14:textId="3952923A" w:rsidR="00DF2AE5" w:rsidRPr="0074731C" w:rsidRDefault="00DF2AE5" w:rsidP="00653A67">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(三)</w:t>
            </w:r>
            <w:r w:rsidR="00DC04CA" w:rsidRPr="00F52BB6">
              <w:rPr>
                <w:rFonts w:ascii="標楷體" w:eastAsia="標楷體" w:hAnsi="標楷體" w:hint="eastAsia"/>
                <w:color w:val="000000" w:themeColor="text1"/>
                <w:u w:val="single"/>
              </w:rPr>
              <w:t>當日</w:t>
            </w:r>
            <w:r w:rsidRPr="0074731C">
              <w:rPr>
                <w:rFonts w:ascii="標楷體" w:eastAsia="標楷體" w:hAnsi="標楷體" w:hint="eastAsia"/>
                <w:color w:val="000000" w:themeColor="text1"/>
                <w:u w:val="single"/>
              </w:rPr>
              <w:t>成交量未超過當日之前五個營業日之各日成交量。</w:t>
            </w:r>
          </w:p>
          <w:p w14:paraId="7825F355" w14:textId="7F867E65" w:rsidR="00DF2AE5" w:rsidRPr="0074731C" w:rsidRDefault="00DF2AE5" w:rsidP="005139D5">
            <w:pPr>
              <w:pStyle w:val="HTML"/>
              <w:rPr>
                <w:rFonts w:ascii="標楷體" w:eastAsia="標楷體" w:hAnsi="標楷體"/>
                <w:color w:val="000000" w:themeColor="text1"/>
              </w:rPr>
            </w:pPr>
            <w:r w:rsidRPr="0074731C">
              <w:rPr>
                <w:rFonts w:ascii="標楷體" w:eastAsia="標楷體" w:hAnsi="標楷體" w:hint="eastAsia"/>
                <w:color w:val="000000" w:themeColor="text1"/>
              </w:rPr>
              <w:t>實收資本額未達新臺幣八千萬元之發行公司股票不適用有關全體及同類有價證券及成交量之規定。</w:t>
            </w:r>
          </w:p>
          <w:p w14:paraId="016434BD" w14:textId="0042BE2E"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tc>
        <w:tc>
          <w:tcPr>
            <w:tcW w:w="3969" w:type="dxa"/>
          </w:tcPr>
          <w:p w14:paraId="38C966B4" w14:textId="6A94A8C1"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lastRenderedPageBreak/>
              <w:t>第十條</w:t>
            </w:r>
          </w:p>
          <w:p w14:paraId="09BC4064" w14:textId="20D57A81"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作業要點第四條第一項第九款「有價證券當日及最近數日之日平均成交量較最近一段期間之日平均成交量明顯放大者」，係指有價證券當日同時達下列各款情事者：</w:t>
            </w:r>
          </w:p>
          <w:p w14:paraId="15FEE82A" w14:textId="77777777" w:rsidR="00DF2AE5" w:rsidRPr="0074731C" w:rsidRDefault="00DF2AE5" w:rsidP="00237B76">
            <w:pPr>
              <w:pStyle w:val="a3"/>
              <w:numPr>
                <w:ilvl w:val="0"/>
                <w:numId w:val="26"/>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有價證券最近六個營業日（含當日）之日平均成交量較最近六十</w:t>
            </w:r>
            <w:proofErr w:type="gramStart"/>
            <w:r w:rsidRPr="0074731C">
              <w:rPr>
                <w:rFonts w:ascii="標楷體" w:eastAsia="標楷體" w:hAnsi="標楷體" w:hint="eastAsia"/>
                <w:color w:val="000000" w:themeColor="text1"/>
              </w:rPr>
              <w:t>個</w:t>
            </w:r>
            <w:proofErr w:type="gramEnd"/>
            <w:r w:rsidRPr="0074731C">
              <w:rPr>
                <w:rFonts w:ascii="標楷體" w:eastAsia="標楷體" w:hAnsi="標楷體" w:hint="eastAsia"/>
                <w:color w:val="000000" w:themeColor="text1"/>
              </w:rPr>
              <w:t>營業日（含當日）之日平均成交量放大為五倍以上，且其放大倍數與全體有價證券依本款規定計算之平均值相差四倍以上。</w:t>
            </w:r>
          </w:p>
          <w:p w14:paraId="6F1D50B2" w14:textId="77777777" w:rsidR="00DF2AE5" w:rsidRPr="0074731C" w:rsidRDefault="00DF2AE5" w:rsidP="00237B76">
            <w:pPr>
              <w:pStyle w:val="a3"/>
              <w:numPr>
                <w:ilvl w:val="0"/>
                <w:numId w:val="26"/>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當日成交量較最近六十</w:t>
            </w:r>
            <w:proofErr w:type="gramStart"/>
            <w:r w:rsidRPr="0074731C">
              <w:rPr>
                <w:rFonts w:ascii="標楷體" w:eastAsia="標楷體" w:hAnsi="標楷體" w:hint="eastAsia"/>
                <w:color w:val="000000" w:themeColor="text1"/>
              </w:rPr>
              <w:t>個</w:t>
            </w:r>
            <w:proofErr w:type="gramEnd"/>
            <w:r w:rsidRPr="0074731C">
              <w:rPr>
                <w:rFonts w:ascii="標楷體" w:eastAsia="標楷體" w:hAnsi="標楷體" w:hint="eastAsia"/>
                <w:color w:val="000000" w:themeColor="text1"/>
              </w:rPr>
              <w:t>營業日（含當日）之日平均成交量放大為五倍以上，且其放大倍數與全體有價證券依本款規定計算之平均值相差四倍以上。</w:t>
            </w:r>
          </w:p>
          <w:p w14:paraId="52ADBAC4" w14:textId="77777777"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前項除外情形如下：</w:t>
            </w:r>
          </w:p>
          <w:p w14:paraId="6DE2E604" w14:textId="77777777" w:rsidR="00DF2AE5" w:rsidRPr="0074731C" w:rsidRDefault="00DF2AE5" w:rsidP="00237B76">
            <w:pPr>
              <w:pStyle w:val="a3"/>
              <w:numPr>
                <w:ilvl w:val="0"/>
                <w:numId w:val="27"/>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股票初次上櫃者，除管理股票外，自其櫃檯買賣開始日起連續五個營業日。</w:t>
            </w:r>
          </w:p>
          <w:p w14:paraId="349F081D" w14:textId="77777777" w:rsidR="00DF2AE5" w:rsidRPr="0074731C" w:rsidRDefault="00DF2AE5" w:rsidP="00237B76">
            <w:pPr>
              <w:pStyle w:val="a3"/>
              <w:numPr>
                <w:ilvl w:val="0"/>
                <w:numId w:val="27"/>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在最近六個營業日（含當日）內，已依作業要點第四條第一項第三款公布注意交易資訊之有價證券。</w:t>
            </w:r>
          </w:p>
          <w:p w14:paraId="5407004C" w14:textId="3484C775" w:rsidR="00DF2AE5" w:rsidRPr="0074731C" w:rsidRDefault="00DF2AE5" w:rsidP="00237B76">
            <w:pPr>
              <w:pStyle w:val="a3"/>
              <w:numPr>
                <w:ilvl w:val="0"/>
                <w:numId w:val="27"/>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轉換公司債、交換公司債、非分離型附認股權公司債、非分離型附認股權特別股、債券換股權利證書、股款繳納憑證、認購（售）權證、認股權憑證、指數股票型基金受益憑證及指數投資證券。</w:t>
            </w:r>
          </w:p>
          <w:p w14:paraId="64E49284" w14:textId="77777777" w:rsidR="00A67AFA" w:rsidRPr="0074731C" w:rsidRDefault="00A67AFA" w:rsidP="00A67AFA">
            <w:pPr>
              <w:pStyle w:val="a3"/>
              <w:ind w:leftChars="0" w:left="500"/>
              <w:jc w:val="both"/>
              <w:rPr>
                <w:rFonts w:ascii="標楷體" w:eastAsia="標楷體" w:hAnsi="標楷體"/>
                <w:color w:val="000000" w:themeColor="text1"/>
              </w:rPr>
            </w:pPr>
          </w:p>
          <w:p w14:paraId="2BA3538E" w14:textId="02FA70F7" w:rsidR="00DF2AE5" w:rsidRPr="0074731C" w:rsidRDefault="00DF2AE5" w:rsidP="00237B76">
            <w:pPr>
              <w:pStyle w:val="a3"/>
              <w:numPr>
                <w:ilvl w:val="0"/>
                <w:numId w:val="27"/>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u w:val="single"/>
              </w:rPr>
              <w:lastRenderedPageBreak/>
              <w:t>有價證券當日週轉率未達百分之一以上，或成交量未達三百交易單位以上者。</w:t>
            </w:r>
          </w:p>
          <w:p w14:paraId="5CCC59A5" w14:textId="176396C0" w:rsidR="00DF2AE5" w:rsidRPr="0074731C" w:rsidRDefault="00DF2AE5" w:rsidP="00653A67">
            <w:pPr>
              <w:jc w:val="both"/>
              <w:rPr>
                <w:rFonts w:ascii="標楷體" w:eastAsia="標楷體" w:hAnsi="標楷體"/>
                <w:color w:val="000000" w:themeColor="text1"/>
              </w:rPr>
            </w:pPr>
          </w:p>
          <w:p w14:paraId="629AF8F3" w14:textId="6E4D5AC4" w:rsidR="00DF2AE5" w:rsidRPr="0074731C" w:rsidRDefault="00DF2AE5" w:rsidP="00653A67">
            <w:pPr>
              <w:jc w:val="both"/>
              <w:rPr>
                <w:rFonts w:ascii="標楷體" w:eastAsia="標楷體" w:hAnsi="標楷體"/>
                <w:color w:val="000000" w:themeColor="text1"/>
              </w:rPr>
            </w:pPr>
          </w:p>
          <w:p w14:paraId="289FFEE6" w14:textId="026823E0" w:rsidR="00DF2AE5" w:rsidRPr="0074731C" w:rsidRDefault="00DF2AE5" w:rsidP="00653A67">
            <w:pPr>
              <w:jc w:val="both"/>
              <w:rPr>
                <w:rFonts w:ascii="標楷體" w:eastAsia="標楷體" w:hAnsi="標楷體"/>
                <w:color w:val="000000" w:themeColor="text1"/>
              </w:rPr>
            </w:pPr>
          </w:p>
          <w:p w14:paraId="0703D48A" w14:textId="38FD708D" w:rsidR="00DF2AE5" w:rsidRPr="0074731C" w:rsidRDefault="00DF2AE5" w:rsidP="00653A67">
            <w:pPr>
              <w:jc w:val="both"/>
              <w:rPr>
                <w:rFonts w:ascii="標楷體" w:eastAsia="標楷體" w:hAnsi="標楷體"/>
                <w:color w:val="000000" w:themeColor="text1"/>
              </w:rPr>
            </w:pPr>
          </w:p>
          <w:p w14:paraId="6DD39076" w14:textId="6859E465" w:rsidR="00DF2AE5" w:rsidRPr="0074731C" w:rsidRDefault="00DF2AE5" w:rsidP="00653A67">
            <w:pPr>
              <w:jc w:val="both"/>
              <w:rPr>
                <w:rFonts w:ascii="標楷體" w:eastAsia="標楷體" w:hAnsi="標楷體"/>
                <w:color w:val="000000" w:themeColor="text1"/>
              </w:rPr>
            </w:pPr>
          </w:p>
          <w:p w14:paraId="5B9BD553" w14:textId="0453BACE" w:rsidR="00DF2AE5" w:rsidRPr="0074731C" w:rsidRDefault="00DF2AE5" w:rsidP="00653A67">
            <w:pPr>
              <w:jc w:val="both"/>
              <w:rPr>
                <w:rFonts w:ascii="標楷體" w:eastAsia="標楷體" w:hAnsi="標楷體"/>
                <w:color w:val="000000" w:themeColor="text1"/>
              </w:rPr>
            </w:pPr>
          </w:p>
          <w:p w14:paraId="1B3228A9" w14:textId="6E4E9B3B" w:rsidR="00DF2AE5" w:rsidRPr="0074731C" w:rsidRDefault="00DF2AE5" w:rsidP="00653A67">
            <w:pPr>
              <w:jc w:val="both"/>
              <w:rPr>
                <w:rFonts w:ascii="標楷體" w:eastAsia="標楷體" w:hAnsi="標楷體"/>
                <w:color w:val="000000" w:themeColor="text1"/>
              </w:rPr>
            </w:pPr>
          </w:p>
          <w:p w14:paraId="58A61D58" w14:textId="77C09CFF" w:rsidR="00DF2AE5" w:rsidRPr="0074731C" w:rsidRDefault="00DF2AE5" w:rsidP="00653A67">
            <w:pPr>
              <w:jc w:val="both"/>
              <w:rPr>
                <w:rFonts w:ascii="標楷體" w:eastAsia="標楷體" w:hAnsi="標楷體"/>
                <w:color w:val="000000" w:themeColor="text1"/>
              </w:rPr>
            </w:pPr>
          </w:p>
          <w:p w14:paraId="3353CF49" w14:textId="3143E5AF" w:rsidR="00DF2AE5" w:rsidRPr="0074731C" w:rsidRDefault="00DF2AE5" w:rsidP="00653A67">
            <w:pPr>
              <w:jc w:val="both"/>
              <w:rPr>
                <w:rFonts w:ascii="標楷體" w:eastAsia="標楷體" w:hAnsi="標楷體"/>
                <w:color w:val="000000" w:themeColor="text1"/>
              </w:rPr>
            </w:pPr>
          </w:p>
          <w:p w14:paraId="14CF2CF7" w14:textId="6AFCB0A8" w:rsidR="00DF2AE5" w:rsidRPr="0074731C" w:rsidRDefault="00DF2AE5" w:rsidP="00653A67">
            <w:pPr>
              <w:jc w:val="both"/>
              <w:rPr>
                <w:rFonts w:ascii="標楷體" w:eastAsia="標楷體" w:hAnsi="標楷體"/>
                <w:color w:val="000000" w:themeColor="text1"/>
              </w:rPr>
            </w:pPr>
          </w:p>
          <w:p w14:paraId="7B120E52" w14:textId="7EBC5233" w:rsidR="00DF2AE5" w:rsidRPr="0074731C" w:rsidRDefault="00DF2AE5" w:rsidP="00653A67">
            <w:pPr>
              <w:jc w:val="both"/>
              <w:rPr>
                <w:rFonts w:ascii="標楷體" w:eastAsia="標楷體" w:hAnsi="標楷體"/>
                <w:color w:val="000000" w:themeColor="text1"/>
              </w:rPr>
            </w:pPr>
          </w:p>
          <w:p w14:paraId="19AA7CD2" w14:textId="3C83355E" w:rsidR="00DF2AE5" w:rsidRPr="0074731C" w:rsidRDefault="00DF2AE5" w:rsidP="00653A67">
            <w:pPr>
              <w:jc w:val="both"/>
              <w:rPr>
                <w:rFonts w:ascii="標楷體" w:eastAsia="標楷體" w:hAnsi="標楷體"/>
                <w:color w:val="000000" w:themeColor="text1"/>
              </w:rPr>
            </w:pPr>
          </w:p>
          <w:p w14:paraId="10A33004" w14:textId="5F75CD43" w:rsidR="00DF2AE5" w:rsidRPr="0074731C" w:rsidRDefault="00DF2AE5" w:rsidP="00653A67">
            <w:pPr>
              <w:jc w:val="both"/>
              <w:rPr>
                <w:rFonts w:ascii="標楷體" w:eastAsia="標楷體" w:hAnsi="標楷體"/>
                <w:color w:val="000000" w:themeColor="text1"/>
              </w:rPr>
            </w:pPr>
          </w:p>
          <w:p w14:paraId="45506BF1" w14:textId="3949C5E8" w:rsidR="00DF2AE5" w:rsidRPr="0074731C" w:rsidRDefault="00DF2AE5" w:rsidP="00653A67">
            <w:pPr>
              <w:jc w:val="both"/>
              <w:rPr>
                <w:rFonts w:ascii="標楷體" w:eastAsia="標楷體" w:hAnsi="標楷體"/>
                <w:color w:val="000000" w:themeColor="text1"/>
              </w:rPr>
            </w:pPr>
          </w:p>
          <w:p w14:paraId="5E3A2873" w14:textId="782EB571" w:rsidR="00DF2AE5" w:rsidRPr="0074731C" w:rsidRDefault="00DF2AE5" w:rsidP="00653A67">
            <w:pPr>
              <w:jc w:val="both"/>
              <w:rPr>
                <w:rFonts w:ascii="標楷體" w:eastAsia="標楷體" w:hAnsi="標楷體"/>
                <w:color w:val="000000" w:themeColor="text1"/>
              </w:rPr>
            </w:pPr>
          </w:p>
          <w:p w14:paraId="32F39EF2" w14:textId="47257D29" w:rsidR="00DF2AE5" w:rsidRPr="0074731C" w:rsidRDefault="00DF2AE5" w:rsidP="00653A67">
            <w:pPr>
              <w:jc w:val="both"/>
              <w:rPr>
                <w:rFonts w:ascii="標楷體" w:eastAsia="標楷體" w:hAnsi="標楷體"/>
                <w:color w:val="000000" w:themeColor="text1"/>
              </w:rPr>
            </w:pPr>
          </w:p>
          <w:p w14:paraId="043F602B" w14:textId="0E591609" w:rsidR="00DF2AE5" w:rsidRPr="0074731C" w:rsidRDefault="00DF2AE5" w:rsidP="00653A67">
            <w:pPr>
              <w:jc w:val="both"/>
              <w:rPr>
                <w:rFonts w:ascii="標楷體" w:eastAsia="標楷體" w:hAnsi="標楷體"/>
                <w:color w:val="000000" w:themeColor="text1"/>
              </w:rPr>
            </w:pPr>
          </w:p>
          <w:p w14:paraId="0AAF0488" w14:textId="774D7DCA" w:rsidR="00DF2AE5" w:rsidRPr="0074731C" w:rsidRDefault="00DF2AE5" w:rsidP="00653A67">
            <w:pPr>
              <w:jc w:val="both"/>
              <w:rPr>
                <w:rFonts w:ascii="標楷體" w:eastAsia="標楷體" w:hAnsi="標楷體"/>
                <w:color w:val="000000" w:themeColor="text1"/>
              </w:rPr>
            </w:pPr>
          </w:p>
          <w:p w14:paraId="72DFAAE9" w14:textId="09ACA8A8" w:rsidR="00DF2AE5" w:rsidRPr="0074731C" w:rsidRDefault="00DF2AE5" w:rsidP="00653A67">
            <w:pPr>
              <w:jc w:val="both"/>
              <w:rPr>
                <w:rFonts w:ascii="標楷體" w:eastAsia="標楷體" w:hAnsi="標楷體"/>
                <w:color w:val="000000" w:themeColor="text1"/>
              </w:rPr>
            </w:pPr>
          </w:p>
          <w:p w14:paraId="3FCED9D2" w14:textId="7D872E3E" w:rsidR="00DF2AE5" w:rsidRPr="0074731C" w:rsidRDefault="00DF2AE5" w:rsidP="00653A67">
            <w:pPr>
              <w:jc w:val="both"/>
              <w:rPr>
                <w:rFonts w:ascii="標楷體" w:eastAsia="標楷體" w:hAnsi="標楷體"/>
                <w:color w:val="000000" w:themeColor="text1"/>
              </w:rPr>
            </w:pPr>
          </w:p>
          <w:p w14:paraId="46060260" w14:textId="6F95EE78" w:rsidR="00DF2AE5" w:rsidRPr="0074731C" w:rsidRDefault="00DF2AE5" w:rsidP="00653A67">
            <w:pPr>
              <w:jc w:val="both"/>
              <w:rPr>
                <w:rFonts w:ascii="標楷體" w:eastAsia="標楷體" w:hAnsi="標楷體"/>
                <w:color w:val="000000" w:themeColor="text1"/>
              </w:rPr>
            </w:pPr>
          </w:p>
          <w:p w14:paraId="65EA6A60" w14:textId="6CFFDD95" w:rsidR="00DF2AE5" w:rsidRPr="0074731C" w:rsidRDefault="00DF2AE5" w:rsidP="00653A67">
            <w:pPr>
              <w:jc w:val="both"/>
              <w:rPr>
                <w:rFonts w:ascii="標楷體" w:eastAsia="標楷體" w:hAnsi="標楷體"/>
                <w:color w:val="000000" w:themeColor="text1"/>
              </w:rPr>
            </w:pPr>
          </w:p>
          <w:p w14:paraId="2EE48EDF" w14:textId="1149D0AA" w:rsidR="00DF2AE5" w:rsidRPr="0074731C" w:rsidRDefault="00DF2AE5" w:rsidP="00653A67">
            <w:pPr>
              <w:jc w:val="both"/>
              <w:rPr>
                <w:rFonts w:ascii="標楷體" w:eastAsia="標楷體" w:hAnsi="標楷體"/>
                <w:color w:val="000000" w:themeColor="text1"/>
              </w:rPr>
            </w:pPr>
          </w:p>
          <w:p w14:paraId="57D6C074" w14:textId="64A212E8" w:rsidR="00DF2AE5" w:rsidRPr="0074731C" w:rsidRDefault="00DF2AE5" w:rsidP="00653A67">
            <w:pPr>
              <w:jc w:val="both"/>
              <w:rPr>
                <w:rFonts w:ascii="標楷體" w:eastAsia="標楷體" w:hAnsi="標楷體"/>
                <w:color w:val="000000" w:themeColor="text1"/>
              </w:rPr>
            </w:pPr>
          </w:p>
          <w:p w14:paraId="38BC3648" w14:textId="277B467E" w:rsidR="00DF2AE5" w:rsidRPr="0074731C" w:rsidRDefault="00DF2AE5" w:rsidP="00653A67">
            <w:pPr>
              <w:jc w:val="both"/>
              <w:rPr>
                <w:rFonts w:ascii="標楷體" w:eastAsia="標楷體" w:hAnsi="標楷體"/>
                <w:color w:val="000000" w:themeColor="text1"/>
              </w:rPr>
            </w:pPr>
          </w:p>
          <w:p w14:paraId="3F4C1D8D" w14:textId="66167287" w:rsidR="00DF2AE5" w:rsidRPr="0074731C" w:rsidRDefault="00DF2AE5" w:rsidP="00653A67">
            <w:pPr>
              <w:jc w:val="both"/>
              <w:rPr>
                <w:rFonts w:ascii="標楷體" w:eastAsia="標楷體" w:hAnsi="標楷體"/>
                <w:color w:val="000000" w:themeColor="text1"/>
              </w:rPr>
            </w:pPr>
          </w:p>
          <w:p w14:paraId="063489C0" w14:textId="28954306" w:rsidR="00DF2AE5" w:rsidRPr="0074731C" w:rsidRDefault="00DF2AE5" w:rsidP="00653A67">
            <w:pPr>
              <w:jc w:val="both"/>
              <w:rPr>
                <w:rFonts w:ascii="標楷體" w:eastAsia="標楷體" w:hAnsi="標楷體"/>
                <w:color w:val="000000" w:themeColor="text1"/>
              </w:rPr>
            </w:pPr>
          </w:p>
          <w:p w14:paraId="01390078" w14:textId="02D3B36B" w:rsidR="00DF2AE5" w:rsidRPr="0074731C" w:rsidRDefault="00DF2AE5" w:rsidP="00653A67">
            <w:pPr>
              <w:jc w:val="both"/>
              <w:rPr>
                <w:rFonts w:ascii="標楷體" w:eastAsia="標楷體" w:hAnsi="標楷體"/>
                <w:color w:val="000000" w:themeColor="text1"/>
              </w:rPr>
            </w:pPr>
          </w:p>
          <w:p w14:paraId="00B6B5C6" w14:textId="7C682439" w:rsidR="00DF2AE5" w:rsidRPr="0074731C" w:rsidRDefault="00DF2AE5" w:rsidP="00653A67">
            <w:pPr>
              <w:jc w:val="both"/>
              <w:rPr>
                <w:rFonts w:ascii="標楷體" w:eastAsia="標楷體" w:hAnsi="標楷體"/>
                <w:color w:val="000000" w:themeColor="text1"/>
              </w:rPr>
            </w:pPr>
          </w:p>
          <w:p w14:paraId="4242A0DC" w14:textId="28B9D06F" w:rsidR="00DF2AE5" w:rsidRDefault="00DF2AE5" w:rsidP="00653A67">
            <w:pPr>
              <w:jc w:val="both"/>
              <w:rPr>
                <w:rFonts w:ascii="標楷體" w:eastAsia="標楷體" w:hAnsi="標楷體"/>
                <w:color w:val="000000" w:themeColor="text1"/>
              </w:rPr>
            </w:pPr>
          </w:p>
          <w:p w14:paraId="7B7E008C" w14:textId="77777777" w:rsidR="00305503" w:rsidRPr="00305503" w:rsidRDefault="00305503" w:rsidP="00653A67">
            <w:pPr>
              <w:jc w:val="both"/>
              <w:rPr>
                <w:rFonts w:ascii="標楷體" w:eastAsia="標楷體" w:hAnsi="標楷體"/>
                <w:color w:val="000000" w:themeColor="text1"/>
              </w:rPr>
            </w:pPr>
          </w:p>
          <w:p w14:paraId="33C9304D" w14:textId="2ADF607A" w:rsidR="00DF2AE5" w:rsidRPr="0074731C" w:rsidRDefault="00DF2AE5" w:rsidP="005139D5">
            <w:pPr>
              <w:pStyle w:val="HTML"/>
              <w:rPr>
                <w:rFonts w:ascii="標楷體" w:eastAsia="標楷體" w:hAnsi="標楷體"/>
                <w:color w:val="000000" w:themeColor="text1"/>
              </w:rPr>
            </w:pPr>
            <w:r w:rsidRPr="0074731C">
              <w:rPr>
                <w:rFonts w:ascii="標楷體" w:eastAsia="標楷體" w:hAnsi="標楷體" w:hint="eastAsia"/>
                <w:color w:val="000000" w:themeColor="text1"/>
              </w:rPr>
              <w:t>實收資本額未達新臺幣八千萬元之發行公司股票不適用有關全體及同類有價證券及成交量之規定。</w:t>
            </w:r>
          </w:p>
          <w:p w14:paraId="484EB8EA" w14:textId="77777777" w:rsidR="00DF2AE5" w:rsidRPr="0074731C" w:rsidRDefault="00DF2AE5" w:rsidP="00653A67">
            <w:pPr>
              <w:ind w:leftChars="200" w:left="960" w:hangingChars="200" w:hanging="480"/>
              <w:jc w:val="both"/>
              <w:rPr>
                <w:rFonts w:ascii="標楷體" w:eastAsia="標楷體" w:hAnsi="標楷體"/>
                <w:color w:val="000000" w:themeColor="text1"/>
              </w:rPr>
            </w:pPr>
          </w:p>
          <w:p w14:paraId="7C47DB5F" w14:textId="53137B98"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tc>
        <w:tc>
          <w:tcPr>
            <w:tcW w:w="1984" w:type="dxa"/>
          </w:tcPr>
          <w:p w14:paraId="183811C5" w14:textId="77777777" w:rsidR="00A67DCC" w:rsidRPr="0074731C" w:rsidRDefault="00A67DCC" w:rsidP="005139D5">
            <w:pPr>
              <w:jc w:val="both"/>
              <w:rPr>
                <w:rFonts w:ascii="標楷體" w:eastAsia="標楷體" w:hAnsi="標楷體" w:cs="細明體"/>
                <w:color w:val="000000" w:themeColor="text1"/>
                <w:kern w:val="0"/>
              </w:rPr>
            </w:pPr>
          </w:p>
          <w:p w14:paraId="0D9C9FE5" w14:textId="0D6E27EB" w:rsidR="00DF2AE5" w:rsidRPr="0074731C" w:rsidRDefault="00DF2AE5" w:rsidP="005139D5">
            <w:pPr>
              <w:jc w:val="both"/>
              <w:rPr>
                <w:rFonts w:ascii="標楷體" w:eastAsia="標楷體" w:hAnsi="標楷體" w:cs="細明體"/>
                <w:color w:val="000000" w:themeColor="text1"/>
                <w:kern w:val="0"/>
              </w:rPr>
            </w:pPr>
            <w:r w:rsidRPr="0074731C">
              <w:rPr>
                <w:rFonts w:ascii="標楷體" w:eastAsia="標楷體" w:hAnsi="標楷體" w:cs="細明體" w:hint="eastAsia"/>
                <w:color w:val="000000" w:themeColor="text1"/>
                <w:kern w:val="0"/>
              </w:rPr>
              <w:t>配合作業要點新增第4條第1項第13款，已就有價證券總成交量之當沖成交量比率異常予以特別規定，</w:t>
            </w:r>
            <w:proofErr w:type="gramStart"/>
            <w:r w:rsidRPr="0074731C">
              <w:rPr>
                <w:rFonts w:ascii="標楷體" w:eastAsia="標楷體" w:hAnsi="標楷體" w:cs="細明體" w:hint="eastAsia"/>
                <w:color w:val="000000" w:themeColor="text1"/>
                <w:kern w:val="0"/>
              </w:rPr>
              <w:t>爰</w:t>
            </w:r>
            <w:proofErr w:type="gramEnd"/>
            <w:r w:rsidRPr="0074731C">
              <w:rPr>
                <w:rFonts w:ascii="標楷體" w:eastAsia="標楷體" w:hAnsi="標楷體" w:cs="細明體" w:hint="eastAsia"/>
                <w:color w:val="000000" w:themeColor="text1"/>
                <w:kern w:val="0"/>
              </w:rPr>
              <w:t>新增本條第2項第5款，將當沖相關成交量因素適度納入</w:t>
            </w:r>
            <w:proofErr w:type="gramStart"/>
            <w:r w:rsidRPr="0074731C">
              <w:rPr>
                <w:rFonts w:ascii="標楷體" w:eastAsia="標楷體" w:hAnsi="標楷體" w:cs="細明體" w:hint="eastAsia"/>
                <w:color w:val="000000" w:themeColor="text1"/>
                <w:kern w:val="0"/>
              </w:rPr>
              <w:t>本條總成交量</w:t>
            </w:r>
            <w:proofErr w:type="gramEnd"/>
            <w:r w:rsidRPr="0074731C">
              <w:rPr>
                <w:rFonts w:ascii="標楷體" w:eastAsia="標楷體" w:hAnsi="標楷體" w:cs="細明體" w:hint="eastAsia"/>
                <w:color w:val="000000" w:themeColor="text1"/>
                <w:kern w:val="0"/>
              </w:rPr>
              <w:t>異常標準之除外情形，</w:t>
            </w:r>
            <w:r w:rsidR="00D70EB4">
              <w:rPr>
                <w:rFonts w:ascii="標楷體" w:eastAsia="標楷體" w:hAnsi="標楷體" w:cs="細明體" w:hint="eastAsia"/>
                <w:color w:val="000000" w:themeColor="text1"/>
                <w:kern w:val="0"/>
              </w:rPr>
              <w:t>並配合修</w:t>
            </w:r>
            <w:r w:rsidR="00755457">
              <w:rPr>
                <w:rFonts w:ascii="標楷體" w:eastAsia="標楷體" w:hAnsi="標楷體" w:cs="細明體" w:hint="eastAsia"/>
                <w:color w:val="000000" w:themeColor="text1"/>
                <w:kern w:val="0"/>
              </w:rPr>
              <w:t>正</w:t>
            </w:r>
            <w:r w:rsidR="00D70EB4">
              <w:rPr>
                <w:rFonts w:ascii="標楷體" w:eastAsia="標楷體" w:hAnsi="標楷體" w:cs="細明體" w:hint="eastAsia"/>
                <w:color w:val="000000" w:themeColor="text1"/>
                <w:kern w:val="0"/>
              </w:rPr>
              <w:t>本條第2項第</w:t>
            </w:r>
            <w:r w:rsidR="0077596B">
              <w:rPr>
                <w:rFonts w:ascii="標楷體" w:eastAsia="標楷體" w:hAnsi="標楷體" w:cs="細明體" w:hint="eastAsia"/>
                <w:color w:val="000000" w:themeColor="text1"/>
                <w:kern w:val="0"/>
              </w:rPr>
              <w:t>4</w:t>
            </w:r>
            <w:r w:rsidR="00D70EB4">
              <w:rPr>
                <w:rFonts w:ascii="標楷體" w:eastAsia="標楷體" w:hAnsi="標楷體" w:cs="細明體" w:hint="eastAsia"/>
                <w:color w:val="000000" w:themeColor="text1"/>
                <w:kern w:val="0"/>
              </w:rPr>
              <w:t>款，</w:t>
            </w:r>
            <w:r w:rsidR="00A61E37" w:rsidRPr="00A61E37">
              <w:rPr>
                <w:rFonts w:ascii="標楷體" w:eastAsia="標楷體" w:hAnsi="標楷體" w:cs="細明體" w:hint="eastAsia"/>
                <w:color w:val="000000" w:themeColor="text1"/>
                <w:kern w:val="0"/>
              </w:rPr>
              <w:t>另為強化異常交易管理，</w:t>
            </w:r>
            <w:proofErr w:type="gramStart"/>
            <w:r w:rsidR="00A61E37" w:rsidRPr="00A61E37">
              <w:rPr>
                <w:rFonts w:ascii="標楷體" w:eastAsia="標楷體" w:hAnsi="標楷體" w:cs="細明體" w:hint="eastAsia"/>
                <w:color w:val="000000" w:themeColor="text1"/>
                <w:kern w:val="0"/>
              </w:rPr>
              <w:t>爰</w:t>
            </w:r>
            <w:proofErr w:type="gramEnd"/>
            <w:r w:rsidR="00A61E37" w:rsidRPr="00A61E37">
              <w:rPr>
                <w:rFonts w:ascii="標楷體" w:eastAsia="標楷體" w:hAnsi="標楷體" w:cs="細明體" w:hint="eastAsia"/>
                <w:color w:val="000000" w:themeColor="text1"/>
                <w:kern w:val="0"/>
              </w:rPr>
              <w:t>修</w:t>
            </w:r>
            <w:r w:rsidR="00755457">
              <w:rPr>
                <w:rFonts w:ascii="標楷體" w:eastAsia="標楷體" w:hAnsi="標楷體" w:cs="細明體" w:hint="eastAsia"/>
                <w:color w:val="000000" w:themeColor="text1"/>
                <w:kern w:val="0"/>
              </w:rPr>
              <w:t>正</w:t>
            </w:r>
            <w:r w:rsidRPr="0074731C">
              <w:rPr>
                <w:rFonts w:ascii="標楷體" w:eastAsia="標楷體" w:hAnsi="標楷體" w:cs="細明體" w:hint="eastAsia"/>
                <w:color w:val="000000" w:themeColor="text1"/>
                <w:kern w:val="0"/>
              </w:rPr>
              <w:t>本條第2項</w:t>
            </w:r>
            <w:r w:rsidR="00DA294D" w:rsidRPr="002B07A6">
              <w:rPr>
                <w:rFonts w:ascii="標楷體" w:eastAsia="標楷體" w:hAnsi="標楷體" w:cs="細明體" w:hint="eastAsia"/>
                <w:color w:val="000000" w:themeColor="text1"/>
                <w:kern w:val="0"/>
              </w:rPr>
              <w:t>第3款</w:t>
            </w:r>
            <w:r w:rsidRPr="002B07A6">
              <w:rPr>
                <w:rFonts w:ascii="標楷體" w:eastAsia="標楷體" w:hAnsi="標楷體" w:cs="細明體" w:hint="eastAsia"/>
                <w:color w:val="000000" w:themeColor="text1"/>
                <w:kern w:val="0"/>
              </w:rPr>
              <w:t>，以</w:t>
            </w:r>
            <w:r w:rsidRPr="0074731C">
              <w:rPr>
                <w:rFonts w:ascii="標楷體" w:eastAsia="標楷體" w:hAnsi="標楷體" w:cs="細明體" w:hint="eastAsia"/>
                <w:color w:val="000000" w:themeColor="text1"/>
                <w:kern w:val="0"/>
              </w:rPr>
              <w:t>適當提醒投資人注意交易風險。</w:t>
            </w:r>
          </w:p>
          <w:p w14:paraId="6ACBEF08" w14:textId="77777777" w:rsidR="00DF2AE5" w:rsidRPr="0074731C" w:rsidRDefault="00DF2AE5" w:rsidP="000C2C5F">
            <w:pPr>
              <w:jc w:val="both"/>
              <w:rPr>
                <w:rFonts w:ascii="標楷體" w:eastAsia="標楷體" w:hAnsi="標楷體"/>
                <w:color w:val="000000" w:themeColor="text1"/>
              </w:rPr>
            </w:pPr>
          </w:p>
          <w:p w14:paraId="45C1CD78" w14:textId="77777777" w:rsidR="00DF2AE5" w:rsidRPr="0074731C" w:rsidRDefault="00DF2AE5" w:rsidP="000C2C5F">
            <w:pPr>
              <w:jc w:val="both"/>
              <w:rPr>
                <w:rFonts w:ascii="標楷體" w:eastAsia="標楷體" w:hAnsi="標楷體"/>
                <w:color w:val="000000" w:themeColor="text1"/>
              </w:rPr>
            </w:pPr>
          </w:p>
          <w:p w14:paraId="53190506" w14:textId="77777777" w:rsidR="00DF2AE5" w:rsidRPr="0074731C" w:rsidRDefault="00DF2AE5" w:rsidP="000C2C5F">
            <w:pPr>
              <w:jc w:val="both"/>
              <w:rPr>
                <w:rFonts w:ascii="標楷體" w:eastAsia="標楷體" w:hAnsi="標楷體"/>
                <w:color w:val="000000" w:themeColor="text1"/>
              </w:rPr>
            </w:pPr>
          </w:p>
          <w:p w14:paraId="6E690163" w14:textId="77777777" w:rsidR="00DF2AE5" w:rsidRPr="0074731C" w:rsidRDefault="00DF2AE5" w:rsidP="000C2C5F">
            <w:pPr>
              <w:jc w:val="both"/>
              <w:rPr>
                <w:rFonts w:ascii="標楷體" w:eastAsia="標楷體" w:hAnsi="標楷體"/>
                <w:color w:val="000000" w:themeColor="text1"/>
              </w:rPr>
            </w:pPr>
          </w:p>
          <w:p w14:paraId="0A178D67" w14:textId="77777777" w:rsidR="00DF2AE5" w:rsidRPr="0074731C" w:rsidRDefault="00DF2AE5" w:rsidP="000C2C5F">
            <w:pPr>
              <w:jc w:val="both"/>
              <w:rPr>
                <w:rFonts w:ascii="標楷體" w:eastAsia="標楷體" w:hAnsi="標楷體"/>
                <w:color w:val="000000" w:themeColor="text1"/>
              </w:rPr>
            </w:pPr>
          </w:p>
          <w:p w14:paraId="239A16E9" w14:textId="77777777" w:rsidR="00DF2AE5" w:rsidRPr="0074731C" w:rsidRDefault="00DF2AE5" w:rsidP="000C2C5F">
            <w:pPr>
              <w:jc w:val="both"/>
              <w:rPr>
                <w:rFonts w:ascii="標楷體" w:eastAsia="標楷體" w:hAnsi="標楷體"/>
                <w:color w:val="000000" w:themeColor="text1"/>
              </w:rPr>
            </w:pPr>
          </w:p>
          <w:p w14:paraId="2E10B72B" w14:textId="77777777" w:rsidR="00DF2AE5" w:rsidRPr="0074731C" w:rsidRDefault="00DF2AE5" w:rsidP="000C2C5F">
            <w:pPr>
              <w:jc w:val="both"/>
              <w:rPr>
                <w:rFonts w:ascii="標楷體" w:eastAsia="標楷體" w:hAnsi="標楷體"/>
                <w:color w:val="000000" w:themeColor="text1"/>
              </w:rPr>
            </w:pPr>
          </w:p>
          <w:p w14:paraId="54F702A8" w14:textId="77777777" w:rsidR="00DF2AE5" w:rsidRPr="0074731C" w:rsidRDefault="00DF2AE5" w:rsidP="000C2C5F">
            <w:pPr>
              <w:jc w:val="both"/>
              <w:rPr>
                <w:rFonts w:ascii="標楷體" w:eastAsia="標楷體" w:hAnsi="標楷體"/>
                <w:color w:val="000000" w:themeColor="text1"/>
              </w:rPr>
            </w:pPr>
          </w:p>
          <w:p w14:paraId="2EE80A31" w14:textId="77777777" w:rsidR="00DF2AE5" w:rsidRPr="0074731C" w:rsidRDefault="00DF2AE5" w:rsidP="000C2C5F">
            <w:pPr>
              <w:jc w:val="both"/>
              <w:rPr>
                <w:rFonts w:ascii="標楷體" w:eastAsia="標楷體" w:hAnsi="標楷體"/>
                <w:color w:val="000000" w:themeColor="text1"/>
              </w:rPr>
            </w:pPr>
          </w:p>
          <w:p w14:paraId="082E04F4" w14:textId="77777777" w:rsidR="00DF2AE5" w:rsidRPr="0074731C" w:rsidRDefault="00DF2AE5" w:rsidP="000C2C5F">
            <w:pPr>
              <w:jc w:val="both"/>
              <w:rPr>
                <w:rFonts w:ascii="標楷體" w:eastAsia="標楷體" w:hAnsi="標楷體"/>
                <w:color w:val="000000" w:themeColor="text1"/>
              </w:rPr>
            </w:pPr>
          </w:p>
          <w:p w14:paraId="300CA714" w14:textId="77777777" w:rsidR="00DF2AE5" w:rsidRPr="0074731C" w:rsidRDefault="00DF2AE5" w:rsidP="000C2C5F">
            <w:pPr>
              <w:jc w:val="both"/>
              <w:rPr>
                <w:rFonts w:ascii="標楷體" w:eastAsia="標楷體" w:hAnsi="標楷體"/>
                <w:color w:val="000000" w:themeColor="text1"/>
              </w:rPr>
            </w:pPr>
          </w:p>
          <w:p w14:paraId="6BB7CBDD" w14:textId="73710F60" w:rsidR="00DF2AE5" w:rsidRPr="0074731C" w:rsidRDefault="00DF2AE5" w:rsidP="000C2C5F">
            <w:pPr>
              <w:jc w:val="both"/>
              <w:rPr>
                <w:rFonts w:ascii="標楷體" w:eastAsia="標楷體" w:hAnsi="標楷體"/>
                <w:color w:val="000000" w:themeColor="text1"/>
              </w:rPr>
            </w:pPr>
          </w:p>
        </w:tc>
      </w:tr>
      <w:tr w:rsidR="0074731C" w:rsidRPr="0074731C" w14:paraId="5A6F8959" w14:textId="77777777" w:rsidTr="00DF2AE5">
        <w:tc>
          <w:tcPr>
            <w:tcW w:w="3969" w:type="dxa"/>
            <w:shd w:val="clear" w:color="auto" w:fill="auto"/>
          </w:tcPr>
          <w:p w14:paraId="6876643A" w14:textId="73323F02"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lastRenderedPageBreak/>
              <w:t>第十一條</w:t>
            </w:r>
          </w:p>
          <w:p w14:paraId="6EB733DA" w14:textId="76279B1B"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要點第四條第一項第十款「有價證券最近一段期間之累積週轉率明顯過高者」，係指有價證券當日同時達下列各款情事者：</w:t>
            </w:r>
          </w:p>
          <w:p w14:paraId="054D2A3C" w14:textId="7DF7F6E9" w:rsidR="00DF2AE5" w:rsidRPr="0074731C" w:rsidRDefault="00DF2AE5" w:rsidP="00AF610C">
            <w:pPr>
              <w:pStyle w:val="a3"/>
              <w:numPr>
                <w:ilvl w:val="0"/>
                <w:numId w:val="28"/>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最近六個營業日（含當日）之累積週轉率超過百分之八十，且其累積週轉率與全體有價證券依本款規定計算之平均值的差幅在百分之五十以上。</w:t>
            </w:r>
          </w:p>
          <w:p w14:paraId="7C59F2F8" w14:textId="171EA6EE" w:rsidR="00DF2AE5" w:rsidRPr="0074731C" w:rsidRDefault="00DF2AE5" w:rsidP="00AF610C">
            <w:pPr>
              <w:pStyle w:val="a3"/>
              <w:numPr>
                <w:ilvl w:val="0"/>
                <w:numId w:val="28"/>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當日週轉率百分之五以上，且其週轉率與全體有價證券依本款規定計算之平均值的差幅在百分之三以上。</w:t>
            </w:r>
          </w:p>
          <w:p w14:paraId="21CB169F" w14:textId="77777777"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前項除外情形如下：</w:t>
            </w:r>
          </w:p>
          <w:p w14:paraId="072F956D" w14:textId="042A387B" w:rsidR="00DF2AE5" w:rsidRPr="0074731C" w:rsidRDefault="00DF2AE5" w:rsidP="00AF610C">
            <w:pPr>
              <w:pStyle w:val="a3"/>
              <w:numPr>
                <w:ilvl w:val="0"/>
                <w:numId w:val="29"/>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股票初次上櫃者，除管理股票外，自其櫃檯買賣開始日起連續五個營業日。</w:t>
            </w:r>
          </w:p>
          <w:p w14:paraId="47842AE6" w14:textId="4CC6EA3F" w:rsidR="00DF2AE5" w:rsidRPr="0074731C" w:rsidRDefault="00DF2AE5" w:rsidP="00AF610C">
            <w:pPr>
              <w:pStyle w:val="a3"/>
              <w:numPr>
                <w:ilvl w:val="0"/>
                <w:numId w:val="29"/>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轉換公司債、交換公司債、非分離型附認股權公司債、非分離型附認股權特別股、債券換股權利證書、股款繳納憑證、認購（售）權證、認股權憑證、指數股票型基金受益憑證及指數投資證券。</w:t>
            </w:r>
          </w:p>
          <w:p w14:paraId="346E8B27" w14:textId="7C6393C3" w:rsidR="00DF2AE5" w:rsidRPr="0074731C" w:rsidRDefault="00DF2AE5" w:rsidP="00AF610C">
            <w:pPr>
              <w:pStyle w:val="a3"/>
              <w:numPr>
                <w:ilvl w:val="0"/>
                <w:numId w:val="29"/>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在最近六個營業日（含當日）內，已依作業要點第四條第一項第四款公布注意交易資訊之有價證券。</w:t>
            </w:r>
          </w:p>
          <w:p w14:paraId="0CF18E46" w14:textId="2EC37C2E" w:rsidR="00DF2AE5" w:rsidRPr="0074731C" w:rsidRDefault="00DF2AE5" w:rsidP="00AF610C">
            <w:pPr>
              <w:pStyle w:val="a3"/>
              <w:numPr>
                <w:ilvl w:val="0"/>
                <w:numId w:val="29"/>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有價證券當日成交金額未滿新臺幣二億元以上者。</w:t>
            </w:r>
          </w:p>
          <w:p w14:paraId="1C7FCA41" w14:textId="60C1A2CF" w:rsidR="00DF2AE5" w:rsidRPr="0074731C" w:rsidRDefault="00DF2AE5" w:rsidP="00AF610C">
            <w:pPr>
              <w:jc w:val="both"/>
              <w:rPr>
                <w:rFonts w:ascii="標楷體" w:eastAsia="標楷體" w:hAnsi="標楷體"/>
                <w:color w:val="000000" w:themeColor="text1"/>
              </w:rPr>
            </w:pPr>
          </w:p>
          <w:p w14:paraId="6AB0C2A4" w14:textId="77777777" w:rsidR="00DF2AE5" w:rsidRPr="0074731C" w:rsidRDefault="00DF2AE5" w:rsidP="00AF610C">
            <w:pPr>
              <w:pStyle w:val="a3"/>
              <w:numPr>
                <w:ilvl w:val="0"/>
                <w:numId w:val="29"/>
              </w:numPr>
              <w:ind w:leftChars="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最近六個營業日（含當日）內，當日之前五個營業日已依本要點第四條第一項第十款公布注意交易資訊之有價證券，其當日</w:t>
            </w:r>
            <w:r w:rsidRPr="0074731C">
              <w:rPr>
                <w:rFonts w:ascii="標楷體" w:eastAsia="標楷體" w:hAnsi="標楷體" w:hint="eastAsia"/>
                <w:color w:val="000000" w:themeColor="text1"/>
                <w:u w:val="single"/>
              </w:rPr>
              <w:lastRenderedPageBreak/>
              <w:t>達下列情事之</w:t>
            </w:r>
            <w:proofErr w:type="gramStart"/>
            <w:r w:rsidRPr="0074731C">
              <w:rPr>
                <w:rFonts w:ascii="標楷體" w:eastAsia="標楷體" w:hAnsi="標楷體" w:hint="eastAsia"/>
                <w:color w:val="000000" w:themeColor="text1"/>
                <w:u w:val="single"/>
              </w:rPr>
              <w:t>一</w:t>
            </w:r>
            <w:proofErr w:type="gramEnd"/>
            <w:r w:rsidRPr="0074731C">
              <w:rPr>
                <w:rFonts w:ascii="標楷體" w:eastAsia="標楷體" w:hAnsi="標楷體" w:hint="eastAsia"/>
                <w:color w:val="000000" w:themeColor="text1"/>
                <w:u w:val="single"/>
              </w:rPr>
              <w:t>者，不適用前項標準：</w:t>
            </w:r>
          </w:p>
          <w:p w14:paraId="55D41C56" w14:textId="1608751A" w:rsidR="00DF2AE5" w:rsidRPr="0074731C" w:rsidRDefault="00DF2AE5" w:rsidP="00AF610C">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w:t>
            </w:r>
            <w:proofErr w:type="gramStart"/>
            <w:r w:rsidRPr="0074731C">
              <w:rPr>
                <w:rFonts w:ascii="標楷體" w:eastAsia="標楷體" w:hAnsi="標楷體" w:hint="eastAsia"/>
                <w:color w:val="000000" w:themeColor="text1"/>
                <w:u w:val="single"/>
              </w:rPr>
              <w:t>一</w:t>
            </w:r>
            <w:proofErr w:type="gramEnd"/>
            <w:r w:rsidRPr="0074731C">
              <w:rPr>
                <w:rFonts w:ascii="標楷體" w:eastAsia="標楷體" w:hAnsi="標楷體" w:hint="eastAsia"/>
                <w:color w:val="000000" w:themeColor="text1"/>
                <w:u w:val="single"/>
              </w:rPr>
              <w:t>)該有價證券最近六個營業日（含當日）之累積週轉率</w:t>
            </w:r>
            <w:proofErr w:type="gramStart"/>
            <w:r w:rsidRPr="0074731C">
              <w:rPr>
                <w:rFonts w:ascii="標楷體" w:eastAsia="標楷體" w:hAnsi="標楷體" w:hint="eastAsia"/>
                <w:color w:val="000000" w:themeColor="text1"/>
                <w:u w:val="single"/>
              </w:rPr>
              <w:t>≦</w:t>
            </w:r>
            <w:proofErr w:type="gramEnd"/>
            <w:r w:rsidRPr="0074731C">
              <w:rPr>
                <w:rFonts w:ascii="標楷體" w:eastAsia="標楷體" w:hAnsi="標楷體" w:hint="eastAsia"/>
                <w:color w:val="000000" w:themeColor="text1"/>
                <w:u w:val="single"/>
              </w:rPr>
              <w:t>最近六個營業日（含當日）之累積週轉率數據標準</w:t>
            </w:r>
            <w:proofErr w:type="gramStart"/>
            <w:r w:rsidRPr="0074731C">
              <w:rPr>
                <w:rFonts w:ascii="標楷體" w:eastAsia="標楷體" w:hAnsi="標楷體" w:hint="eastAsia"/>
                <w:color w:val="000000" w:themeColor="text1"/>
                <w:u w:val="single"/>
              </w:rPr>
              <w:t>ｘ</w:t>
            </w:r>
            <w:proofErr w:type="gramEnd"/>
            <w:r w:rsidRPr="0074731C">
              <w:rPr>
                <w:rFonts w:ascii="標楷體" w:eastAsia="標楷體" w:hAnsi="標楷體" w:hint="eastAsia"/>
                <w:color w:val="000000" w:themeColor="text1"/>
                <w:u w:val="single"/>
              </w:rPr>
              <w:t>（1+該有價證券當日之前六個營業日之當日沖銷成交量÷當日之前六個營業日總成交量【不含當日沖銷成交量】）。</w:t>
            </w:r>
          </w:p>
          <w:p w14:paraId="454FE842" w14:textId="3E16D589" w:rsidR="00DF2AE5" w:rsidRPr="0074731C" w:rsidRDefault="00DF2AE5" w:rsidP="00AF610C">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(二)該有價證券當日週轉率</w:t>
            </w:r>
            <w:proofErr w:type="gramStart"/>
            <w:r w:rsidRPr="0074731C">
              <w:rPr>
                <w:rFonts w:ascii="標楷體" w:eastAsia="標楷體" w:hAnsi="標楷體" w:hint="eastAsia"/>
                <w:color w:val="000000" w:themeColor="text1"/>
                <w:u w:val="single"/>
              </w:rPr>
              <w:t>≦</w:t>
            </w:r>
            <w:proofErr w:type="gramEnd"/>
            <w:r w:rsidRPr="0074731C">
              <w:rPr>
                <w:rFonts w:ascii="標楷體" w:eastAsia="標楷體" w:hAnsi="標楷體" w:hint="eastAsia"/>
                <w:color w:val="000000" w:themeColor="text1"/>
                <w:u w:val="single"/>
              </w:rPr>
              <w:t>前項當日週轉率數據標準</w:t>
            </w:r>
            <w:proofErr w:type="gramStart"/>
            <w:r w:rsidRPr="0074731C">
              <w:rPr>
                <w:rFonts w:ascii="標楷體" w:eastAsia="標楷體" w:hAnsi="標楷體" w:hint="eastAsia"/>
                <w:color w:val="000000" w:themeColor="text1"/>
                <w:u w:val="single"/>
              </w:rPr>
              <w:t>ｘ</w:t>
            </w:r>
            <w:proofErr w:type="gramEnd"/>
            <w:r w:rsidRPr="0074731C">
              <w:rPr>
                <w:rFonts w:ascii="標楷體" w:eastAsia="標楷體" w:hAnsi="標楷體" w:hint="eastAsia"/>
                <w:color w:val="000000" w:themeColor="text1"/>
                <w:u w:val="single"/>
              </w:rPr>
              <w:t>（1+該有價證券當日之前一個營業日之當日沖銷成交量÷當日之前一個營業日總成交量【不含當日沖銷成交量】）。</w:t>
            </w:r>
          </w:p>
          <w:p w14:paraId="7F8FB883" w14:textId="4DB9DF4B" w:rsidR="00DF2AE5" w:rsidRPr="0074731C" w:rsidRDefault="00DF2AE5" w:rsidP="00AF610C">
            <w:pPr>
              <w:ind w:leftChars="200" w:left="960" w:hangingChars="200" w:hanging="480"/>
              <w:jc w:val="both"/>
              <w:rPr>
                <w:rFonts w:ascii="標楷體" w:eastAsia="標楷體" w:hAnsi="標楷體"/>
                <w:color w:val="000000" w:themeColor="text1"/>
                <w:u w:val="single"/>
              </w:rPr>
            </w:pPr>
            <w:r w:rsidRPr="0074731C">
              <w:rPr>
                <w:rFonts w:ascii="標楷體" w:eastAsia="標楷體" w:hAnsi="標楷體" w:hint="eastAsia"/>
                <w:color w:val="000000" w:themeColor="text1"/>
                <w:u w:val="single"/>
              </w:rPr>
              <w:t>(三)</w:t>
            </w:r>
            <w:r w:rsidR="00DC04CA" w:rsidRPr="00C2677F">
              <w:rPr>
                <w:rFonts w:ascii="標楷體" w:eastAsia="標楷體" w:hAnsi="標楷體" w:hint="eastAsia"/>
                <w:color w:val="000000" w:themeColor="text1"/>
                <w:u w:val="single"/>
              </w:rPr>
              <w:t>當日</w:t>
            </w:r>
            <w:r w:rsidRPr="0074731C">
              <w:rPr>
                <w:rFonts w:ascii="標楷體" w:eastAsia="標楷體" w:hAnsi="標楷體" w:hint="eastAsia"/>
                <w:color w:val="000000" w:themeColor="text1"/>
                <w:u w:val="single"/>
              </w:rPr>
              <w:t>成交量未超過當日之前五個營業日之各日成交量。</w:t>
            </w:r>
          </w:p>
          <w:p w14:paraId="14FB2DA3" w14:textId="64712868"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實收資本額未達新臺幣八千萬元之發行公司股票不適用有關全體有價證券之規定。</w:t>
            </w:r>
          </w:p>
        </w:tc>
        <w:tc>
          <w:tcPr>
            <w:tcW w:w="3969" w:type="dxa"/>
          </w:tcPr>
          <w:p w14:paraId="2E0AD986" w14:textId="69A83459"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lastRenderedPageBreak/>
              <w:t>第十一條</w:t>
            </w:r>
          </w:p>
          <w:p w14:paraId="7B82FE54" w14:textId="20EFE402"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作業要點第四條第一項第十款「有價證券最近一段期間之累積週轉率明顯過高者」，係指有價證券當日同時達下列各款情事者：</w:t>
            </w:r>
          </w:p>
          <w:p w14:paraId="6B63DCB7" w14:textId="1BDF1577" w:rsidR="00DF2AE5" w:rsidRPr="0074731C" w:rsidRDefault="00DF2AE5" w:rsidP="00AF610C">
            <w:pPr>
              <w:pStyle w:val="a3"/>
              <w:numPr>
                <w:ilvl w:val="0"/>
                <w:numId w:val="30"/>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最近六個營業日（含當日）之累積週轉率超過百分之八十，且其累積週轉率與全體有價證券依本款規定計算之平均值的差幅在百分之五十以上。</w:t>
            </w:r>
          </w:p>
          <w:p w14:paraId="71175096" w14:textId="3D03B755" w:rsidR="00DF2AE5" w:rsidRPr="0074731C" w:rsidRDefault="00DF2AE5" w:rsidP="00AF610C">
            <w:pPr>
              <w:pStyle w:val="a3"/>
              <w:numPr>
                <w:ilvl w:val="0"/>
                <w:numId w:val="30"/>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當日週轉率百分之五以上，且其週轉率與全體有價證券依本款規定計算之平均值的差幅在百分之三以上。</w:t>
            </w:r>
          </w:p>
          <w:p w14:paraId="267B914A" w14:textId="77777777"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前項除外情形如下：</w:t>
            </w:r>
          </w:p>
          <w:p w14:paraId="6D819507" w14:textId="57B7B9CA" w:rsidR="00DF2AE5" w:rsidRPr="0074731C" w:rsidRDefault="00DF2AE5" w:rsidP="00AF610C">
            <w:pPr>
              <w:pStyle w:val="a3"/>
              <w:numPr>
                <w:ilvl w:val="0"/>
                <w:numId w:val="31"/>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股票初次上櫃者，除管理股票外，自其櫃檯買賣開始日起連續五個營業日。</w:t>
            </w:r>
          </w:p>
          <w:p w14:paraId="1F3F22E2" w14:textId="6E2592B9" w:rsidR="00DF2AE5" w:rsidRPr="0074731C" w:rsidRDefault="00DF2AE5" w:rsidP="00AF610C">
            <w:pPr>
              <w:pStyle w:val="a3"/>
              <w:numPr>
                <w:ilvl w:val="0"/>
                <w:numId w:val="31"/>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轉換公司債、交換公司債、非分離型附認股權公司債、非分離型附認股權特別股、債券換股權利證書、股款繳納憑證、認購（售）權證、認股權憑證、指數股票型基金受益憑證及指數投資證券。</w:t>
            </w:r>
          </w:p>
          <w:p w14:paraId="5429FCF6" w14:textId="2B0C0071" w:rsidR="00DF2AE5" w:rsidRPr="0074731C" w:rsidRDefault="00DF2AE5" w:rsidP="00AF610C">
            <w:pPr>
              <w:pStyle w:val="a3"/>
              <w:numPr>
                <w:ilvl w:val="0"/>
                <w:numId w:val="31"/>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在最近六個營業日（含當日）內，已依作業要點第四條第一項第四款公布注意交易資訊之有價證券。</w:t>
            </w:r>
          </w:p>
          <w:p w14:paraId="2927586E" w14:textId="06C3DF88" w:rsidR="00DF2AE5" w:rsidRPr="0074731C" w:rsidRDefault="00DF2AE5" w:rsidP="00AF610C">
            <w:pPr>
              <w:pStyle w:val="a3"/>
              <w:numPr>
                <w:ilvl w:val="0"/>
                <w:numId w:val="31"/>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有價證券當日成交金額未滿新臺幣二億元以上者。</w:t>
            </w:r>
          </w:p>
          <w:p w14:paraId="3327FA4A"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309EB0DA"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5E0F0C45"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52423A15"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13F2AABC"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2FA8ABCE"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79DB697F"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36D13EB3"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21D64FD7"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64FB119A"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23CDB7C2"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3418CCD8"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1BD02207"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5955A95D"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6865EEA8"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682482BC"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46C64D48"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62E25926"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5A694F29"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71D0736E"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60869940"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173E8AEB"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57ED6692"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0A4B612D" w14:textId="77777777"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6E58CBA0" w14:textId="4191DE74" w:rsidR="00DF2AE5"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140FDC37" w14:textId="77777777" w:rsidR="00B80C83" w:rsidRPr="0074731C" w:rsidRDefault="00B80C83"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p w14:paraId="0312774C" w14:textId="08DBABC1" w:rsidR="00DF2AE5" w:rsidRPr="0074731C" w:rsidRDefault="00DF2AE5" w:rsidP="003F69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實收資本額未達新臺幣八千萬元之發行公司股票不適用有關全體有價證券之規定。</w:t>
            </w:r>
          </w:p>
        </w:tc>
        <w:tc>
          <w:tcPr>
            <w:tcW w:w="1984" w:type="dxa"/>
          </w:tcPr>
          <w:p w14:paraId="555F2650" w14:textId="77777777" w:rsidR="00A67DCC" w:rsidRPr="0074731C" w:rsidRDefault="00A67DCC" w:rsidP="00EC1A96">
            <w:pPr>
              <w:jc w:val="both"/>
              <w:rPr>
                <w:rFonts w:ascii="標楷體" w:eastAsia="標楷體" w:hAnsi="標楷體" w:cs="細明體"/>
                <w:color w:val="000000" w:themeColor="text1"/>
                <w:kern w:val="0"/>
              </w:rPr>
            </w:pPr>
          </w:p>
          <w:p w14:paraId="3E3507FC" w14:textId="3A0E65AB" w:rsidR="00DF2AE5" w:rsidRPr="0074731C" w:rsidRDefault="00DF2AE5" w:rsidP="00EC1A96">
            <w:pPr>
              <w:jc w:val="both"/>
              <w:rPr>
                <w:rFonts w:ascii="標楷體" w:eastAsia="標楷體" w:hAnsi="標楷體" w:cs="細明體"/>
                <w:color w:val="000000" w:themeColor="text1"/>
                <w:kern w:val="0"/>
              </w:rPr>
            </w:pPr>
            <w:r w:rsidRPr="0074731C">
              <w:rPr>
                <w:rFonts w:ascii="標楷體" w:eastAsia="標楷體" w:hAnsi="標楷體" w:cs="細明體" w:hint="eastAsia"/>
                <w:color w:val="000000" w:themeColor="text1"/>
                <w:kern w:val="0"/>
              </w:rPr>
              <w:t>配合作業要點新增第4條第1項第13款，已就有價證券總成交量之當沖成交量比率異常予以特別規定，</w:t>
            </w:r>
            <w:proofErr w:type="gramStart"/>
            <w:r w:rsidRPr="0074731C">
              <w:rPr>
                <w:rFonts w:ascii="標楷體" w:eastAsia="標楷體" w:hAnsi="標楷體" w:cs="細明體" w:hint="eastAsia"/>
                <w:color w:val="000000" w:themeColor="text1"/>
                <w:kern w:val="0"/>
              </w:rPr>
              <w:t>爰</w:t>
            </w:r>
            <w:proofErr w:type="gramEnd"/>
            <w:r w:rsidRPr="0074731C">
              <w:rPr>
                <w:rFonts w:ascii="標楷體" w:eastAsia="標楷體" w:hAnsi="標楷體" w:cs="細明體" w:hint="eastAsia"/>
                <w:color w:val="000000" w:themeColor="text1"/>
                <w:kern w:val="0"/>
              </w:rPr>
              <w:t>新增本條第2項第5款，將當沖相關成交量因素納入</w:t>
            </w:r>
            <w:proofErr w:type="gramStart"/>
            <w:r w:rsidRPr="0074731C">
              <w:rPr>
                <w:rFonts w:ascii="標楷體" w:eastAsia="標楷體" w:hAnsi="標楷體" w:cs="細明體" w:hint="eastAsia"/>
                <w:color w:val="000000" w:themeColor="text1"/>
                <w:kern w:val="0"/>
              </w:rPr>
              <w:t>本條總成交量</w:t>
            </w:r>
            <w:proofErr w:type="gramEnd"/>
            <w:r w:rsidRPr="0074731C">
              <w:rPr>
                <w:rFonts w:ascii="標楷體" w:eastAsia="標楷體" w:hAnsi="標楷體" w:cs="細明體" w:hint="eastAsia"/>
                <w:color w:val="000000" w:themeColor="text1"/>
                <w:kern w:val="0"/>
              </w:rPr>
              <w:t>異常標準之除外情形，以適當提醒投資人注意交易風險。</w:t>
            </w:r>
          </w:p>
          <w:p w14:paraId="7677511C" w14:textId="77777777" w:rsidR="00DF2AE5" w:rsidRPr="0074731C" w:rsidRDefault="00DF2AE5" w:rsidP="005139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rPr>
            </w:pPr>
          </w:p>
        </w:tc>
      </w:tr>
      <w:tr w:rsidR="0074731C" w:rsidRPr="0074731C" w14:paraId="2D28B84F" w14:textId="77777777" w:rsidTr="00DF2AE5">
        <w:tc>
          <w:tcPr>
            <w:tcW w:w="3969" w:type="dxa"/>
            <w:shd w:val="clear" w:color="auto" w:fill="auto"/>
          </w:tcPr>
          <w:p w14:paraId="49170C08" w14:textId="508E9770"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rPr>
            </w:pPr>
            <w:r w:rsidRPr="0074731C">
              <w:rPr>
                <w:rFonts w:ascii="標楷體" w:eastAsia="標楷體" w:hAnsi="標楷體" w:hint="eastAsia"/>
                <w:color w:val="000000" w:themeColor="text1"/>
              </w:rPr>
              <w:t>第十四條</w:t>
            </w:r>
          </w:p>
          <w:p w14:paraId="6B76C77F" w14:textId="74ED27A6"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cs="細明體" w:hint="eastAsia"/>
                <w:color w:val="000000" w:themeColor="text1"/>
                <w:kern w:val="0"/>
                <w:szCs w:val="24"/>
              </w:rPr>
              <w:t>作業要點第四條第一項第十三款</w:t>
            </w:r>
            <w:r w:rsidRPr="0074731C">
              <w:rPr>
                <w:rFonts w:ascii="標楷體" w:eastAsia="標楷體" w:hAnsi="標楷體" w:hint="eastAsia"/>
                <w:color w:val="000000" w:themeColor="text1"/>
              </w:rPr>
              <w:t xml:space="preserve">「有價證券最近一段期間之當日沖銷成交量占總成交量比率明顯過高者」，係指有價證券當日之前一個營業日同時達下列各款情事者： </w:t>
            </w:r>
          </w:p>
          <w:p w14:paraId="46D0366B" w14:textId="507C3BBE" w:rsidR="00DF2AE5" w:rsidRPr="0074731C" w:rsidRDefault="00DF2AE5" w:rsidP="00213328">
            <w:pPr>
              <w:pStyle w:val="a3"/>
              <w:numPr>
                <w:ilvl w:val="0"/>
                <w:numId w:val="32"/>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最近六個營業日(從當日之前一個營業日起)之當日沖銷成交量占最近六個營業日(從當日之前一個營業日起)總成交量比率超過百分之六十。</w:t>
            </w:r>
          </w:p>
          <w:p w14:paraId="3CC47446" w14:textId="32D75832" w:rsidR="00DF2AE5" w:rsidRPr="0074731C" w:rsidRDefault="00DF2AE5" w:rsidP="00213328">
            <w:pPr>
              <w:pStyle w:val="a3"/>
              <w:numPr>
                <w:ilvl w:val="0"/>
                <w:numId w:val="32"/>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當日之前一個營業日當日沖銷成交量占該日總成交量比率超</w:t>
            </w:r>
            <w:r w:rsidRPr="0074731C">
              <w:rPr>
                <w:rFonts w:ascii="標楷體" w:eastAsia="標楷體" w:hAnsi="標楷體" w:hint="eastAsia"/>
                <w:color w:val="000000" w:themeColor="text1"/>
              </w:rPr>
              <w:lastRenderedPageBreak/>
              <w:t>過百分之六十。</w:t>
            </w:r>
          </w:p>
          <w:p w14:paraId="57AD6D42" w14:textId="77777777"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前項除外情形如下：</w:t>
            </w:r>
          </w:p>
          <w:p w14:paraId="33454FEC" w14:textId="691E8314" w:rsidR="00DF2AE5" w:rsidRPr="0074731C" w:rsidRDefault="00DF2AE5" w:rsidP="00213328">
            <w:pPr>
              <w:pStyle w:val="a3"/>
              <w:numPr>
                <w:ilvl w:val="0"/>
                <w:numId w:val="33"/>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初次上櫃普通股</w:t>
            </w:r>
            <w:proofErr w:type="gramStart"/>
            <w:r w:rsidRPr="0074731C">
              <w:rPr>
                <w:rFonts w:ascii="標楷體" w:eastAsia="標楷體" w:hAnsi="標楷體" w:hint="eastAsia"/>
                <w:color w:val="000000" w:themeColor="text1"/>
              </w:rPr>
              <w:t>採</w:t>
            </w:r>
            <w:proofErr w:type="gramEnd"/>
            <w:r w:rsidRPr="0074731C">
              <w:rPr>
                <w:rFonts w:ascii="標楷體" w:eastAsia="標楷體" w:hAnsi="標楷體" w:hint="eastAsia"/>
                <w:color w:val="000000" w:themeColor="text1"/>
              </w:rPr>
              <w:t>無升降幅度限制期間之日成交量，不納入前項標準之計算。</w:t>
            </w:r>
          </w:p>
          <w:p w14:paraId="0517ED80" w14:textId="180A9E18" w:rsidR="00DF2AE5" w:rsidRPr="0074731C" w:rsidRDefault="00DF2AE5" w:rsidP="00213328">
            <w:pPr>
              <w:pStyle w:val="a3"/>
              <w:numPr>
                <w:ilvl w:val="0"/>
                <w:numId w:val="33"/>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指數股票型基金受益憑證不適用前項標準。</w:t>
            </w:r>
          </w:p>
          <w:p w14:paraId="01FEF609" w14:textId="7571CC41" w:rsidR="00DF2AE5" w:rsidRPr="0074731C" w:rsidRDefault="00DF2AE5" w:rsidP="00213328">
            <w:pPr>
              <w:pStyle w:val="a3"/>
              <w:numPr>
                <w:ilvl w:val="0"/>
                <w:numId w:val="33"/>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有價證券當日之前一個營業日達下列情事之</w:t>
            </w:r>
            <w:proofErr w:type="gramStart"/>
            <w:r w:rsidRPr="0074731C">
              <w:rPr>
                <w:rFonts w:ascii="標楷體" w:eastAsia="標楷體" w:hAnsi="標楷體" w:hint="eastAsia"/>
                <w:color w:val="000000" w:themeColor="text1"/>
              </w:rPr>
              <w:t>一</w:t>
            </w:r>
            <w:proofErr w:type="gramEnd"/>
            <w:r w:rsidRPr="0074731C">
              <w:rPr>
                <w:rFonts w:ascii="標楷體" w:eastAsia="標楷體" w:hAnsi="標楷體" w:hint="eastAsia"/>
                <w:color w:val="000000" w:themeColor="text1"/>
              </w:rPr>
              <w:t>者，不適用前項標準：</w:t>
            </w:r>
          </w:p>
          <w:p w14:paraId="2D316307" w14:textId="047261CD" w:rsidR="00DF2AE5" w:rsidRPr="0074731C" w:rsidRDefault="00DF2AE5" w:rsidP="003A6EF5">
            <w:pPr>
              <w:pStyle w:val="a3"/>
              <w:numPr>
                <w:ilvl w:val="0"/>
                <w:numId w:val="34"/>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週轉率未超過百分之五。</w:t>
            </w:r>
          </w:p>
          <w:p w14:paraId="4D4252E1" w14:textId="7013449F" w:rsidR="00DF2AE5" w:rsidRPr="0074731C" w:rsidRDefault="00DF2AE5" w:rsidP="003A6EF5">
            <w:pPr>
              <w:ind w:leftChars="200" w:left="960" w:hangingChars="200" w:hanging="480"/>
              <w:jc w:val="both"/>
              <w:rPr>
                <w:rFonts w:ascii="標楷體" w:eastAsia="標楷體" w:hAnsi="標楷體"/>
                <w:color w:val="000000" w:themeColor="text1"/>
              </w:rPr>
            </w:pPr>
            <w:r w:rsidRPr="0074731C">
              <w:rPr>
                <w:rFonts w:ascii="標楷體" w:eastAsia="標楷體" w:hAnsi="標楷體" w:hint="eastAsia"/>
                <w:color w:val="000000" w:themeColor="text1"/>
              </w:rPr>
              <w:t>(二)成交金額未超過新臺幣二億元。</w:t>
            </w:r>
          </w:p>
          <w:p w14:paraId="5AB0E061" w14:textId="0F2D6FEE" w:rsidR="00DF2AE5" w:rsidRPr="0074731C" w:rsidRDefault="00DF2AE5" w:rsidP="00213328">
            <w:pPr>
              <w:ind w:leftChars="200" w:left="960" w:hangingChars="200" w:hanging="480"/>
              <w:jc w:val="both"/>
              <w:rPr>
                <w:rFonts w:ascii="標楷體" w:eastAsia="標楷體" w:hAnsi="標楷體"/>
                <w:color w:val="000000" w:themeColor="text1"/>
              </w:rPr>
            </w:pPr>
            <w:r w:rsidRPr="0074731C">
              <w:rPr>
                <w:rFonts w:ascii="標楷體" w:eastAsia="標楷體" w:hAnsi="標楷體" w:hint="eastAsia"/>
                <w:color w:val="000000" w:themeColor="text1"/>
              </w:rPr>
              <w:t>(三)當日沖銷成交量未超過二千交易單位。</w:t>
            </w:r>
          </w:p>
          <w:p w14:paraId="5261E3D6" w14:textId="45F048C8" w:rsidR="00DF2AE5" w:rsidRPr="0074731C" w:rsidRDefault="00DF2AE5" w:rsidP="00213328">
            <w:pPr>
              <w:pStyle w:val="a3"/>
              <w:numPr>
                <w:ilvl w:val="0"/>
                <w:numId w:val="33"/>
              </w:numPr>
              <w:ind w:leftChars="0"/>
              <w:jc w:val="both"/>
              <w:rPr>
                <w:rFonts w:ascii="標楷體" w:eastAsia="標楷體" w:hAnsi="標楷體"/>
                <w:color w:val="000000" w:themeColor="text1"/>
              </w:rPr>
            </w:pPr>
            <w:r w:rsidRPr="0074731C">
              <w:rPr>
                <w:rFonts w:ascii="標楷體" w:eastAsia="標楷體" w:hAnsi="標楷體" w:hint="eastAsia"/>
                <w:color w:val="000000" w:themeColor="text1"/>
              </w:rPr>
              <w:t>最近六個營業日（含當日）內，當日之前五個營業日已依本要點第四條第一項第十三款公布注意交易資訊之有價證券，其當日之前一個營業日之當日沖銷成交量未超過最近五個營業日(從當日之前二個營業日起)之各日當日沖銷成交量者，不適用前項標準。</w:t>
            </w:r>
          </w:p>
        </w:tc>
        <w:tc>
          <w:tcPr>
            <w:tcW w:w="3969" w:type="dxa"/>
          </w:tcPr>
          <w:p w14:paraId="106E70AC" w14:textId="7A5BE940"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p>
        </w:tc>
        <w:tc>
          <w:tcPr>
            <w:tcW w:w="1984" w:type="dxa"/>
          </w:tcPr>
          <w:p w14:paraId="46C140CD" w14:textId="52827E6B" w:rsidR="00A67DCC" w:rsidRPr="000F0F2E" w:rsidRDefault="005E73C7" w:rsidP="005139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u w:val="single"/>
              </w:rPr>
            </w:pPr>
            <w:r w:rsidRPr="000F0F2E">
              <w:rPr>
                <w:rFonts w:ascii="標楷體" w:eastAsia="標楷體" w:hAnsi="標楷體" w:hint="eastAsia"/>
                <w:color w:val="000000" w:themeColor="text1"/>
                <w:u w:val="single"/>
              </w:rPr>
              <w:t>一、本條新增</w:t>
            </w:r>
            <w:r w:rsidR="00916AFF">
              <w:rPr>
                <w:rFonts w:ascii="標楷體" w:eastAsia="標楷體" w:hAnsi="標楷體" w:hint="eastAsia"/>
                <w:color w:val="000000" w:themeColor="text1"/>
                <w:u w:val="single"/>
              </w:rPr>
              <w:t>。</w:t>
            </w:r>
          </w:p>
          <w:p w14:paraId="7BC2440D" w14:textId="47C9EDFC" w:rsidR="00DF2AE5" w:rsidRPr="0074731C" w:rsidRDefault="005E73C7" w:rsidP="000F0F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5" w:hangingChars="202" w:hanging="485"/>
              <w:rPr>
                <w:rFonts w:ascii="標楷體" w:eastAsia="標楷體" w:hAnsi="標楷體"/>
                <w:color w:val="000000" w:themeColor="text1"/>
              </w:rPr>
            </w:pPr>
            <w:r>
              <w:rPr>
                <w:rFonts w:ascii="標楷體" w:eastAsia="標楷體" w:hAnsi="標楷體" w:hint="eastAsia"/>
                <w:color w:val="000000" w:themeColor="text1"/>
              </w:rPr>
              <w:t>二、</w:t>
            </w:r>
            <w:r w:rsidR="00DF2AE5" w:rsidRPr="0074731C">
              <w:rPr>
                <w:rFonts w:ascii="標楷體" w:eastAsia="標楷體" w:hAnsi="標楷體" w:hint="eastAsia"/>
                <w:color w:val="000000" w:themeColor="text1"/>
              </w:rPr>
              <w:t>為將有價證券當日沖銷交易異常變動情形者納入規範，增訂有價證券最近一段期間與當日之前一個營業日之當日沖銷成交量占總成交量比</w:t>
            </w:r>
            <w:r w:rsidR="00DF2AE5" w:rsidRPr="0074731C">
              <w:rPr>
                <w:rFonts w:ascii="標楷體" w:eastAsia="標楷體" w:hAnsi="標楷體" w:hint="eastAsia"/>
                <w:color w:val="000000" w:themeColor="text1"/>
              </w:rPr>
              <w:lastRenderedPageBreak/>
              <w:t>率之異常標準。</w:t>
            </w:r>
          </w:p>
          <w:p w14:paraId="77E5277C" w14:textId="2B4B75B5" w:rsidR="00DF2AE5" w:rsidRPr="0074731C" w:rsidRDefault="00DF2AE5" w:rsidP="005139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rPr>
            </w:pPr>
          </w:p>
        </w:tc>
      </w:tr>
      <w:tr w:rsidR="0074731C" w:rsidRPr="0074731C" w14:paraId="598C2A8C" w14:textId="77777777" w:rsidTr="00DF2AE5">
        <w:tc>
          <w:tcPr>
            <w:tcW w:w="3969" w:type="dxa"/>
            <w:shd w:val="clear" w:color="auto" w:fill="auto"/>
          </w:tcPr>
          <w:p w14:paraId="561A539D" w14:textId="79CBAE5F" w:rsidR="00DF2AE5" w:rsidRPr="00A21279"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u w:val="single"/>
              </w:rPr>
            </w:pPr>
            <w:r w:rsidRPr="00A21279">
              <w:rPr>
                <w:rFonts w:ascii="標楷體" w:eastAsia="標楷體" w:hAnsi="標楷體" w:hint="eastAsia"/>
                <w:color w:val="000000" w:themeColor="text1"/>
                <w:u w:val="single"/>
              </w:rPr>
              <w:lastRenderedPageBreak/>
              <w:t>第十五條</w:t>
            </w:r>
          </w:p>
          <w:p w14:paraId="6094A0FA" w14:textId="6A285756"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u w:val="single"/>
              </w:rPr>
            </w:pPr>
            <w:r w:rsidRPr="0074731C">
              <w:rPr>
                <w:rFonts w:ascii="標楷體" w:eastAsia="標楷體" w:hAnsi="標楷體" w:hint="eastAsia"/>
                <w:color w:val="000000" w:themeColor="text1"/>
              </w:rPr>
              <w:t>本異常標準之詳細數據及除外情形於報奉主管機關核備後，公告實施，修訂時亦同</w:t>
            </w:r>
            <w:r w:rsidR="00A21279">
              <w:rPr>
                <w:rFonts w:ascii="標楷體" w:eastAsia="標楷體" w:hAnsi="標楷體" w:hint="eastAsia"/>
                <w:color w:val="000000" w:themeColor="text1"/>
              </w:rPr>
              <w:t>。</w:t>
            </w:r>
          </w:p>
        </w:tc>
        <w:tc>
          <w:tcPr>
            <w:tcW w:w="3969" w:type="dxa"/>
          </w:tcPr>
          <w:p w14:paraId="20DF1055" w14:textId="38AC088F" w:rsidR="00DF2AE5" w:rsidRPr="00A21279"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u w:val="single"/>
              </w:rPr>
            </w:pPr>
            <w:r w:rsidRPr="00A21279">
              <w:rPr>
                <w:rFonts w:ascii="標楷體" w:eastAsia="標楷體" w:hAnsi="標楷體" w:hint="eastAsia"/>
                <w:color w:val="000000" w:themeColor="text1"/>
                <w:u w:val="single"/>
              </w:rPr>
              <w:t>第十四條</w:t>
            </w:r>
          </w:p>
          <w:p w14:paraId="40F08C15" w14:textId="28AB76E1" w:rsidR="00DF2AE5" w:rsidRPr="0074731C" w:rsidRDefault="00DF2AE5" w:rsidP="00513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rPr>
            </w:pPr>
            <w:r w:rsidRPr="0074731C">
              <w:rPr>
                <w:rFonts w:ascii="標楷體" w:eastAsia="標楷體" w:hAnsi="標楷體" w:hint="eastAsia"/>
                <w:color w:val="000000" w:themeColor="text1"/>
              </w:rPr>
              <w:t>本異常標準之詳細數據及除外情形於報奉主管機關核備後，公告實施，修訂時亦同</w:t>
            </w:r>
            <w:r w:rsidR="00A21279">
              <w:rPr>
                <w:rFonts w:ascii="標楷體" w:eastAsia="標楷體" w:hAnsi="標楷體" w:hint="eastAsia"/>
                <w:color w:val="000000" w:themeColor="text1"/>
              </w:rPr>
              <w:t>。</w:t>
            </w:r>
          </w:p>
        </w:tc>
        <w:tc>
          <w:tcPr>
            <w:tcW w:w="1984" w:type="dxa"/>
          </w:tcPr>
          <w:p w14:paraId="6C1B32A7" w14:textId="77777777" w:rsidR="00A67DCC" w:rsidRPr="0074731C" w:rsidRDefault="00A67DCC" w:rsidP="005139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rPr>
            </w:pPr>
          </w:p>
          <w:p w14:paraId="673AE5BB" w14:textId="1420DF8B" w:rsidR="00DF2AE5" w:rsidRPr="0074731C" w:rsidRDefault="00DF2AE5" w:rsidP="005139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rPr>
            </w:pPr>
            <w:r w:rsidRPr="0074731C">
              <w:rPr>
                <w:rFonts w:ascii="標楷體" w:eastAsia="標楷體" w:hAnsi="標楷體" w:hint="eastAsia"/>
                <w:color w:val="000000" w:themeColor="text1"/>
              </w:rPr>
              <w:t>條次變更，原第</w:t>
            </w:r>
            <w:r w:rsidR="005C6C2C" w:rsidRPr="002B07A6">
              <w:rPr>
                <w:rFonts w:ascii="標楷體" w:eastAsia="標楷體" w:hAnsi="標楷體" w:hint="eastAsia"/>
                <w:color w:val="000000" w:themeColor="text1"/>
              </w:rPr>
              <w:t>14</w:t>
            </w:r>
            <w:r w:rsidRPr="002B07A6">
              <w:rPr>
                <w:rFonts w:ascii="標楷體" w:eastAsia="標楷體" w:hAnsi="標楷體" w:hint="eastAsia"/>
                <w:color w:val="000000" w:themeColor="text1"/>
              </w:rPr>
              <w:t>條調整為第</w:t>
            </w:r>
            <w:r w:rsidR="005C6C2C" w:rsidRPr="002B07A6">
              <w:rPr>
                <w:rFonts w:ascii="標楷體" w:eastAsia="標楷體" w:hAnsi="標楷體" w:hint="eastAsia"/>
                <w:color w:val="000000" w:themeColor="text1"/>
              </w:rPr>
              <w:t>15</w:t>
            </w:r>
            <w:r w:rsidRPr="002B07A6">
              <w:rPr>
                <w:rFonts w:ascii="標楷體" w:eastAsia="標楷體" w:hAnsi="標楷體" w:hint="eastAsia"/>
                <w:color w:val="000000" w:themeColor="text1"/>
              </w:rPr>
              <w:t>條。</w:t>
            </w:r>
          </w:p>
        </w:tc>
      </w:tr>
    </w:tbl>
    <w:p w14:paraId="6CF98D94" w14:textId="77777777" w:rsidR="009F7FCD" w:rsidRPr="0074731C" w:rsidRDefault="009F7FCD">
      <w:pPr>
        <w:rPr>
          <w:color w:val="000000" w:themeColor="text1"/>
        </w:rPr>
      </w:pPr>
    </w:p>
    <w:sectPr w:rsidR="009F7FCD" w:rsidRPr="0074731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3E87" w14:textId="77777777" w:rsidR="00235C4B" w:rsidRDefault="00235C4B" w:rsidP="0037684D">
      <w:r>
        <w:separator/>
      </w:r>
    </w:p>
  </w:endnote>
  <w:endnote w:type="continuationSeparator" w:id="0">
    <w:p w14:paraId="5795064C" w14:textId="77777777" w:rsidR="00235C4B" w:rsidRDefault="00235C4B" w:rsidP="0037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5893"/>
      <w:docPartObj>
        <w:docPartGallery w:val="Page Numbers (Bottom of Page)"/>
        <w:docPartUnique/>
      </w:docPartObj>
    </w:sdtPr>
    <w:sdtEndPr/>
    <w:sdtContent>
      <w:p w14:paraId="0566AB3B" w14:textId="43AD7D91" w:rsidR="00DB631A" w:rsidRDefault="00DB631A">
        <w:pPr>
          <w:pStyle w:val="a6"/>
          <w:jc w:val="center"/>
        </w:pPr>
        <w:r>
          <w:fldChar w:fldCharType="begin"/>
        </w:r>
        <w:r>
          <w:instrText>PAGE   \* MERGEFORMAT</w:instrText>
        </w:r>
        <w:r>
          <w:fldChar w:fldCharType="separate"/>
        </w:r>
        <w:r>
          <w:rPr>
            <w:lang w:val="zh-TW"/>
          </w:rPr>
          <w:t>2</w:t>
        </w:r>
        <w:r>
          <w:fldChar w:fldCharType="end"/>
        </w:r>
      </w:p>
    </w:sdtContent>
  </w:sdt>
  <w:p w14:paraId="0B6D3661" w14:textId="77777777" w:rsidR="00DB631A" w:rsidRDefault="00DB63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F45C" w14:textId="77777777" w:rsidR="00235C4B" w:rsidRDefault="00235C4B" w:rsidP="0037684D">
      <w:r>
        <w:separator/>
      </w:r>
    </w:p>
  </w:footnote>
  <w:footnote w:type="continuationSeparator" w:id="0">
    <w:p w14:paraId="0A653B5C" w14:textId="77777777" w:rsidR="00235C4B" w:rsidRDefault="00235C4B" w:rsidP="0037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20"/>
    <w:multiLevelType w:val="hybridMultilevel"/>
    <w:tmpl w:val="9B8A8446"/>
    <w:lvl w:ilvl="0" w:tplc="7B7499FA">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339BA"/>
    <w:multiLevelType w:val="hybridMultilevel"/>
    <w:tmpl w:val="BDE8FFC8"/>
    <w:lvl w:ilvl="0" w:tplc="FCB8E5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16424B"/>
    <w:multiLevelType w:val="hybridMultilevel"/>
    <w:tmpl w:val="81589508"/>
    <w:lvl w:ilvl="0" w:tplc="FCB8E598">
      <w:start w:val="1"/>
      <w:numFmt w:val="taiwaneseCountingThousand"/>
      <w:lvlText w:val="%1、"/>
      <w:lvlJc w:val="left"/>
      <w:pPr>
        <w:ind w:left="514"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2037A"/>
    <w:multiLevelType w:val="hybridMultilevel"/>
    <w:tmpl w:val="0450B538"/>
    <w:lvl w:ilvl="0" w:tplc="6B6690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347949"/>
    <w:multiLevelType w:val="hybridMultilevel"/>
    <w:tmpl w:val="E368BDD2"/>
    <w:lvl w:ilvl="0" w:tplc="AF62C51C">
      <w:start w:val="1"/>
      <w:numFmt w:val="taiwaneseCountingThousand"/>
      <w:lvlText w:val="%1、"/>
      <w:lvlJc w:val="left"/>
      <w:pPr>
        <w:ind w:left="480" w:hanging="480"/>
      </w:pPr>
      <w:rPr>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BA76D6"/>
    <w:multiLevelType w:val="hybridMultilevel"/>
    <w:tmpl w:val="901270FC"/>
    <w:lvl w:ilvl="0" w:tplc="33F0F434">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5F35C0"/>
    <w:multiLevelType w:val="hybridMultilevel"/>
    <w:tmpl w:val="832CC46C"/>
    <w:lvl w:ilvl="0" w:tplc="001C9726">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7905FB"/>
    <w:multiLevelType w:val="hybridMultilevel"/>
    <w:tmpl w:val="424265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941FDA"/>
    <w:multiLevelType w:val="hybridMultilevel"/>
    <w:tmpl w:val="98B250DC"/>
    <w:lvl w:ilvl="0" w:tplc="7F12570C">
      <w:start w:val="1"/>
      <w:numFmt w:val="taiwaneseCountingThousand"/>
      <w:lvlText w:val="%1、"/>
      <w:lvlJc w:val="left"/>
      <w:pPr>
        <w:ind w:left="514" w:hanging="480"/>
      </w:pPr>
      <w:rPr>
        <w:u w:val="singl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15:restartNumberingAfterBreak="0">
    <w:nsid w:val="137D557F"/>
    <w:multiLevelType w:val="hybridMultilevel"/>
    <w:tmpl w:val="58CE3D38"/>
    <w:lvl w:ilvl="0" w:tplc="EEA4A8DA">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A238AA"/>
    <w:multiLevelType w:val="hybridMultilevel"/>
    <w:tmpl w:val="1CE024E8"/>
    <w:lvl w:ilvl="0" w:tplc="CE6EFF0C">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377754"/>
    <w:multiLevelType w:val="hybridMultilevel"/>
    <w:tmpl w:val="41EEDB9E"/>
    <w:lvl w:ilvl="0" w:tplc="C0C28B36">
      <w:start w:val="1"/>
      <w:numFmt w:val="taiwaneseCountingThousand"/>
      <w:lvlText w:val="%1、"/>
      <w:lvlJc w:val="left"/>
      <w:pPr>
        <w:ind w:left="514"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920076"/>
    <w:multiLevelType w:val="hybridMultilevel"/>
    <w:tmpl w:val="A5BCA562"/>
    <w:lvl w:ilvl="0" w:tplc="349A546C">
      <w:start w:val="1"/>
      <w:numFmt w:val="taiwaneseCountingThousand"/>
      <w:lvlText w:val="%1、"/>
      <w:lvlJc w:val="left"/>
      <w:pPr>
        <w:ind w:left="514"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7558B4"/>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491D68"/>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1092F"/>
    <w:multiLevelType w:val="hybridMultilevel"/>
    <w:tmpl w:val="BA609EA4"/>
    <w:lvl w:ilvl="0" w:tplc="D60894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B23006"/>
    <w:multiLevelType w:val="hybridMultilevel"/>
    <w:tmpl w:val="D8827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E75F6E"/>
    <w:multiLevelType w:val="hybridMultilevel"/>
    <w:tmpl w:val="0BD64F62"/>
    <w:lvl w:ilvl="0" w:tplc="CA56C6C8">
      <w:start w:val="1"/>
      <w:numFmt w:val="taiwaneseCountingThousand"/>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603C80"/>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1E397A"/>
    <w:multiLevelType w:val="hybridMultilevel"/>
    <w:tmpl w:val="AB50BF98"/>
    <w:lvl w:ilvl="0" w:tplc="8474E206">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6951E75"/>
    <w:multiLevelType w:val="hybridMultilevel"/>
    <w:tmpl w:val="5686E08A"/>
    <w:lvl w:ilvl="0" w:tplc="1E9C9A1A">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133B2F"/>
    <w:multiLevelType w:val="hybridMultilevel"/>
    <w:tmpl w:val="EB329D80"/>
    <w:lvl w:ilvl="0" w:tplc="AC90B48C">
      <w:start w:val="1"/>
      <w:numFmt w:val="taiwaneseCountingThousand"/>
      <w:lvlText w:val="%1、"/>
      <w:lvlJc w:val="left"/>
      <w:pPr>
        <w:ind w:left="500" w:hanging="50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A86762"/>
    <w:multiLevelType w:val="hybridMultilevel"/>
    <w:tmpl w:val="4FAE2D84"/>
    <w:lvl w:ilvl="0" w:tplc="AF62C51C">
      <w:start w:val="1"/>
      <w:numFmt w:val="taiwaneseCountingThousand"/>
      <w:lvlText w:val="%1、"/>
      <w:lvlJc w:val="left"/>
      <w:pPr>
        <w:ind w:left="514" w:hanging="48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942E44"/>
    <w:multiLevelType w:val="hybridMultilevel"/>
    <w:tmpl w:val="2004A9A4"/>
    <w:lvl w:ilvl="0" w:tplc="57E2FE4E">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868"/>
    <w:multiLevelType w:val="hybridMultilevel"/>
    <w:tmpl w:val="F42E32FC"/>
    <w:lvl w:ilvl="0" w:tplc="04090015">
      <w:start w:val="1"/>
      <w:numFmt w:val="taiwaneseCountingThousand"/>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5" w15:restartNumberingAfterBreak="0">
    <w:nsid w:val="48581EF1"/>
    <w:multiLevelType w:val="hybridMultilevel"/>
    <w:tmpl w:val="A5D6B1BA"/>
    <w:lvl w:ilvl="0" w:tplc="0409000F">
      <w:start w:val="1"/>
      <w:numFmt w:val="decimal"/>
      <w:lvlText w:val="%1."/>
      <w:lvlJc w:val="left"/>
      <w:pPr>
        <w:ind w:left="822" w:hanging="420"/>
      </w:pPr>
      <w:rPr>
        <w:rFonts w:hint="default"/>
        <w:lang w:val="en-US"/>
      </w:r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26" w15:restartNumberingAfterBreak="0">
    <w:nsid w:val="4A684B58"/>
    <w:multiLevelType w:val="hybridMultilevel"/>
    <w:tmpl w:val="424265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8B7818"/>
    <w:multiLevelType w:val="hybridMultilevel"/>
    <w:tmpl w:val="81589508"/>
    <w:lvl w:ilvl="0" w:tplc="FCB8E598">
      <w:start w:val="1"/>
      <w:numFmt w:val="taiwaneseCountingThousand"/>
      <w:lvlText w:val="%1、"/>
      <w:lvlJc w:val="left"/>
      <w:pPr>
        <w:ind w:left="514"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CA52BF"/>
    <w:multiLevelType w:val="hybridMultilevel"/>
    <w:tmpl w:val="73F4DCB8"/>
    <w:lvl w:ilvl="0" w:tplc="521EE2AC">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EE3595"/>
    <w:multiLevelType w:val="hybridMultilevel"/>
    <w:tmpl w:val="9FB21718"/>
    <w:lvl w:ilvl="0" w:tplc="C0564162">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A321C6"/>
    <w:multiLevelType w:val="hybridMultilevel"/>
    <w:tmpl w:val="5D9C8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997270"/>
    <w:multiLevelType w:val="hybridMultilevel"/>
    <w:tmpl w:val="073E225E"/>
    <w:lvl w:ilvl="0" w:tplc="0409000F">
      <w:start w:val="1"/>
      <w:numFmt w:val="decimal"/>
      <w:lvlText w:val="%1."/>
      <w:lvlJc w:val="left"/>
      <w:pPr>
        <w:ind w:left="822" w:hanging="420"/>
      </w:pPr>
      <w:rPr>
        <w:rFonts w:hint="default"/>
        <w:lang w:val="en-US"/>
      </w:r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2" w15:restartNumberingAfterBreak="0">
    <w:nsid w:val="607356DB"/>
    <w:multiLevelType w:val="hybridMultilevel"/>
    <w:tmpl w:val="CDDAE20E"/>
    <w:lvl w:ilvl="0" w:tplc="E666537A">
      <w:start w:val="1"/>
      <w:numFmt w:val="taiwaneseCountingThousand"/>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3" w15:restartNumberingAfterBreak="0">
    <w:nsid w:val="6BB5523B"/>
    <w:multiLevelType w:val="hybridMultilevel"/>
    <w:tmpl w:val="D8827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
  </w:num>
  <w:num w:numId="3">
    <w:abstractNumId w:val="1"/>
  </w:num>
  <w:num w:numId="4">
    <w:abstractNumId w:val="33"/>
  </w:num>
  <w:num w:numId="5">
    <w:abstractNumId w:val="26"/>
  </w:num>
  <w:num w:numId="6">
    <w:abstractNumId w:val="13"/>
  </w:num>
  <w:num w:numId="7">
    <w:abstractNumId w:val="18"/>
  </w:num>
  <w:num w:numId="8">
    <w:abstractNumId w:val="24"/>
  </w:num>
  <w:num w:numId="9">
    <w:abstractNumId w:val="14"/>
  </w:num>
  <w:num w:numId="10">
    <w:abstractNumId w:val="7"/>
  </w:num>
  <w:num w:numId="11">
    <w:abstractNumId w:val="16"/>
  </w:num>
  <w:num w:numId="12">
    <w:abstractNumId w:val="30"/>
  </w:num>
  <w:num w:numId="13">
    <w:abstractNumId w:val="31"/>
  </w:num>
  <w:num w:numId="14">
    <w:abstractNumId w:val="8"/>
  </w:num>
  <w:num w:numId="15">
    <w:abstractNumId w:val="32"/>
  </w:num>
  <w:num w:numId="16">
    <w:abstractNumId w:val="4"/>
  </w:num>
  <w:num w:numId="17">
    <w:abstractNumId w:val="15"/>
  </w:num>
  <w:num w:numId="18">
    <w:abstractNumId w:val="25"/>
  </w:num>
  <w:num w:numId="19">
    <w:abstractNumId w:val="0"/>
  </w:num>
  <w:num w:numId="20">
    <w:abstractNumId w:val="22"/>
  </w:num>
  <w:num w:numId="21">
    <w:abstractNumId w:val="11"/>
  </w:num>
  <w:num w:numId="22">
    <w:abstractNumId w:val="2"/>
  </w:num>
  <w:num w:numId="23">
    <w:abstractNumId w:val="12"/>
  </w:num>
  <w:num w:numId="24">
    <w:abstractNumId w:val="27"/>
  </w:num>
  <w:num w:numId="25">
    <w:abstractNumId w:val="21"/>
  </w:num>
  <w:num w:numId="26">
    <w:abstractNumId w:val="5"/>
  </w:num>
  <w:num w:numId="27">
    <w:abstractNumId w:val="10"/>
  </w:num>
  <w:num w:numId="28">
    <w:abstractNumId w:val="23"/>
  </w:num>
  <w:num w:numId="29">
    <w:abstractNumId w:val="20"/>
  </w:num>
  <w:num w:numId="30">
    <w:abstractNumId w:val="9"/>
  </w:num>
  <w:num w:numId="31">
    <w:abstractNumId w:val="29"/>
  </w:num>
  <w:num w:numId="32">
    <w:abstractNumId w:val="6"/>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A"/>
    <w:rsid w:val="00050995"/>
    <w:rsid w:val="00090F6D"/>
    <w:rsid w:val="000B272A"/>
    <w:rsid w:val="000B3D19"/>
    <w:rsid w:val="000C2C5F"/>
    <w:rsid w:val="000C7DF5"/>
    <w:rsid w:val="000F0F2E"/>
    <w:rsid w:val="001218EE"/>
    <w:rsid w:val="00137AF1"/>
    <w:rsid w:val="00161807"/>
    <w:rsid w:val="0016188C"/>
    <w:rsid w:val="00170F0A"/>
    <w:rsid w:val="001F383B"/>
    <w:rsid w:val="0020669C"/>
    <w:rsid w:val="00207EA1"/>
    <w:rsid w:val="00213328"/>
    <w:rsid w:val="0022413D"/>
    <w:rsid w:val="00235C4B"/>
    <w:rsid w:val="00237B76"/>
    <w:rsid w:val="00293CA6"/>
    <w:rsid w:val="00296540"/>
    <w:rsid w:val="00296C1D"/>
    <w:rsid w:val="002A74AE"/>
    <w:rsid w:val="002B07A6"/>
    <w:rsid w:val="002B5914"/>
    <w:rsid w:val="002C6A34"/>
    <w:rsid w:val="002E1ABE"/>
    <w:rsid w:val="002E52CF"/>
    <w:rsid w:val="002F46A9"/>
    <w:rsid w:val="0030071C"/>
    <w:rsid w:val="00305503"/>
    <w:rsid w:val="0030747D"/>
    <w:rsid w:val="00315978"/>
    <w:rsid w:val="00371C7A"/>
    <w:rsid w:val="0037684D"/>
    <w:rsid w:val="0038713B"/>
    <w:rsid w:val="003A6EF5"/>
    <w:rsid w:val="003C7BA0"/>
    <w:rsid w:val="003D50E0"/>
    <w:rsid w:val="003D783E"/>
    <w:rsid w:val="003F69CB"/>
    <w:rsid w:val="00431114"/>
    <w:rsid w:val="00431BAD"/>
    <w:rsid w:val="004841BC"/>
    <w:rsid w:val="0048544A"/>
    <w:rsid w:val="004960FE"/>
    <w:rsid w:val="004A4D9A"/>
    <w:rsid w:val="004F697D"/>
    <w:rsid w:val="005139D5"/>
    <w:rsid w:val="00546170"/>
    <w:rsid w:val="0057521D"/>
    <w:rsid w:val="005A55F0"/>
    <w:rsid w:val="005C6511"/>
    <w:rsid w:val="005C6C2C"/>
    <w:rsid w:val="005E73C7"/>
    <w:rsid w:val="006219BE"/>
    <w:rsid w:val="0062210D"/>
    <w:rsid w:val="00653A67"/>
    <w:rsid w:val="006546A0"/>
    <w:rsid w:val="006B2842"/>
    <w:rsid w:val="006C2F2E"/>
    <w:rsid w:val="006D04C3"/>
    <w:rsid w:val="006D29A2"/>
    <w:rsid w:val="006D41D6"/>
    <w:rsid w:val="006E0035"/>
    <w:rsid w:val="006E59A4"/>
    <w:rsid w:val="007279D0"/>
    <w:rsid w:val="00736D5D"/>
    <w:rsid w:val="0074731C"/>
    <w:rsid w:val="00755457"/>
    <w:rsid w:val="0077596B"/>
    <w:rsid w:val="00784B69"/>
    <w:rsid w:val="007C564F"/>
    <w:rsid w:val="008104A1"/>
    <w:rsid w:val="0083450F"/>
    <w:rsid w:val="00844D49"/>
    <w:rsid w:val="00854B4C"/>
    <w:rsid w:val="00862BA5"/>
    <w:rsid w:val="00916AFF"/>
    <w:rsid w:val="00924907"/>
    <w:rsid w:val="00965EC5"/>
    <w:rsid w:val="0098115A"/>
    <w:rsid w:val="00982AB7"/>
    <w:rsid w:val="00986BA0"/>
    <w:rsid w:val="0099081E"/>
    <w:rsid w:val="009E0510"/>
    <w:rsid w:val="009E2055"/>
    <w:rsid w:val="009F7FCD"/>
    <w:rsid w:val="00A20867"/>
    <w:rsid w:val="00A21279"/>
    <w:rsid w:val="00A61E37"/>
    <w:rsid w:val="00A67AFA"/>
    <w:rsid w:val="00A67DCC"/>
    <w:rsid w:val="00A81267"/>
    <w:rsid w:val="00A94204"/>
    <w:rsid w:val="00A976BC"/>
    <w:rsid w:val="00AA2084"/>
    <w:rsid w:val="00AC0206"/>
    <w:rsid w:val="00AC4581"/>
    <w:rsid w:val="00AC59EE"/>
    <w:rsid w:val="00AF0BAE"/>
    <w:rsid w:val="00AF610C"/>
    <w:rsid w:val="00B1062C"/>
    <w:rsid w:val="00B20D15"/>
    <w:rsid w:val="00B23B7A"/>
    <w:rsid w:val="00B31F6D"/>
    <w:rsid w:val="00B4040C"/>
    <w:rsid w:val="00B42C69"/>
    <w:rsid w:val="00B62611"/>
    <w:rsid w:val="00B66EA8"/>
    <w:rsid w:val="00B75CAD"/>
    <w:rsid w:val="00B80C83"/>
    <w:rsid w:val="00B91F22"/>
    <w:rsid w:val="00B95630"/>
    <w:rsid w:val="00BA0FE4"/>
    <w:rsid w:val="00BB146A"/>
    <w:rsid w:val="00BC0114"/>
    <w:rsid w:val="00BC7A36"/>
    <w:rsid w:val="00BD5B13"/>
    <w:rsid w:val="00BD7028"/>
    <w:rsid w:val="00C04A21"/>
    <w:rsid w:val="00C21EDB"/>
    <w:rsid w:val="00C2677F"/>
    <w:rsid w:val="00C50E13"/>
    <w:rsid w:val="00C52A4B"/>
    <w:rsid w:val="00C56539"/>
    <w:rsid w:val="00C95005"/>
    <w:rsid w:val="00C96DFC"/>
    <w:rsid w:val="00CB0464"/>
    <w:rsid w:val="00D20015"/>
    <w:rsid w:val="00D5282A"/>
    <w:rsid w:val="00D70EB4"/>
    <w:rsid w:val="00D739B1"/>
    <w:rsid w:val="00DA294D"/>
    <w:rsid w:val="00DB631A"/>
    <w:rsid w:val="00DC04CA"/>
    <w:rsid w:val="00DF2AE5"/>
    <w:rsid w:val="00DF727B"/>
    <w:rsid w:val="00E21FAC"/>
    <w:rsid w:val="00E23840"/>
    <w:rsid w:val="00E35C10"/>
    <w:rsid w:val="00E37C50"/>
    <w:rsid w:val="00E446F9"/>
    <w:rsid w:val="00E62A52"/>
    <w:rsid w:val="00E93C7C"/>
    <w:rsid w:val="00EA6435"/>
    <w:rsid w:val="00EC1A96"/>
    <w:rsid w:val="00EC3751"/>
    <w:rsid w:val="00F52BB6"/>
    <w:rsid w:val="00FB3054"/>
    <w:rsid w:val="00FB7FD4"/>
    <w:rsid w:val="00FD63EE"/>
    <w:rsid w:val="00FE6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50D7F3"/>
  <w15:docId w15:val="{149C0AA4-D04A-4BCF-A9D7-361FDDA9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A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81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98115A"/>
    <w:rPr>
      <w:rFonts w:ascii="細明體" w:eastAsia="細明體" w:hAnsi="細明體" w:cs="細明體"/>
      <w:color w:val="333333"/>
      <w:kern w:val="0"/>
      <w:szCs w:val="24"/>
    </w:rPr>
  </w:style>
  <w:style w:type="paragraph" w:styleId="a3">
    <w:name w:val="List Paragraph"/>
    <w:basedOn w:val="a"/>
    <w:uiPriority w:val="34"/>
    <w:qFormat/>
    <w:rsid w:val="0098115A"/>
    <w:pPr>
      <w:ind w:leftChars="200" w:left="480"/>
    </w:pPr>
  </w:style>
  <w:style w:type="paragraph" w:styleId="a4">
    <w:name w:val="header"/>
    <w:basedOn w:val="a"/>
    <w:link w:val="a5"/>
    <w:uiPriority w:val="99"/>
    <w:unhideWhenUsed/>
    <w:rsid w:val="0037684D"/>
    <w:pPr>
      <w:tabs>
        <w:tab w:val="center" w:pos="4153"/>
        <w:tab w:val="right" w:pos="8306"/>
      </w:tabs>
      <w:snapToGrid w:val="0"/>
    </w:pPr>
    <w:rPr>
      <w:sz w:val="20"/>
      <w:szCs w:val="20"/>
    </w:rPr>
  </w:style>
  <w:style w:type="character" w:customStyle="1" w:styleId="a5">
    <w:name w:val="頁首 字元"/>
    <w:basedOn w:val="a0"/>
    <w:link w:val="a4"/>
    <w:uiPriority w:val="99"/>
    <w:rsid w:val="0037684D"/>
    <w:rPr>
      <w:sz w:val="20"/>
      <w:szCs w:val="20"/>
    </w:rPr>
  </w:style>
  <w:style w:type="paragraph" w:styleId="a6">
    <w:name w:val="footer"/>
    <w:basedOn w:val="a"/>
    <w:link w:val="a7"/>
    <w:uiPriority w:val="99"/>
    <w:unhideWhenUsed/>
    <w:rsid w:val="0037684D"/>
    <w:pPr>
      <w:tabs>
        <w:tab w:val="center" w:pos="4153"/>
        <w:tab w:val="right" w:pos="8306"/>
      </w:tabs>
      <w:snapToGrid w:val="0"/>
    </w:pPr>
    <w:rPr>
      <w:sz w:val="20"/>
      <w:szCs w:val="20"/>
    </w:rPr>
  </w:style>
  <w:style w:type="character" w:customStyle="1" w:styleId="a7">
    <w:name w:val="頁尾 字元"/>
    <w:basedOn w:val="a0"/>
    <w:link w:val="a6"/>
    <w:uiPriority w:val="99"/>
    <w:rsid w:val="0037684D"/>
    <w:rPr>
      <w:sz w:val="20"/>
      <w:szCs w:val="20"/>
    </w:rPr>
  </w:style>
  <w:style w:type="character" w:styleId="a8">
    <w:name w:val="Placeholder Text"/>
    <w:basedOn w:val="a0"/>
    <w:uiPriority w:val="99"/>
    <w:semiHidden/>
    <w:rsid w:val="00BA0FE4"/>
    <w:rPr>
      <w:color w:val="808080"/>
    </w:rPr>
  </w:style>
  <w:style w:type="paragraph" w:styleId="a9">
    <w:name w:val="Date"/>
    <w:basedOn w:val="a"/>
    <w:next w:val="a"/>
    <w:link w:val="aa"/>
    <w:uiPriority w:val="99"/>
    <w:semiHidden/>
    <w:unhideWhenUsed/>
    <w:rsid w:val="006E0035"/>
    <w:pPr>
      <w:jc w:val="right"/>
    </w:pPr>
  </w:style>
  <w:style w:type="character" w:customStyle="1" w:styleId="aa">
    <w:name w:val="日期 字元"/>
    <w:basedOn w:val="a0"/>
    <w:link w:val="a9"/>
    <w:uiPriority w:val="99"/>
    <w:semiHidden/>
    <w:rsid w:val="006E0035"/>
  </w:style>
  <w:style w:type="character" w:styleId="ab">
    <w:name w:val="annotation reference"/>
    <w:basedOn w:val="a0"/>
    <w:uiPriority w:val="99"/>
    <w:semiHidden/>
    <w:unhideWhenUsed/>
    <w:rsid w:val="00FB3054"/>
    <w:rPr>
      <w:sz w:val="18"/>
      <w:szCs w:val="18"/>
    </w:rPr>
  </w:style>
  <w:style w:type="paragraph" w:styleId="ac">
    <w:name w:val="annotation text"/>
    <w:basedOn w:val="a"/>
    <w:link w:val="ad"/>
    <w:uiPriority w:val="99"/>
    <w:semiHidden/>
    <w:unhideWhenUsed/>
    <w:rsid w:val="00FB3054"/>
  </w:style>
  <w:style w:type="character" w:customStyle="1" w:styleId="ad">
    <w:name w:val="註解文字 字元"/>
    <w:basedOn w:val="a0"/>
    <w:link w:val="ac"/>
    <w:uiPriority w:val="99"/>
    <w:semiHidden/>
    <w:rsid w:val="00FB3054"/>
  </w:style>
  <w:style w:type="paragraph" w:styleId="ae">
    <w:name w:val="annotation subject"/>
    <w:basedOn w:val="ac"/>
    <w:next w:val="ac"/>
    <w:link w:val="af"/>
    <w:uiPriority w:val="99"/>
    <w:semiHidden/>
    <w:unhideWhenUsed/>
    <w:rsid w:val="00FB3054"/>
    <w:rPr>
      <w:b/>
      <w:bCs/>
    </w:rPr>
  </w:style>
  <w:style w:type="character" w:customStyle="1" w:styleId="af">
    <w:name w:val="註解主旨 字元"/>
    <w:basedOn w:val="ad"/>
    <w:link w:val="ae"/>
    <w:uiPriority w:val="99"/>
    <w:semiHidden/>
    <w:rsid w:val="00FB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35BA-8515-4456-83F7-55BCEDD3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516</Words>
  <Characters>2945</Characters>
  <Application>Microsoft Office Word</Application>
  <DocSecurity>0</DocSecurity>
  <Lines>24</Lines>
  <Paragraphs>6</Paragraphs>
  <ScaleCrop>false</ScaleCrop>
  <Company>Hewlett-Packard Company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黃毓倫</dc:creator>
  <cp:lastModifiedBy>邱之駿</cp:lastModifiedBy>
  <cp:revision>6</cp:revision>
  <cp:lastPrinted>2021-06-23T07:27:00Z</cp:lastPrinted>
  <dcterms:created xsi:type="dcterms:W3CDTF">2021-07-22T04:20:00Z</dcterms:created>
  <dcterms:modified xsi:type="dcterms:W3CDTF">2021-07-24T03:00:00Z</dcterms:modified>
</cp:coreProperties>
</file>