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39C5E" w14:textId="1495C293" w:rsidR="00B065F4" w:rsidRDefault="00B065F4" w:rsidP="00B065F4">
      <w:pPr>
        <w:spacing w:beforeLines="50" w:before="180" w:afterLines="50" w:after="180" w:line="300" w:lineRule="auto"/>
        <w:ind w:rightChars="35" w:right="84"/>
        <w:jc w:val="both"/>
        <w:rPr>
          <w:rFonts w:ascii="標楷體" w:eastAsia="標楷體" w:hAnsi="標楷體"/>
          <w:b/>
          <w:bCs/>
          <w:sz w:val="26"/>
          <w:szCs w:val="26"/>
        </w:rPr>
      </w:pPr>
      <w:r w:rsidRPr="001B38AA">
        <w:rPr>
          <w:rFonts w:ascii="標楷體" w:eastAsia="標楷體" w:hAnsi="標楷體" w:hint="eastAsia"/>
          <w:b/>
          <w:sz w:val="26"/>
          <w:szCs w:val="26"/>
        </w:rPr>
        <w:t>財團法人中華民國證券櫃檯買賣中心槓桿交易商辦理槓桿保證金契約交易業務應注意事項</w:t>
      </w:r>
      <w:r w:rsidRPr="001B38AA">
        <w:rPr>
          <w:rFonts w:ascii="標楷體" w:eastAsia="標楷體" w:hAnsi="標楷體" w:hint="eastAsia"/>
          <w:b/>
          <w:bCs/>
          <w:sz w:val="26"/>
          <w:szCs w:val="26"/>
        </w:rPr>
        <w:t>第二十一條修正條文對照表</w:t>
      </w:r>
    </w:p>
    <w:p w14:paraId="50563B65" w14:textId="1590FD3F" w:rsidR="00C43817" w:rsidRPr="00E10FFD" w:rsidRDefault="00C43817" w:rsidP="00C43817">
      <w:pPr>
        <w:spacing w:afterLines="50" w:after="180"/>
        <w:ind w:rightChars="35" w:right="84"/>
        <w:jc w:val="right"/>
        <w:rPr>
          <w:rFonts w:ascii="Times New Roman" w:eastAsia="標楷體" w:hAnsi="Times New Roman" w:cs="Times New Roman"/>
          <w:sz w:val="22"/>
        </w:rPr>
      </w:pPr>
      <w:r w:rsidRPr="00E10FFD">
        <w:rPr>
          <w:rFonts w:ascii="Times New Roman" w:eastAsia="標楷體" w:hAnsi="Times New Roman" w:cs="Times New Roman"/>
          <w:sz w:val="22"/>
        </w:rPr>
        <w:t>金融</w:t>
      </w:r>
      <w:r w:rsidR="00E10FFD" w:rsidRPr="00E10FFD">
        <w:rPr>
          <w:rFonts w:ascii="Times New Roman" w:eastAsia="標楷體" w:hAnsi="Times New Roman" w:cs="Times New Roman"/>
          <w:sz w:val="22"/>
        </w:rPr>
        <w:t>監督管理委員會</w:t>
      </w:r>
      <w:r w:rsidR="00E10FFD" w:rsidRPr="00E10FFD">
        <w:rPr>
          <w:rFonts w:ascii="Times New Roman" w:eastAsia="標楷體" w:hAnsi="Times New Roman" w:cs="Times New Roman"/>
          <w:sz w:val="22"/>
        </w:rPr>
        <w:t>110</w:t>
      </w:r>
      <w:r w:rsidR="00E10FFD" w:rsidRPr="00E10FFD">
        <w:rPr>
          <w:rFonts w:ascii="Times New Roman" w:eastAsia="標楷體" w:hAnsi="Times New Roman" w:cs="Times New Roman"/>
          <w:sz w:val="22"/>
        </w:rPr>
        <w:t>年</w:t>
      </w:r>
      <w:r w:rsidR="00E10FFD" w:rsidRPr="00E10FFD">
        <w:rPr>
          <w:rFonts w:ascii="Times New Roman" w:eastAsia="標楷體" w:hAnsi="Times New Roman" w:cs="Times New Roman"/>
          <w:sz w:val="22"/>
        </w:rPr>
        <w:t>7</w:t>
      </w:r>
      <w:r w:rsidR="00E10FFD" w:rsidRPr="00E10FFD">
        <w:rPr>
          <w:rFonts w:ascii="Times New Roman" w:eastAsia="標楷體" w:hAnsi="Times New Roman" w:cs="Times New Roman"/>
          <w:sz w:val="22"/>
        </w:rPr>
        <w:t>月</w:t>
      </w:r>
      <w:r w:rsidR="00E10FFD" w:rsidRPr="00E10FFD">
        <w:rPr>
          <w:rFonts w:ascii="Times New Roman" w:eastAsia="標楷體" w:hAnsi="Times New Roman" w:cs="Times New Roman"/>
          <w:sz w:val="22"/>
        </w:rPr>
        <w:t>1</w:t>
      </w:r>
      <w:r w:rsidR="00E10FFD" w:rsidRPr="00E10FFD">
        <w:rPr>
          <w:rFonts w:ascii="Times New Roman" w:eastAsia="標楷體" w:hAnsi="Times New Roman" w:cs="Times New Roman"/>
          <w:sz w:val="22"/>
        </w:rPr>
        <w:t>日金</w:t>
      </w:r>
      <w:proofErr w:type="gramStart"/>
      <w:r w:rsidR="00E10FFD" w:rsidRPr="00E10FFD">
        <w:rPr>
          <w:rFonts w:ascii="Times New Roman" w:eastAsia="標楷體" w:hAnsi="Times New Roman" w:cs="Times New Roman"/>
          <w:sz w:val="22"/>
        </w:rPr>
        <w:t>管證期字</w:t>
      </w:r>
      <w:proofErr w:type="gramEnd"/>
      <w:r w:rsidR="00E10FFD" w:rsidRPr="00E10FFD">
        <w:rPr>
          <w:rFonts w:ascii="Times New Roman" w:eastAsia="標楷體" w:hAnsi="Times New Roman" w:cs="Times New Roman"/>
          <w:sz w:val="22"/>
        </w:rPr>
        <w:t>第</w:t>
      </w:r>
      <w:r w:rsidR="00E10FFD" w:rsidRPr="00E10FFD">
        <w:rPr>
          <w:rFonts w:ascii="Times New Roman" w:eastAsia="標楷體" w:hAnsi="Times New Roman" w:cs="Times New Roman"/>
          <w:sz w:val="22"/>
        </w:rPr>
        <w:t>11001399071</w:t>
      </w:r>
      <w:r w:rsidR="00E10FFD" w:rsidRPr="00E10FFD">
        <w:rPr>
          <w:rFonts w:ascii="Times New Roman" w:eastAsia="標楷體" w:hAnsi="Times New Roman" w:cs="Times New Roman"/>
          <w:sz w:val="22"/>
        </w:rPr>
        <w:t>號函</w:t>
      </w:r>
      <w:r w:rsidR="00E10FFD">
        <w:rPr>
          <w:rFonts w:ascii="Times New Roman" w:eastAsia="標楷體" w:hAnsi="Times New Roman" w:cs="Times New Roman" w:hint="eastAsia"/>
          <w:sz w:val="22"/>
        </w:rPr>
        <w:t>核定</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40"/>
        <w:gridCol w:w="2741"/>
        <w:gridCol w:w="2741"/>
      </w:tblGrid>
      <w:tr w:rsidR="00B065F4" w:rsidRPr="00EF409E" w14:paraId="3ECB229F" w14:textId="77777777" w:rsidTr="003D71DB">
        <w:trPr>
          <w:trHeight w:val="535"/>
          <w:tblHeader/>
        </w:trPr>
        <w:tc>
          <w:tcPr>
            <w:tcW w:w="2740" w:type="dxa"/>
            <w:tcBorders>
              <w:top w:val="single" w:sz="4" w:space="0" w:color="auto"/>
              <w:left w:val="single" w:sz="4" w:space="0" w:color="auto"/>
              <w:bottom w:val="single" w:sz="4" w:space="0" w:color="auto"/>
              <w:right w:val="single" w:sz="4" w:space="0" w:color="auto"/>
            </w:tcBorders>
            <w:vAlign w:val="center"/>
            <w:hideMark/>
          </w:tcPr>
          <w:p w14:paraId="5F027998" w14:textId="77777777" w:rsidR="00B065F4" w:rsidRPr="00EF409E" w:rsidRDefault="00B065F4" w:rsidP="003D71DB">
            <w:pPr>
              <w:adjustRightInd w:val="0"/>
              <w:snapToGrid w:val="0"/>
              <w:spacing w:line="300" w:lineRule="auto"/>
              <w:jc w:val="center"/>
              <w:rPr>
                <w:rFonts w:ascii="Times New Roman" w:eastAsia="標楷體" w:hAnsi="Times New Roman" w:cs="Times New Roman"/>
                <w:b/>
                <w:bCs/>
                <w:snapToGrid w:val="0"/>
                <w:szCs w:val="24"/>
              </w:rPr>
            </w:pPr>
            <w:r w:rsidRPr="00EF409E">
              <w:rPr>
                <w:rFonts w:ascii="Times New Roman" w:eastAsia="標楷體" w:hAnsi="Times New Roman" w:cs="Times New Roman" w:hint="eastAsia"/>
                <w:b/>
                <w:bCs/>
                <w:snapToGrid w:val="0"/>
                <w:szCs w:val="24"/>
              </w:rPr>
              <w:t>修正條文</w:t>
            </w:r>
          </w:p>
        </w:tc>
        <w:tc>
          <w:tcPr>
            <w:tcW w:w="2741" w:type="dxa"/>
            <w:tcBorders>
              <w:top w:val="single" w:sz="4" w:space="0" w:color="auto"/>
              <w:left w:val="single" w:sz="4" w:space="0" w:color="auto"/>
              <w:bottom w:val="single" w:sz="4" w:space="0" w:color="auto"/>
              <w:right w:val="single" w:sz="4" w:space="0" w:color="auto"/>
            </w:tcBorders>
            <w:vAlign w:val="center"/>
            <w:hideMark/>
          </w:tcPr>
          <w:p w14:paraId="7CFFA5F0" w14:textId="77777777" w:rsidR="00B065F4" w:rsidRPr="00EF409E" w:rsidRDefault="00B065F4" w:rsidP="003D71DB">
            <w:pPr>
              <w:adjustRightInd w:val="0"/>
              <w:snapToGrid w:val="0"/>
              <w:spacing w:line="300" w:lineRule="auto"/>
              <w:jc w:val="center"/>
              <w:rPr>
                <w:rFonts w:ascii="Times New Roman" w:eastAsia="標楷體" w:hAnsi="Times New Roman" w:cs="Times New Roman"/>
                <w:b/>
                <w:bCs/>
                <w:snapToGrid w:val="0"/>
                <w:szCs w:val="24"/>
              </w:rPr>
            </w:pPr>
            <w:r w:rsidRPr="00EF409E">
              <w:rPr>
                <w:rFonts w:ascii="Times New Roman" w:eastAsia="標楷體" w:hAnsi="Times New Roman" w:cs="Times New Roman" w:hint="eastAsia"/>
                <w:b/>
                <w:bCs/>
                <w:snapToGrid w:val="0"/>
                <w:szCs w:val="24"/>
              </w:rPr>
              <w:t>現行條文</w:t>
            </w:r>
          </w:p>
        </w:tc>
        <w:tc>
          <w:tcPr>
            <w:tcW w:w="2741" w:type="dxa"/>
            <w:tcBorders>
              <w:top w:val="single" w:sz="4" w:space="0" w:color="auto"/>
              <w:left w:val="single" w:sz="4" w:space="0" w:color="auto"/>
              <w:bottom w:val="single" w:sz="4" w:space="0" w:color="auto"/>
              <w:right w:val="single" w:sz="4" w:space="0" w:color="auto"/>
            </w:tcBorders>
            <w:vAlign w:val="center"/>
            <w:hideMark/>
          </w:tcPr>
          <w:p w14:paraId="768DF3B3" w14:textId="77777777" w:rsidR="00B065F4" w:rsidRPr="00EF409E" w:rsidRDefault="00B065F4" w:rsidP="003D71DB">
            <w:pPr>
              <w:adjustRightInd w:val="0"/>
              <w:snapToGrid w:val="0"/>
              <w:spacing w:line="300" w:lineRule="auto"/>
              <w:jc w:val="center"/>
              <w:rPr>
                <w:rFonts w:ascii="Times New Roman" w:eastAsia="標楷體" w:hAnsi="Times New Roman" w:cs="Times New Roman"/>
                <w:b/>
                <w:bCs/>
                <w:snapToGrid w:val="0"/>
                <w:szCs w:val="24"/>
              </w:rPr>
            </w:pPr>
            <w:r w:rsidRPr="00EF409E">
              <w:rPr>
                <w:rFonts w:ascii="Times New Roman" w:eastAsia="標楷體" w:hAnsi="Times New Roman" w:cs="Times New Roman" w:hint="eastAsia"/>
                <w:b/>
                <w:bCs/>
                <w:snapToGrid w:val="0"/>
                <w:szCs w:val="24"/>
              </w:rPr>
              <w:t>說明</w:t>
            </w:r>
          </w:p>
        </w:tc>
      </w:tr>
      <w:tr w:rsidR="00B065F4" w:rsidRPr="00EF409E" w14:paraId="4F1CE6ED" w14:textId="77777777" w:rsidTr="003D71DB">
        <w:trPr>
          <w:trHeight w:val="535"/>
        </w:trPr>
        <w:tc>
          <w:tcPr>
            <w:tcW w:w="2740" w:type="dxa"/>
            <w:tcBorders>
              <w:top w:val="single" w:sz="4" w:space="0" w:color="auto"/>
              <w:left w:val="single" w:sz="4" w:space="0" w:color="auto"/>
              <w:bottom w:val="single" w:sz="4" w:space="0" w:color="auto"/>
              <w:right w:val="single" w:sz="4" w:space="0" w:color="auto"/>
            </w:tcBorders>
            <w:hideMark/>
          </w:tcPr>
          <w:p w14:paraId="11FC0CB3" w14:textId="77777777" w:rsidR="00B065F4" w:rsidRPr="00EF409E" w:rsidRDefault="00B065F4" w:rsidP="003D71DB">
            <w:pPr>
              <w:adjustRightInd w:val="0"/>
              <w:snapToGrid w:val="0"/>
              <w:spacing w:line="300" w:lineRule="auto"/>
              <w:ind w:rightChars="27" w:right="65"/>
              <w:jc w:val="both"/>
              <w:rPr>
                <w:rFonts w:ascii="Times New Roman" w:eastAsia="標楷體" w:hAnsi="Times New Roman"/>
              </w:rPr>
            </w:pPr>
            <w:r w:rsidRPr="00EF409E">
              <w:rPr>
                <w:rFonts w:ascii="Times New Roman" w:eastAsia="標楷體" w:hAnsi="Times New Roman" w:hint="eastAsia"/>
              </w:rPr>
              <w:t>第二十一條</w:t>
            </w:r>
          </w:p>
          <w:p w14:paraId="0D7FE7D4"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r w:rsidRPr="00EF409E">
              <w:rPr>
                <w:rFonts w:ascii="標楷體" w:eastAsia="標楷體" w:hAnsi="標楷體" w:hint="eastAsia"/>
              </w:rPr>
              <w:t>槓桿交易商對屬自然人之一般客戶提供結構型商品以外之槓桿保證金契約交易服務，應以</w:t>
            </w:r>
            <w:r w:rsidRPr="00EF409E">
              <w:rPr>
                <w:rFonts w:ascii="標楷體" w:eastAsia="標楷體" w:hAnsi="標楷體" w:hint="eastAsia"/>
                <w:u w:val="single"/>
              </w:rPr>
              <w:t>下列商品為限：</w:t>
            </w:r>
          </w:p>
          <w:p w14:paraId="7EED5759" w14:textId="77777777" w:rsidR="00B065F4" w:rsidRPr="00EF409E" w:rsidRDefault="00B065F4" w:rsidP="003D71DB">
            <w:pPr>
              <w:adjustRightInd w:val="0"/>
              <w:snapToGrid w:val="0"/>
              <w:spacing w:line="300" w:lineRule="auto"/>
              <w:jc w:val="both"/>
              <w:rPr>
                <w:rFonts w:ascii="標楷體" w:eastAsia="標楷體" w:hAnsi="標楷體"/>
              </w:rPr>
            </w:pPr>
            <w:r w:rsidRPr="00EF409E">
              <w:rPr>
                <w:rFonts w:ascii="標楷體" w:eastAsia="標楷體" w:hAnsi="標楷體" w:hint="eastAsia"/>
                <w:u w:val="single"/>
              </w:rPr>
              <w:t>一、</w:t>
            </w:r>
            <w:r w:rsidRPr="00EF409E">
              <w:rPr>
                <w:rFonts w:ascii="標楷體" w:eastAsia="標楷體" w:hAnsi="標楷體" w:hint="eastAsia"/>
              </w:rPr>
              <w:t>買入</w:t>
            </w:r>
            <w:proofErr w:type="gramStart"/>
            <w:r w:rsidRPr="00EF409E">
              <w:rPr>
                <w:rFonts w:ascii="標楷體" w:eastAsia="標楷體" w:hAnsi="標楷體" w:hint="eastAsia"/>
              </w:rPr>
              <w:t>臺</w:t>
            </w:r>
            <w:proofErr w:type="gramEnd"/>
            <w:r w:rsidRPr="00EF409E">
              <w:rPr>
                <w:rFonts w:ascii="標楷體" w:eastAsia="標楷體" w:hAnsi="標楷體" w:hint="eastAsia"/>
              </w:rPr>
              <w:t>股股權選擇權</w:t>
            </w:r>
            <w:r w:rsidRPr="00EF409E">
              <w:rPr>
                <w:rFonts w:ascii="標楷體" w:eastAsia="標楷體" w:hAnsi="標楷體" w:hint="eastAsia"/>
                <w:u w:val="single"/>
              </w:rPr>
              <w:t>。</w:t>
            </w:r>
          </w:p>
          <w:p w14:paraId="723CFF65" w14:textId="77777777" w:rsidR="00B065F4" w:rsidRPr="00EF409E" w:rsidRDefault="00B065F4" w:rsidP="003D71DB">
            <w:pPr>
              <w:adjustRightInd w:val="0"/>
              <w:snapToGrid w:val="0"/>
              <w:spacing w:line="300" w:lineRule="auto"/>
              <w:ind w:left="540" w:hangingChars="225" w:hanging="540"/>
              <w:jc w:val="both"/>
              <w:rPr>
                <w:rFonts w:ascii="標楷體" w:eastAsia="標楷體" w:hAnsi="標楷體"/>
              </w:rPr>
            </w:pPr>
            <w:r w:rsidRPr="00EF409E">
              <w:rPr>
                <w:rFonts w:ascii="標楷體" w:eastAsia="標楷體" w:hAnsi="標楷體" w:hint="eastAsia"/>
                <w:u w:val="single"/>
              </w:rPr>
              <w:t>二、</w:t>
            </w:r>
            <w:r w:rsidRPr="00EF409E">
              <w:rPr>
                <w:rFonts w:ascii="標楷體" w:eastAsia="標楷體" w:hAnsi="標楷體" w:hint="eastAsia"/>
              </w:rPr>
              <w:t>買入轉（交）換公司債資產交換選擇權</w:t>
            </w:r>
            <w:r w:rsidRPr="00EF409E">
              <w:rPr>
                <w:rFonts w:ascii="標楷體" w:eastAsia="標楷體" w:hAnsi="標楷體" w:hint="eastAsia"/>
                <w:u w:val="single"/>
              </w:rPr>
              <w:t>。</w:t>
            </w:r>
          </w:p>
          <w:p w14:paraId="291EAE85" w14:textId="77777777" w:rsidR="00B065F4" w:rsidRPr="00EF409E" w:rsidRDefault="00B065F4" w:rsidP="003D71DB">
            <w:pPr>
              <w:adjustRightInd w:val="0"/>
              <w:snapToGrid w:val="0"/>
              <w:spacing w:line="300" w:lineRule="auto"/>
              <w:ind w:left="540" w:hangingChars="225" w:hanging="540"/>
              <w:jc w:val="both"/>
              <w:rPr>
                <w:rFonts w:ascii="標楷體" w:eastAsia="標楷體" w:hAnsi="標楷體"/>
              </w:rPr>
            </w:pPr>
            <w:r w:rsidRPr="00EF409E">
              <w:rPr>
                <w:rFonts w:ascii="標楷體" w:eastAsia="標楷體" w:hAnsi="標楷體" w:hint="eastAsia"/>
                <w:u w:val="single"/>
              </w:rPr>
              <w:t>三、</w:t>
            </w:r>
            <w:r w:rsidRPr="00EF409E">
              <w:rPr>
                <w:rFonts w:ascii="標楷體" w:eastAsia="標楷體" w:hAnsi="標楷體" w:hint="eastAsia"/>
              </w:rPr>
              <w:t>外幣保證金</w:t>
            </w:r>
            <w:r w:rsidRPr="00EF409E">
              <w:rPr>
                <w:rFonts w:ascii="標楷體" w:eastAsia="標楷體" w:hAnsi="標楷體" w:hint="eastAsia"/>
                <w:u w:val="single"/>
              </w:rPr>
              <w:t>。</w:t>
            </w:r>
          </w:p>
          <w:p w14:paraId="1919DC4A" w14:textId="77777777" w:rsidR="00B065F4" w:rsidRPr="00EF409E" w:rsidRDefault="00B065F4" w:rsidP="003D71DB">
            <w:pPr>
              <w:adjustRightInd w:val="0"/>
              <w:snapToGrid w:val="0"/>
              <w:spacing w:line="300" w:lineRule="auto"/>
              <w:ind w:left="540" w:hangingChars="225" w:hanging="540"/>
              <w:jc w:val="both"/>
              <w:rPr>
                <w:rFonts w:ascii="標楷體" w:eastAsia="標楷體" w:hAnsi="標楷體"/>
              </w:rPr>
            </w:pPr>
            <w:r w:rsidRPr="00EF409E">
              <w:rPr>
                <w:rFonts w:ascii="標楷體" w:eastAsia="標楷體" w:hAnsi="標楷體" w:hint="eastAsia"/>
                <w:u w:val="single"/>
              </w:rPr>
              <w:t>四、</w:t>
            </w:r>
            <w:r w:rsidRPr="00EF409E">
              <w:rPr>
                <w:rFonts w:ascii="標楷體" w:eastAsia="標楷體" w:hAnsi="標楷體" w:hint="eastAsia"/>
              </w:rPr>
              <w:t>連結黃金</w:t>
            </w:r>
            <w:r w:rsidRPr="00EF409E">
              <w:rPr>
                <w:rFonts w:ascii="標楷體" w:eastAsia="標楷體" w:hAnsi="標楷體" w:hint="eastAsia"/>
                <w:u w:val="single"/>
              </w:rPr>
              <w:t>、白銀</w:t>
            </w:r>
            <w:r w:rsidRPr="00EF409E">
              <w:rPr>
                <w:rFonts w:ascii="標楷體" w:eastAsia="標楷體" w:hAnsi="標楷體" w:hint="eastAsia"/>
              </w:rPr>
              <w:t>或原油價格之差價契約</w:t>
            </w:r>
            <w:r w:rsidRPr="00EF409E">
              <w:rPr>
                <w:rFonts w:ascii="標楷體" w:eastAsia="標楷體" w:hAnsi="標楷體" w:hint="eastAsia"/>
                <w:u w:val="single"/>
              </w:rPr>
              <w:t>。</w:t>
            </w:r>
          </w:p>
          <w:p w14:paraId="1024D0A9" w14:textId="6DCF785F" w:rsidR="00B065F4" w:rsidRDefault="00B065F4" w:rsidP="003D71DB">
            <w:pPr>
              <w:adjustRightInd w:val="0"/>
              <w:snapToGrid w:val="0"/>
              <w:spacing w:line="300" w:lineRule="auto"/>
              <w:ind w:left="540" w:hangingChars="225" w:hanging="540"/>
              <w:jc w:val="both"/>
              <w:rPr>
                <w:rFonts w:ascii="Times New Roman" w:eastAsia="標楷體" w:hAnsi="Times New Roman" w:cs="Times New Roman"/>
                <w:u w:val="single"/>
              </w:rPr>
            </w:pPr>
            <w:r w:rsidRPr="00EF409E">
              <w:rPr>
                <w:rFonts w:ascii="標楷體" w:eastAsia="標楷體" w:hAnsi="標楷體" w:hint="eastAsia"/>
                <w:u w:val="single"/>
              </w:rPr>
              <w:t>五、連結國外個股</w:t>
            </w:r>
            <w:r>
              <w:rPr>
                <w:rFonts w:ascii="Times New Roman" w:eastAsia="標楷體" w:hAnsi="Times New Roman" w:cs="Times New Roman" w:hint="eastAsia"/>
                <w:u w:val="single"/>
              </w:rPr>
              <w:t>或</w:t>
            </w:r>
            <w:r w:rsidRPr="00EF409E">
              <w:rPr>
                <w:rFonts w:ascii="Times New Roman" w:eastAsia="標楷體" w:hAnsi="Times New Roman" w:cs="Times New Roman" w:hint="eastAsia"/>
                <w:u w:val="single"/>
              </w:rPr>
              <w:t>國外</w:t>
            </w:r>
            <w:r w:rsidRPr="00EF409E">
              <w:rPr>
                <w:rFonts w:ascii="Times New Roman" w:eastAsia="標楷體" w:hAnsi="Times New Roman" w:cs="Times New Roman"/>
                <w:u w:val="single"/>
              </w:rPr>
              <w:t>ETF</w:t>
            </w:r>
            <w:r w:rsidRPr="00EF409E">
              <w:rPr>
                <w:rFonts w:ascii="Times New Roman" w:eastAsia="標楷體" w:hAnsi="Times New Roman" w:cs="Times New Roman"/>
                <w:u w:val="single"/>
              </w:rPr>
              <w:t>之差價契約</w:t>
            </w:r>
            <w:r>
              <w:rPr>
                <w:rFonts w:ascii="Times New Roman" w:eastAsia="標楷體" w:hAnsi="Times New Roman" w:cs="Times New Roman" w:hint="eastAsia"/>
                <w:u w:val="single"/>
              </w:rPr>
              <w:t>，並以依</w:t>
            </w:r>
            <w:r w:rsidRPr="00313FF8">
              <w:rPr>
                <w:rFonts w:ascii="Times New Roman" w:eastAsia="標楷體" w:hAnsi="Times New Roman" w:cs="Times New Roman" w:hint="eastAsia"/>
                <w:u w:val="single"/>
              </w:rPr>
              <w:t>期貨交易法第</w:t>
            </w:r>
            <w:r w:rsidRPr="00313FF8">
              <w:rPr>
                <w:rFonts w:ascii="Times New Roman" w:eastAsia="標楷體" w:hAnsi="Times New Roman" w:cs="Times New Roman" w:hint="eastAsia"/>
                <w:u w:val="single"/>
              </w:rPr>
              <w:t>5</w:t>
            </w:r>
            <w:r w:rsidRPr="00313FF8">
              <w:rPr>
                <w:rFonts w:ascii="Times New Roman" w:eastAsia="標楷體" w:hAnsi="Times New Roman" w:cs="Times New Roman" w:hint="eastAsia"/>
                <w:u w:val="single"/>
              </w:rPr>
              <w:t>條公告</w:t>
            </w:r>
            <w:r w:rsidRPr="00F275A4">
              <w:rPr>
                <w:rFonts w:ascii="Times New Roman" w:eastAsia="標楷體" w:hAnsi="Times New Roman" w:cs="Times New Roman" w:hint="eastAsia"/>
                <w:u w:val="single"/>
              </w:rPr>
              <w:t>「期貨商得受託從事期貨交易之國外期貨交易契約」</w:t>
            </w:r>
            <w:r>
              <w:rPr>
                <w:rFonts w:ascii="Times New Roman" w:eastAsia="標楷體" w:hAnsi="Times New Roman" w:cs="Times New Roman" w:hint="eastAsia"/>
                <w:u w:val="single"/>
              </w:rPr>
              <w:t>連結標的</w:t>
            </w:r>
            <w:r w:rsidRPr="00274E2B">
              <w:rPr>
                <w:rFonts w:ascii="Times New Roman" w:eastAsia="標楷體" w:hAnsi="Times New Roman" w:cs="Times New Roman" w:hint="eastAsia"/>
                <w:u w:val="single"/>
              </w:rPr>
              <w:t>為限</w:t>
            </w:r>
            <w:r>
              <w:rPr>
                <w:rFonts w:ascii="Times New Roman" w:eastAsia="標楷體" w:hAnsi="Times New Roman" w:cs="Times New Roman" w:hint="eastAsia"/>
                <w:u w:val="single"/>
              </w:rPr>
              <w:t>。</w:t>
            </w:r>
          </w:p>
          <w:p w14:paraId="6F65ABB3" w14:textId="22607352" w:rsidR="00B065F4" w:rsidRPr="00EF409E" w:rsidRDefault="00B065F4" w:rsidP="003D71DB">
            <w:pPr>
              <w:adjustRightInd w:val="0"/>
              <w:snapToGrid w:val="0"/>
              <w:spacing w:line="300" w:lineRule="auto"/>
              <w:ind w:left="540" w:hangingChars="225" w:hanging="540"/>
              <w:jc w:val="both"/>
              <w:rPr>
                <w:rFonts w:ascii="標楷體" w:eastAsia="標楷體" w:hAnsi="標楷體"/>
              </w:rPr>
            </w:pPr>
            <w:r>
              <w:rPr>
                <w:rFonts w:ascii="標楷體" w:eastAsia="標楷體" w:hAnsi="標楷體"/>
                <w:u w:val="single"/>
              </w:rPr>
              <w:t>六</w:t>
            </w:r>
            <w:r>
              <w:rPr>
                <w:rFonts w:ascii="標楷體" w:eastAsia="標楷體" w:hAnsi="標楷體" w:hint="eastAsia"/>
                <w:u w:val="single"/>
              </w:rPr>
              <w:t>、</w:t>
            </w:r>
            <w:r>
              <w:rPr>
                <w:rFonts w:ascii="Times New Roman" w:eastAsia="標楷體" w:hAnsi="Times New Roman" w:cs="Times New Roman" w:hint="eastAsia"/>
                <w:u w:val="single"/>
              </w:rPr>
              <w:t>連結</w:t>
            </w:r>
            <w:r w:rsidRPr="00EF409E">
              <w:rPr>
                <w:rFonts w:ascii="Times New Roman" w:eastAsia="標楷體" w:hAnsi="Times New Roman" w:cs="Times New Roman"/>
                <w:u w:val="single"/>
              </w:rPr>
              <w:t>國外股價指數之差價契約，並以</w:t>
            </w:r>
            <w:bookmarkStart w:id="0" w:name="_Hlk60842799"/>
            <w:r w:rsidRPr="00EF409E">
              <w:rPr>
                <w:rFonts w:ascii="Times New Roman" w:eastAsia="標楷體" w:hAnsi="Times New Roman" w:cs="Times New Roman"/>
                <w:u w:val="single"/>
              </w:rPr>
              <w:t>德國</w:t>
            </w:r>
            <w:r w:rsidRPr="00EF409E">
              <w:rPr>
                <w:rFonts w:ascii="Times New Roman" w:eastAsia="標楷體" w:hAnsi="Times New Roman" w:cs="Times New Roman"/>
                <w:u w:val="single"/>
              </w:rPr>
              <w:t xml:space="preserve"> DAX</w:t>
            </w:r>
            <w:r w:rsidRPr="00EF409E">
              <w:rPr>
                <w:rFonts w:ascii="Times New Roman" w:eastAsia="標楷體" w:hAnsi="Times New Roman" w:cs="Times New Roman"/>
                <w:u w:val="single"/>
              </w:rPr>
              <w:t>指數（</w:t>
            </w:r>
            <w:r w:rsidRPr="00EF409E">
              <w:rPr>
                <w:rFonts w:ascii="Times New Roman" w:eastAsia="標楷體" w:hAnsi="Times New Roman" w:cs="Times New Roman"/>
                <w:u w:val="single"/>
              </w:rPr>
              <w:t>DAX 30</w:t>
            </w:r>
            <w:r w:rsidRPr="00EF409E">
              <w:rPr>
                <w:rFonts w:ascii="Times New Roman" w:eastAsia="標楷體" w:hAnsi="Times New Roman" w:cs="Times New Roman"/>
                <w:u w:val="single"/>
              </w:rPr>
              <w:t>）、道瓊工業平均指數（</w:t>
            </w:r>
            <w:r w:rsidRPr="00EF409E">
              <w:rPr>
                <w:rFonts w:ascii="Times New Roman" w:eastAsia="標楷體" w:hAnsi="Times New Roman" w:cs="Times New Roman"/>
                <w:u w:val="single"/>
              </w:rPr>
              <w:t>DJIA</w:t>
            </w:r>
            <w:r w:rsidRPr="00EF409E">
              <w:rPr>
                <w:rFonts w:ascii="Times New Roman" w:eastAsia="標楷體" w:hAnsi="Times New Roman" w:cs="Times New Roman"/>
                <w:u w:val="single"/>
              </w:rPr>
              <w:t>）、標準普爾</w:t>
            </w:r>
            <w:r w:rsidRPr="00EF409E">
              <w:rPr>
                <w:rFonts w:ascii="Times New Roman" w:eastAsia="標楷體" w:hAnsi="Times New Roman" w:cs="Times New Roman"/>
                <w:u w:val="single"/>
              </w:rPr>
              <w:t>500</w:t>
            </w:r>
            <w:r w:rsidRPr="00EF409E">
              <w:rPr>
                <w:rFonts w:ascii="Times New Roman" w:eastAsia="標楷體" w:hAnsi="Times New Roman" w:cs="Times New Roman"/>
                <w:u w:val="single"/>
              </w:rPr>
              <w:t>指數（</w:t>
            </w:r>
            <w:r w:rsidRPr="00EF409E">
              <w:rPr>
                <w:rFonts w:ascii="Times New Roman" w:eastAsia="標楷體" w:hAnsi="Times New Roman" w:cs="Times New Roman"/>
                <w:u w:val="single"/>
              </w:rPr>
              <w:t>S&amp;P 500</w:t>
            </w:r>
            <w:r w:rsidRPr="00EF409E">
              <w:rPr>
                <w:rFonts w:ascii="Times New Roman" w:eastAsia="標楷體" w:hAnsi="Times New Roman" w:cs="Times New Roman"/>
                <w:u w:val="single"/>
              </w:rPr>
              <w:t>）、納斯達克</w:t>
            </w:r>
            <w:r w:rsidRPr="00EF409E">
              <w:rPr>
                <w:rFonts w:ascii="Times New Roman" w:eastAsia="標楷體" w:hAnsi="Times New Roman" w:cs="Times New Roman"/>
                <w:u w:val="single"/>
              </w:rPr>
              <w:t>100</w:t>
            </w:r>
            <w:r w:rsidRPr="00EF409E">
              <w:rPr>
                <w:rFonts w:ascii="Times New Roman" w:eastAsia="標楷體" w:hAnsi="Times New Roman" w:cs="Times New Roman"/>
                <w:u w:val="single"/>
              </w:rPr>
              <w:t>指數（</w:t>
            </w:r>
            <w:r w:rsidRPr="00EF409E">
              <w:rPr>
                <w:rFonts w:ascii="Times New Roman" w:eastAsia="標楷體" w:hAnsi="Times New Roman" w:cs="Times New Roman"/>
                <w:u w:val="single"/>
              </w:rPr>
              <w:t>NASDAQ 100</w:t>
            </w:r>
            <w:r w:rsidRPr="00EF409E">
              <w:rPr>
                <w:rFonts w:ascii="Times New Roman" w:eastAsia="標楷體" w:hAnsi="Times New Roman" w:cs="Times New Roman"/>
                <w:u w:val="single"/>
              </w:rPr>
              <w:t>）、日經</w:t>
            </w:r>
            <w:r w:rsidRPr="00EF409E">
              <w:rPr>
                <w:rFonts w:ascii="Times New Roman" w:eastAsia="標楷體" w:hAnsi="Times New Roman" w:cs="Times New Roman"/>
                <w:u w:val="single"/>
              </w:rPr>
              <w:t>225</w:t>
            </w:r>
            <w:r w:rsidRPr="00EF409E">
              <w:rPr>
                <w:rFonts w:ascii="Times New Roman" w:eastAsia="標楷體" w:hAnsi="Times New Roman" w:cs="Times New Roman"/>
                <w:u w:val="single"/>
              </w:rPr>
              <w:t>指數（</w:t>
            </w:r>
            <w:r w:rsidRPr="00EF409E">
              <w:rPr>
                <w:rFonts w:ascii="Times New Roman" w:eastAsia="標楷體" w:hAnsi="Times New Roman" w:cs="Times New Roman"/>
                <w:u w:val="single"/>
              </w:rPr>
              <w:t>Nikkei 225</w:t>
            </w:r>
            <w:r w:rsidRPr="00EF409E">
              <w:rPr>
                <w:rFonts w:ascii="Times New Roman" w:eastAsia="標楷體" w:hAnsi="Times New Roman" w:cs="Times New Roman"/>
                <w:u w:val="single"/>
              </w:rPr>
              <w:t>）</w:t>
            </w:r>
            <w:r>
              <w:rPr>
                <w:rFonts w:ascii="Times New Roman" w:eastAsia="標楷體" w:hAnsi="Times New Roman" w:cs="Times New Roman" w:hint="eastAsia"/>
                <w:u w:val="single"/>
              </w:rPr>
              <w:t>及</w:t>
            </w:r>
            <w:r w:rsidRPr="00EF409E">
              <w:rPr>
                <w:rFonts w:ascii="Times New Roman" w:eastAsia="標楷體" w:hAnsi="Times New Roman" w:cs="Times New Roman"/>
                <w:u w:val="single"/>
              </w:rPr>
              <w:t>恆生</w:t>
            </w:r>
            <w:r w:rsidRPr="00EF409E">
              <w:rPr>
                <w:rFonts w:ascii="Times New Roman" w:eastAsia="標楷體" w:hAnsi="Times New Roman" w:cs="Times New Roman"/>
                <w:u w:val="single"/>
              </w:rPr>
              <w:lastRenderedPageBreak/>
              <w:t>指數（</w:t>
            </w:r>
            <w:r w:rsidRPr="00EF409E">
              <w:rPr>
                <w:rFonts w:ascii="Times New Roman" w:eastAsia="標楷體" w:hAnsi="Times New Roman" w:cs="Times New Roman"/>
                <w:u w:val="single"/>
              </w:rPr>
              <w:t>HS</w:t>
            </w:r>
            <w:r w:rsidR="00B70D16" w:rsidRPr="00EF409E">
              <w:rPr>
                <w:rFonts w:ascii="Times New Roman" w:eastAsia="標楷體" w:hAnsi="Times New Roman" w:cs="Times New Roman"/>
                <w:u w:val="single"/>
              </w:rPr>
              <w:t>I</w:t>
            </w:r>
            <w:r w:rsidRPr="00EF409E">
              <w:rPr>
                <w:rFonts w:ascii="Times New Roman" w:eastAsia="標楷體" w:hAnsi="Times New Roman" w:cs="Times New Roman"/>
                <w:u w:val="single"/>
              </w:rPr>
              <w:t>）</w:t>
            </w:r>
            <w:bookmarkEnd w:id="0"/>
            <w:r w:rsidRPr="00EF409E">
              <w:rPr>
                <w:rFonts w:ascii="Times New Roman" w:eastAsia="標楷體" w:hAnsi="Times New Roman" w:cs="Times New Roman"/>
                <w:u w:val="single"/>
              </w:rPr>
              <w:t>為限。</w:t>
            </w:r>
          </w:p>
          <w:p w14:paraId="2A78D6BC"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r w:rsidRPr="00EF409E">
              <w:rPr>
                <w:rFonts w:ascii="標楷體" w:eastAsia="標楷體" w:hAnsi="標楷體" w:hint="eastAsia"/>
              </w:rPr>
              <w:t>槓桿交易商應制定及執行適用以自然人為交易對手之信用風險評估政策及作業流程，若涉及外匯商品，同時依中央銀行相關外匯規定辦理。</w:t>
            </w:r>
          </w:p>
          <w:p w14:paraId="78D2A291" w14:textId="77777777" w:rsidR="00B065F4" w:rsidRPr="00EF409E" w:rsidRDefault="00B065F4" w:rsidP="003D71DB">
            <w:pPr>
              <w:adjustRightInd w:val="0"/>
              <w:snapToGrid w:val="0"/>
              <w:spacing w:line="300" w:lineRule="auto"/>
              <w:ind w:firstLineChars="224" w:firstLine="538"/>
              <w:jc w:val="both"/>
              <w:rPr>
                <w:rFonts w:ascii="Times New Roman" w:eastAsia="標楷體" w:hAnsi="Times New Roman"/>
              </w:rPr>
            </w:pPr>
            <w:r w:rsidRPr="00EF409E">
              <w:rPr>
                <w:rFonts w:ascii="標楷體" w:eastAsia="標楷體" w:hAnsi="標楷體" w:hint="eastAsia"/>
                <w:szCs w:val="24"/>
              </w:rPr>
              <w:t>第一項連結黃金</w:t>
            </w:r>
            <w:r w:rsidRPr="00EF409E">
              <w:rPr>
                <w:rFonts w:ascii="標楷體" w:eastAsia="標楷體" w:hAnsi="標楷體" w:hint="eastAsia"/>
                <w:u w:val="single"/>
              </w:rPr>
              <w:t>、白銀</w:t>
            </w:r>
            <w:r w:rsidRPr="00EF409E">
              <w:rPr>
                <w:rFonts w:ascii="標楷體" w:eastAsia="標楷體" w:hAnsi="標楷體" w:hint="eastAsia"/>
                <w:szCs w:val="24"/>
              </w:rPr>
              <w:t>或原油價格之差價契約，其標的應為廣泛被採用，並可在公開網站或資訊系統取得資訊者。</w:t>
            </w:r>
          </w:p>
          <w:p w14:paraId="43B37E53"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p>
        </w:tc>
        <w:tc>
          <w:tcPr>
            <w:tcW w:w="2741" w:type="dxa"/>
            <w:tcBorders>
              <w:top w:val="single" w:sz="4" w:space="0" w:color="auto"/>
              <w:left w:val="single" w:sz="4" w:space="0" w:color="auto"/>
              <w:bottom w:val="single" w:sz="4" w:space="0" w:color="auto"/>
              <w:right w:val="single" w:sz="4" w:space="0" w:color="auto"/>
            </w:tcBorders>
            <w:hideMark/>
          </w:tcPr>
          <w:p w14:paraId="5802147C" w14:textId="77777777" w:rsidR="00B065F4" w:rsidRPr="00EF409E" w:rsidRDefault="00B065F4" w:rsidP="003D71DB">
            <w:pPr>
              <w:adjustRightInd w:val="0"/>
              <w:snapToGrid w:val="0"/>
              <w:spacing w:line="300" w:lineRule="auto"/>
              <w:ind w:rightChars="27" w:right="65"/>
              <w:jc w:val="both"/>
              <w:rPr>
                <w:rFonts w:ascii="Times New Roman" w:eastAsia="標楷體" w:hAnsi="Times New Roman"/>
              </w:rPr>
            </w:pPr>
            <w:r w:rsidRPr="00EF409E">
              <w:rPr>
                <w:rFonts w:ascii="Times New Roman" w:eastAsia="標楷體" w:hAnsi="Times New Roman" w:hint="eastAsia"/>
              </w:rPr>
              <w:lastRenderedPageBreak/>
              <w:t>第二十一條</w:t>
            </w:r>
          </w:p>
          <w:p w14:paraId="62D8CD2F"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r w:rsidRPr="00EF409E">
              <w:rPr>
                <w:rFonts w:ascii="標楷體" w:eastAsia="標楷體" w:hAnsi="標楷體" w:hint="eastAsia"/>
              </w:rPr>
              <w:t>槓桿交易商對屬自然人之一般客戶提供結構型商品以外之槓桿保證金契約交易服務，應以買入</w:t>
            </w:r>
            <w:proofErr w:type="gramStart"/>
            <w:r w:rsidRPr="00EF409E">
              <w:rPr>
                <w:rFonts w:ascii="標楷體" w:eastAsia="標楷體" w:hAnsi="標楷體" w:hint="eastAsia"/>
              </w:rPr>
              <w:t>臺</w:t>
            </w:r>
            <w:proofErr w:type="gramEnd"/>
            <w:r w:rsidRPr="00EF409E">
              <w:rPr>
                <w:rFonts w:ascii="標楷體" w:eastAsia="標楷體" w:hAnsi="標楷體" w:hint="eastAsia"/>
              </w:rPr>
              <w:t>股股權選擇權</w:t>
            </w:r>
            <w:r w:rsidRPr="00EF409E">
              <w:rPr>
                <w:rFonts w:ascii="標楷體" w:eastAsia="標楷體" w:hAnsi="標楷體" w:hint="eastAsia"/>
                <w:u w:val="single"/>
              </w:rPr>
              <w:t>、</w:t>
            </w:r>
            <w:r w:rsidRPr="00EF409E">
              <w:rPr>
                <w:rFonts w:ascii="標楷體" w:eastAsia="標楷體" w:hAnsi="標楷體" w:hint="eastAsia"/>
              </w:rPr>
              <w:t>買入轉（交）換公司債資產交換選擇權</w:t>
            </w:r>
            <w:r w:rsidRPr="00EF409E">
              <w:rPr>
                <w:rFonts w:ascii="標楷體" w:eastAsia="標楷體" w:hAnsi="標楷體" w:hint="eastAsia"/>
                <w:u w:val="single"/>
              </w:rPr>
              <w:t>、</w:t>
            </w:r>
            <w:r w:rsidRPr="00EF409E">
              <w:rPr>
                <w:rFonts w:ascii="標楷體" w:eastAsia="標楷體" w:hAnsi="標楷體" w:hint="eastAsia"/>
              </w:rPr>
              <w:t>外幣保證金</w:t>
            </w:r>
            <w:r w:rsidRPr="00EF409E">
              <w:rPr>
                <w:rFonts w:ascii="標楷體" w:eastAsia="標楷體" w:hAnsi="標楷體" w:hint="eastAsia"/>
                <w:u w:val="single"/>
              </w:rPr>
              <w:t>及</w:t>
            </w:r>
            <w:bookmarkStart w:id="1" w:name="_Hlk60753740"/>
            <w:r w:rsidRPr="00EF409E">
              <w:rPr>
                <w:rFonts w:ascii="標楷體" w:eastAsia="標楷體" w:hAnsi="標楷體" w:hint="eastAsia"/>
              </w:rPr>
              <w:t>連結黃金或原油價格之差價契約</w:t>
            </w:r>
            <w:bookmarkEnd w:id="1"/>
            <w:r w:rsidRPr="00EF409E">
              <w:rPr>
                <w:rFonts w:ascii="標楷體" w:eastAsia="標楷體" w:hAnsi="標楷體" w:hint="eastAsia"/>
                <w:u w:val="single"/>
              </w:rPr>
              <w:t>為限。</w:t>
            </w:r>
            <w:r w:rsidRPr="00EF409E">
              <w:rPr>
                <w:rFonts w:ascii="標楷體" w:eastAsia="標楷體" w:hAnsi="標楷體" w:hint="eastAsia"/>
              </w:rPr>
              <w:t>槓桿交易商</w:t>
            </w:r>
            <w:r w:rsidRPr="00EF409E">
              <w:rPr>
                <w:rFonts w:ascii="標楷體" w:eastAsia="標楷體" w:hAnsi="標楷體" w:hint="eastAsia"/>
                <w:u w:val="single"/>
              </w:rPr>
              <w:t>並</w:t>
            </w:r>
            <w:r w:rsidRPr="00EF409E">
              <w:rPr>
                <w:rFonts w:ascii="標楷體" w:eastAsia="標楷體" w:hAnsi="標楷體" w:hint="eastAsia"/>
              </w:rPr>
              <w:t>應制定及執行適用以自然人為交易對手之信用風險評估政策及作業流程，若涉及外匯商品，同時依中央銀行相關外匯規定辦理。</w:t>
            </w:r>
          </w:p>
          <w:p w14:paraId="324472BF"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p>
          <w:p w14:paraId="06F2C7BB"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p>
          <w:p w14:paraId="2AE50935"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p>
          <w:p w14:paraId="2F9EF98A"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p>
          <w:p w14:paraId="00D80152"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p>
          <w:p w14:paraId="79B766A0"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p>
          <w:p w14:paraId="0BE8FF0A"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p>
          <w:p w14:paraId="048CEBD7"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p>
          <w:p w14:paraId="2D405C57"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p>
          <w:p w14:paraId="19234927"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p>
          <w:p w14:paraId="79BA24F2"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p>
          <w:p w14:paraId="75285890"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p>
          <w:p w14:paraId="27DA87DF" w14:textId="77777777" w:rsidR="00B065F4" w:rsidRPr="00EF409E" w:rsidRDefault="00B065F4" w:rsidP="003D71DB">
            <w:pPr>
              <w:adjustRightInd w:val="0"/>
              <w:snapToGrid w:val="0"/>
              <w:spacing w:line="300" w:lineRule="auto"/>
              <w:ind w:firstLineChars="224" w:firstLine="538"/>
              <w:jc w:val="both"/>
              <w:rPr>
                <w:rFonts w:ascii="標楷體" w:eastAsia="標楷體" w:hAnsi="標楷體"/>
              </w:rPr>
            </w:pPr>
          </w:p>
          <w:p w14:paraId="059B3DB9" w14:textId="77777777" w:rsidR="00B065F4" w:rsidRDefault="00B065F4" w:rsidP="003D71DB">
            <w:pPr>
              <w:adjustRightInd w:val="0"/>
              <w:snapToGrid w:val="0"/>
              <w:spacing w:line="300" w:lineRule="auto"/>
              <w:ind w:firstLineChars="224" w:firstLine="538"/>
              <w:jc w:val="both"/>
              <w:rPr>
                <w:rFonts w:ascii="標楷體" w:eastAsia="標楷體" w:hAnsi="標楷體"/>
              </w:rPr>
            </w:pPr>
          </w:p>
          <w:p w14:paraId="2F9B8F2A" w14:textId="77777777" w:rsidR="00B065F4" w:rsidRDefault="00B065F4" w:rsidP="003D71DB">
            <w:pPr>
              <w:adjustRightInd w:val="0"/>
              <w:snapToGrid w:val="0"/>
              <w:spacing w:line="300" w:lineRule="auto"/>
              <w:ind w:firstLineChars="224" w:firstLine="538"/>
              <w:jc w:val="both"/>
              <w:rPr>
                <w:rFonts w:ascii="標楷體" w:eastAsia="標楷體" w:hAnsi="標楷體"/>
              </w:rPr>
            </w:pPr>
          </w:p>
          <w:p w14:paraId="7DD0177E" w14:textId="77777777" w:rsidR="00B065F4" w:rsidRDefault="00B065F4" w:rsidP="003D71DB">
            <w:pPr>
              <w:adjustRightInd w:val="0"/>
              <w:snapToGrid w:val="0"/>
              <w:spacing w:line="300" w:lineRule="auto"/>
              <w:ind w:firstLineChars="224" w:firstLine="538"/>
              <w:jc w:val="both"/>
              <w:rPr>
                <w:rFonts w:ascii="標楷體" w:eastAsia="標楷體" w:hAnsi="標楷體"/>
              </w:rPr>
            </w:pPr>
          </w:p>
          <w:p w14:paraId="332249CA" w14:textId="77777777" w:rsidR="00B065F4" w:rsidRDefault="00B065F4" w:rsidP="003D71DB">
            <w:pPr>
              <w:adjustRightInd w:val="0"/>
              <w:snapToGrid w:val="0"/>
              <w:spacing w:line="300" w:lineRule="auto"/>
              <w:ind w:firstLineChars="224" w:firstLine="538"/>
              <w:jc w:val="both"/>
              <w:rPr>
                <w:rFonts w:ascii="標楷體" w:eastAsia="標楷體" w:hAnsi="標楷體"/>
              </w:rPr>
            </w:pPr>
          </w:p>
          <w:p w14:paraId="45759E87" w14:textId="77777777" w:rsidR="00B065F4" w:rsidRDefault="00B065F4" w:rsidP="003D71DB">
            <w:pPr>
              <w:adjustRightInd w:val="0"/>
              <w:snapToGrid w:val="0"/>
              <w:spacing w:line="300" w:lineRule="auto"/>
              <w:ind w:firstLineChars="224" w:firstLine="538"/>
              <w:jc w:val="both"/>
              <w:rPr>
                <w:rFonts w:ascii="標楷體" w:eastAsia="標楷體" w:hAnsi="標楷體"/>
              </w:rPr>
            </w:pPr>
          </w:p>
          <w:p w14:paraId="5456FF81" w14:textId="77777777" w:rsidR="005E2A97" w:rsidRDefault="005E2A97" w:rsidP="003D71DB">
            <w:pPr>
              <w:adjustRightInd w:val="0"/>
              <w:snapToGrid w:val="0"/>
              <w:spacing w:line="300" w:lineRule="auto"/>
              <w:ind w:firstLineChars="224" w:firstLine="538"/>
              <w:jc w:val="both"/>
              <w:rPr>
                <w:rFonts w:ascii="標楷體" w:eastAsia="標楷體" w:hAnsi="標楷體"/>
              </w:rPr>
            </w:pPr>
          </w:p>
          <w:p w14:paraId="201022F1" w14:textId="77777777" w:rsidR="00B065F4" w:rsidRPr="000A2918" w:rsidRDefault="00B065F4" w:rsidP="000A2918">
            <w:pPr>
              <w:adjustRightInd w:val="0"/>
              <w:snapToGrid w:val="0"/>
              <w:spacing w:line="300" w:lineRule="auto"/>
              <w:ind w:firstLineChars="224" w:firstLine="538"/>
              <w:jc w:val="both"/>
              <w:rPr>
                <w:rFonts w:ascii="標楷體" w:eastAsia="標楷體" w:hAnsi="標楷體"/>
              </w:rPr>
            </w:pPr>
          </w:p>
          <w:p w14:paraId="2619294E" w14:textId="005F7BBD" w:rsidR="00B065F4" w:rsidRPr="00EF409E" w:rsidRDefault="00B065F4" w:rsidP="003D71DB">
            <w:pPr>
              <w:pStyle w:val="a6"/>
              <w:kinsoku w:val="0"/>
              <w:adjustRightInd w:val="0"/>
              <w:snapToGrid w:val="0"/>
              <w:spacing w:line="300" w:lineRule="auto"/>
              <w:ind w:left="0" w:rightChars="7" w:right="17" w:firstLineChars="244" w:firstLine="586"/>
              <w:jc w:val="both"/>
              <w:rPr>
                <w:sz w:val="24"/>
              </w:rPr>
            </w:pPr>
            <w:r w:rsidRPr="00EF409E">
              <w:rPr>
                <w:rFonts w:ascii="標楷體" w:hAnsi="標楷體" w:hint="eastAsia"/>
                <w:sz w:val="24"/>
              </w:rPr>
              <w:t>前項連結黃金或原油價格之差價契約，其標的應為廣泛被採用，並可在公開網站或資訊系統取得資訊者。</w:t>
            </w:r>
          </w:p>
        </w:tc>
        <w:tc>
          <w:tcPr>
            <w:tcW w:w="2741" w:type="dxa"/>
            <w:tcBorders>
              <w:top w:val="single" w:sz="4" w:space="0" w:color="auto"/>
              <w:left w:val="single" w:sz="4" w:space="0" w:color="auto"/>
              <w:bottom w:val="single" w:sz="4" w:space="0" w:color="auto"/>
              <w:right w:val="single" w:sz="4" w:space="0" w:color="auto"/>
            </w:tcBorders>
          </w:tcPr>
          <w:p w14:paraId="2E526031" w14:textId="7A50D5E4" w:rsidR="00B065F4" w:rsidRPr="00EF409E" w:rsidRDefault="00B065F4" w:rsidP="00B065F4">
            <w:pPr>
              <w:pStyle w:val="a3"/>
              <w:numPr>
                <w:ilvl w:val="0"/>
                <w:numId w:val="1"/>
              </w:numPr>
              <w:ind w:leftChars="0"/>
              <w:jc w:val="both"/>
              <w:rPr>
                <w:rFonts w:ascii="標楷體" w:eastAsia="標楷體" w:hAnsi="標楷體" w:cs="Times New Roman"/>
              </w:rPr>
            </w:pPr>
            <w:r w:rsidRPr="00EF409E">
              <w:rPr>
                <w:rFonts w:ascii="標楷體" w:eastAsia="標楷體" w:hAnsi="標楷體" w:cs="Times New Roman" w:hint="eastAsia"/>
              </w:rPr>
              <w:lastRenderedPageBreak/>
              <w:t>為開放</w:t>
            </w:r>
            <w:bookmarkStart w:id="2" w:name="_Hlk61429562"/>
            <w:r w:rsidRPr="00EF409E">
              <w:rPr>
                <w:rFonts w:ascii="標楷體" w:eastAsia="標楷體" w:hAnsi="標楷體" w:cs="Times New Roman" w:hint="eastAsia"/>
              </w:rPr>
              <w:t>連結</w:t>
            </w:r>
            <w:r w:rsidRPr="00EF409E">
              <w:rPr>
                <w:rFonts w:ascii="標楷體" w:eastAsia="標楷體" w:hAnsi="標楷體" w:hint="eastAsia"/>
              </w:rPr>
              <w:t>國外個股（含</w:t>
            </w:r>
            <w:r w:rsidRPr="00EF409E">
              <w:rPr>
                <w:rFonts w:ascii="Times New Roman" w:eastAsia="標楷體" w:hAnsi="Times New Roman" w:cs="Times New Roman"/>
              </w:rPr>
              <w:t>ETF</w:t>
            </w:r>
            <w:r w:rsidRPr="00EF409E">
              <w:rPr>
                <w:rFonts w:ascii="Times New Roman" w:eastAsia="標楷體" w:hAnsi="Times New Roman" w:cs="Times New Roman"/>
              </w:rPr>
              <w:t>）</w:t>
            </w:r>
            <w:r w:rsidRPr="00EF409E">
              <w:rPr>
                <w:rFonts w:ascii="標楷體" w:eastAsia="標楷體" w:hAnsi="標楷體" w:hint="eastAsia"/>
              </w:rPr>
              <w:t>價格、國外股價指數及白銀價格之差價契約</w:t>
            </w:r>
            <w:r w:rsidRPr="00EF409E">
              <w:rPr>
                <w:rFonts w:ascii="標楷體" w:eastAsia="標楷體" w:hAnsi="標楷體" w:cs="Times New Roman" w:hint="eastAsia"/>
              </w:rPr>
              <w:t>得為槓桿交易商對屬自然人之一般客戶提供之商品種類，</w:t>
            </w:r>
            <w:proofErr w:type="gramStart"/>
            <w:r w:rsidRPr="00EF409E">
              <w:rPr>
                <w:rFonts w:ascii="標楷體" w:eastAsia="標楷體" w:hAnsi="標楷體" w:cs="Times New Roman" w:hint="eastAsia"/>
              </w:rPr>
              <w:t>爰</w:t>
            </w:r>
            <w:proofErr w:type="gramEnd"/>
            <w:r w:rsidRPr="00EF409E">
              <w:rPr>
                <w:rFonts w:ascii="標楷體" w:eastAsia="標楷體" w:hAnsi="標楷體" w:cs="Times New Roman" w:hint="eastAsia"/>
              </w:rPr>
              <w:t>修正</w:t>
            </w:r>
            <w:r w:rsidR="005E2A97">
              <w:rPr>
                <w:rFonts w:ascii="標楷體" w:eastAsia="標楷體" w:hAnsi="標楷體" w:cs="Times New Roman" w:hint="eastAsia"/>
              </w:rPr>
              <w:t>現行條文</w:t>
            </w:r>
            <w:r w:rsidRPr="00EF409E">
              <w:rPr>
                <w:rFonts w:ascii="標楷體" w:eastAsia="標楷體" w:hAnsi="標楷體" w:cs="Times New Roman" w:hint="eastAsia"/>
              </w:rPr>
              <w:t>第一項前段規定，並移列</w:t>
            </w:r>
            <w:r w:rsidR="005E2A97">
              <w:rPr>
                <w:rFonts w:ascii="標楷體" w:eastAsia="標楷體" w:hAnsi="標楷體" w:cs="Times New Roman" w:hint="eastAsia"/>
              </w:rPr>
              <w:t>現行條文</w:t>
            </w:r>
            <w:r w:rsidRPr="00EF409E">
              <w:rPr>
                <w:rFonts w:ascii="標楷體" w:eastAsia="標楷體" w:hAnsi="標楷體" w:cs="Times New Roman" w:hint="eastAsia"/>
              </w:rPr>
              <w:t>第一項後段規定為第二項</w:t>
            </w:r>
            <w:proofErr w:type="gramStart"/>
            <w:r w:rsidR="008E1B4F">
              <w:rPr>
                <w:rFonts w:ascii="標楷體" w:eastAsia="標楷體" w:hAnsi="標楷體" w:cs="Times New Roman" w:hint="eastAsia"/>
              </w:rPr>
              <w:t>及酌作</w:t>
            </w:r>
            <w:proofErr w:type="gramEnd"/>
            <w:r w:rsidR="008E1B4F">
              <w:rPr>
                <w:rFonts w:ascii="標楷體" w:eastAsia="標楷體" w:hAnsi="標楷體" w:cs="Times New Roman" w:hint="eastAsia"/>
              </w:rPr>
              <w:t>文字修正</w:t>
            </w:r>
            <w:r w:rsidRPr="00EF409E">
              <w:rPr>
                <w:rFonts w:ascii="標楷體" w:eastAsia="標楷體" w:hAnsi="標楷體" w:cs="Times New Roman" w:hint="eastAsia"/>
              </w:rPr>
              <w:t>。</w:t>
            </w:r>
            <w:bookmarkEnd w:id="2"/>
          </w:p>
          <w:p w14:paraId="2940FCE3" w14:textId="549F349E" w:rsidR="00B065F4" w:rsidRPr="00EF409E" w:rsidRDefault="005E2A97" w:rsidP="00B065F4">
            <w:pPr>
              <w:pStyle w:val="a3"/>
              <w:numPr>
                <w:ilvl w:val="0"/>
                <w:numId w:val="1"/>
              </w:numPr>
              <w:ind w:leftChars="0"/>
              <w:jc w:val="both"/>
              <w:rPr>
                <w:rFonts w:ascii="標楷體" w:eastAsia="標楷體" w:hAnsi="標楷體" w:cs="Times New Roman"/>
              </w:rPr>
            </w:pPr>
            <w:r>
              <w:rPr>
                <w:rFonts w:ascii="標楷體" w:eastAsia="標楷體" w:hAnsi="標楷體" w:cs="Times New Roman" w:hint="eastAsia"/>
              </w:rPr>
              <w:t>現行</w:t>
            </w:r>
            <w:r w:rsidR="00B065F4" w:rsidRPr="00EF409E">
              <w:rPr>
                <w:rFonts w:ascii="標楷體" w:eastAsia="標楷體" w:hAnsi="標楷體" w:cs="Times New Roman" w:hint="eastAsia"/>
              </w:rPr>
              <w:t>條文第二項配合調整為第三項，並配合增</w:t>
            </w:r>
            <w:r w:rsidR="00396C59">
              <w:rPr>
                <w:rFonts w:ascii="標楷體" w:eastAsia="標楷體" w:hAnsi="標楷體" w:cs="Times New Roman" w:hint="eastAsia"/>
              </w:rPr>
              <w:t>訂</w:t>
            </w:r>
            <w:r w:rsidR="00B065F4" w:rsidRPr="00EF409E">
              <w:rPr>
                <w:rFonts w:ascii="標楷體" w:eastAsia="標楷體" w:hAnsi="標楷體" w:cs="Times New Roman" w:hint="eastAsia"/>
              </w:rPr>
              <w:t>白銀</w:t>
            </w:r>
            <w:r w:rsidR="008E1B4F">
              <w:rPr>
                <w:rFonts w:ascii="標楷體" w:eastAsia="標楷體" w:hAnsi="標楷體" w:cs="Times New Roman" w:hint="eastAsia"/>
              </w:rPr>
              <w:t>價格</w:t>
            </w:r>
            <w:r w:rsidR="00B065F4" w:rsidRPr="00EF409E">
              <w:rPr>
                <w:rFonts w:ascii="標楷體" w:eastAsia="標楷體" w:hAnsi="標楷體" w:cs="Times New Roman" w:hint="eastAsia"/>
              </w:rPr>
              <w:t>差價契約相關規定。</w:t>
            </w:r>
          </w:p>
          <w:p w14:paraId="3D325613" w14:textId="77777777" w:rsidR="00B065F4" w:rsidRPr="00EF409E" w:rsidRDefault="00B065F4" w:rsidP="003D71DB">
            <w:pPr>
              <w:jc w:val="both"/>
              <w:rPr>
                <w:rFonts w:ascii="標楷體" w:eastAsia="標楷體" w:hAnsi="標楷體" w:cs="Times New Roman"/>
              </w:rPr>
            </w:pPr>
          </w:p>
        </w:tc>
      </w:tr>
    </w:tbl>
    <w:p w14:paraId="22D3EBA4" w14:textId="77777777" w:rsidR="00B065F4" w:rsidRPr="00EF409E" w:rsidRDefault="00B065F4" w:rsidP="00B065F4">
      <w:pPr>
        <w:spacing w:beforeLines="50" w:before="180" w:afterLines="50" w:after="180" w:line="300" w:lineRule="auto"/>
        <w:rPr>
          <w:rFonts w:ascii="Times New Roman" w:eastAsia="標楷體" w:hAnsi="Times New Roman" w:cs="Times New Roman"/>
          <w:szCs w:val="24"/>
        </w:rPr>
      </w:pPr>
    </w:p>
    <w:p w14:paraId="35862F70" w14:textId="77777777" w:rsidR="009570CA" w:rsidRPr="00B065F4" w:rsidRDefault="009570CA"/>
    <w:sectPr w:rsidR="009570CA" w:rsidRPr="00B065F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700DE" w14:textId="77777777" w:rsidR="000C74C4" w:rsidRDefault="000C74C4">
      <w:r>
        <w:separator/>
      </w:r>
    </w:p>
  </w:endnote>
  <w:endnote w:type="continuationSeparator" w:id="0">
    <w:p w14:paraId="2CE0B37B" w14:textId="77777777" w:rsidR="000C74C4" w:rsidRDefault="000C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421631"/>
      <w:docPartObj>
        <w:docPartGallery w:val="Page Numbers (Bottom of Page)"/>
        <w:docPartUnique/>
      </w:docPartObj>
    </w:sdtPr>
    <w:sdtEndPr/>
    <w:sdtContent>
      <w:p w14:paraId="3703A861" w14:textId="77777777" w:rsidR="00467ED5" w:rsidRDefault="008E1B4F">
        <w:pPr>
          <w:pStyle w:val="a4"/>
          <w:jc w:val="center"/>
        </w:pPr>
        <w:r>
          <w:fldChar w:fldCharType="begin"/>
        </w:r>
        <w:r>
          <w:instrText>PAGE   \* MERGEFORMAT</w:instrText>
        </w:r>
        <w:r>
          <w:fldChar w:fldCharType="separate"/>
        </w:r>
        <w:r w:rsidRPr="00A3672C">
          <w:rPr>
            <w:noProof/>
            <w:lang w:val="zh-TW"/>
          </w:rPr>
          <w:t>3</w:t>
        </w:r>
        <w:r>
          <w:fldChar w:fldCharType="end"/>
        </w:r>
      </w:p>
    </w:sdtContent>
  </w:sdt>
  <w:p w14:paraId="225F54C0" w14:textId="77777777" w:rsidR="00467ED5" w:rsidRDefault="000C74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CEF7C" w14:textId="77777777" w:rsidR="000C74C4" w:rsidRDefault="000C74C4">
      <w:r>
        <w:separator/>
      </w:r>
    </w:p>
  </w:footnote>
  <w:footnote w:type="continuationSeparator" w:id="0">
    <w:p w14:paraId="7D7EB381" w14:textId="77777777" w:rsidR="000C74C4" w:rsidRDefault="000C7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602CA"/>
    <w:multiLevelType w:val="hybridMultilevel"/>
    <w:tmpl w:val="81A0670C"/>
    <w:lvl w:ilvl="0" w:tplc="FF54D5E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F4"/>
    <w:rsid w:val="000A2918"/>
    <w:rsid w:val="000C74C4"/>
    <w:rsid w:val="000D6FD7"/>
    <w:rsid w:val="0012069F"/>
    <w:rsid w:val="00121B0A"/>
    <w:rsid w:val="00151960"/>
    <w:rsid w:val="001B38AA"/>
    <w:rsid w:val="001F3F5E"/>
    <w:rsid w:val="002627BB"/>
    <w:rsid w:val="00396C59"/>
    <w:rsid w:val="005E2A97"/>
    <w:rsid w:val="00706E27"/>
    <w:rsid w:val="0088475B"/>
    <w:rsid w:val="008850A7"/>
    <w:rsid w:val="008E1B4F"/>
    <w:rsid w:val="008E22B1"/>
    <w:rsid w:val="008F6C37"/>
    <w:rsid w:val="009570CA"/>
    <w:rsid w:val="009E47F4"/>
    <w:rsid w:val="00A07056"/>
    <w:rsid w:val="00A47179"/>
    <w:rsid w:val="00B065F4"/>
    <w:rsid w:val="00B70D16"/>
    <w:rsid w:val="00BA3193"/>
    <w:rsid w:val="00C2111F"/>
    <w:rsid w:val="00C253B9"/>
    <w:rsid w:val="00C43817"/>
    <w:rsid w:val="00C73BD0"/>
    <w:rsid w:val="00E10FFD"/>
    <w:rsid w:val="00EE356F"/>
    <w:rsid w:val="00FE5F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30DEC"/>
  <w15:chartTrackingRefBased/>
  <w15:docId w15:val="{86024F03-4687-4710-8754-9BA1D670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5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5F4"/>
    <w:pPr>
      <w:ind w:leftChars="200" w:left="480"/>
    </w:pPr>
  </w:style>
  <w:style w:type="paragraph" w:styleId="a4">
    <w:name w:val="footer"/>
    <w:basedOn w:val="a"/>
    <w:link w:val="a5"/>
    <w:uiPriority w:val="99"/>
    <w:unhideWhenUsed/>
    <w:rsid w:val="00B065F4"/>
    <w:pPr>
      <w:tabs>
        <w:tab w:val="center" w:pos="4153"/>
        <w:tab w:val="right" w:pos="8306"/>
      </w:tabs>
      <w:snapToGrid w:val="0"/>
    </w:pPr>
    <w:rPr>
      <w:sz w:val="20"/>
      <w:szCs w:val="20"/>
    </w:rPr>
  </w:style>
  <w:style w:type="character" w:customStyle="1" w:styleId="a5">
    <w:name w:val="頁尾 字元"/>
    <w:basedOn w:val="a0"/>
    <w:link w:val="a4"/>
    <w:uiPriority w:val="99"/>
    <w:rsid w:val="00B065F4"/>
    <w:rPr>
      <w:sz w:val="20"/>
      <w:szCs w:val="20"/>
    </w:rPr>
  </w:style>
  <w:style w:type="paragraph" w:customStyle="1" w:styleId="a6">
    <w:name w:val="公文(後續段落)"/>
    <w:basedOn w:val="a"/>
    <w:rsid w:val="00B065F4"/>
    <w:pPr>
      <w:spacing w:line="500" w:lineRule="exact"/>
      <w:ind w:left="317"/>
    </w:pPr>
    <w:rPr>
      <w:rFonts w:ascii="Times New Roman" w:eastAsia="標楷體" w:hAnsi="Times New Roman" w:cs="Times New Roman"/>
      <w:sz w:val="32"/>
      <w:szCs w:val="24"/>
    </w:rPr>
  </w:style>
  <w:style w:type="paragraph" w:styleId="a7">
    <w:name w:val="header"/>
    <w:basedOn w:val="a"/>
    <w:link w:val="a8"/>
    <w:uiPriority w:val="99"/>
    <w:unhideWhenUsed/>
    <w:rsid w:val="00121B0A"/>
    <w:pPr>
      <w:tabs>
        <w:tab w:val="center" w:pos="4153"/>
        <w:tab w:val="right" w:pos="8306"/>
      </w:tabs>
      <w:snapToGrid w:val="0"/>
    </w:pPr>
    <w:rPr>
      <w:sz w:val="20"/>
      <w:szCs w:val="20"/>
    </w:rPr>
  </w:style>
  <w:style w:type="character" w:customStyle="1" w:styleId="a8">
    <w:name w:val="頁首 字元"/>
    <w:basedOn w:val="a0"/>
    <w:link w:val="a7"/>
    <w:uiPriority w:val="99"/>
    <w:rsid w:val="00121B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林雅雯</dc:creator>
  <cp:keywords/>
  <dc:description/>
  <cp:lastModifiedBy>林雅雯</cp:lastModifiedBy>
  <cp:revision>3</cp:revision>
  <cp:lastPrinted>2021-06-21T06:07:00Z</cp:lastPrinted>
  <dcterms:created xsi:type="dcterms:W3CDTF">2021-07-09T03:02:00Z</dcterms:created>
  <dcterms:modified xsi:type="dcterms:W3CDTF">2021-07-09T03:03:00Z</dcterms:modified>
</cp:coreProperties>
</file>