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91B01" w14:textId="1DAB541B" w:rsidR="00995B64" w:rsidRPr="00854387" w:rsidRDefault="00F01E9C" w:rsidP="009B497F">
      <w:pPr>
        <w:pStyle w:val="2"/>
        <w:spacing w:afterLines="0" w:line="440" w:lineRule="exact"/>
        <w:ind w:left="657" w:hangingChars="205" w:hanging="657"/>
        <w:jc w:val="both"/>
        <w:rPr>
          <w:rFonts w:hAnsi="Times New Roman"/>
        </w:rPr>
      </w:pPr>
      <w:bookmarkStart w:id="0" w:name="_Toc502152752"/>
      <w:bookmarkStart w:id="1" w:name="_Toc517811081"/>
      <w:bookmarkStart w:id="2" w:name="_Toc502152751"/>
      <w:r w:rsidRPr="00854387">
        <w:rPr>
          <w:rFonts w:hAnsi="Times New Roman" w:hint="eastAsia"/>
          <w:szCs w:val="24"/>
        </w:rPr>
        <w:t>一</w:t>
      </w:r>
      <w:r w:rsidR="003D6B0A" w:rsidRPr="00854387">
        <w:rPr>
          <w:rFonts w:hAnsi="Times New Roman"/>
          <w:szCs w:val="24"/>
        </w:rPr>
        <w:t>、</w:t>
      </w:r>
      <w:r w:rsidR="00995B64" w:rsidRPr="00854387">
        <w:rPr>
          <w:rFonts w:hAnsi="Times New Roman"/>
        </w:rPr>
        <w:t>財團法人中華民國證券櫃檯買賣中心</w:t>
      </w:r>
      <w:r w:rsidR="00BE41E3" w:rsidRPr="00854387">
        <w:rPr>
          <w:rFonts w:hAnsi="Times New Roman"/>
        </w:rPr>
        <w:t>指數股票型基金受益憑證</w:t>
      </w:r>
      <w:r w:rsidR="00E90FB6" w:rsidRPr="00854387">
        <w:rPr>
          <w:rFonts w:hAnsi="Times New Roman" w:hint="eastAsia"/>
        </w:rPr>
        <w:t>買賣辦法</w:t>
      </w:r>
      <w:r w:rsidR="006E63C5" w:rsidRPr="00854387">
        <w:rPr>
          <w:rFonts w:hAnsi="Times New Roman" w:hint="eastAsia"/>
        </w:rPr>
        <w:t>第十三條</w:t>
      </w:r>
      <w:r w:rsidR="00995B64" w:rsidRPr="00854387">
        <w:rPr>
          <w:rFonts w:hAnsi="Times New Roman"/>
        </w:rPr>
        <w:t>修正條文對照表</w:t>
      </w:r>
      <w:bookmarkEnd w:id="0"/>
      <w:bookmarkEnd w:id="1"/>
    </w:p>
    <w:tbl>
      <w:tblPr>
        <w:tblStyle w:val="a3"/>
        <w:tblW w:w="9351" w:type="dxa"/>
        <w:jc w:val="right"/>
        <w:tblCellMar>
          <w:top w:w="11" w:type="dxa"/>
          <w:left w:w="57" w:type="dxa"/>
          <w:bottom w:w="11" w:type="dxa"/>
          <w:right w:w="57" w:type="dxa"/>
        </w:tblCellMar>
        <w:tblLook w:val="04A0" w:firstRow="1" w:lastRow="0" w:firstColumn="1" w:lastColumn="0" w:noHBand="0" w:noVBand="1"/>
      </w:tblPr>
      <w:tblGrid>
        <w:gridCol w:w="3117"/>
        <w:gridCol w:w="3117"/>
        <w:gridCol w:w="3117"/>
      </w:tblGrid>
      <w:tr w:rsidR="00854387" w:rsidRPr="00C72BF8" w14:paraId="1B80A7F3" w14:textId="77777777" w:rsidTr="009B497F">
        <w:trPr>
          <w:tblHeader/>
          <w:jc w:val="right"/>
        </w:trPr>
        <w:tc>
          <w:tcPr>
            <w:tcW w:w="3117" w:type="dxa"/>
          </w:tcPr>
          <w:p w14:paraId="6FDDE11C" w14:textId="4042C7E1" w:rsidR="009B497F" w:rsidRPr="00C72BF8" w:rsidRDefault="009B497F" w:rsidP="00A31BD3">
            <w:pPr>
              <w:spacing w:line="320" w:lineRule="exact"/>
              <w:jc w:val="center"/>
              <w:rPr>
                <w:rFonts w:ascii="Times New Roman" w:eastAsia="標楷體" w:hAnsi="Times New Roman" w:cs="Times New Roman"/>
                <w:b/>
                <w:szCs w:val="24"/>
              </w:rPr>
            </w:pPr>
            <w:r w:rsidRPr="00C72BF8">
              <w:rPr>
                <w:rFonts w:ascii="Times New Roman" w:eastAsia="標楷體" w:hAnsi="Times New Roman" w:cs="Times New Roman"/>
                <w:b/>
                <w:szCs w:val="24"/>
              </w:rPr>
              <w:t>修</w:t>
            </w:r>
            <w:r w:rsidR="00C72BF8">
              <w:rPr>
                <w:rFonts w:ascii="Times New Roman" w:eastAsia="標楷體" w:hAnsi="Times New Roman" w:cs="Times New Roman" w:hint="eastAsia"/>
                <w:b/>
                <w:szCs w:val="24"/>
              </w:rPr>
              <w:t xml:space="preserve"> </w:t>
            </w:r>
            <w:r w:rsidRPr="00C72BF8">
              <w:rPr>
                <w:rFonts w:ascii="Times New Roman" w:eastAsia="標楷體" w:hAnsi="Times New Roman" w:cs="Times New Roman"/>
                <w:b/>
                <w:szCs w:val="24"/>
              </w:rPr>
              <w:t>正</w:t>
            </w:r>
            <w:r w:rsidR="00C72BF8">
              <w:rPr>
                <w:rFonts w:ascii="Times New Roman" w:eastAsia="標楷體" w:hAnsi="Times New Roman" w:cs="Times New Roman" w:hint="eastAsia"/>
                <w:b/>
                <w:szCs w:val="24"/>
              </w:rPr>
              <w:t xml:space="preserve"> </w:t>
            </w:r>
            <w:r w:rsidRPr="00C72BF8">
              <w:rPr>
                <w:rFonts w:ascii="Times New Roman" w:eastAsia="標楷體" w:hAnsi="Times New Roman" w:cs="Times New Roman"/>
                <w:b/>
                <w:szCs w:val="24"/>
              </w:rPr>
              <w:t>條</w:t>
            </w:r>
            <w:r w:rsidR="00C72BF8">
              <w:rPr>
                <w:rFonts w:ascii="Times New Roman" w:eastAsia="標楷體" w:hAnsi="Times New Roman" w:cs="Times New Roman" w:hint="eastAsia"/>
                <w:b/>
                <w:szCs w:val="24"/>
              </w:rPr>
              <w:t xml:space="preserve"> </w:t>
            </w:r>
            <w:r w:rsidRPr="00C72BF8">
              <w:rPr>
                <w:rFonts w:ascii="Times New Roman" w:eastAsia="標楷體" w:hAnsi="Times New Roman" w:cs="Times New Roman"/>
                <w:b/>
                <w:szCs w:val="24"/>
              </w:rPr>
              <w:t>文</w:t>
            </w:r>
          </w:p>
        </w:tc>
        <w:tc>
          <w:tcPr>
            <w:tcW w:w="3117" w:type="dxa"/>
          </w:tcPr>
          <w:p w14:paraId="2E11D0A8" w14:textId="4D035BDB" w:rsidR="009B497F" w:rsidRPr="00C72BF8" w:rsidRDefault="009B497F" w:rsidP="00A31BD3">
            <w:pPr>
              <w:spacing w:line="320" w:lineRule="exact"/>
              <w:jc w:val="center"/>
              <w:rPr>
                <w:rFonts w:ascii="Times New Roman" w:eastAsia="標楷體" w:hAnsi="Times New Roman" w:cs="Times New Roman"/>
                <w:b/>
                <w:szCs w:val="24"/>
              </w:rPr>
            </w:pPr>
            <w:r w:rsidRPr="00C72BF8">
              <w:rPr>
                <w:rFonts w:ascii="Times New Roman" w:eastAsia="標楷體" w:hAnsi="Times New Roman" w:cs="Times New Roman"/>
                <w:b/>
                <w:szCs w:val="24"/>
              </w:rPr>
              <w:t>現</w:t>
            </w:r>
            <w:r w:rsidR="00C72BF8">
              <w:rPr>
                <w:rFonts w:ascii="Times New Roman" w:eastAsia="標楷體" w:hAnsi="Times New Roman" w:cs="Times New Roman" w:hint="eastAsia"/>
                <w:b/>
                <w:szCs w:val="24"/>
              </w:rPr>
              <w:t xml:space="preserve"> </w:t>
            </w:r>
            <w:r w:rsidRPr="00C72BF8">
              <w:rPr>
                <w:rFonts w:ascii="Times New Roman" w:eastAsia="標楷體" w:hAnsi="Times New Roman" w:cs="Times New Roman"/>
                <w:b/>
                <w:szCs w:val="24"/>
              </w:rPr>
              <w:t>行</w:t>
            </w:r>
            <w:r w:rsidR="00C72BF8">
              <w:rPr>
                <w:rFonts w:ascii="Times New Roman" w:eastAsia="標楷體" w:hAnsi="Times New Roman" w:cs="Times New Roman" w:hint="eastAsia"/>
                <w:b/>
                <w:szCs w:val="24"/>
              </w:rPr>
              <w:t xml:space="preserve"> </w:t>
            </w:r>
            <w:r w:rsidRPr="00C72BF8">
              <w:rPr>
                <w:rFonts w:ascii="Times New Roman" w:eastAsia="標楷體" w:hAnsi="Times New Roman" w:cs="Times New Roman"/>
                <w:b/>
                <w:szCs w:val="24"/>
              </w:rPr>
              <w:t>條</w:t>
            </w:r>
            <w:r w:rsidR="00C72BF8">
              <w:rPr>
                <w:rFonts w:ascii="Times New Roman" w:eastAsia="標楷體" w:hAnsi="Times New Roman" w:cs="Times New Roman" w:hint="eastAsia"/>
                <w:b/>
                <w:szCs w:val="24"/>
              </w:rPr>
              <w:t xml:space="preserve"> </w:t>
            </w:r>
            <w:r w:rsidRPr="00C72BF8">
              <w:rPr>
                <w:rFonts w:ascii="Times New Roman" w:eastAsia="標楷體" w:hAnsi="Times New Roman" w:cs="Times New Roman"/>
                <w:b/>
                <w:szCs w:val="24"/>
              </w:rPr>
              <w:t>文</w:t>
            </w:r>
          </w:p>
        </w:tc>
        <w:tc>
          <w:tcPr>
            <w:tcW w:w="3117" w:type="dxa"/>
          </w:tcPr>
          <w:p w14:paraId="7C7E7CA4" w14:textId="4D68491F" w:rsidR="009B497F" w:rsidRPr="00C72BF8" w:rsidRDefault="009B497F" w:rsidP="00A31BD3">
            <w:pPr>
              <w:spacing w:line="320" w:lineRule="exact"/>
              <w:jc w:val="center"/>
              <w:rPr>
                <w:rFonts w:ascii="Times New Roman" w:eastAsia="標楷體" w:hAnsi="Times New Roman" w:cs="Times New Roman"/>
                <w:b/>
                <w:szCs w:val="24"/>
              </w:rPr>
            </w:pPr>
            <w:r w:rsidRPr="00C72BF8">
              <w:rPr>
                <w:rFonts w:ascii="Times New Roman" w:eastAsia="標楷體" w:hAnsi="Times New Roman" w:cs="Times New Roman"/>
                <w:b/>
                <w:szCs w:val="24"/>
              </w:rPr>
              <w:t>說</w:t>
            </w:r>
            <w:r w:rsidR="00C72BF8">
              <w:rPr>
                <w:rFonts w:ascii="Times New Roman" w:eastAsia="標楷體" w:hAnsi="Times New Roman" w:cs="Times New Roman" w:hint="eastAsia"/>
                <w:b/>
                <w:szCs w:val="24"/>
              </w:rPr>
              <w:t xml:space="preserve">    </w:t>
            </w:r>
            <w:r w:rsidRPr="00C72BF8">
              <w:rPr>
                <w:rFonts w:ascii="Times New Roman" w:eastAsia="標楷體" w:hAnsi="Times New Roman" w:cs="Times New Roman"/>
                <w:b/>
                <w:szCs w:val="24"/>
              </w:rPr>
              <w:t>明</w:t>
            </w:r>
          </w:p>
        </w:tc>
      </w:tr>
      <w:tr w:rsidR="00854387" w:rsidRPr="00854387" w14:paraId="5C0260C4" w14:textId="77777777" w:rsidTr="009B497F">
        <w:trPr>
          <w:jc w:val="right"/>
        </w:trPr>
        <w:tc>
          <w:tcPr>
            <w:tcW w:w="3117" w:type="dxa"/>
          </w:tcPr>
          <w:p w14:paraId="24192C8A" w14:textId="77777777" w:rsidR="00F5310E" w:rsidRPr="00854387" w:rsidRDefault="00F5310E" w:rsidP="00F5310E">
            <w:pPr>
              <w:widowControl/>
              <w:spacing w:line="320" w:lineRule="exact"/>
              <w:jc w:val="both"/>
              <w:rPr>
                <w:rFonts w:ascii="標楷體" w:eastAsia="標楷體" w:hAnsi="標楷體" w:cs="細明體"/>
                <w:kern w:val="0"/>
                <w:szCs w:val="24"/>
              </w:rPr>
            </w:pPr>
            <w:r w:rsidRPr="00854387">
              <w:rPr>
                <w:rFonts w:ascii="標楷體" w:eastAsia="標楷體" w:hAnsi="標楷體" w:cs="細明體" w:hint="eastAsia"/>
                <w:kern w:val="0"/>
                <w:szCs w:val="24"/>
              </w:rPr>
              <w:t>第十三條</w:t>
            </w:r>
          </w:p>
          <w:p w14:paraId="02CDB591" w14:textId="082DB34A" w:rsidR="00F5310E" w:rsidRPr="00854387" w:rsidRDefault="00F5310E" w:rsidP="00F53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320" w:lineRule="exact"/>
              <w:jc w:val="both"/>
              <w:rPr>
                <w:rFonts w:ascii="Times New Roman" w:eastAsia="標楷體" w:hAnsi="Times New Roman" w:cs="Times New Roman"/>
                <w:szCs w:val="24"/>
              </w:rPr>
            </w:pPr>
            <w:r w:rsidRPr="00854387">
              <w:rPr>
                <w:rFonts w:ascii="Times New Roman" w:eastAsia="標楷體" w:hAnsi="Times New Roman" w:cs="Times New Roman" w:hint="eastAsia"/>
                <w:szCs w:val="24"/>
              </w:rPr>
              <w:t>（第一項未修正，略）</w:t>
            </w:r>
          </w:p>
          <w:p w14:paraId="513F9414" w14:textId="77777777" w:rsidR="00F5310E" w:rsidRPr="00854387" w:rsidRDefault="00F5310E" w:rsidP="00F5310E">
            <w:pPr>
              <w:widowControl/>
              <w:spacing w:line="320" w:lineRule="exact"/>
              <w:ind w:firstLineChars="230" w:firstLine="552"/>
              <w:jc w:val="both"/>
              <w:rPr>
                <w:rFonts w:ascii="標楷體" w:eastAsia="標楷體" w:hAnsi="標楷體" w:cs="細明體"/>
                <w:kern w:val="0"/>
                <w:szCs w:val="24"/>
              </w:rPr>
            </w:pPr>
            <w:r w:rsidRPr="00854387">
              <w:rPr>
                <w:rFonts w:ascii="標楷體" w:eastAsia="標楷體" w:hAnsi="標楷體" w:cs="細明體" w:hint="eastAsia"/>
                <w:kern w:val="0"/>
                <w:szCs w:val="24"/>
              </w:rPr>
              <w:t>證券商自行或受託辦理標的指數成分</w:t>
            </w:r>
            <w:proofErr w:type="gramStart"/>
            <w:r w:rsidRPr="00854387">
              <w:rPr>
                <w:rFonts w:ascii="標楷體" w:eastAsia="標楷體" w:hAnsi="標楷體" w:cs="細明體" w:hint="eastAsia"/>
                <w:kern w:val="0"/>
                <w:szCs w:val="24"/>
              </w:rPr>
              <w:t>證券均為股票</w:t>
            </w:r>
            <w:proofErr w:type="gramEnd"/>
            <w:r w:rsidRPr="00854387">
              <w:rPr>
                <w:rFonts w:ascii="標楷體" w:eastAsia="標楷體" w:hAnsi="標楷體" w:cs="細明體" w:hint="eastAsia"/>
                <w:kern w:val="0"/>
                <w:szCs w:val="24"/>
              </w:rPr>
              <w:t>之國內及國外成分證券指數股票型證券投資信託基金受益憑證申購作業者，除第一項情形及本中心另有規定者外，經證券投資信託事業確認後，該受益憑證於證券集中保管事業帳簿劃撥交付日之前一營業日即得賣出。</w:t>
            </w:r>
          </w:p>
          <w:p w14:paraId="0F20A0C8" w14:textId="77777777" w:rsidR="00F5310E" w:rsidRPr="00854387" w:rsidRDefault="00F5310E" w:rsidP="00F5310E">
            <w:pPr>
              <w:widowControl/>
              <w:spacing w:line="320" w:lineRule="exact"/>
              <w:ind w:firstLineChars="230" w:firstLine="552"/>
              <w:jc w:val="both"/>
              <w:rPr>
                <w:rFonts w:ascii="標楷體" w:eastAsia="標楷體" w:hAnsi="標楷體" w:cs="細明體"/>
                <w:kern w:val="0"/>
                <w:szCs w:val="24"/>
              </w:rPr>
            </w:pPr>
          </w:p>
          <w:p w14:paraId="7F69BF36" w14:textId="77777777" w:rsidR="00F5310E" w:rsidRPr="00854387" w:rsidRDefault="00F5310E" w:rsidP="00F5310E">
            <w:pPr>
              <w:widowControl/>
              <w:spacing w:line="320" w:lineRule="exact"/>
              <w:ind w:firstLineChars="230" w:firstLine="552"/>
              <w:jc w:val="both"/>
              <w:rPr>
                <w:rFonts w:ascii="標楷體" w:eastAsia="標楷體" w:hAnsi="標楷體" w:cs="細明體"/>
                <w:kern w:val="0"/>
                <w:szCs w:val="24"/>
              </w:rPr>
            </w:pPr>
          </w:p>
          <w:p w14:paraId="16D96791" w14:textId="77777777" w:rsidR="00F5310E" w:rsidRPr="00854387" w:rsidRDefault="00F5310E" w:rsidP="00F5310E">
            <w:pPr>
              <w:widowControl/>
              <w:spacing w:line="320" w:lineRule="exact"/>
              <w:ind w:firstLineChars="230" w:firstLine="552"/>
              <w:jc w:val="both"/>
              <w:rPr>
                <w:rFonts w:ascii="標楷體" w:eastAsia="標楷體" w:hAnsi="標楷體" w:cs="細明體"/>
                <w:kern w:val="0"/>
                <w:szCs w:val="24"/>
              </w:rPr>
            </w:pPr>
            <w:r w:rsidRPr="00854387">
              <w:rPr>
                <w:rFonts w:ascii="標楷體" w:eastAsia="標楷體" w:hAnsi="標楷體" w:cs="細明體" w:hint="eastAsia"/>
                <w:kern w:val="0"/>
                <w:szCs w:val="24"/>
              </w:rPr>
              <w:t>證券商自行或受託辦理國內外債券成分之指數股票型證券投資信託基金受益憑證申購作業，經證券投資信託事業確認後，該受益憑證於申購後次一營業日即得賣出。但證券商自行或受託辦理國內外債券成分之指數股票型證券投資信託基金受益憑證實物申購作業，於申購日將該指數股票型證券投資信託基金標的指數成分債券組合交付證券投資信託事業，並經證券投資信託事業確認後，得賣出同數量受益憑證。</w:t>
            </w:r>
          </w:p>
          <w:p w14:paraId="2D66DD59" w14:textId="77777777" w:rsidR="00F5310E" w:rsidRPr="00854387" w:rsidRDefault="00F5310E" w:rsidP="00F5310E">
            <w:pPr>
              <w:widowControl/>
              <w:spacing w:line="320" w:lineRule="exact"/>
              <w:ind w:firstLineChars="230" w:firstLine="552"/>
              <w:jc w:val="both"/>
              <w:rPr>
                <w:rFonts w:ascii="標楷體" w:eastAsia="標楷體" w:hAnsi="標楷體" w:cs="細明體"/>
                <w:kern w:val="0"/>
                <w:szCs w:val="24"/>
              </w:rPr>
            </w:pPr>
            <w:r w:rsidRPr="00854387">
              <w:rPr>
                <w:rFonts w:ascii="標楷體" w:eastAsia="標楷體" w:hAnsi="標楷體" w:cs="細明體" w:hint="eastAsia"/>
                <w:kern w:val="0"/>
                <w:szCs w:val="24"/>
              </w:rPr>
              <w:t>證券商自行或受託辦理槓桿反向指數股票型證券投資信託基金受益憑證申購作業，其標的指數成分</w:t>
            </w:r>
            <w:proofErr w:type="gramStart"/>
            <w:r w:rsidRPr="00854387">
              <w:rPr>
                <w:rFonts w:ascii="標楷體" w:eastAsia="標楷體" w:hAnsi="標楷體" w:cs="細明體" w:hint="eastAsia"/>
                <w:kern w:val="0"/>
                <w:szCs w:val="24"/>
              </w:rPr>
              <w:t>證券均為國內</w:t>
            </w:r>
            <w:proofErr w:type="gramEnd"/>
            <w:r w:rsidRPr="00854387">
              <w:rPr>
                <w:rFonts w:ascii="標楷體" w:eastAsia="標楷體" w:hAnsi="標楷體" w:cs="細明體" w:hint="eastAsia"/>
                <w:kern w:val="0"/>
                <w:szCs w:val="24"/>
              </w:rPr>
              <w:t>有價證券者，經證券投資信託事業確認後，該受益憑證於申購日即得賣出；其標的指數成分證券含一種以上國外有價證券者，經證券投資信託事業確認後，該受益憑證於證</w:t>
            </w:r>
            <w:r w:rsidRPr="00854387">
              <w:rPr>
                <w:rFonts w:ascii="標楷體" w:eastAsia="標楷體" w:hAnsi="標楷體" w:cs="細明體" w:hint="eastAsia"/>
                <w:kern w:val="0"/>
                <w:szCs w:val="24"/>
              </w:rPr>
              <w:lastRenderedPageBreak/>
              <w:t>券集中保管事業帳簿劃撥交付日之前一營業日即得賣出。</w:t>
            </w:r>
          </w:p>
          <w:p w14:paraId="5E467799" w14:textId="77777777" w:rsidR="00F5310E" w:rsidRPr="00854387" w:rsidRDefault="00F5310E" w:rsidP="00F5310E">
            <w:pPr>
              <w:widowControl/>
              <w:spacing w:line="320" w:lineRule="exact"/>
              <w:ind w:firstLineChars="230" w:firstLine="552"/>
              <w:jc w:val="both"/>
              <w:rPr>
                <w:rFonts w:ascii="標楷體" w:eastAsia="標楷體" w:hAnsi="標楷體" w:cs="細明體"/>
                <w:kern w:val="0"/>
                <w:szCs w:val="24"/>
                <w:u w:val="single"/>
              </w:rPr>
            </w:pPr>
            <w:r w:rsidRPr="00854387">
              <w:rPr>
                <w:rFonts w:ascii="標楷體" w:eastAsia="標楷體" w:hAnsi="標楷體" w:cs="細明體" w:hint="eastAsia"/>
                <w:kern w:val="0"/>
                <w:szCs w:val="24"/>
                <w:u w:val="single"/>
              </w:rPr>
              <w:t>證券商自行或受託辦理原型及槓桿反向指數股票型期貨信託基金受益憑證申購作業，經期貨信託事業確認後，該受益憑證於證券集中保管事業帳簿劃撥交付日之前一營業日即得賣出。</w:t>
            </w:r>
          </w:p>
          <w:p w14:paraId="74DAB58B" w14:textId="07271538" w:rsidR="00F5310E" w:rsidRPr="00854387" w:rsidRDefault="00F5310E" w:rsidP="00F53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標楷體" w:eastAsia="標楷體" w:hAnsi="標楷體" w:cs="細明體"/>
                <w:kern w:val="0"/>
                <w:szCs w:val="24"/>
                <w:u w:val="single"/>
              </w:rPr>
            </w:pPr>
            <w:r w:rsidRPr="00854387">
              <w:rPr>
                <w:rFonts w:ascii="標楷體" w:eastAsia="標楷體" w:hAnsi="標楷體" w:cs="細明體" w:hint="eastAsia"/>
                <w:kern w:val="0"/>
                <w:szCs w:val="24"/>
                <w:u w:val="single"/>
              </w:rPr>
              <w:t>指數股票型證券投資信託基金受益憑證、指數股票型期貨信託基金受益憑證、槓桿反向指數股票型證券投資信託基金受益憑證及槓桿反向指數股票型期貨信託基金受益憑證列為應預收款</w:t>
            </w:r>
            <w:proofErr w:type="gramStart"/>
            <w:r w:rsidRPr="00854387">
              <w:rPr>
                <w:rFonts w:ascii="標楷體" w:eastAsia="標楷體" w:hAnsi="標楷體" w:cs="細明體" w:hint="eastAsia"/>
                <w:kern w:val="0"/>
                <w:szCs w:val="24"/>
                <w:u w:val="single"/>
              </w:rPr>
              <w:t>券</w:t>
            </w:r>
            <w:proofErr w:type="gramEnd"/>
            <w:r w:rsidRPr="00854387">
              <w:rPr>
                <w:rFonts w:ascii="標楷體" w:eastAsia="標楷體" w:hAnsi="標楷體" w:cs="細明體" w:hint="eastAsia"/>
                <w:kern w:val="0"/>
                <w:szCs w:val="24"/>
                <w:u w:val="single"/>
              </w:rPr>
              <w:t>之處置</w:t>
            </w:r>
            <w:r w:rsidR="00256E8F" w:rsidRPr="00854387">
              <w:rPr>
                <w:rFonts w:ascii="標楷體" w:eastAsia="標楷體" w:hAnsi="標楷體" w:cs="細明體" w:hint="eastAsia"/>
                <w:kern w:val="0"/>
                <w:szCs w:val="24"/>
                <w:u w:val="single"/>
              </w:rPr>
              <w:t>有價</w:t>
            </w:r>
            <w:r w:rsidRPr="00854387">
              <w:rPr>
                <w:rFonts w:ascii="標楷體" w:eastAsia="標楷體" w:hAnsi="標楷體" w:cs="細明體" w:hint="eastAsia"/>
                <w:kern w:val="0"/>
                <w:szCs w:val="24"/>
                <w:u w:val="single"/>
              </w:rPr>
              <w:t>證券時，證券商自行(含流動量提供者)或受託辦理申購作業之部位，應比照該標的預收款</w:t>
            </w:r>
            <w:proofErr w:type="gramStart"/>
            <w:r w:rsidRPr="00854387">
              <w:rPr>
                <w:rFonts w:ascii="標楷體" w:eastAsia="標楷體" w:hAnsi="標楷體" w:cs="細明體" w:hint="eastAsia"/>
                <w:kern w:val="0"/>
                <w:szCs w:val="24"/>
                <w:u w:val="single"/>
              </w:rPr>
              <w:t>券</w:t>
            </w:r>
            <w:proofErr w:type="gramEnd"/>
            <w:r w:rsidRPr="00854387">
              <w:rPr>
                <w:rFonts w:ascii="標楷體" w:eastAsia="標楷體" w:hAnsi="標楷體" w:cs="細明體" w:hint="eastAsia"/>
                <w:kern w:val="0"/>
                <w:szCs w:val="24"/>
                <w:u w:val="single"/>
              </w:rPr>
              <w:t>之處置措施，於證券集中保管事業登載後，始得賣出。</w:t>
            </w:r>
          </w:p>
          <w:p w14:paraId="431CAA0E" w14:textId="3AC7ADDE" w:rsidR="00B91DCF" w:rsidRPr="00854387" w:rsidRDefault="00B91DCF" w:rsidP="00B91DCF">
            <w:pPr>
              <w:widowControl/>
              <w:spacing w:line="320" w:lineRule="exact"/>
              <w:ind w:firstLineChars="230" w:firstLine="552"/>
              <w:jc w:val="both"/>
              <w:rPr>
                <w:rFonts w:ascii="標楷體" w:eastAsia="標楷體" w:hAnsi="標楷體"/>
                <w:snapToGrid w:val="0"/>
                <w:kern w:val="0"/>
                <w:szCs w:val="24"/>
                <w:u w:val="single"/>
              </w:rPr>
            </w:pPr>
            <w:r w:rsidRPr="00854387">
              <w:rPr>
                <w:rFonts w:ascii="標楷體" w:eastAsia="標楷體" w:hAnsi="標楷體" w:cs="細明體" w:hint="eastAsia"/>
                <w:kern w:val="0"/>
                <w:szCs w:val="24"/>
              </w:rPr>
              <w:t>證券自營商從事第一項及第三項交易，不適用本中心業務規則第七十條之</w:t>
            </w:r>
            <w:proofErr w:type="gramStart"/>
            <w:r w:rsidRPr="00854387">
              <w:rPr>
                <w:rFonts w:ascii="標楷體" w:eastAsia="標楷體" w:hAnsi="標楷體" w:cs="細明體" w:hint="eastAsia"/>
                <w:kern w:val="0"/>
                <w:szCs w:val="24"/>
              </w:rPr>
              <w:t>一</w:t>
            </w:r>
            <w:proofErr w:type="gramEnd"/>
            <w:r w:rsidRPr="00854387">
              <w:rPr>
                <w:rFonts w:ascii="標楷體" w:eastAsia="標楷體" w:hAnsi="標楷體" w:cs="細明體" w:hint="eastAsia"/>
                <w:kern w:val="0"/>
                <w:szCs w:val="24"/>
              </w:rPr>
              <w:t>之規定。</w:t>
            </w:r>
          </w:p>
        </w:tc>
        <w:tc>
          <w:tcPr>
            <w:tcW w:w="3117" w:type="dxa"/>
          </w:tcPr>
          <w:p w14:paraId="1B7974C2" w14:textId="77777777" w:rsidR="00F5310E" w:rsidRPr="00854387" w:rsidRDefault="00F5310E" w:rsidP="00F5310E">
            <w:pPr>
              <w:widowControl/>
              <w:spacing w:line="320" w:lineRule="exact"/>
              <w:jc w:val="both"/>
              <w:rPr>
                <w:rFonts w:ascii="標楷體" w:eastAsia="標楷體" w:hAnsi="標楷體" w:cs="細明體"/>
                <w:kern w:val="0"/>
                <w:szCs w:val="24"/>
              </w:rPr>
            </w:pPr>
            <w:r w:rsidRPr="00854387">
              <w:rPr>
                <w:rFonts w:ascii="標楷體" w:eastAsia="標楷體" w:hAnsi="標楷體" w:cs="細明體" w:hint="eastAsia"/>
                <w:kern w:val="0"/>
                <w:szCs w:val="24"/>
              </w:rPr>
              <w:lastRenderedPageBreak/>
              <w:t>第十三條</w:t>
            </w:r>
          </w:p>
          <w:p w14:paraId="3D57B9B9" w14:textId="5C43CBF6" w:rsidR="00F5310E" w:rsidRPr="00854387" w:rsidRDefault="00F5310E" w:rsidP="00F53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320" w:lineRule="exact"/>
              <w:jc w:val="both"/>
              <w:rPr>
                <w:rFonts w:ascii="Times New Roman" w:eastAsia="標楷體" w:hAnsi="Times New Roman" w:cs="Times New Roman"/>
                <w:szCs w:val="24"/>
              </w:rPr>
            </w:pPr>
            <w:r w:rsidRPr="00854387">
              <w:rPr>
                <w:rFonts w:ascii="Times New Roman" w:eastAsia="標楷體" w:hAnsi="Times New Roman" w:cs="Times New Roman" w:hint="eastAsia"/>
                <w:szCs w:val="24"/>
              </w:rPr>
              <w:t>（第一項未修正，略）</w:t>
            </w:r>
          </w:p>
          <w:p w14:paraId="7ACBEB6C" w14:textId="77777777" w:rsidR="00F5310E" w:rsidRPr="00854387" w:rsidRDefault="00F5310E" w:rsidP="00F5310E">
            <w:pPr>
              <w:widowControl/>
              <w:spacing w:line="320" w:lineRule="exact"/>
              <w:ind w:firstLineChars="230" w:firstLine="552"/>
              <w:jc w:val="both"/>
              <w:rPr>
                <w:rFonts w:ascii="標楷體" w:eastAsia="標楷體" w:hAnsi="標楷體" w:cs="細明體"/>
                <w:kern w:val="0"/>
                <w:szCs w:val="24"/>
              </w:rPr>
            </w:pPr>
            <w:r w:rsidRPr="00854387">
              <w:rPr>
                <w:rFonts w:ascii="標楷體" w:eastAsia="標楷體" w:hAnsi="標楷體" w:cs="細明體" w:hint="eastAsia"/>
                <w:kern w:val="0"/>
                <w:szCs w:val="24"/>
              </w:rPr>
              <w:t>證券商自行或受託辦理標的指數成分</w:t>
            </w:r>
            <w:proofErr w:type="gramStart"/>
            <w:r w:rsidRPr="00854387">
              <w:rPr>
                <w:rFonts w:ascii="標楷體" w:eastAsia="標楷體" w:hAnsi="標楷體" w:cs="細明體" w:hint="eastAsia"/>
                <w:kern w:val="0"/>
                <w:szCs w:val="24"/>
              </w:rPr>
              <w:t>證券均為股票</w:t>
            </w:r>
            <w:proofErr w:type="gramEnd"/>
            <w:r w:rsidRPr="00854387">
              <w:rPr>
                <w:rFonts w:ascii="標楷體" w:eastAsia="標楷體" w:hAnsi="標楷體" w:cs="細明體" w:hint="eastAsia"/>
                <w:kern w:val="0"/>
                <w:szCs w:val="24"/>
              </w:rPr>
              <w:t>之國內及國外成分證券指數股票型證券投資信託基金受益憑證</w:t>
            </w:r>
            <w:r w:rsidRPr="00854387">
              <w:rPr>
                <w:rFonts w:ascii="標楷體" w:eastAsia="標楷體" w:hAnsi="標楷體" w:cs="細明體" w:hint="eastAsia"/>
                <w:kern w:val="0"/>
                <w:szCs w:val="24"/>
                <w:u w:val="single"/>
              </w:rPr>
              <w:t>，及指數股票型期貨信託基金受益憑證</w:t>
            </w:r>
            <w:r w:rsidRPr="00854387">
              <w:rPr>
                <w:rFonts w:ascii="標楷體" w:eastAsia="標楷體" w:hAnsi="標楷體" w:cs="細明體" w:hint="eastAsia"/>
                <w:kern w:val="0"/>
                <w:szCs w:val="24"/>
              </w:rPr>
              <w:t>申購作業者，除第一項情形及本中心另有規定者外，經證券投資信託事業</w:t>
            </w:r>
            <w:r w:rsidRPr="00854387">
              <w:rPr>
                <w:rFonts w:ascii="標楷體" w:eastAsia="標楷體" w:hAnsi="標楷體" w:cs="細明體" w:hint="eastAsia"/>
                <w:kern w:val="0"/>
                <w:szCs w:val="24"/>
                <w:u w:val="single"/>
              </w:rPr>
              <w:t>或期貨信託事業</w:t>
            </w:r>
            <w:r w:rsidRPr="00854387">
              <w:rPr>
                <w:rFonts w:ascii="標楷體" w:eastAsia="標楷體" w:hAnsi="標楷體" w:cs="細明體" w:hint="eastAsia"/>
                <w:kern w:val="0"/>
                <w:szCs w:val="24"/>
              </w:rPr>
              <w:t>確認後，該受益憑證於證券集中保管事業帳簿劃撥交付日之前一營業日即得賣出。</w:t>
            </w:r>
          </w:p>
          <w:p w14:paraId="52B45DDF" w14:textId="77777777" w:rsidR="00F5310E" w:rsidRPr="00854387" w:rsidRDefault="00F5310E" w:rsidP="00F5310E">
            <w:pPr>
              <w:widowControl/>
              <w:spacing w:line="320" w:lineRule="exact"/>
              <w:ind w:firstLineChars="230" w:firstLine="552"/>
              <w:jc w:val="both"/>
              <w:rPr>
                <w:rFonts w:ascii="標楷體" w:eastAsia="標楷體" w:hAnsi="標楷體" w:cs="細明體"/>
                <w:kern w:val="0"/>
                <w:szCs w:val="24"/>
              </w:rPr>
            </w:pPr>
            <w:r w:rsidRPr="00854387">
              <w:rPr>
                <w:rFonts w:ascii="標楷體" w:eastAsia="標楷體" w:hAnsi="標楷體" w:cs="細明體" w:hint="eastAsia"/>
                <w:kern w:val="0"/>
                <w:szCs w:val="24"/>
              </w:rPr>
              <w:t>證券商自行或受託辦理國內外債券成分之指數股票型證券投資信託基金受益憑證申購作業，經證券投資信託事業確認後，該受益憑證於申購後次一營業日即得賣出。但證券商自行或受託辦理國內外債券成分之指數股票型證券投資信託基金受益憑證實物申購作業，於申購日將該指數股票型證券投資信託基金標的指數成分債券組合交付證券投資信託事業，並經證券投資信託事業確認後，得賣出同數量受益憑證。</w:t>
            </w:r>
          </w:p>
          <w:p w14:paraId="6C821B43" w14:textId="77777777" w:rsidR="00F5310E" w:rsidRPr="00854387" w:rsidRDefault="00F5310E" w:rsidP="00F5310E">
            <w:pPr>
              <w:widowControl/>
              <w:spacing w:line="320" w:lineRule="exact"/>
              <w:ind w:firstLineChars="230" w:firstLine="552"/>
              <w:jc w:val="both"/>
              <w:rPr>
                <w:rFonts w:ascii="標楷體" w:eastAsia="標楷體" w:hAnsi="標楷體" w:cs="細明體"/>
                <w:kern w:val="0"/>
                <w:szCs w:val="24"/>
              </w:rPr>
            </w:pPr>
            <w:r w:rsidRPr="00854387">
              <w:rPr>
                <w:rFonts w:ascii="標楷體" w:eastAsia="標楷體" w:hAnsi="標楷體" w:cs="細明體" w:hint="eastAsia"/>
                <w:kern w:val="0"/>
                <w:szCs w:val="24"/>
              </w:rPr>
              <w:t>證券商自行或受託辦理槓桿反向指數股票型證券投資信託基金受益憑證申購作業，其標的指數成分</w:t>
            </w:r>
            <w:proofErr w:type="gramStart"/>
            <w:r w:rsidRPr="00854387">
              <w:rPr>
                <w:rFonts w:ascii="標楷體" w:eastAsia="標楷體" w:hAnsi="標楷體" w:cs="細明體" w:hint="eastAsia"/>
                <w:kern w:val="0"/>
                <w:szCs w:val="24"/>
              </w:rPr>
              <w:t>證券均為國內</w:t>
            </w:r>
            <w:proofErr w:type="gramEnd"/>
            <w:r w:rsidRPr="00854387">
              <w:rPr>
                <w:rFonts w:ascii="標楷體" w:eastAsia="標楷體" w:hAnsi="標楷體" w:cs="細明體" w:hint="eastAsia"/>
                <w:kern w:val="0"/>
                <w:szCs w:val="24"/>
              </w:rPr>
              <w:t>有價證券者，經證券投資信託事業確認後，該受益憑證於申購日即得賣出；其標的指數成分證券含一種以上國外有價證券者，經證券投資信託事業確認後，該受益憑證於證</w:t>
            </w:r>
            <w:r w:rsidRPr="00854387">
              <w:rPr>
                <w:rFonts w:ascii="標楷體" w:eastAsia="標楷體" w:hAnsi="標楷體" w:cs="細明體" w:hint="eastAsia"/>
                <w:kern w:val="0"/>
                <w:szCs w:val="24"/>
              </w:rPr>
              <w:lastRenderedPageBreak/>
              <w:t>券集中保管事業帳簿劃撥交付日之前一營業日即得賣出。</w:t>
            </w:r>
          </w:p>
          <w:p w14:paraId="565CBEB7" w14:textId="77777777" w:rsidR="00F5310E" w:rsidRPr="00854387" w:rsidRDefault="00F5310E" w:rsidP="00F5310E">
            <w:pPr>
              <w:widowControl/>
              <w:spacing w:line="320" w:lineRule="exact"/>
              <w:ind w:firstLineChars="230" w:firstLine="552"/>
              <w:jc w:val="both"/>
              <w:rPr>
                <w:rFonts w:ascii="標楷體" w:eastAsia="標楷體" w:hAnsi="標楷體" w:cs="細明體"/>
                <w:kern w:val="0"/>
                <w:szCs w:val="24"/>
              </w:rPr>
            </w:pPr>
          </w:p>
          <w:p w14:paraId="36DB7A4A" w14:textId="77777777" w:rsidR="00F5310E" w:rsidRPr="00854387" w:rsidRDefault="00F5310E" w:rsidP="00F5310E">
            <w:pPr>
              <w:widowControl/>
              <w:spacing w:line="320" w:lineRule="exact"/>
              <w:ind w:firstLineChars="230" w:firstLine="552"/>
              <w:jc w:val="both"/>
              <w:rPr>
                <w:rFonts w:ascii="標楷體" w:eastAsia="標楷體" w:hAnsi="標楷體" w:cs="細明體"/>
                <w:kern w:val="0"/>
                <w:szCs w:val="24"/>
              </w:rPr>
            </w:pPr>
          </w:p>
          <w:p w14:paraId="1CEF3443" w14:textId="77777777" w:rsidR="00F5310E" w:rsidRPr="00854387" w:rsidRDefault="00F5310E" w:rsidP="00F5310E">
            <w:pPr>
              <w:widowControl/>
              <w:spacing w:line="320" w:lineRule="exact"/>
              <w:ind w:firstLineChars="230" w:firstLine="552"/>
              <w:jc w:val="both"/>
              <w:rPr>
                <w:rFonts w:ascii="標楷體" w:eastAsia="標楷體" w:hAnsi="標楷體" w:cs="細明體"/>
                <w:kern w:val="0"/>
                <w:szCs w:val="24"/>
              </w:rPr>
            </w:pPr>
          </w:p>
          <w:p w14:paraId="1FB4BDD7" w14:textId="77777777" w:rsidR="00F5310E" w:rsidRPr="00854387" w:rsidRDefault="00F5310E" w:rsidP="00F5310E">
            <w:pPr>
              <w:widowControl/>
              <w:spacing w:line="320" w:lineRule="exact"/>
              <w:ind w:firstLineChars="230" w:firstLine="552"/>
              <w:jc w:val="both"/>
              <w:rPr>
                <w:rFonts w:ascii="標楷體" w:eastAsia="標楷體" w:hAnsi="標楷體" w:cs="細明體"/>
                <w:kern w:val="0"/>
                <w:szCs w:val="24"/>
              </w:rPr>
            </w:pPr>
          </w:p>
          <w:p w14:paraId="73E3B03A" w14:textId="77777777" w:rsidR="00F5310E" w:rsidRPr="00854387" w:rsidRDefault="00F5310E" w:rsidP="00F5310E">
            <w:pPr>
              <w:widowControl/>
              <w:spacing w:line="320" w:lineRule="exact"/>
              <w:ind w:firstLineChars="230" w:firstLine="552"/>
              <w:jc w:val="both"/>
              <w:rPr>
                <w:rFonts w:ascii="標楷體" w:eastAsia="標楷體" w:hAnsi="標楷體" w:cs="細明體"/>
                <w:kern w:val="0"/>
                <w:szCs w:val="24"/>
              </w:rPr>
            </w:pPr>
          </w:p>
          <w:p w14:paraId="00EC9A15" w14:textId="1965E32F" w:rsidR="00F5310E" w:rsidRPr="00854387" w:rsidRDefault="00F5310E" w:rsidP="00F5310E">
            <w:pPr>
              <w:widowControl/>
              <w:spacing w:line="320" w:lineRule="exact"/>
              <w:ind w:firstLineChars="230" w:firstLine="552"/>
              <w:jc w:val="both"/>
              <w:rPr>
                <w:rFonts w:ascii="標楷體" w:eastAsia="標楷體" w:hAnsi="標楷體" w:cs="細明體"/>
                <w:kern w:val="0"/>
                <w:szCs w:val="24"/>
              </w:rPr>
            </w:pPr>
          </w:p>
          <w:p w14:paraId="74C94B20" w14:textId="69540EA5" w:rsidR="00B91DCF" w:rsidRPr="00854387" w:rsidRDefault="00B91DCF" w:rsidP="00F5310E">
            <w:pPr>
              <w:widowControl/>
              <w:spacing w:line="320" w:lineRule="exact"/>
              <w:ind w:firstLineChars="230" w:firstLine="552"/>
              <w:jc w:val="both"/>
              <w:rPr>
                <w:rFonts w:ascii="標楷體" w:eastAsia="標楷體" w:hAnsi="標楷體" w:cs="細明體"/>
                <w:kern w:val="0"/>
                <w:szCs w:val="24"/>
              </w:rPr>
            </w:pPr>
          </w:p>
          <w:p w14:paraId="58C2D23E" w14:textId="4508697E" w:rsidR="00B91DCF" w:rsidRPr="00854387" w:rsidRDefault="00B91DCF" w:rsidP="00F5310E">
            <w:pPr>
              <w:widowControl/>
              <w:spacing w:line="320" w:lineRule="exact"/>
              <w:ind w:firstLineChars="230" w:firstLine="552"/>
              <w:jc w:val="both"/>
              <w:rPr>
                <w:rFonts w:ascii="標楷體" w:eastAsia="標楷體" w:hAnsi="標楷體" w:cs="細明體"/>
                <w:kern w:val="0"/>
                <w:szCs w:val="24"/>
              </w:rPr>
            </w:pPr>
          </w:p>
          <w:p w14:paraId="6EC3DFDC" w14:textId="6B6FF9FF" w:rsidR="00B91DCF" w:rsidRPr="00854387" w:rsidRDefault="00B91DCF" w:rsidP="00F5310E">
            <w:pPr>
              <w:widowControl/>
              <w:spacing w:line="320" w:lineRule="exact"/>
              <w:ind w:firstLineChars="230" w:firstLine="552"/>
              <w:jc w:val="both"/>
              <w:rPr>
                <w:rFonts w:ascii="標楷體" w:eastAsia="標楷體" w:hAnsi="標楷體" w:cs="細明體"/>
                <w:kern w:val="0"/>
                <w:szCs w:val="24"/>
              </w:rPr>
            </w:pPr>
          </w:p>
          <w:p w14:paraId="41D6AE3D" w14:textId="63E724B6" w:rsidR="00B91DCF" w:rsidRPr="00854387" w:rsidRDefault="00B91DCF" w:rsidP="00F5310E">
            <w:pPr>
              <w:widowControl/>
              <w:spacing w:line="320" w:lineRule="exact"/>
              <w:ind w:firstLineChars="230" w:firstLine="552"/>
              <w:jc w:val="both"/>
              <w:rPr>
                <w:rFonts w:ascii="標楷體" w:eastAsia="標楷體" w:hAnsi="標楷體" w:cs="細明體"/>
                <w:kern w:val="0"/>
                <w:szCs w:val="24"/>
              </w:rPr>
            </w:pPr>
          </w:p>
          <w:p w14:paraId="3578500E" w14:textId="63A3FF2D" w:rsidR="00B91DCF" w:rsidRPr="00854387" w:rsidRDefault="00B91DCF" w:rsidP="00F5310E">
            <w:pPr>
              <w:widowControl/>
              <w:spacing w:line="320" w:lineRule="exact"/>
              <w:ind w:firstLineChars="230" w:firstLine="552"/>
              <w:jc w:val="both"/>
              <w:rPr>
                <w:rFonts w:ascii="標楷體" w:eastAsia="標楷體" w:hAnsi="標楷體" w:cs="細明體"/>
                <w:kern w:val="0"/>
                <w:szCs w:val="24"/>
              </w:rPr>
            </w:pPr>
          </w:p>
          <w:p w14:paraId="2581563D" w14:textId="6DD6236C" w:rsidR="00B91DCF" w:rsidRPr="00854387" w:rsidRDefault="00B91DCF" w:rsidP="00F5310E">
            <w:pPr>
              <w:widowControl/>
              <w:spacing w:line="320" w:lineRule="exact"/>
              <w:ind w:firstLineChars="230" w:firstLine="552"/>
              <w:jc w:val="both"/>
              <w:rPr>
                <w:rFonts w:ascii="標楷體" w:eastAsia="標楷體" w:hAnsi="標楷體" w:cs="細明體"/>
                <w:kern w:val="0"/>
                <w:szCs w:val="24"/>
              </w:rPr>
            </w:pPr>
          </w:p>
          <w:p w14:paraId="4B19C817" w14:textId="371DFCE3" w:rsidR="00B91DCF" w:rsidRPr="00854387" w:rsidRDefault="00B91DCF" w:rsidP="00F5310E">
            <w:pPr>
              <w:widowControl/>
              <w:spacing w:line="320" w:lineRule="exact"/>
              <w:ind w:firstLineChars="230" w:firstLine="552"/>
              <w:jc w:val="both"/>
              <w:rPr>
                <w:rFonts w:ascii="標楷體" w:eastAsia="標楷體" w:hAnsi="標楷體" w:cs="細明體"/>
                <w:kern w:val="0"/>
                <w:szCs w:val="24"/>
              </w:rPr>
            </w:pPr>
          </w:p>
          <w:p w14:paraId="147B64D6" w14:textId="5CD82D72" w:rsidR="00B91DCF" w:rsidRPr="00854387" w:rsidRDefault="00B91DCF" w:rsidP="00F5310E">
            <w:pPr>
              <w:widowControl/>
              <w:spacing w:line="320" w:lineRule="exact"/>
              <w:ind w:firstLineChars="230" w:firstLine="552"/>
              <w:jc w:val="both"/>
              <w:rPr>
                <w:rFonts w:ascii="標楷體" w:eastAsia="標楷體" w:hAnsi="標楷體" w:cs="細明體"/>
                <w:kern w:val="0"/>
                <w:szCs w:val="24"/>
              </w:rPr>
            </w:pPr>
          </w:p>
          <w:p w14:paraId="6C546818" w14:textId="7D2A6051" w:rsidR="00B91DCF" w:rsidRPr="00854387" w:rsidRDefault="00B91DCF" w:rsidP="00F5310E">
            <w:pPr>
              <w:widowControl/>
              <w:spacing w:line="320" w:lineRule="exact"/>
              <w:ind w:firstLineChars="230" w:firstLine="552"/>
              <w:jc w:val="both"/>
              <w:rPr>
                <w:rFonts w:ascii="標楷體" w:eastAsia="標楷體" w:hAnsi="標楷體" w:cs="細明體"/>
                <w:kern w:val="0"/>
                <w:szCs w:val="24"/>
              </w:rPr>
            </w:pPr>
          </w:p>
          <w:p w14:paraId="5DBE1084" w14:textId="5F8C72FD" w:rsidR="00B91DCF" w:rsidRPr="00854387" w:rsidRDefault="00B91DCF" w:rsidP="00F5310E">
            <w:pPr>
              <w:widowControl/>
              <w:spacing w:line="320" w:lineRule="exact"/>
              <w:ind w:firstLineChars="230" w:firstLine="552"/>
              <w:jc w:val="both"/>
              <w:rPr>
                <w:rFonts w:ascii="標楷體" w:eastAsia="標楷體" w:hAnsi="標楷體" w:cs="細明體"/>
                <w:kern w:val="0"/>
                <w:szCs w:val="24"/>
              </w:rPr>
            </w:pPr>
          </w:p>
          <w:p w14:paraId="2A24485A" w14:textId="4CF86283" w:rsidR="00B91DCF" w:rsidRPr="00854387" w:rsidRDefault="00B91DCF" w:rsidP="00F5310E">
            <w:pPr>
              <w:widowControl/>
              <w:spacing w:line="320" w:lineRule="exact"/>
              <w:ind w:firstLineChars="230" w:firstLine="552"/>
              <w:jc w:val="both"/>
              <w:rPr>
                <w:rFonts w:ascii="標楷體" w:eastAsia="標楷體" w:hAnsi="標楷體" w:cs="細明體"/>
                <w:kern w:val="0"/>
                <w:szCs w:val="24"/>
              </w:rPr>
            </w:pPr>
          </w:p>
          <w:p w14:paraId="6FE80FCF" w14:textId="34B35855" w:rsidR="00B91DCF" w:rsidRPr="00854387" w:rsidRDefault="00B91DCF" w:rsidP="00F5310E">
            <w:pPr>
              <w:widowControl/>
              <w:spacing w:line="320" w:lineRule="exact"/>
              <w:ind w:firstLineChars="230" w:firstLine="552"/>
              <w:jc w:val="both"/>
              <w:rPr>
                <w:rFonts w:ascii="標楷體" w:eastAsia="標楷體" w:hAnsi="標楷體" w:cs="細明體"/>
                <w:kern w:val="0"/>
                <w:szCs w:val="24"/>
              </w:rPr>
            </w:pPr>
          </w:p>
          <w:p w14:paraId="5F509084" w14:textId="77777777" w:rsidR="00B91DCF" w:rsidRPr="00854387" w:rsidRDefault="00B91DCF" w:rsidP="00F5310E">
            <w:pPr>
              <w:widowControl/>
              <w:spacing w:line="320" w:lineRule="exact"/>
              <w:ind w:firstLineChars="230" w:firstLine="552"/>
              <w:jc w:val="both"/>
              <w:rPr>
                <w:rFonts w:ascii="標楷體" w:eastAsia="標楷體" w:hAnsi="標楷體" w:cs="細明體"/>
                <w:kern w:val="0"/>
                <w:szCs w:val="24"/>
              </w:rPr>
            </w:pPr>
          </w:p>
          <w:p w14:paraId="0FDFD898" w14:textId="77777777" w:rsidR="00F5310E" w:rsidRPr="00854387" w:rsidRDefault="00F5310E" w:rsidP="00F5310E">
            <w:pPr>
              <w:widowControl/>
              <w:spacing w:line="320" w:lineRule="exact"/>
              <w:ind w:firstLineChars="230" w:firstLine="552"/>
              <w:jc w:val="both"/>
              <w:rPr>
                <w:rFonts w:ascii="標楷體" w:eastAsia="標楷體" w:hAnsi="標楷體" w:cs="細明體"/>
                <w:kern w:val="0"/>
                <w:szCs w:val="24"/>
              </w:rPr>
            </w:pPr>
          </w:p>
          <w:p w14:paraId="3DB4B1A1" w14:textId="19850535" w:rsidR="00F5310E" w:rsidRPr="00854387" w:rsidRDefault="00F5310E" w:rsidP="00F53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napToGrid w:val="0"/>
              <w:spacing w:line="320" w:lineRule="exact"/>
              <w:ind w:firstLineChars="200" w:firstLine="480"/>
              <w:jc w:val="both"/>
              <w:rPr>
                <w:rFonts w:ascii="Times New Roman" w:eastAsia="標楷體" w:hAnsi="Times New Roman" w:cs="Times New Roman"/>
                <w:szCs w:val="24"/>
              </w:rPr>
            </w:pPr>
            <w:r w:rsidRPr="00854387">
              <w:rPr>
                <w:rFonts w:ascii="標楷體" w:eastAsia="標楷體" w:hAnsi="標楷體" w:cs="細明體" w:hint="eastAsia"/>
                <w:kern w:val="0"/>
                <w:szCs w:val="24"/>
              </w:rPr>
              <w:t>證券自營商從事第一項及第三項交易，不適用本中心業務規則第七十條之</w:t>
            </w:r>
            <w:proofErr w:type="gramStart"/>
            <w:r w:rsidRPr="00854387">
              <w:rPr>
                <w:rFonts w:ascii="標楷體" w:eastAsia="標楷體" w:hAnsi="標楷體" w:cs="細明體" w:hint="eastAsia"/>
                <w:kern w:val="0"/>
                <w:szCs w:val="24"/>
              </w:rPr>
              <w:t>一</w:t>
            </w:r>
            <w:proofErr w:type="gramEnd"/>
            <w:r w:rsidRPr="00854387">
              <w:rPr>
                <w:rFonts w:ascii="標楷體" w:eastAsia="標楷體" w:hAnsi="標楷體" w:cs="細明體" w:hint="eastAsia"/>
                <w:kern w:val="0"/>
                <w:szCs w:val="24"/>
              </w:rPr>
              <w:t>之規定。</w:t>
            </w:r>
          </w:p>
        </w:tc>
        <w:tc>
          <w:tcPr>
            <w:tcW w:w="3117" w:type="dxa"/>
          </w:tcPr>
          <w:p w14:paraId="5931AC3D" w14:textId="7DE5EE30" w:rsidR="00F5310E" w:rsidRPr="00854387" w:rsidRDefault="00F5310E" w:rsidP="00F5310E">
            <w:pPr>
              <w:pStyle w:val="aa"/>
              <w:numPr>
                <w:ilvl w:val="0"/>
                <w:numId w:val="4"/>
              </w:numPr>
              <w:ind w:leftChars="0"/>
              <w:jc w:val="both"/>
              <w:rPr>
                <w:rFonts w:ascii="Times New Roman" w:eastAsia="標楷體" w:hAnsi="Times New Roman" w:cs="Times New Roman"/>
              </w:rPr>
            </w:pPr>
            <w:r w:rsidRPr="00854387">
              <w:rPr>
                <w:rFonts w:ascii="Times New Roman" w:eastAsia="標楷體" w:hAnsi="Times New Roman" w:cs="Times New Roman" w:hint="eastAsia"/>
              </w:rPr>
              <w:lastRenderedPageBreak/>
              <w:t>為明確列示各類型</w:t>
            </w:r>
            <w:r w:rsidR="002F5EAF" w:rsidRPr="00854387">
              <w:rPr>
                <w:rFonts w:ascii="Times New Roman" w:eastAsia="標楷體" w:hAnsi="Times New Roman" w:cs="Times New Roman" w:hint="eastAsia"/>
              </w:rPr>
              <w:t>指數股票型基金</w:t>
            </w:r>
            <w:r w:rsidRPr="00854387">
              <w:rPr>
                <w:rFonts w:ascii="Times New Roman" w:eastAsia="標楷體" w:hAnsi="Times New Roman" w:cs="Times New Roman" w:hint="eastAsia"/>
              </w:rPr>
              <w:t>申購部位於次級市場得賣出之時間點，</w:t>
            </w:r>
            <w:proofErr w:type="gramStart"/>
            <w:r w:rsidR="00B62074" w:rsidRPr="00854387">
              <w:rPr>
                <w:rFonts w:ascii="Times New Roman" w:eastAsia="標楷體" w:hAnsi="Times New Roman" w:cs="Times New Roman" w:hint="eastAsia"/>
              </w:rPr>
              <w:t>爰</w:t>
            </w:r>
            <w:proofErr w:type="gramEnd"/>
            <w:r w:rsidR="00B62074" w:rsidRPr="00854387">
              <w:rPr>
                <w:rFonts w:ascii="Times New Roman" w:eastAsia="標楷體" w:hAnsi="Times New Roman" w:cs="Times New Roman" w:hint="eastAsia"/>
              </w:rPr>
              <w:t>將原第二項規範之標的指數成分</w:t>
            </w:r>
            <w:proofErr w:type="gramStart"/>
            <w:r w:rsidR="00B62074" w:rsidRPr="00854387">
              <w:rPr>
                <w:rFonts w:ascii="Times New Roman" w:eastAsia="標楷體" w:hAnsi="Times New Roman" w:cs="Times New Roman" w:hint="eastAsia"/>
              </w:rPr>
              <w:t>證券均為股票</w:t>
            </w:r>
            <w:proofErr w:type="gramEnd"/>
            <w:r w:rsidR="00B62074" w:rsidRPr="00854387">
              <w:rPr>
                <w:rFonts w:ascii="Times New Roman" w:eastAsia="標楷體" w:hAnsi="Times New Roman" w:cs="Times New Roman" w:hint="eastAsia"/>
              </w:rPr>
              <w:t>之國內及國外成分證券指數股票型證券投資信託基金受益憑證，及指數股票型期貨信託基金受益憑證分拆為二項，即</w:t>
            </w:r>
            <w:r w:rsidRPr="00854387">
              <w:rPr>
                <w:rFonts w:ascii="Times New Roman" w:eastAsia="標楷體" w:hAnsi="Times New Roman" w:cs="Times New Roman" w:hint="eastAsia"/>
              </w:rPr>
              <w:t>調整第</w:t>
            </w:r>
            <w:r w:rsidR="00B62074" w:rsidRPr="00854387">
              <w:rPr>
                <w:rFonts w:ascii="Times New Roman" w:eastAsia="標楷體" w:hAnsi="Times New Roman" w:cs="Times New Roman" w:hint="eastAsia"/>
              </w:rPr>
              <w:t>二</w:t>
            </w:r>
            <w:r w:rsidRPr="00854387">
              <w:rPr>
                <w:rFonts w:ascii="Times New Roman" w:eastAsia="標楷體" w:hAnsi="Times New Roman" w:cs="Times New Roman" w:hint="eastAsia"/>
              </w:rPr>
              <w:t>項及新增第五項</w:t>
            </w:r>
            <w:r w:rsidR="00B62074" w:rsidRPr="00854387">
              <w:rPr>
                <w:rFonts w:ascii="Times New Roman" w:eastAsia="標楷體" w:hAnsi="Times New Roman" w:cs="Times New Roman" w:hint="eastAsia"/>
              </w:rPr>
              <w:t>之</w:t>
            </w:r>
            <w:r w:rsidRPr="00854387">
              <w:rPr>
                <w:rFonts w:ascii="Times New Roman" w:eastAsia="標楷體" w:hAnsi="Times New Roman" w:cs="Times New Roman" w:hint="eastAsia"/>
              </w:rPr>
              <w:t>文字</w:t>
            </w:r>
            <w:r w:rsidR="00B62074" w:rsidRPr="00854387">
              <w:rPr>
                <w:rFonts w:ascii="Times New Roman" w:eastAsia="標楷體" w:hAnsi="Times New Roman" w:cs="Times New Roman" w:hint="eastAsia"/>
              </w:rPr>
              <w:t>，現行條文第五項移列為第</w:t>
            </w:r>
            <w:r w:rsidR="00B91DCF" w:rsidRPr="00854387">
              <w:rPr>
                <w:rFonts w:ascii="Times New Roman" w:eastAsia="標楷體" w:hAnsi="Times New Roman" w:cs="Times New Roman" w:hint="eastAsia"/>
              </w:rPr>
              <w:t>七</w:t>
            </w:r>
            <w:r w:rsidR="00B62074" w:rsidRPr="00854387">
              <w:rPr>
                <w:rFonts w:ascii="Times New Roman" w:eastAsia="標楷體" w:hAnsi="Times New Roman" w:cs="Times New Roman" w:hint="eastAsia"/>
              </w:rPr>
              <w:t>項</w:t>
            </w:r>
            <w:r w:rsidRPr="00854387">
              <w:rPr>
                <w:rFonts w:ascii="Times New Roman" w:eastAsia="標楷體" w:hAnsi="Times New Roman" w:cs="Times New Roman" w:hint="eastAsia"/>
              </w:rPr>
              <w:t>。</w:t>
            </w:r>
          </w:p>
          <w:p w14:paraId="580F3F75" w14:textId="4D3E42E5" w:rsidR="00F5310E" w:rsidRPr="00854387" w:rsidRDefault="002F5EAF" w:rsidP="002F5EAF">
            <w:pPr>
              <w:pStyle w:val="aa"/>
              <w:numPr>
                <w:ilvl w:val="0"/>
                <w:numId w:val="4"/>
              </w:numPr>
              <w:ind w:leftChars="0"/>
              <w:jc w:val="both"/>
              <w:rPr>
                <w:rFonts w:ascii="標楷體" w:eastAsia="標楷體" w:hAnsi="標楷體"/>
              </w:rPr>
            </w:pPr>
            <w:r w:rsidRPr="00854387">
              <w:rPr>
                <w:rFonts w:ascii="Times New Roman" w:eastAsia="標楷體" w:hAnsi="Times New Roman" w:cs="Times New Roman" w:hint="eastAsia"/>
              </w:rPr>
              <w:t>為避免指數股票型基金於處置</w:t>
            </w:r>
            <w:proofErr w:type="gramStart"/>
            <w:r w:rsidRPr="00854387">
              <w:rPr>
                <w:rFonts w:ascii="Times New Roman" w:eastAsia="標楷體" w:hAnsi="Times New Roman" w:cs="Times New Roman" w:hint="eastAsia"/>
              </w:rPr>
              <w:t>期間，</w:t>
            </w:r>
            <w:proofErr w:type="gramEnd"/>
            <w:r w:rsidRPr="00854387">
              <w:rPr>
                <w:rFonts w:ascii="Times New Roman" w:eastAsia="標楷體" w:hAnsi="Times New Roman" w:cs="Times New Roman" w:hint="eastAsia"/>
              </w:rPr>
              <w:t>投資人及證券自營商得賣出申購部位之時點不同而引發公平性爭議，</w:t>
            </w:r>
            <w:proofErr w:type="gramStart"/>
            <w:r w:rsidRPr="00854387">
              <w:rPr>
                <w:rFonts w:ascii="Times New Roman" w:eastAsia="標楷體" w:hAnsi="Times New Roman" w:cs="Times New Roman" w:hint="eastAsia"/>
              </w:rPr>
              <w:t>爰</w:t>
            </w:r>
            <w:proofErr w:type="gramEnd"/>
            <w:r w:rsidRPr="00854387">
              <w:rPr>
                <w:rFonts w:ascii="Times New Roman" w:eastAsia="標楷體" w:hAnsi="Times New Roman" w:cs="Times New Roman" w:hint="eastAsia"/>
              </w:rPr>
              <w:t>增訂第</w:t>
            </w:r>
            <w:r w:rsidR="00B91DCF" w:rsidRPr="00854387">
              <w:rPr>
                <w:rFonts w:ascii="Times New Roman" w:eastAsia="標楷體" w:hAnsi="Times New Roman" w:cs="Times New Roman" w:hint="eastAsia"/>
              </w:rPr>
              <w:t>六</w:t>
            </w:r>
            <w:r w:rsidRPr="00854387">
              <w:rPr>
                <w:rFonts w:ascii="Times New Roman" w:eastAsia="標楷體" w:hAnsi="Times New Roman" w:cs="Times New Roman" w:hint="eastAsia"/>
              </w:rPr>
              <w:t>項之規定，明定指數股票型基金列為處置證券</w:t>
            </w:r>
            <w:proofErr w:type="gramStart"/>
            <w:r w:rsidRPr="00854387">
              <w:rPr>
                <w:rFonts w:ascii="Times New Roman" w:eastAsia="標楷體" w:hAnsi="Times New Roman" w:cs="Times New Roman" w:hint="eastAsia"/>
              </w:rPr>
              <w:t>期間，</w:t>
            </w:r>
            <w:proofErr w:type="gramEnd"/>
            <w:r w:rsidRPr="00854387">
              <w:rPr>
                <w:rFonts w:ascii="Times New Roman" w:eastAsia="標楷體" w:hAnsi="Times New Roman" w:cs="Times New Roman" w:hint="eastAsia"/>
              </w:rPr>
              <w:t>其申購部位應於證券集中保管事業登載後，始得賣出。</w:t>
            </w:r>
          </w:p>
        </w:tc>
      </w:tr>
    </w:tbl>
    <w:p w14:paraId="48904808" w14:textId="68B8162E" w:rsidR="00995B64" w:rsidRPr="00854387" w:rsidRDefault="00995B64" w:rsidP="00FB1CDE">
      <w:pPr>
        <w:widowControl/>
        <w:jc w:val="both"/>
        <w:rPr>
          <w:rFonts w:ascii="Times New Roman" w:eastAsia="標楷體" w:hAnsi="Times New Roman" w:cs="Times New Roman"/>
          <w:szCs w:val="24"/>
        </w:rPr>
      </w:pPr>
      <w:r w:rsidRPr="00854387">
        <w:rPr>
          <w:rFonts w:ascii="Times New Roman" w:eastAsia="標楷體" w:hAnsi="Times New Roman" w:cs="Times New Roman"/>
          <w:szCs w:val="24"/>
        </w:rPr>
        <w:br w:type="page"/>
      </w:r>
    </w:p>
    <w:bookmarkEnd w:id="2"/>
    <w:p w14:paraId="139EC9C8" w14:textId="62943EBC" w:rsidR="00085EA1" w:rsidRPr="00854387" w:rsidRDefault="00064A63" w:rsidP="00B0246B">
      <w:pPr>
        <w:pStyle w:val="2"/>
        <w:spacing w:afterLines="0" w:line="440" w:lineRule="exact"/>
        <w:ind w:left="644" w:hangingChars="201" w:hanging="644"/>
        <w:jc w:val="both"/>
        <w:rPr>
          <w:rFonts w:hAnsi="Times New Roman"/>
        </w:rPr>
      </w:pPr>
      <w:r w:rsidRPr="00854387">
        <w:rPr>
          <w:rFonts w:hAnsi="Times New Roman" w:hint="eastAsia"/>
        </w:rPr>
        <w:lastRenderedPageBreak/>
        <w:t>二</w:t>
      </w:r>
      <w:r w:rsidR="00085EA1" w:rsidRPr="00854387">
        <w:rPr>
          <w:rFonts w:hAnsi="Times New Roman" w:hint="eastAsia"/>
        </w:rPr>
        <w:t>、</w:t>
      </w:r>
      <w:r w:rsidR="00A34B2F" w:rsidRPr="00854387">
        <w:rPr>
          <w:rFonts w:hAnsi="Times New Roman" w:hint="eastAsia"/>
        </w:rPr>
        <w:t>財團法人中華民國證券櫃檯買賣中心指數股票型基金受益憑證流動量提供者作業要點第陸點、第陸點之</w:t>
      </w:r>
      <w:proofErr w:type="gramStart"/>
      <w:r w:rsidR="00A34B2F" w:rsidRPr="00854387">
        <w:rPr>
          <w:rFonts w:hAnsi="Times New Roman" w:hint="eastAsia"/>
        </w:rPr>
        <w:t>一</w:t>
      </w:r>
      <w:proofErr w:type="gramEnd"/>
      <w:r w:rsidR="00A34B2F" w:rsidRPr="00854387">
        <w:rPr>
          <w:rFonts w:hAnsi="Times New Roman" w:hint="eastAsia"/>
        </w:rPr>
        <w:t>修正條文對照表</w:t>
      </w:r>
    </w:p>
    <w:tbl>
      <w:tblPr>
        <w:tblStyle w:val="a3"/>
        <w:tblW w:w="9351" w:type="dxa"/>
        <w:jc w:val="right"/>
        <w:tblCellMar>
          <w:top w:w="11" w:type="dxa"/>
          <w:left w:w="57" w:type="dxa"/>
          <w:bottom w:w="11" w:type="dxa"/>
          <w:right w:w="57" w:type="dxa"/>
        </w:tblCellMar>
        <w:tblLook w:val="04A0" w:firstRow="1" w:lastRow="0" w:firstColumn="1" w:lastColumn="0" w:noHBand="0" w:noVBand="1"/>
      </w:tblPr>
      <w:tblGrid>
        <w:gridCol w:w="3117"/>
        <w:gridCol w:w="3117"/>
        <w:gridCol w:w="3117"/>
      </w:tblGrid>
      <w:tr w:rsidR="00854387" w:rsidRPr="00C72BF8" w14:paraId="7361D347" w14:textId="77777777" w:rsidTr="00E4414E">
        <w:trPr>
          <w:tblHeader/>
          <w:jc w:val="right"/>
        </w:trPr>
        <w:tc>
          <w:tcPr>
            <w:tcW w:w="3117" w:type="dxa"/>
          </w:tcPr>
          <w:p w14:paraId="48DD3B70" w14:textId="35B46378" w:rsidR="00F01E9C" w:rsidRPr="00C72BF8" w:rsidRDefault="00F01E9C" w:rsidP="00E4414E">
            <w:pPr>
              <w:spacing w:line="320" w:lineRule="exact"/>
              <w:jc w:val="center"/>
              <w:rPr>
                <w:rFonts w:ascii="Times New Roman" w:eastAsia="標楷體" w:hAnsi="Times New Roman" w:cs="Times New Roman"/>
                <w:b/>
                <w:szCs w:val="24"/>
              </w:rPr>
            </w:pPr>
            <w:r w:rsidRPr="00C72BF8">
              <w:rPr>
                <w:rFonts w:ascii="Times New Roman" w:eastAsia="標楷體" w:hAnsi="Times New Roman" w:cs="Times New Roman"/>
                <w:b/>
                <w:szCs w:val="24"/>
              </w:rPr>
              <w:t>修</w:t>
            </w:r>
            <w:r w:rsidR="00C72BF8">
              <w:rPr>
                <w:rFonts w:ascii="Times New Roman" w:eastAsia="標楷體" w:hAnsi="Times New Roman" w:cs="Times New Roman" w:hint="eastAsia"/>
                <w:b/>
                <w:szCs w:val="24"/>
              </w:rPr>
              <w:t xml:space="preserve"> </w:t>
            </w:r>
            <w:r w:rsidRPr="00C72BF8">
              <w:rPr>
                <w:rFonts w:ascii="Times New Roman" w:eastAsia="標楷體" w:hAnsi="Times New Roman" w:cs="Times New Roman"/>
                <w:b/>
                <w:szCs w:val="24"/>
              </w:rPr>
              <w:t>正</w:t>
            </w:r>
            <w:r w:rsidR="00C72BF8">
              <w:rPr>
                <w:rFonts w:ascii="Times New Roman" w:eastAsia="標楷體" w:hAnsi="Times New Roman" w:cs="Times New Roman" w:hint="eastAsia"/>
                <w:b/>
                <w:szCs w:val="24"/>
              </w:rPr>
              <w:t xml:space="preserve"> </w:t>
            </w:r>
            <w:r w:rsidRPr="00C72BF8">
              <w:rPr>
                <w:rFonts w:ascii="Times New Roman" w:eastAsia="標楷體" w:hAnsi="Times New Roman" w:cs="Times New Roman"/>
                <w:b/>
                <w:szCs w:val="24"/>
              </w:rPr>
              <w:t>條</w:t>
            </w:r>
            <w:r w:rsidR="00C72BF8">
              <w:rPr>
                <w:rFonts w:ascii="Times New Roman" w:eastAsia="標楷體" w:hAnsi="Times New Roman" w:cs="Times New Roman" w:hint="eastAsia"/>
                <w:b/>
                <w:szCs w:val="24"/>
              </w:rPr>
              <w:t xml:space="preserve"> </w:t>
            </w:r>
            <w:r w:rsidRPr="00C72BF8">
              <w:rPr>
                <w:rFonts w:ascii="Times New Roman" w:eastAsia="標楷體" w:hAnsi="Times New Roman" w:cs="Times New Roman"/>
                <w:b/>
                <w:szCs w:val="24"/>
              </w:rPr>
              <w:t>文</w:t>
            </w:r>
          </w:p>
        </w:tc>
        <w:tc>
          <w:tcPr>
            <w:tcW w:w="3117" w:type="dxa"/>
          </w:tcPr>
          <w:p w14:paraId="6A3E1977" w14:textId="142D72D4" w:rsidR="00F01E9C" w:rsidRPr="00C72BF8" w:rsidRDefault="00F01E9C" w:rsidP="00E4414E">
            <w:pPr>
              <w:spacing w:line="320" w:lineRule="exact"/>
              <w:jc w:val="center"/>
              <w:rPr>
                <w:rFonts w:ascii="Times New Roman" w:eastAsia="標楷體" w:hAnsi="Times New Roman" w:cs="Times New Roman"/>
                <w:b/>
                <w:szCs w:val="24"/>
              </w:rPr>
            </w:pPr>
            <w:r w:rsidRPr="00C72BF8">
              <w:rPr>
                <w:rFonts w:ascii="Times New Roman" w:eastAsia="標楷體" w:hAnsi="Times New Roman" w:cs="Times New Roman"/>
                <w:b/>
                <w:szCs w:val="24"/>
              </w:rPr>
              <w:t>現</w:t>
            </w:r>
            <w:r w:rsidR="00C72BF8">
              <w:rPr>
                <w:rFonts w:ascii="Times New Roman" w:eastAsia="標楷體" w:hAnsi="Times New Roman" w:cs="Times New Roman" w:hint="eastAsia"/>
                <w:b/>
                <w:szCs w:val="24"/>
              </w:rPr>
              <w:t xml:space="preserve"> </w:t>
            </w:r>
            <w:r w:rsidRPr="00C72BF8">
              <w:rPr>
                <w:rFonts w:ascii="Times New Roman" w:eastAsia="標楷體" w:hAnsi="Times New Roman" w:cs="Times New Roman"/>
                <w:b/>
                <w:szCs w:val="24"/>
              </w:rPr>
              <w:t>行</w:t>
            </w:r>
            <w:r w:rsidR="00C72BF8">
              <w:rPr>
                <w:rFonts w:ascii="Times New Roman" w:eastAsia="標楷體" w:hAnsi="Times New Roman" w:cs="Times New Roman" w:hint="eastAsia"/>
                <w:b/>
                <w:szCs w:val="24"/>
              </w:rPr>
              <w:t xml:space="preserve"> </w:t>
            </w:r>
            <w:r w:rsidRPr="00C72BF8">
              <w:rPr>
                <w:rFonts w:ascii="Times New Roman" w:eastAsia="標楷體" w:hAnsi="Times New Roman" w:cs="Times New Roman"/>
                <w:b/>
                <w:szCs w:val="24"/>
              </w:rPr>
              <w:t>條</w:t>
            </w:r>
            <w:r w:rsidR="00C72BF8">
              <w:rPr>
                <w:rFonts w:ascii="Times New Roman" w:eastAsia="標楷體" w:hAnsi="Times New Roman" w:cs="Times New Roman" w:hint="eastAsia"/>
                <w:b/>
                <w:szCs w:val="24"/>
              </w:rPr>
              <w:t xml:space="preserve"> </w:t>
            </w:r>
            <w:r w:rsidRPr="00C72BF8">
              <w:rPr>
                <w:rFonts w:ascii="Times New Roman" w:eastAsia="標楷體" w:hAnsi="Times New Roman" w:cs="Times New Roman"/>
                <w:b/>
                <w:szCs w:val="24"/>
              </w:rPr>
              <w:t>文</w:t>
            </w:r>
          </w:p>
        </w:tc>
        <w:tc>
          <w:tcPr>
            <w:tcW w:w="3117" w:type="dxa"/>
          </w:tcPr>
          <w:p w14:paraId="6B63EC01" w14:textId="46C2F6DD" w:rsidR="00F01E9C" w:rsidRPr="00C72BF8" w:rsidRDefault="00F01E9C" w:rsidP="00E4414E">
            <w:pPr>
              <w:spacing w:line="320" w:lineRule="exact"/>
              <w:jc w:val="center"/>
              <w:rPr>
                <w:rFonts w:ascii="Times New Roman" w:eastAsia="標楷體" w:hAnsi="Times New Roman" w:cs="Times New Roman"/>
                <w:b/>
                <w:szCs w:val="24"/>
              </w:rPr>
            </w:pPr>
            <w:r w:rsidRPr="00C72BF8">
              <w:rPr>
                <w:rFonts w:ascii="Times New Roman" w:eastAsia="標楷體" w:hAnsi="Times New Roman" w:cs="Times New Roman"/>
                <w:b/>
                <w:szCs w:val="24"/>
              </w:rPr>
              <w:t>說</w:t>
            </w:r>
            <w:r w:rsidR="00C72BF8">
              <w:rPr>
                <w:rFonts w:ascii="Times New Roman" w:eastAsia="標楷體" w:hAnsi="Times New Roman" w:cs="Times New Roman" w:hint="eastAsia"/>
                <w:b/>
                <w:szCs w:val="24"/>
              </w:rPr>
              <w:t xml:space="preserve">    </w:t>
            </w:r>
            <w:r w:rsidRPr="00C72BF8">
              <w:rPr>
                <w:rFonts w:ascii="Times New Roman" w:eastAsia="標楷體" w:hAnsi="Times New Roman" w:cs="Times New Roman"/>
                <w:b/>
                <w:szCs w:val="24"/>
              </w:rPr>
              <w:t>明</w:t>
            </w:r>
          </w:p>
        </w:tc>
      </w:tr>
      <w:tr w:rsidR="00854387" w:rsidRPr="00854387" w14:paraId="7A5FB90C" w14:textId="77777777" w:rsidTr="00E4414E">
        <w:trPr>
          <w:jc w:val="right"/>
        </w:trPr>
        <w:tc>
          <w:tcPr>
            <w:tcW w:w="3117" w:type="dxa"/>
          </w:tcPr>
          <w:p w14:paraId="7E52D6C5" w14:textId="5BBE54F9" w:rsidR="00D560DF" w:rsidRPr="00854387" w:rsidRDefault="00D560DF" w:rsidP="00D560DF">
            <w:pPr>
              <w:spacing w:line="0" w:lineRule="atLeast"/>
              <w:ind w:leftChars="4" w:left="490" w:hangingChars="200" w:hanging="480"/>
              <w:jc w:val="both"/>
              <w:rPr>
                <w:rFonts w:ascii="標楷體" w:eastAsia="標楷體" w:hAnsi="標楷體" w:cs="細明體"/>
                <w:kern w:val="0"/>
                <w:szCs w:val="24"/>
              </w:rPr>
            </w:pPr>
            <w:r w:rsidRPr="00854387">
              <w:rPr>
                <w:rFonts w:ascii="標楷體" w:eastAsia="標楷體" w:hAnsi="標楷體" w:cs="細明體" w:hint="eastAsia"/>
                <w:kern w:val="0"/>
                <w:szCs w:val="24"/>
              </w:rPr>
              <w:t>陸、提供市場流動量契約對流動量提供者之責任義務至少應規範下列事項</w:t>
            </w:r>
            <w:r w:rsidRPr="00854387">
              <w:rPr>
                <w:rFonts w:ascii="標楷體" w:eastAsia="標楷體" w:hAnsi="標楷體" w:hint="eastAsia"/>
                <w:szCs w:val="24"/>
              </w:rPr>
              <w:t>（</w:t>
            </w:r>
            <w:r w:rsidRPr="00854387">
              <w:rPr>
                <w:rFonts w:ascii="標楷體" w:eastAsia="標楷體" w:hAnsi="標楷體" w:cs="細明體" w:hint="eastAsia"/>
                <w:kern w:val="0"/>
                <w:szCs w:val="24"/>
              </w:rPr>
              <w:t>含自開市後至收市</w:t>
            </w:r>
            <w:r w:rsidR="00CA28A4" w:rsidRPr="00854387">
              <w:rPr>
                <w:rFonts w:ascii="標楷體" w:eastAsia="標楷體" w:hAnsi="標楷體" w:cs="細明體" w:hint="eastAsia"/>
                <w:kern w:val="0"/>
                <w:szCs w:val="24"/>
              </w:rPr>
              <w:t>前一段時間</w:t>
            </w:r>
            <w:r w:rsidRPr="00854387">
              <w:rPr>
                <w:rFonts w:ascii="標楷體" w:eastAsia="標楷體" w:hAnsi="標楷體" w:cs="細明體" w:hint="eastAsia"/>
                <w:kern w:val="0"/>
                <w:szCs w:val="24"/>
              </w:rPr>
              <w:t>）：</w:t>
            </w:r>
          </w:p>
          <w:p w14:paraId="4B0650F5" w14:textId="77777777" w:rsidR="00D560DF" w:rsidRPr="00854387" w:rsidRDefault="00D560DF" w:rsidP="00D560DF">
            <w:pPr>
              <w:spacing w:line="0" w:lineRule="atLeast"/>
              <w:ind w:leftChars="4" w:left="490" w:hangingChars="200" w:hanging="480"/>
              <w:jc w:val="both"/>
              <w:rPr>
                <w:rFonts w:ascii="標楷體" w:eastAsia="標楷體" w:hAnsi="標楷體" w:cs="細明體"/>
                <w:kern w:val="0"/>
                <w:szCs w:val="24"/>
              </w:rPr>
            </w:pPr>
          </w:p>
          <w:p w14:paraId="4C5C978D" w14:textId="309618F8" w:rsidR="00D560DF" w:rsidRPr="00854387" w:rsidRDefault="00D560DF" w:rsidP="00D560DF">
            <w:pPr>
              <w:spacing w:line="0" w:lineRule="atLeast"/>
              <w:ind w:leftChars="4" w:left="490" w:hangingChars="200" w:hanging="480"/>
              <w:jc w:val="both"/>
              <w:rPr>
                <w:rFonts w:ascii="標楷體" w:eastAsia="標楷體" w:hAnsi="標楷體" w:cs="細明體"/>
                <w:kern w:val="0"/>
                <w:szCs w:val="24"/>
              </w:rPr>
            </w:pPr>
          </w:p>
          <w:p w14:paraId="0948B9EA" w14:textId="77777777" w:rsidR="002F4C89" w:rsidRPr="00854387" w:rsidRDefault="002F4C89" w:rsidP="00D560DF">
            <w:pPr>
              <w:spacing w:line="0" w:lineRule="atLeast"/>
              <w:ind w:leftChars="4" w:left="490" w:hangingChars="200" w:hanging="480"/>
              <w:jc w:val="both"/>
              <w:rPr>
                <w:rFonts w:ascii="標楷體" w:eastAsia="標楷體" w:hAnsi="標楷體" w:cs="細明體"/>
                <w:kern w:val="0"/>
                <w:szCs w:val="24"/>
              </w:rPr>
            </w:pPr>
          </w:p>
          <w:p w14:paraId="172EE02E" w14:textId="77777777" w:rsidR="00D560DF" w:rsidRPr="00854387" w:rsidRDefault="00D560DF" w:rsidP="00D560DF">
            <w:pPr>
              <w:spacing w:line="0" w:lineRule="atLeast"/>
              <w:ind w:leftChars="4" w:left="490" w:hangingChars="200" w:hanging="480"/>
              <w:jc w:val="both"/>
              <w:rPr>
                <w:rFonts w:ascii="標楷體" w:eastAsia="標楷體" w:hAnsi="標楷體" w:cs="細明體"/>
                <w:kern w:val="0"/>
                <w:szCs w:val="24"/>
              </w:rPr>
            </w:pPr>
          </w:p>
          <w:p w14:paraId="7C5B0406" w14:textId="77777777" w:rsidR="00D560DF" w:rsidRPr="00854387" w:rsidRDefault="00D560DF" w:rsidP="00D560DF">
            <w:pPr>
              <w:pStyle w:val="aa"/>
              <w:widowControl/>
              <w:numPr>
                <w:ilvl w:val="0"/>
                <w:numId w:val="5"/>
              </w:numPr>
              <w:tabs>
                <w:tab w:val="left" w:pos="710"/>
              </w:tabs>
              <w:spacing w:line="280" w:lineRule="atLeast"/>
              <w:ind w:leftChars="0"/>
              <w:jc w:val="both"/>
              <w:rPr>
                <w:rFonts w:ascii="標楷體" w:eastAsia="標楷體" w:hAnsi="標楷體" w:cs="細明體"/>
                <w:kern w:val="0"/>
                <w:szCs w:val="24"/>
              </w:rPr>
            </w:pPr>
            <w:r w:rsidRPr="00854387">
              <w:rPr>
                <w:rFonts w:ascii="標楷體" w:eastAsia="標楷體" w:hAnsi="標楷體" w:cs="細明體" w:hint="eastAsia"/>
                <w:kern w:val="0"/>
                <w:szCs w:val="24"/>
              </w:rPr>
              <w:t>該指數股票型基金受益憑證於本中心等價成交系統所揭示之最佳一檔買賣價差範圍，其計算公式如下：</w:t>
            </w:r>
          </w:p>
          <w:p w14:paraId="4AB646AD" w14:textId="77777777" w:rsidR="00D560DF" w:rsidRPr="00854387" w:rsidRDefault="00D560DF" w:rsidP="00D560DF">
            <w:pPr>
              <w:widowControl/>
              <w:ind w:leftChars="300" w:left="720"/>
              <w:jc w:val="both"/>
              <w:rPr>
                <w:rFonts w:ascii="標楷體" w:eastAsia="標楷體" w:hAnsi="標楷體" w:cs="細明體"/>
                <w:kern w:val="0"/>
                <w:szCs w:val="24"/>
              </w:rPr>
            </w:pPr>
            <w:r w:rsidRPr="00854387">
              <w:rPr>
                <w:rFonts w:ascii="標楷體" w:eastAsia="標楷體" w:hAnsi="標楷體" w:cs="細明體" w:hint="eastAsia"/>
                <w:kern w:val="0"/>
                <w:szCs w:val="24"/>
              </w:rPr>
              <w:t>最佳一檔買賣價差＝（未成交之最低賣出申報價格－未成交之最高買進申報價格）÷未成交之最低賣出申報價格。</w:t>
            </w:r>
          </w:p>
          <w:p w14:paraId="4DC23549" w14:textId="122419D1" w:rsidR="00D560DF" w:rsidRPr="00854387" w:rsidRDefault="00D560DF" w:rsidP="00D560DF">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t>二、</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流動量提供者對該指數股票型基金受益憑證之最少</w:t>
            </w:r>
            <w:r w:rsidRPr="00854387">
              <w:rPr>
                <w:rFonts w:ascii="標楷體" w:eastAsia="標楷體" w:hAnsi="標楷體" w:cs="Times New Roman" w:hint="eastAsia"/>
                <w:szCs w:val="24"/>
                <w:u w:val="single"/>
              </w:rPr>
              <w:t>有效報價時間</w:t>
            </w:r>
            <w:r w:rsidRPr="00854387">
              <w:rPr>
                <w:rFonts w:ascii="標楷體" w:eastAsia="標楷體" w:hAnsi="標楷體" w:cs="細明體" w:hint="eastAsia"/>
                <w:kern w:val="0"/>
                <w:szCs w:val="24"/>
              </w:rPr>
              <w:t>。所稱</w:t>
            </w:r>
            <w:r w:rsidRPr="00854387">
              <w:rPr>
                <w:rFonts w:ascii="標楷體" w:eastAsia="標楷體" w:hAnsi="標楷體" w:cs="Times New Roman" w:hint="eastAsia"/>
                <w:szCs w:val="24"/>
                <w:u w:val="single"/>
              </w:rPr>
              <w:t>有效報價</w:t>
            </w:r>
            <w:r w:rsidRPr="00854387">
              <w:rPr>
                <w:rFonts w:ascii="標楷體" w:eastAsia="標楷體" w:hAnsi="標楷體" w:cs="細明體" w:hint="eastAsia"/>
                <w:kern w:val="0"/>
                <w:szCs w:val="24"/>
              </w:rPr>
              <w:t>係指買進、賣出之申報，其價格均介於前一次未成交之最低賣出申報價格以上特定範圍及未成交之最高買進申報價格以下特定範圍或成交價上下特定範圍內</w:t>
            </w:r>
            <w:r w:rsidR="002D0544" w:rsidRPr="00854387">
              <w:rPr>
                <w:rFonts w:ascii="標楷體" w:eastAsia="標楷體" w:hAnsi="標楷體" w:cs="細明體" w:hint="eastAsia"/>
                <w:kern w:val="0"/>
                <w:szCs w:val="24"/>
                <w:u w:val="single"/>
              </w:rPr>
              <w:t>。</w:t>
            </w:r>
            <w:r w:rsidRPr="00854387">
              <w:rPr>
                <w:rFonts w:ascii="標楷體" w:eastAsia="標楷體" w:hAnsi="標楷體" w:cs="細明體" w:hint="eastAsia"/>
                <w:kern w:val="0"/>
                <w:szCs w:val="24"/>
              </w:rPr>
              <w:t>針對</w:t>
            </w:r>
            <w:r w:rsidRPr="00854387">
              <w:rPr>
                <w:rFonts w:ascii="標楷體" w:eastAsia="標楷體" w:hAnsi="標楷體" w:cs="Times New Roman" w:hint="eastAsia"/>
                <w:szCs w:val="24"/>
                <w:u w:val="single"/>
              </w:rPr>
              <w:t>有效報價時間及</w:t>
            </w:r>
            <w:r w:rsidRPr="00854387">
              <w:rPr>
                <w:rFonts w:ascii="標楷體" w:eastAsia="標楷體" w:hAnsi="標楷體" w:cs="細明體" w:hint="eastAsia"/>
                <w:kern w:val="0"/>
                <w:szCs w:val="24"/>
              </w:rPr>
              <w:t>計算之買進及賣出申報</w:t>
            </w:r>
            <w:r w:rsidRPr="00854387">
              <w:rPr>
                <w:rFonts w:ascii="標楷體" w:eastAsia="標楷體" w:hAnsi="標楷體" w:cs="細明體" w:hint="eastAsia"/>
                <w:kern w:val="0"/>
                <w:szCs w:val="24"/>
                <w:u w:val="single"/>
              </w:rPr>
              <w:t>數量</w:t>
            </w:r>
            <w:r w:rsidRPr="00854387">
              <w:rPr>
                <w:rFonts w:ascii="標楷體" w:eastAsia="標楷體" w:hAnsi="標楷體" w:cs="細明體" w:hint="eastAsia"/>
                <w:kern w:val="0"/>
                <w:szCs w:val="24"/>
              </w:rPr>
              <w:t>，應訂定最低標準。</w:t>
            </w:r>
          </w:p>
          <w:p w14:paraId="5B9444A9" w14:textId="77777777" w:rsidR="00D560DF" w:rsidRPr="00854387" w:rsidRDefault="00D560DF" w:rsidP="00D560DF">
            <w:pPr>
              <w:widowControl/>
              <w:tabs>
                <w:tab w:val="left" w:pos="723"/>
              </w:tabs>
              <w:spacing w:line="280" w:lineRule="atLeast"/>
              <w:ind w:leftChars="99" w:left="704" w:hangingChars="194" w:hanging="466"/>
              <w:jc w:val="both"/>
              <w:rPr>
                <w:rFonts w:ascii="標楷體" w:eastAsia="標楷體" w:hAnsi="標楷體" w:cs="細明體"/>
                <w:kern w:val="0"/>
                <w:szCs w:val="24"/>
              </w:rPr>
            </w:pPr>
          </w:p>
          <w:p w14:paraId="621ADD56" w14:textId="77777777" w:rsidR="00D560DF" w:rsidRPr="00854387" w:rsidRDefault="00D560DF" w:rsidP="00D560DF">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t>三、</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流動量提供者於遇該指數股票型基金受益</w:t>
            </w:r>
            <w:r w:rsidRPr="00854387">
              <w:rPr>
                <w:rFonts w:ascii="標楷體" w:eastAsia="標楷體" w:hAnsi="標楷體" w:cs="細明體" w:hint="eastAsia"/>
                <w:kern w:val="0"/>
                <w:szCs w:val="24"/>
              </w:rPr>
              <w:lastRenderedPageBreak/>
              <w:t>憑證有本中心業務規則第三十五條第四項及第三十五條之十一之情事時，必須於延緩撮合期間申報買進及賣出委託之最低數量標準。</w:t>
            </w:r>
          </w:p>
          <w:p w14:paraId="671450D4" w14:textId="3BAA1332" w:rsidR="00D560DF" w:rsidRPr="00854387" w:rsidRDefault="00D560DF" w:rsidP="00D560DF">
            <w:pPr>
              <w:widowControl/>
              <w:tabs>
                <w:tab w:val="left" w:pos="723"/>
              </w:tabs>
              <w:spacing w:line="280" w:lineRule="atLeast"/>
              <w:ind w:leftChars="99" w:left="704" w:hangingChars="194" w:hanging="466"/>
              <w:jc w:val="both"/>
              <w:rPr>
                <w:rFonts w:ascii="標楷體" w:eastAsia="標楷體" w:hAnsi="標楷體"/>
                <w:snapToGrid w:val="0"/>
                <w:kern w:val="0"/>
                <w:szCs w:val="24"/>
                <w:u w:val="single"/>
              </w:rPr>
            </w:pPr>
            <w:r w:rsidRPr="00854387">
              <w:rPr>
                <w:rFonts w:ascii="標楷體" w:eastAsia="標楷體" w:hAnsi="標楷體" w:cs="細明體" w:hint="eastAsia"/>
                <w:kern w:val="0"/>
                <w:szCs w:val="24"/>
              </w:rPr>
              <w:t>四、</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市場行情揭示僅有買進或賣出價格之持續時間限制，但該指數股票型基金受益憑證價格為漲停或跌停，或揭示之最佳買價或賣價為市價，不在此限。</w:t>
            </w:r>
            <w:proofErr w:type="gramStart"/>
            <w:r w:rsidRPr="00854387">
              <w:rPr>
                <w:rFonts w:ascii="標楷體" w:eastAsia="標楷體" w:hAnsi="標楷體" w:cs="細明體" w:hint="eastAsia"/>
                <w:kern w:val="0"/>
                <w:szCs w:val="24"/>
              </w:rPr>
              <w:t>如遇本中心</w:t>
            </w:r>
            <w:proofErr w:type="gramEnd"/>
            <w:r w:rsidRPr="00854387">
              <w:rPr>
                <w:rFonts w:ascii="標楷體" w:eastAsia="標楷體" w:hAnsi="標楷體" w:cs="細明體" w:hint="eastAsia"/>
                <w:kern w:val="0"/>
                <w:szCs w:val="24"/>
              </w:rPr>
              <w:t>業務規則第三十五條第四項及第三十五條之十一，</w:t>
            </w:r>
            <w:proofErr w:type="gramStart"/>
            <w:r w:rsidRPr="00854387">
              <w:rPr>
                <w:rFonts w:ascii="標楷體" w:eastAsia="標楷體" w:hAnsi="標楷體" w:cs="細明體" w:hint="eastAsia"/>
                <w:kern w:val="0"/>
                <w:szCs w:val="24"/>
              </w:rPr>
              <w:t>致須延緩</w:t>
            </w:r>
            <w:proofErr w:type="gramEnd"/>
            <w:r w:rsidRPr="00854387">
              <w:rPr>
                <w:rFonts w:ascii="標楷體" w:eastAsia="標楷體" w:hAnsi="標楷體" w:cs="細明體" w:hint="eastAsia"/>
                <w:kern w:val="0"/>
                <w:szCs w:val="24"/>
              </w:rPr>
              <w:t>撮合，該延緩撮合期間得排除於時間限制計算。</w:t>
            </w:r>
          </w:p>
        </w:tc>
        <w:tc>
          <w:tcPr>
            <w:tcW w:w="3117" w:type="dxa"/>
          </w:tcPr>
          <w:p w14:paraId="099E373B" w14:textId="77777777" w:rsidR="00D560DF" w:rsidRPr="00854387" w:rsidRDefault="00D560DF" w:rsidP="00D560DF">
            <w:pPr>
              <w:spacing w:line="0" w:lineRule="atLeast"/>
              <w:ind w:leftChars="4" w:left="490" w:hangingChars="200" w:hanging="480"/>
              <w:jc w:val="both"/>
              <w:rPr>
                <w:rFonts w:ascii="標楷體" w:eastAsia="標楷體" w:hAnsi="標楷體" w:cs="細明體"/>
                <w:kern w:val="0"/>
                <w:szCs w:val="24"/>
              </w:rPr>
            </w:pPr>
            <w:r w:rsidRPr="00854387">
              <w:rPr>
                <w:rFonts w:ascii="標楷體" w:eastAsia="標楷體" w:hAnsi="標楷體" w:cs="細明體" w:hint="eastAsia"/>
                <w:kern w:val="0"/>
                <w:szCs w:val="24"/>
              </w:rPr>
              <w:lastRenderedPageBreak/>
              <w:t>陸、提供市場流動量契約對流動量提供者之責任義務至少應規範下列事項</w:t>
            </w:r>
            <w:r w:rsidRPr="00854387">
              <w:rPr>
                <w:rFonts w:ascii="標楷體" w:eastAsia="標楷體" w:hAnsi="標楷體" w:hint="eastAsia"/>
                <w:szCs w:val="24"/>
              </w:rPr>
              <w:t>（</w:t>
            </w:r>
            <w:r w:rsidRPr="00854387">
              <w:rPr>
                <w:rFonts w:ascii="標楷體" w:eastAsia="標楷體" w:hAnsi="標楷體" w:cs="細明體" w:hint="eastAsia"/>
                <w:kern w:val="0"/>
                <w:szCs w:val="24"/>
                <w:u w:val="single"/>
              </w:rPr>
              <w:t>以下標準應</w:t>
            </w:r>
            <w:r w:rsidRPr="00854387">
              <w:rPr>
                <w:rFonts w:ascii="標楷體" w:eastAsia="標楷體" w:hAnsi="標楷體" w:cs="細明體" w:hint="eastAsia"/>
                <w:kern w:val="0"/>
                <w:szCs w:val="24"/>
              </w:rPr>
              <w:t>含自開市後至收市前一段時間</w:t>
            </w:r>
            <w:r w:rsidRPr="00854387">
              <w:rPr>
                <w:rFonts w:ascii="標楷體" w:eastAsia="標楷體" w:hAnsi="標楷體" w:cs="細明體" w:hint="eastAsia"/>
                <w:kern w:val="0"/>
                <w:szCs w:val="24"/>
                <w:u w:val="single"/>
              </w:rPr>
              <w:t>之試算撮合盤數、試算成交價及試算未成交之申報價格</w:t>
            </w:r>
            <w:r w:rsidRPr="00854387">
              <w:rPr>
                <w:rFonts w:ascii="標楷體" w:eastAsia="標楷體" w:hAnsi="標楷體" w:cs="細明體" w:hint="eastAsia"/>
                <w:kern w:val="0"/>
                <w:szCs w:val="24"/>
              </w:rPr>
              <w:t>）：</w:t>
            </w:r>
          </w:p>
          <w:p w14:paraId="15B9957F" w14:textId="77777777" w:rsidR="00D560DF" w:rsidRPr="00854387" w:rsidRDefault="00D560DF" w:rsidP="00D560DF">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t>一、</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該指數股票型基金受益憑證於本中心等價成交系統所揭示之最佳一檔買賣價差範圍，其計算公式如下：</w:t>
            </w:r>
          </w:p>
          <w:p w14:paraId="0BA8F26C" w14:textId="77777777" w:rsidR="00D560DF" w:rsidRPr="00854387" w:rsidRDefault="00D560DF" w:rsidP="00D560DF">
            <w:pPr>
              <w:widowControl/>
              <w:ind w:leftChars="300" w:left="720"/>
              <w:jc w:val="both"/>
              <w:rPr>
                <w:rFonts w:ascii="標楷體" w:eastAsia="標楷體" w:hAnsi="標楷體" w:cs="細明體"/>
                <w:kern w:val="0"/>
                <w:szCs w:val="24"/>
              </w:rPr>
            </w:pPr>
            <w:r w:rsidRPr="00854387">
              <w:rPr>
                <w:rFonts w:ascii="標楷體" w:eastAsia="標楷體" w:hAnsi="標楷體" w:cs="細明體" w:hint="eastAsia"/>
                <w:kern w:val="0"/>
                <w:szCs w:val="24"/>
              </w:rPr>
              <w:t>最佳一檔買賣價差＝（未成交之最低賣出申報價格－未成交之最高買進申報價格）÷未成交之最低賣出申報價格。</w:t>
            </w:r>
          </w:p>
          <w:p w14:paraId="6B68BF12" w14:textId="77777777" w:rsidR="00D560DF" w:rsidRPr="00854387" w:rsidRDefault="00D560DF" w:rsidP="00D560DF">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t>二、</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流動量提供者對該指數股票型基金受益憑證之最少參與撮合次數。所稱參與撮合次數係指買進、賣出之申報，其價格均介於前一次未成交之最低賣出申報價格以上特定範圍及未成交之最高買進申報價格以下特定範圍或成交價上下特定範圍內</w:t>
            </w:r>
            <w:r w:rsidRPr="00854387">
              <w:rPr>
                <w:rFonts w:ascii="標楷體" w:eastAsia="標楷體" w:hAnsi="標楷體" w:cs="細明體" w:hint="eastAsia"/>
                <w:kern w:val="0"/>
                <w:szCs w:val="24"/>
                <w:u w:val="single"/>
              </w:rPr>
              <w:t>，參與本中心等價成交系統撮合之次數，且</w:t>
            </w:r>
            <w:r w:rsidRPr="00854387">
              <w:rPr>
                <w:rFonts w:ascii="標楷體" w:eastAsia="標楷體" w:hAnsi="標楷體" w:cs="細明體" w:hint="eastAsia"/>
                <w:kern w:val="0"/>
                <w:szCs w:val="24"/>
              </w:rPr>
              <w:t>針對</w:t>
            </w:r>
            <w:r w:rsidRPr="00854387">
              <w:rPr>
                <w:rFonts w:ascii="標楷體" w:eastAsia="標楷體" w:hAnsi="標楷體" w:cs="細明體" w:hint="eastAsia"/>
                <w:kern w:val="0"/>
                <w:szCs w:val="24"/>
                <w:u w:val="single"/>
              </w:rPr>
              <w:t>參與上揭撮合次數</w:t>
            </w:r>
            <w:r w:rsidRPr="00854387">
              <w:rPr>
                <w:rFonts w:ascii="標楷體" w:eastAsia="標楷體" w:hAnsi="標楷體" w:cs="細明體" w:hint="eastAsia"/>
                <w:kern w:val="0"/>
                <w:szCs w:val="24"/>
              </w:rPr>
              <w:t>計算之買進及賣出申報，應訂定最低</w:t>
            </w:r>
            <w:r w:rsidRPr="00854387">
              <w:rPr>
                <w:rFonts w:ascii="標楷體" w:eastAsia="標楷體" w:hAnsi="標楷體" w:cs="細明體" w:hint="eastAsia"/>
                <w:kern w:val="0"/>
                <w:szCs w:val="24"/>
                <w:u w:val="single"/>
              </w:rPr>
              <w:t>數量</w:t>
            </w:r>
            <w:r w:rsidRPr="00854387">
              <w:rPr>
                <w:rFonts w:ascii="標楷體" w:eastAsia="標楷體" w:hAnsi="標楷體" w:cs="細明體" w:hint="eastAsia"/>
                <w:kern w:val="0"/>
                <w:szCs w:val="24"/>
              </w:rPr>
              <w:t>標準。</w:t>
            </w:r>
          </w:p>
          <w:p w14:paraId="2C770B54" w14:textId="77777777" w:rsidR="00D560DF" w:rsidRPr="00854387" w:rsidRDefault="00D560DF" w:rsidP="00D560DF">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t>三、</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流動量提供者於遇該指數股票型基金受益</w:t>
            </w:r>
            <w:r w:rsidRPr="00854387">
              <w:rPr>
                <w:rFonts w:ascii="標楷體" w:eastAsia="標楷體" w:hAnsi="標楷體" w:cs="細明體" w:hint="eastAsia"/>
                <w:kern w:val="0"/>
                <w:szCs w:val="24"/>
              </w:rPr>
              <w:lastRenderedPageBreak/>
              <w:t>憑證有本中心業務規則第三十五條第四項及第三十五條之十一之情事時，必須於延緩撮合期間申報買進及賣出委託之最低數量標準。</w:t>
            </w:r>
          </w:p>
          <w:p w14:paraId="395B07E7" w14:textId="6DFA5DAB" w:rsidR="00D560DF" w:rsidRPr="00854387" w:rsidRDefault="00D560DF" w:rsidP="00D560DF">
            <w:pPr>
              <w:widowControl/>
              <w:tabs>
                <w:tab w:val="left" w:pos="723"/>
              </w:tabs>
              <w:spacing w:line="280" w:lineRule="atLeast"/>
              <w:ind w:leftChars="99" w:left="704" w:hangingChars="194" w:hanging="466"/>
              <w:jc w:val="both"/>
              <w:rPr>
                <w:rFonts w:ascii="Times New Roman" w:eastAsia="標楷體" w:hAnsi="Times New Roman" w:cs="Times New Roman"/>
                <w:szCs w:val="24"/>
              </w:rPr>
            </w:pPr>
            <w:r w:rsidRPr="00854387">
              <w:rPr>
                <w:rFonts w:ascii="標楷體" w:eastAsia="標楷體" w:hAnsi="標楷體" w:cs="細明體" w:hint="eastAsia"/>
                <w:kern w:val="0"/>
                <w:szCs w:val="24"/>
              </w:rPr>
              <w:t>四、</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市場行情揭示僅有買進或賣出價格之持續時間限制，但該指數股票型基金受益憑證價格為漲停或跌停，或揭示之最佳買價或賣價為市價，不在此限。</w:t>
            </w:r>
            <w:proofErr w:type="gramStart"/>
            <w:r w:rsidRPr="00854387">
              <w:rPr>
                <w:rFonts w:ascii="標楷體" w:eastAsia="標楷體" w:hAnsi="標楷體" w:cs="細明體" w:hint="eastAsia"/>
                <w:kern w:val="0"/>
                <w:szCs w:val="24"/>
              </w:rPr>
              <w:t>如遇本中心</w:t>
            </w:r>
            <w:proofErr w:type="gramEnd"/>
            <w:r w:rsidRPr="00854387">
              <w:rPr>
                <w:rFonts w:ascii="標楷體" w:eastAsia="標楷體" w:hAnsi="標楷體" w:cs="細明體" w:hint="eastAsia"/>
                <w:kern w:val="0"/>
                <w:szCs w:val="24"/>
              </w:rPr>
              <w:t>業務規則第三十五條第四項及第三十五條之十一，</w:t>
            </w:r>
            <w:proofErr w:type="gramStart"/>
            <w:r w:rsidRPr="00854387">
              <w:rPr>
                <w:rFonts w:ascii="標楷體" w:eastAsia="標楷體" w:hAnsi="標楷體" w:cs="細明體" w:hint="eastAsia"/>
                <w:kern w:val="0"/>
                <w:szCs w:val="24"/>
              </w:rPr>
              <w:t>致須延緩</w:t>
            </w:r>
            <w:proofErr w:type="gramEnd"/>
            <w:r w:rsidRPr="00854387">
              <w:rPr>
                <w:rFonts w:ascii="標楷體" w:eastAsia="標楷體" w:hAnsi="標楷體" w:cs="細明體" w:hint="eastAsia"/>
                <w:kern w:val="0"/>
                <w:szCs w:val="24"/>
              </w:rPr>
              <w:t>撮合，該延緩撮合期間得排除於時間限制計算。</w:t>
            </w:r>
          </w:p>
        </w:tc>
        <w:tc>
          <w:tcPr>
            <w:tcW w:w="3117" w:type="dxa"/>
          </w:tcPr>
          <w:p w14:paraId="744AF32B" w14:textId="05A4A5F7" w:rsidR="00D560DF" w:rsidRPr="00854387" w:rsidRDefault="00D560DF" w:rsidP="00D560DF">
            <w:pPr>
              <w:widowControl/>
              <w:spacing w:line="320" w:lineRule="exact"/>
              <w:jc w:val="both"/>
              <w:rPr>
                <w:rFonts w:ascii="標楷體" w:eastAsia="標楷體" w:hAnsi="標楷體"/>
              </w:rPr>
            </w:pPr>
            <w:r w:rsidRPr="00854387">
              <w:rPr>
                <w:rFonts w:ascii="標楷體" w:eastAsia="標楷體" w:hAnsi="標楷體" w:hint="eastAsia"/>
              </w:rPr>
              <w:lastRenderedPageBreak/>
              <w:t>因應逐筆交易實施及配合實務作業，</w:t>
            </w:r>
            <w:proofErr w:type="gramStart"/>
            <w:r w:rsidRPr="00854387">
              <w:rPr>
                <w:rFonts w:ascii="標楷體" w:eastAsia="標楷體" w:hAnsi="標楷體" w:hint="eastAsia"/>
              </w:rPr>
              <w:t>酌修本</w:t>
            </w:r>
            <w:proofErr w:type="gramEnd"/>
            <w:r w:rsidRPr="00854387">
              <w:rPr>
                <w:rFonts w:ascii="標楷體" w:eastAsia="標楷體" w:hAnsi="標楷體" w:hint="eastAsia"/>
              </w:rPr>
              <w:t>點文字。</w:t>
            </w:r>
          </w:p>
        </w:tc>
      </w:tr>
      <w:tr w:rsidR="00064A63" w:rsidRPr="00854387" w14:paraId="12B6C454" w14:textId="77777777" w:rsidTr="00E4414E">
        <w:trPr>
          <w:jc w:val="right"/>
        </w:trPr>
        <w:tc>
          <w:tcPr>
            <w:tcW w:w="3117" w:type="dxa"/>
          </w:tcPr>
          <w:p w14:paraId="2DEBD6DA" w14:textId="38C98483" w:rsidR="00064A63" w:rsidRPr="00854387" w:rsidRDefault="00064A63" w:rsidP="00064A63">
            <w:pPr>
              <w:widowControl/>
              <w:tabs>
                <w:tab w:val="left" w:pos="485"/>
              </w:tabs>
              <w:ind w:left="480" w:hangingChars="200" w:hanging="480"/>
              <w:jc w:val="both"/>
              <w:rPr>
                <w:rFonts w:ascii="標楷體" w:eastAsia="標楷體" w:hAnsi="標楷體" w:cs="細明體"/>
                <w:kern w:val="0"/>
                <w:szCs w:val="24"/>
              </w:rPr>
            </w:pPr>
            <w:r w:rsidRPr="00854387">
              <w:rPr>
                <w:rFonts w:ascii="標楷體" w:eastAsia="標楷體" w:hAnsi="標楷體" w:cs="細明體" w:hint="eastAsia"/>
                <w:kern w:val="0"/>
                <w:szCs w:val="24"/>
              </w:rPr>
              <w:t>陸之一、</w:t>
            </w:r>
          </w:p>
          <w:p w14:paraId="223D1099" w14:textId="7A9FF788" w:rsidR="00064A63" w:rsidRPr="00854387" w:rsidRDefault="00064A63" w:rsidP="00064A63">
            <w:pPr>
              <w:widowControl/>
              <w:spacing w:beforeLines="50" w:before="180" w:afterLines="50" w:after="180" w:line="320" w:lineRule="exact"/>
              <w:ind w:leftChars="200" w:left="480"/>
              <w:jc w:val="both"/>
              <w:rPr>
                <w:rFonts w:ascii="標楷體" w:eastAsia="標楷體" w:hAnsi="標楷體" w:cs="細明體"/>
                <w:kern w:val="0"/>
                <w:szCs w:val="24"/>
                <w:highlight w:val="yellow"/>
              </w:rPr>
            </w:pPr>
            <w:r w:rsidRPr="00854387">
              <w:rPr>
                <w:rFonts w:ascii="Times New Roman" w:eastAsia="標楷體" w:hAnsi="Times New Roman" w:cs="Times New Roman" w:hint="eastAsia"/>
                <w:szCs w:val="24"/>
              </w:rPr>
              <w:t>（第一項未修正，略）</w:t>
            </w:r>
          </w:p>
          <w:p w14:paraId="4B9E479B" w14:textId="25ED78B9" w:rsidR="00064A63" w:rsidRPr="00854387" w:rsidRDefault="00064A63" w:rsidP="00064A63">
            <w:pPr>
              <w:widowControl/>
              <w:spacing w:line="280" w:lineRule="atLeast"/>
              <w:ind w:leftChars="200" w:left="480" w:firstLineChars="186" w:firstLine="446"/>
              <w:jc w:val="both"/>
              <w:rPr>
                <w:rFonts w:ascii="標楷體" w:eastAsia="標楷體" w:hAnsi="標楷體" w:cs="細明體"/>
                <w:kern w:val="0"/>
                <w:szCs w:val="24"/>
              </w:rPr>
            </w:pPr>
            <w:r w:rsidRPr="00854387">
              <w:rPr>
                <w:rFonts w:ascii="標楷體" w:eastAsia="標楷體" w:hAnsi="標楷體" w:cs="細明體" w:hint="eastAsia"/>
                <w:kern w:val="0"/>
                <w:szCs w:val="24"/>
              </w:rPr>
              <w:t>國內成分證券指數股票型證券投資信託基金受益憑證及槓桿反向指數股票型證券投資信託基金受益憑證之標的指數成分證券皆為國內股票者，其於開市後至收市之市場行情揭示（含收市前一段時間試算買賣揭示價格），每月分別不得有下列情事超過二次：</w:t>
            </w:r>
          </w:p>
          <w:p w14:paraId="04130F46" w14:textId="77777777"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t>一、</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揭示價格除漲停買進、跌停賣出或市價外，市場行情揭示僅有買進或賣出揭示價格且持續逾三分鐘。</w:t>
            </w:r>
          </w:p>
          <w:p w14:paraId="6A3DAF24" w14:textId="77777777"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lastRenderedPageBreak/>
              <w:t>二、</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最佳一檔買賣價差大於百分之一且持續逾十分鐘。</w:t>
            </w:r>
          </w:p>
          <w:p w14:paraId="5B74F98E" w14:textId="77777777"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t>三、</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遇有本中心業務規則第三十五條第四項及第三十五條之十一情事，須延緩撮合時間時，得排除前述</w:t>
            </w:r>
            <w:r w:rsidRPr="00854387">
              <w:rPr>
                <w:rFonts w:ascii="標楷體" w:eastAsia="標楷體" w:hAnsi="標楷體" w:cs="細明體" w:hint="eastAsia"/>
                <w:kern w:val="0"/>
                <w:szCs w:val="24"/>
                <w:u w:val="single"/>
              </w:rPr>
              <w:t>次數</w:t>
            </w:r>
            <w:r w:rsidRPr="00854387">
              <w:rPr>
                <w:rFonts w:ascii="標楷體" w:eastAsia="標楷體" w:hAnsi="標楷體" w:cs="細明體" w:hint="eastAsia"/>
                <w:kern w:val="0"/>
                <w:szCs w:val="24"/>
              </w:rPr>
              <w:t>之計算。</w:t>
            </w:r>
          </w:p>
          <w:p w14:paraId="319691A1" w14:textId="77777777"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u w:val="single"/>
              </w:rPr>
              <w:t>四、</w:t>
            </w:r>
            <w:r w:rsidRPr="00854387">
              <w:rPr>
                <w:rFonts w:ascii="標楷體" w:eastAsia="標楷體" w:hAnsi="標楷體" w:cs="細明體"/>
                <w:kern w:val="0"/>
                <w:szCs w:val="24"/>
                <w:u w:val="single"/>
              </w:rPr>
              <w:tab/>
            </w:r>
            <w:r w:rsidRPr="00854387">
              <w:rPr>
                <w:rFonts w:ascii="標楷體" w:eastAsia="標楷體" w:hAnsi="標楷體" w:cs="細明體" w:hint="eastAsia"/>
                <w:kern w:val="0"/>
                <w:szCs w:val="24"/>
                <w:u w:val="single"/>
              </w:rPr>
              <w:t>列為處置有價證券時，得排除前述次數之計算。</w:t>
            </w:r>
          </w:p>
          <w:p w14:paraId="785DAD8B" w14:textId="77777777" w:rsidR="00064A63" w:rsidRPr="00854387" w:rsidRDefault="00064A63" w:rsidP="00064A63">
            <w:pPr>
              <w:widowControl/>
              <w:spacing w:line="280" w:lineRule="atLeast"/>
              <w:ind w:leftChars="200" w:left="480" w:firstLineChars="186" w:firstLine="446"/>
              <w:jc w:val="both"/>
              <w:rPr>
                <w:rFonts w:ascii="標楷體" w:eastAsia="標楷體" w:hAnsi="標楷體" w:cs="細明體"/>
                <w:kern w:val="0"/>
                <w:szCs w:val="24"/>
              </w:rPr>
            </w:pPr>
            <w:r w:rsidRPr="00854387">
              <w:rPr>
                <w:rFonts w:ascii="標楷體" w:eastAsia="標楷體" w:hAnsi="標楷體" w:cs="細明體" w:hint="eastAsia"/>
                <w:kern w:val="0"/>
                <w:szCs w:val="24"/>
              </w:rPr>
              <w:t>國外成分證券指數股票型證券投資信託基金受益憑證、指數股票型期貨信託基金受益憑證、標的指數成分證券含一種以上國外有價證券之槓桿反向指數股票型證券投資信託基金受益憑證、國內債券成分指數股票型證券投資信託基金受益憑證及</w:t>
            </w:r>
            <w:r w:rsidRPr="00854387">
              <w:rPr>
                <w:rFonts w:ascii="標楷體" w:eastAsia="標楷體" w:hAnsi="標楷體" w:cs="新細明體" w:hint="eastAsia"/>
                <w:kern w:val="0"/>
                <w:szCs w:val="24"/>
              </w:rPr>
              <w:t>國內債券成分之槓桿反向</w:t>
            </w:r>
            <w:r w:rsidRPr="00854387">
              <w:rPr>
                <w:rFonts w:ascii="標楷體" w:eastAsia="標楷體" w:hAnsi="標楷體" w:cs="細明體" w:hint="eastAsia"/>
                <w:kern w:val="0"/>
                <w:szCs w:val="24"/>
              </w:rPr>
              <w:t>指數股票型證券投資信託基金受益憑證，其於開市後至收市之市場行情揭示（含收市前一段時間試算買賣揭示價格）每月合計不得有下列情事超過六次：</w:t>
            </w:r>
          </w:p>
          <w:p w14:paraId="3CD7A874" w14:textId="77777777"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t>一、</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揭示價格除漲停買進、跌停賣出或市價外，市場行情揭示僅有買進或賣出揭示價格且持續逾十分鐘。</w:t>
            </w:r>
          </w:p>
          <w:p w14:paraId="386646D4" w14:textId="77777777"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t>二、</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最佳一檔買賣價差大於百分之三且持續逾十分鐘。</w:t>
            </w:r>
          </w:p>
          <w:p w14:paraId="46B800F1" w14:textId="77777777"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lastRenderedPageBreak/>
              <w:t>三、</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遇有本中心業務規則第三十五條第四項及第三十五條之十一情事，須延緩撮合時間，得排除前述次數之計算。</w:t>
            </w:r>
          </w:p>
          <w:p w14:paraId="1C08F3CC" w14:textId="77777777"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t>四、</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國外成分股及債券成分指數股票型證券投資信託基金之標的指數成分證券，其國外有價證券流通市場休市時，該國外成分股及債券成分指數股票型證券投資信託基金受益憑證當日市場行情揭示排除前述次數之計算。</w:t>
            </w:r>
          </w:p>
          <w:p w14:paraId="51EBC3A3" w14:textId="77777777"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t>五、</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指數股票型期貨信託基金之標的指數成分，其國外期貨契約交易市場休市時，當日市場行情揭示排除前述次數之計算。</w:t>
            </w:r>
          </w:p>
          <w:p w14:paraId="5CBD26D2" w14:textId="77777777"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t>六、</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槓桿反向指數股票型證券投資信託基金之標的指數成分證券，其國外有價證券流通市場休市時，該槓桿反向指數股票型證券投資信託基金受益憑證當日市場行情揭示排除前述次數之計算。</w:t>
            </w:r>
          </w:p>
          <w:p w14:paraId="3A60D600" w14:textId="5E21E112"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u w:val="single"/>
              </w:rPr>
              <w:t>七、</w:t>
            </w:r>
            <w:r w:rsidRPr="00854387">
              <w:rPr>
                <w:rFonts w:ascii="標楷體" w:eastAsia="標楷體" w:hAnsi="標楷體" w:cs="細明體"/>
                <w:kern w:val="0"/>
                <w:szCs w:val="24"/>
                <w:u w:val="single"/>
              </w:rPr>
              <w:tab/>
            </w:r>
            <w:r w:rsidRPr="00854387">
              <w:rPr>
                <w:rFonts w:ascii="標楷體" w:eastAsia="標楷體" w:hAnsi="標楷體" w:cs="細明體" w:hint="eastAsia"/>
                <w:kern w:val="0"/>
                <w:szCs w:val="24"/>
                <w:u w:val="single"/>
              </w:rPr>
              <w:t>列為處置有價證券時，得排除前述次數之計算。</w:t>
            </w:r>
          </w:p>
        </w:tc>
        <w:tc>
          <w:tcPr>
            <w:tcW w:w="3117" w:type="dxa"/>
          </w:tcPr>
          <w:p w14:paraId="54C46999" w14:textId="2B7F31E5" w:rsidR="00064A63" w:rsidRPr="00854387" w:rsidRDefault="00064A63" w:rsidP="00064A63">
            <w:pPr>
              <w:widowControl/>
              <w:tabs>
                <w:tab w:val="left" w:pos="485"/>
              </w:tabs>
              <w:ind w:left="480" w:hangingChars="200" w:hanging="480"/>
              <w:jc w:val="both"/>
              <w:rPr>
                <w:rFonts w:ascii="標楷體" w:eastAsia="標楷體" w:hAnsi="標楷體" w:cs="細明體"/>
                <w:kern w:val="0"/>
                <w:szCs w:val="24"/>
              </w:rPr>
            </w:pPr>
            <w:r w:rsidRPr="00854387">
              <w:rPr>
                <w:rFonts w:ascii="標楷體" w:eastAsia="標楷體" w:hAnsi="標楷體" w:cs="細明體" w:hint="eastAsia"/>
                <w:kern w:val="0"/>
                <w:szCs w:val="24"/>
              </w:rPr>
              <w:lastRenderedPageBreak/>
              <w:t>陸之一、</w:t>
            </w:r>
          </w:p>
          <w:p w14:paraId="39200D54" w14:textId="77777777" w:rsidR="00064A63" w:rsidRPr="00854387" w:rsidRDefault="00064A63" w:rsidP="00064A63">
            <w:pPr>
              <w:widowControl/>
              <w:spacing w:beforeLines="50" w:before="180" w:afterLines="50" w:after="180" w:line="320" w:lineRule="exact"/>
              <w:ind w:leftChars="200" w:left="480"/>
              <w:jc w:val="both"/>
              <w:rPr>
                <w:rFonts w:ascii="標楷體" w:eastAsia="標楷體" w:hAnsi="標楷體" w:cs="細明體"/>
                <w:kern w:val="0"/>
                <w:szCs w:val="24"/>
                <w:highlight w:val="yellow"/>
              </w:rPr>
            </w:pPr>
            <w:r w:rsidRPr="00854387">
              <w:rPr>
                <w:rFonts w:ascii="Times New Roman" w:eastAsia="標楷體" w:hAnsi="Times New Roman" w:cs="Times New Roman" w:hint="eastAsia"/>
                <w:szCs w:val="24"/>
              </w:rPr>
              <w:t>（第一項未修正，略）</w:t>
            </w:r>
          </w:p>
          <w:p w14:paraId="0E13E84E" w14:textId="49A9DB42" w:rsidR="00064A63" w:rsidRPr="00854387" w:rsidRDefault="00064A63" w:rsidP="00064A63">
            <w:pPr>
              <w:widowControl/>
              <w:spacing w:line="280" w:lineRule="atLeast"/>
              <w:ind w:leftChars="200" w:left="480" w:firstLineChars="186" w:firstLine="446"/>
              <w:jc w:val="both"/>
              <w:rPr>
                <w:rFonts w:ascii="標楷體" w:eastAsia="標楷體" w:hAnsi="標楷體" w:cs="細明體"/>
                <w:kern w:val="0"/>
                <w:szCs w:val="24"/>
              </w:rPr>
            </w:pPr>
            <w:r w:rsidRPr="00854387">
              <w:rPr>
                <w:rFonts w:ascii="標楷體" w:eastAsia="標楷體" w:hAnsi="標楷體" w:cs="細明體" w:hint="eastAsia"/>
                <w:kern w:val="0"/>
                <w:szCs w:val="24"/>
              </w:rPr>
              <w:t>國內成分證券指數股票型證券投資信託基金受益憑證及槓桿反向指數股票型證券投資信託基金受益憑證之標的指數成分證券皆為國內股票者，其於開市後至收市之市場行情揭示（含收市前一段時間試算買賣揭示價格），每月分別不得有下列情事超過二次：</w:t>
            </w:r>
          </w:p>
          <w:p w14:paraId="687829AF" w14:textId="77777777"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t>一、</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揭示價格除漲停買進、跌停賣出或市價外，市場行情揭示僅有買進或賣出揭示價格且持續逾三分鐘。</w:t>
            </w:r>
          </w:p>
          <w:p w14:paraId="64E3FE8E" w14:textId="77777777"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lastRenderedPageBreak/>
              <w:t>二、</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最佳一檔買賣價差大於百分之一且持續逾十分鐘。</w:t>
            </w:r>
          </w:p>
          <w:p w14:paraId="19A98194" w14:textId="77777777"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t>三、</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遇有本中心業務規則第三十五條第四項及第三十五條之十一情事，須延緩撮合時間時，得排除前述</w:t>
            </w:r>
            <w:r w:rsidRPr="00854387">
              <w:rPr>
                <w:rFonts w:ascii="標楷體" w:eastAsia="標楷體" w:hAnsi="標楷體" w:cs="細明體" w:hint="eastAsia"/>
                <w:kern w:val="0"/>
                <w:szCs w:val="24"/>
                <w:u w:val="single"/>
              </w:rPr>
              <w:t>時間</w:t>
            </w:r>
            <w:r w:rsidRPr="00854387">
              <w:rPr>
                <w:rFonts w:ascii="標楷體" w:eastAsia="標楷體" w:hAnsi="標楷體" w:cs="細明體" w:hint="eastAsia"/>
                <w:kern w:val="0"/>
                <w:szCs w:val="24"/>
              </w:rPr>
              <w:t>之計算。</w:t>
            </w:r>
          </w:p>
          <w:p w14:paraId="16DCC523" w14:textId="77777777" w:rsidR="00064A63" w:rsidRPr="00854387" w:rsidRDefault="00064A63" w:rsidP="00064A63">
            <w:pPr>
              <w:widowControl/>
              <w:spacing w:line="280" w:lineRule="atLeast"/>
              <w:ind w:leftChars="200" w:left="480" w:firstLineChars="186" w:firstLine="446"/>
              <w:jc w:val="both"/>
              <w:rPr>
                <w:rFonts w:ascii="標楷體" w:eastAsia="標楷體" w:hAnsi="標楷體" w:cs="細明體"/>
                <w:kern w:val="0"/>
                <w:szCs w:val="24"/>
              </w:rPr>
            </w:pPr>
          </w:p>
          <w:p w14:paraId="2E83964C" w14:textId="77777777" w:rsidR="00064A63" w:rsidRPr="00854387" w:rsidRDefault="00064A63" w:rsidP="00064A63">
            <w:pPr>
              <w:widowControl/>
              <w:spacing w:line="280" w:lineRule="atLeast"/>
              <w:ind w:leftChars="200" w:left="480" w:firstLineChars="186" w:firstLine="446"/>
              <w:jc w:val="both"/>
              <w:rPr>
                <w:rFonts w:ascii="標楷體" w:eastAsia="標楷體" w:hAnsi="標楷體" w:cs="細明體"/>
                <w:kern w:val="0"/>
                <w:szCs w:val="24"/>
              </w:rPr>
            </w:pPr>
          </w:p>
          <w:p w14:paraId="0929BF80" w14:textId="77777777" w:rsidR="00064A63" w:rsidRPr="00854387" w:rsidRDefault="00064A63" w:rsidP="00064A63">
            <w:pPr>
              <w:widowControl/>
              <w:spacing w:line="280" w:lineRule="atLeast"/>
              <w:ind w:leftChars="200" w:left="480" w:firstLineChars="186" w:firstLine="446"/>
              <w:jc w:val="both"/>
              <w:rPr>
                <w:rFonts w:ascii="標楷體" w:eastAsia="標楷體" w:hAnsi="標楷體" w:cs="細明體"/>
                <w:kern w:val="0"/>
                <w:szCs w:val="24"/>
              </w:rPr>
            </w:pPr>
          </w:p>
          <w:p w14:paraId="21A43578" w14:textId="77777777" w:rsidR="00064A63" w:rsidRPr="00854387" w:rsidRDefault="00064A63" w:rsidP="00064A63">
            <w:pPr>
              <w:widowControl/>
              <w:spacing w:line="280" w:lineRule="atLeast"/>
              <w:ind w:leftChars="200" w:left="480" w:firstLineChars="186" w:firstLine="446"/>
              <w:jc w:val="both"/>
              <w:rPr>
                <w:rFonts w:ascii="標楷體" w:eastAsia="標楷體" w:hAnsi="標楷體" w:cs="細明體"/>
                <w:kern w:val="0"/>
                <w:szCs w:val="24"/>
              </w:rPr>
            </w:pPr>
            <w:r w:rsidRPr="00854387">
              <w:rPr>
                <w:rFonts w:ascii="標楷體" w:eastAsia="標楷體" w:hAnsi="標楷體" w:cs="細明體" w:hint="eastAsia"/>
                <w:kern w:val="0"/>
                <w:szCs w:val="24"/>
              </w:rPr>
              <w:t>國外成分證券指數股票型證券投資信託基金受益憑證、指數股票型期貨信託基金受益憑證、標的指數成分證券含一種以上國外有價證券之槓桿反向指數股票型證券投資信託基金受益憑證、國內債券成分指數股票型證券投資信託基金受益憑證及</w:t>
            </w:r>
            <w:r w:rsidRPr="00854387">
              <w:rPr>
                <w:rFonts w:ascii="標楷體" w:eastAsia="標楷體" w:hAnsi="標楷體" w:cs="新細明體" w:hint="eastAsia"/>
                <w:kern w:val="0"/>
                <w:szCs w:val="24"/>
              </w:rPr>
              <w:t>國內債券成分之槓桿反向</w:t>
            </w:r>
            <w:r w:rsidRPr="00854387">
              <w:rPr>
                <w:rFonts w:ascii="標楷體" w:eastAsia="標楷體" w:hAnsi="標楷體" w:cs="細明體" w:hint="eastAsia"/>
                <w:kern w:val="0"/>
                <w:szCs w:val="24"/>
              </w:rPr>
              <w:t>指數股票型證券投資信託基金受益憑證，其於開市後至收市之市場行情揭示（含收市前一段時間試算買賣揭示價格）每月合計不得有下列情事超過六次：</w:t>
            </w:r>
          </w:p>
          <w:p w14:paraId="33A3F744" w14:textId="77777777"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t>一、</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揭示價格除漲停買進、跌停賣出或市價外，市場行情揭示僅有買進或賣出揭示價格且持續逾十分鐘。</w:t>
            </w:r>
          </w:p>
          <w:p w14:paraId="3451A7CC" w14:textId="77777777"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t>二、</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最佳一檔買賣價差大於百分之三且持續逾十分鐘。</w:t>
            </w:r>
          </w:p>
          <w:p w14:paraId="3B9F0A83" w14:textId="77777777"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lastRenderedPageBreak/>
              <w:t>三、</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遇有本中心業務規則第三十五條第四項及第三十五條之十一情事，須延緩撮合時間，得排除前述次數之計算。</w:t>
            </w:r>
          </w:p>
          <w:p w14:paraId="5F630F6A" w14:textId="77777777"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t>四、</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國外成分股及債券成分指數股票型證券投資信託基金之標的指數成分證券，其國外有價證券流通市場休市時，該國外成分股及債券成分指數股票型證券投資信託基金受益憑證當日市場行情揭示排除前述次數之計算。</w:t>
            </w:r>
          </w:p>
          <w:p w14:paraId="750384AF" w14:textId="77777777"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t>五、</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指數股票型期貨信託基金之標的指數成分，其國外期貨契約交易市場休市時，當日市場行情揭示排除前述次數之計算。</w:t>
            </w:r>
          </w:p>
          <w:p w14:paraId="2FFE9B83" w14:textId="230628FC" w:rsidR="00064A63" w:rsidRPr="00854387" w:rsidRDefault="00064A63" w:rsidP="00064A63">
            <w:pPr>
              <w:widowControl/>
              <w:tabs>
                <w:tab w:val="left" w:pos="723"/>
              </w:tabs>
              <w:spacing w:line="280" w:lineRule="atLeast"/>
              <w:ind w:leftChars="99" w:left="704" w:hangingChars="194" w:hanging="466"/>
              <w:jc w:val="both"/>
              <w:rPr>
                <w:rFonts w:ascii="標楷體" w:eastAsia="標楷體" w:hAnsi="標楷體" w:cs="細明體"/>
                <w:kern w:val="0"/>
                <w:szCs w:val="24"/>
              </w:rPr>
            </w:pPr>
            <w:r w:rsidRPr="00854387">
              <w:rPr>
                <w:rFonts w:ascii="標楷體" w:eastAsia="標楷體" w:hAnsi="標楷體" w:cs="細明體" w:hint="eastAsia"/>
                <w:kern w:val="0"/>
                <w:szCs w:val="24"/>
              </w:rPr>
              <w:t>六、</w:t>
            </w:r>
            <w:r w:rsidRPr="00854387">
              <w:rPr>
                <w:rFonts w:ascii="標楷體" w:eastAsia="標楷體" w:hAnsi="標楷體" w:cs="細明體"/>
                <w:kern w:val="0"/>
                <w:szCs w:val="24"/>
              </w:rPr>
              <w:tab/>
            </w:r>
            <w:r w:rsidRPr="00854387">
              <w:rPr>
                <w:rFonts w:ascii="標楷體" w:eastAsia="標楷體" w:hAnsi="標楷體" w:cs="細明體" w:hint="eastAsia"/>
                <w:kern w:val="0"/>
                <w:szCs w:val="24"/>
              </w:rPr>
              <w:t>槓桿反向指數股票型證券投資信託基金之標的指數成分證券，其國外有價證券流通市場休市時，該槓桿反向指數股票型證券投資信託基金受益憑證當日市場行情揭示排除前述次數之計算。</w:t>
            </w:r>
          </w:p>
        </w:tc>
        <w:tc>
          <w:tcPr>
            <w:tcW w:w="3117" w:type="dxa"/>
          </w:tcPr>
          <w:p w14:paraId="0346F568" w14:textId="1CAD727B" w:rsidR="00064A63" w:rsidRPr="00854387" w:rsidRDefault="00064A63" w:rsidP="00064A63">
            <w:pPr>
              <w:pStyle w:val="aa"/>
              <w:numPr>
                <w:ilvl w:val="0"/>
                <w:numId w:val="6"/>
              </w:numPr>
              <w:ind w:leftChars="0" w:left="482" w:hanging="482"/>
              <w:jc w:val="both"/>
              <w:rPr>
                <w:rFonts w:ascii="Times New Roman" w:eastAsia="標楷體" w:hAnsi="Times New Roman" w:cs="Times New Roman"/>
              </w:rPr>
            </w:pPr>
            <w:proofErr w:type="gramStart"/>
            <w:r w:rsidRPr="00854387">
              <w:rPr>
                <w:rFonts w:ascii="Times New Roman" w:eastAsia="標楷體" w:hAnsi="Times New Roman" w:cs="Times New Roman" w:hint="eastAsia"/>
              </w:rPr>
              <w:lastRenderedPageBreak/>
              <w:t>酌修第二</w:t>
            </w:r>
            <w:proofErr w:type="gramEnd"/>
            <w:r w:rsidRPr="00854387">
              <w:rPr>
                <w:rFonts w:ascii="Times New Roman" w:eastAsia="標楷體" w:hAnsi="Times New Roman" w:cs="Times New Roman" w:hint="eastAsia"/>
              </w:rPr>
              <w:t>項第三款文字。</w:t>
            </w:r>
          </w:p>
          <w:p w14:paraId="55A0BE70" w14:textId="544137C0" w:rsidR="00064A63" w:rsidRPr="00854387" w:rsidRDefault="00064A63" w:rsidP="00064A63">
            <w:pPr>
              <w:pStyle w:val="aa"/>
              <w:numPr>
                <w:ilvl w:val="0"/>
                <w:numId w:val="6"/>
              </w:numPr>
              <w:ind w:leftChars="0" w:left="482" w:hanging="482"/>
              <w:jc w:val="both"/>
              <w:rPr>
                <w:rFonts w:ascii="標楷體" w:eastAsia="標楷體" w:hAnsi="標楷體"/>
              </w:rPr>
            </w:pPr>
            <w:r w:rsidRPr="00854387">
              <w:rPr>
                <w:rFonts w:ascii="Times New Roman" w:eastAsia="標楷體" w:hAnsi="Times New Roman" w:cs="Times New Roman" w:hint="eastAsia"/>
              </w:rPr>
              <w:t>考量指數股票型基金於處置</w:t>
            </w:r>
            <w:proofErr w:type="gramStart"/>
            <w:r w:rsidRPr="00854387">
              <w:rPr>
                <w:rFonts w:ascii="Times New Roman" w:eastAsia="標楷體" w:hAnsi="Times New Roman" w:cs="Times New Roman" w:hint="eastAsia"/>
              </w:rPr>
              <w:t>期間，</w:t>
            </w:r>
            <w:proofErr w:type="gramEnd"/>
            <w:r w:rsidRPr="00854387">
              <w:rPr>
                <w:rFonts w:ascii="Times New Roman" w:eastAsia="標楷體" w:hAnsi="Times New Roman" w:cs="Times New Roman" w:hint="eastAsia"/>
              </w:rPr>
              <w:t>流動量提供者可能缺乏可供報價之部位，</w:t>
            </w:r>
            <w:proofErr w:type="gramStart"/>
            <w:r w:rsidRPr="00854387">
              <w:rPr>
                <w:rFonts w:ascii="Times New Roman" w:eastAsia="標楷體" w:hAnsi="Times New Roman" w:cs="Times New Roman" w:hint="eastAsia"/>
              </w:rPr>
              <w:t>爰</w:t>
            </w:r>
            <w:proofErr w:type="gramEnd"/>
            <w:r w:rsidRPr="00854387">
              <w:rPr>
                <w:rFonts w:ascii="Times New Roman" w:eastAsia="標楷體" w:hAnsi="Times New Roman" w:cs="Times New Roman" w:hint="eastAsia"/>
              </w:rPr>
              <w:t>增訂第二項第四款及第三項第七款之規定，明定當指數股票型基金列為處置證券時，得排除行情揭示之規定。</w:t>
            </w:r>
          </w:p>
        </w:tc>
      </w:tr>
    </w:tbl>
    <w:p w14:paraId="51D5900F" w14:textId="77777777" w:rsidR="00F01E9C" w:rsidRPr="00854387" w:rsidRDefault="00F01E9C" w:rsidP="00F01E9C"/>
    <w:sectPr w:rsidR="00F01E9C" w:rsidRPr="00854387" w:rsidSect="00152B17">
      <w:footerReference w:type="default" r:id="rId8"/>
      <w:pgSz w:w="11906" w:h="16838" w:code="9"/>
      <w:pgMar w:top="1134" w:right="849" w:bottom="993" w:left="993" w:header="851" w:footer="5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ED2D3" w14:textId="77777777" w:rsidR="00D847D0" w:rsidRDefault="00D847D0" w:rsidP="00A83BFE">
      <w:r>
        <w:separator/>
      </w:r>
    </w:p>
  </w:endnote>
  <w:endnote w:type="continuationSeparator" w:id="0">
    <w:p w14:paraId="5DC1FB9D" w14:textId="77777777" w:rsidR="00D847D0" w:rsidRDefault="00D847D0" w:rsidP="00A8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337145"/>
      <w:docPartObj>
        <w:docPartGallery w:val="Page Numbers (Bottom of Page)"/>
        <w:docPartUnique/>
      </w:docPartObj>
    </w:sdtPr>
    <w:sdtEndPr>
      <w:rPr>
        <w:rFonts w:ascii="Times New Roman" w:hAnsi="Times New Roman" w:cs="Times New Roman"/>
      </w:rPr>
    </w:sdtEndPr>
    <w:sdtContent>
      <w:p w14:paraId="6F6FB3DE" w14:textId="77777777" w:rsidR="00F57FE8" w:rsidRPr="00A83BFE" w:rsidRDefault="00F57FE8">
        <w:pPr>
          <w:pStyle w:val="a6"/>
          <w:jc w:val="center"/>
          <w:rPr>
            <w:rFonts w:ascii="Times New Roman" w:hAnsi="Times New Roman" w:cs="Times New Roman"/>
          </w:rPr>
        </w:pPr>
        <w:r w:rsidRPr="00A83BFE">
          <w:rPr>
            <w:rFonts w:ascii="Times New Roman" w:hAnsi="Times New Roman" w:cs="Times New Roman"/>
          </w:rPr>
          <w:fldChar w:fldCharType="begin"/>
        </w:r>
        <w:r w:rsidRPr="00A83BFE">
          <w:rPr>
            <w:rFonts w:ascii="Times New Roman" w:hAnsi="Times New Roman" w:cs="Times New Roman"/>
          </w:rPr>
          <w:instrText>PAGE   \* MERGEFORMAT</w:instrText>
        </w:r>
        <w:r w:rsidRPr="00A83BFE">
          <w:rPr>
            <w:rFonts w:ascii="Times New Roman" w:hAnsi="Times New Roman" w:cs="Times New Roman"/>
          </w:rPr>
          <w:fldChar w:fldCharType="separate"/>
        </w:r>
        <w:r w:rsidRPr="0042721E">
          <w:rPr>
            <w:rFonts w:ascii="Times New Roman" w:hAnsi="Times New Roman" w:cs="Times New Roman"/>
            <w:noProof/>
            <w:lang w:val="zh-TW"/>
          </w:rPr>
          <w:t>21</w:t>
        </w:r>
        <w:r w:rsidRPr="00A83BF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C2BF7" w14:textId="77777777" w:rsidR="00D847D0" w:rsidRDefault="00D847D0" w:rsidP="00A83BFE">
      <w:r>
        <w:separator/>
      </w:r>
    </w:p>
  </w:footnote>
  <w:footnote w:type="continuationSeparator" w:id="0">
    <w:p w14:paraId="7EFD839F" w14:textId="77777777" w:rsidR="00D847D0" w:rsidRDefault="00D847D0" w:rsidP="00A83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6559C"/>
    <w:multiLevelType w:val="singleLevel"/>
    <w:tmpl w:val="0BF4D320"/>
    <w:lvl w:ilvl="0">
      <w:start w:val="1"/>
      <w:numFmt w:val="taiwaneseCountingThousand"/>
      <w:lvlText w:val="%1、"/>
      <w:lvlJc w:val="left"/>
      <w:pPr>
        <w:tabs>
          <w:tab w:val="num" w:pos="683"/>
        </w:tabs>
        <w:ind w:left="683" w:hanging="570"/>
      </w:pPr>
      <w:rPr>
        <w:rFonts w:hint="eastAsia"/>
      </w:rPr>
    </w:lvl>
  </w:abstractNum>
  <w:abstractNum w:abstractNumId="1" w15:restartNumberingAfterBreak="0">
    <w:nsid w:val="359D78C2"/>
    <w:multiLevelType w:val="hybridMultilevel"/>
    <w:tmpl w:val="FCAC0D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BE01F1"/>
    <w:multiLevelType w:val="hybridMultilevel"/>
    <w:tmpl w:val="16BEBD1E"/>
    <w:lvl w:ilvl="0" w:tplc="7DEA1B0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31923E2"/>
    <w:multiLevelType w:val="hybridMultilevel"/>
    <w:tmpl w:val="A15A95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5792ECF"/>
    <w:multiLevelType w:val="hybridMultilevel"/>
    <w:tmpl w:val="A9106A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0476AF"/>
    <w:multiLevelType w:val="hybridMultilevel"/>
    <w:tmpl w:val="EED4F996"/>
    <w:lvl w:ilvl="0" w:tplc="C756B838">
      <w:start w:val="1"/>
      <w:numFmt w:val="taiwaneseCountingThousand"/>
      <w:lvlText w:val="%1、"/>
      <w:lvlJc w:val="left"/>
      <w:pPr>
        <w:ind w:left="715" w:hanging="480"/>
      </w:pPr>
      <w:rPr>
        <w:rFonts w:hint="default"/>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num w:numId="1">
    <w:abstractNumId w:val="2"/>
  </w:num>
  <w:num w:numId="2">
    <w:abstractNumId w:val="1"/>
  </w:num>
  <w:num w:numId="3">
    <w:abstractNumId w:val="0"/>
  </w:num>
  <w:num w:numId="4">
    <w:abstractNumId w:val="4"/>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EC5"/>
    <w:rsid w:val="00002F67"/>
    <w:rsid w:val="00003FF4"/>
    <w:rsid w:val="0000557F"/>
    <w:rsid w:val="00006A69"/>
    <w:rsid w:val="00010FF0"/>
    <w:rsid w:val="00011724"/>
    <w:rsid w:val="00011F69"/>
    <w:rsid w:val="00012273"/>
    <w:rsid w:val="00013E1C"/>
    <w:rsid w:val="00013F0D"/>
    <w:rsid w:val="000145D8"/>
    <w:rsid w:val="00014FCB"/>
    <w:rsid w:val="00015F6B"/>
    <w:rsid w:val="00017AA8"/>
    <w:rsid w:val="0002103B"/>
    <w:rsid w:val="000245BF"/>
    <w:rsid w:val="000272D2"/>
    <w:rsid w:val="000318F1"/>
    <w:rsid w:val="000323E4"/>
    <w:rsid w:val="00033244"/>
    <w:rsid w:val="00034A8A"/>
    <w:rsid w:val="00036274"/>
    <w:rsid w:val="000369B9"/>
    <w:rsid w:val="000371E1"/>
    <w:rsid w:val="000377F3"/>
    <w:rsid w:val="00037945"/>
    <w:rsid w:val="00037C74"/>
    <w:rsid w:val="00037C82"/>
    <w:rsid w:val="00040E25"/>
    <w:rsid w:val="00041A16"/>
    <w:rsid w:val="00041B3C"/>
    <w:rsid w:val="00042E0D"/>
    <w:rsid w:val="00043305"/>
    <w:rsid w:val="00043E8B"/>
    <w:rsid w:val="000440E7"/>
    <w:rsid w:val="0004548A"/>
    <w:rsid w:val="00046011"/>
    <w:rsid w:val="00046218"/>
    <w:rsid w:val="0004719E"/>
    <w:rsid w:val="00047569"/>
    <w:rsid w:val="000503DF"/>
    <w:rsid w:val="00050777"/>
    <w:rsid w:val="000507D1"/>
    <w:rsid w:val="00050FD5"/>
    <w:rsid w:val="00051BAD"/>
    <w:rsid w:val="0005221C"/>
    <w:rsid w:val="000539A4"/>
    <w:rsid w:val="00055BFE"/>
    <w:rsid w:val="00055EB5"/>
    <w:rsid w:val="00057102"/>
    <w:rsid w:val="000601AA"/>
    <w:rsid w:val="000617D9"/>
    <w:rsid w:val="00061E5D"/>
    <w:rsid w:val="00061F7D"/>
    <w:rsid w:val="000623AD"/>
    <w:rsid w:val="000647F5"/>
    <w:rsid w:val="00064A63"/>
    <w:rsid w:val="00064D39"/>
    <w:rsid w:val="000653F9"/>
    <w:rsid w:val="00065EBD"/>
    <w:rsid w:val="00067CCA"/>
    <w:rsid w:val="00067DEB"/>
    <w:rsid w:val="00070DAD"/>
    <w:rsid w:val="000722B3"/>
    <w:rsid w:val="0007475E"/>
    <w:rsid w:val="00075EE8"/>
    <w:rsid w:val="00076384"/>
    <w:rsid w:val="00076431"/>
    <w:rsid w:val="000777C9"/>
    <w:rsid w:val="00080286"/>
    <w:rsid w:val="00080A1B"/>
    <w:rsid w:val="00080E1A"/>
    <w:rsid w:val="00083319"/>
    <w:rsid w:val="00083556"/>
    <w:rsid w:val="00085EA1"/>
    <w:rsid w:val="0008641F"/>
    <w:rsid w:val="00087212"/>
    <w:rsid w:val="0008767B"/>
    <w:rsid w:val="00090DB6"/>
    <w:rsid w:val="00090F4B"/>
    <w:rsid w:val="000919D0"/>
    <w:rsid w:val="0009203F"/>
    <w:rsid w:val="00092DE4"/>
    <w:rsid w:val="0009342E"/>
    <w:rsid w:val="00094B50"/>
    <w:rsid w:val="000966AE"/>
    <w:rsid w:val="00096B51"/>
    <w:rsid w:val="00096D79"/>
    <w:rsid w:val="0009718A"/>
    <w:rsid w:val="000A14CE"/>
    <w:rsid w:val="000A2359"/>
    <w:rsid w:val="000A3CBC"/>
    <w:rsid w:val="000A4B07"/>
    <w:rsid w:val="000A4F75"/>
    <w:rsid w:val="000A6F7B"/>
    <w:rsid w:val="000B21EA"/>
    <w:rsid w:val="000B2C69"/>
    <w:rsid w:val="000B309D"/>
    <w:rsid w:val="000B32F2"/>
    <w:rsid w:val="000B3455"/>
    <w:rsid w:val="000B5024"/>
    <w:rsid w:val="000B5656"/>
    <w:rsid w:val="000B5CFE"/>
    <w:rsid w:val="000B62F8"/>
    <w:rsid w:val="000B6C67"/>
    <w:rsid w:val="000B7E71"/>
    <w:rsid w:val="000C12D9"/>
    <w:rsid w:val="000C1E84"/>
    <w:rsid w:val="000C200F"/>
    <w:rsid w:val="000C3282"/>
    <w:rsid w:val="000C3A16"/>
    <w:rsid w:val="000D0187"/>
    <w:rsid w:val="000D21A1"/>
    <w:rsid w:val="000D3025"/>
    <w:rsid w:val="000D35FF"/>
    <w:rsid w:val="000D3B4E"/>
    <w:rsid w:val="000D5360"/>
    <w:rsid w:val="000D68E7"/>
    <w:rsid w:val="000E006F"/>
    <w:rsid w:val="000E1442"/>
    <w:rsid w:val="000E2969"/>
    <w:rsid w:val="000E33AD"/>
    <w:rsid w:val="000E45FC"/>
    <w:rsid w:val="000E4A00"/>
    <w:rsid w:val="000E67DF"/>
    <w:rsid w:val="000E7589"/>
    <w:rsid w:val="000F0307"/>
    <w:rsid w:val="000F06ED"/>
    <w:rsid w:val="000F0AAF"/>
    <w:rsid w:val="000F0DD4"/>
    <w:rsid w:val="000F0E00"/>
    <w:rsid w:val="000F1317"/>
    <w:rsid w:val="000F1726"/>
    <w:rsid w:val="000F27BC"/>
    <w:rsid w:val="000F3A03"/>
    <w:rsid w:val="000F3BDA"/>
    <w:rsid w:val="000F7338"/>
    <w:rsid w:val="000F79CE"/>
    <w:rsid w:val="00102E09"/>
    <w:rsid w:val="001047E4"/>
    <w:rsid w:val="001057DA"/>
    <w:rsid w:val="0010738D"/>
    <w:rsid w:val="00107837"/>
    <w:rsid w:val="00107F04"/>
    <w:rsid w:val="00112230"/>
    <w:rsid w:val="001132CB"/>
    <w:rsid w:val="00114801"/>
    <w:rsid w:val="00114A07"/>
    <w:rsid w:val="0011605E"/>
    <w:rsid w:val="00117DE8"/>
    <w:rsid w:val="00120824"/>
    <w:rsid w:val="00120C4A"/>
    <w:rsid w:val="00120EB3"/>
    <w:rsid w:val="00121B7A"/>
    <w:rsid w:val="00122853"/>
    <w:rsid w:val="0012290D"/>
    <w:rsid w:val="00122935"/>
    <w:rsid w:val="001234AC"/>
    <w:rsid w:val="001235DF"/>
    <w:rsid w:val="00123B77"/>
    <w:rsid w:val="00125535"/>
    <w:rsid w:val="0012703E"/>
    <w:rsid w:val="00130091"/>
    <w:rsid w:val="001333E0"/>
    <w:rsid w:val="00133FED"/>
    <w:rsid w:val="0013528C"/>
    <w:rsid w:val="00137024"/>
    <w:rsid w:val="00137BF1"/>
    <w:rsid w:val="00137FF0"/>
    <w:rsid w:val="00140921"/>
    <w:rsid w:val="00141B4A"/>
    <w:rsid w:val="00142B3E"/>
    <w:rsid w:val="0014332D"/>
    <w:rsid w:val="001441A0"/>
    <w:rsid w:val="00144916"/>
    <w:rsid w:val="00147DA6"/>
    <w:rsid w:val="00151634"/>
    <w:rsid w:val="00152B17"/>
    <w:rsid w:val="001610A4"/>
    <w:rsid w:val="00161BA3"/>
    <w:rsid w:val="00161F6B"/>
    <w:rsid w:val="001625E8"/>
    <w:rsid w:val="00162626"/>
    <w:rsid w:val="00162818"/>
    <w:rsid w:val="00164261"/>
    <w:rsid w:val="00164C10"/>
    <w:rsid w:val="0016627D"/>
    <w:rsid w:val="001675CA"/>
    <w:rsid w:val="00167B29"/>
    <w:rsid w:val="00167C98"/>
    <w:rsid w:val="00170A8B"/>
    <w:rsid w:val="00171DC4"/>
    <w:rsid w:val="00171F41"/>
    <w:rsid w:val="0017215C"/>
    <w:rsid w:val="001729FB"/>
    <w:rsid w:val="001736C4"/>
    <w:rsid w:val="00173C14"/>
    <w:rsid w:val="0017416C"/>
    <w:rsid w:val="00174753"/>
    <w:rsid w:val="0017520D"/>
    <w:rsid w:val="00176E45"/>
    <w:rsid w:val="00177605"/>
    <w:rsid w:val="00177FAE"/>
    <w:rsid w:val="00180DD0"/>
    <w:rsid w:val="00182285"/>
    <w:rsid w:val="0018408D"/>
    <w:rsid w:val="00184E1A"/>
    <w:rsid w:val="00187A34"/>
    <w:rsid w:val="00190640"/>
    <w:rsid w:val="00190E05"/>
    <w:rsid w:val="00191D0F"/>
    <w:rsid w:val="00192172"/>
    <w:rsid w:val="0019294A"/>
    <w:rsid w:val="00192F9F"/>
    <w:rsid w:val="00193C52"/>
    <w:rsid w:val="00194BA1"/>
    <w:rsid w:val="00196031"/>
    <w:rsid w:val="001A1571"/>
    <w:rsid w:val="001A2C90"/>
    <w:rsid w:val="001A33BF"/>
    <w:rsid w:val="001A364B"/>
    <w:rsid w:val="001A3775"/>
    <w:rsid w:val="001A390E"/>
    <w:rsid w:val="001A3B90"/>
    <w:rsid w:val="001A6E79"/>
    <w:rsid w:val="001B0F5C"/>
    <w:rsid w:val="001B1B8B"/>
    <w:rsid w:val="001B2C30"/>
    <w:rsid w:val="001B55C5"/>
    <w:rsid w:val="001B5796"/>
    <w:rsid w:val="001B67E0"/>
    <w:rsid w:val="001B6938"/>
    <w:rsid w:val="001B755C"/>
    <w:rsid w:val="001B7CBD"/>
    <w:rsid w:val="001C00FB"/>
    <w:rsid w:val="001C07E5"/>
    <w:rsid w:val="001C16C3"/>
    <w:rsid w:val="001C1705"/>
    <w:rsid w:val="001C18ED"/>
    <w:rsid w:val="001C28FF"/>
    <w:rsid w:val="001C3099"/>
    <w:rsid w:val="001C360A"/>
    <w:rsid w:val="001C3D45"/>
    <w:rsid w:val="001C5267"/>
    <w:rsid w:val="001C5B6F"/>
    <w:rsid w:val="001C5BD0"/>
    <w:rsid w:val="001D228D"/>
    <w:rsid w:val="001D28FC"/>
    <w:rsid w:val="001D3BA9"/>
    <w:rsid w:val="001D5325"/>
    <w:rsid w:val="001D5416"/>
    <w:rsid w:val="001D5774"/>
    <w:rsid w:val="001D6743"/>
    <w:rsid w:val="001D6821"/>
    <w:rsid w:val="001D781A"/>
    <w:rsid w:val="001E0955"/>
    <w:rsid w:val="001E0A72"/>
    <w:rsid w:val="001E308A"/>
    <w:rsid w:val="001E3294"/>
    <w:rsid w:val="001E3C0E"/>
    <w:rsid w:val="001E5510"/>
    <w:rsid w:val="001F0780"/>
    <w:rsid w:val="001F07CD"/>
    <w:rsid w:val="001F096F"/>
    <w:rsid w:val="001F1653"/>
    <w:rsid w:val="001F1D16"/>
    <w:rsid w:val="001F3608"/>
    <w:rsid w:val="001F528D"/>
    <w:rsid w:val="001F65C3"/>
    <w:rsid w:val="001F67B3"/>
    <w:rsid w:val="00200ED8"/>
    <w:rsid w:val="00201732"/>
    <w:rsid w:val="0020187D"/>
    <w:rsid w:val="00213E56"/>
    <w:rsid w:val="00214017"/>
    <w:rsid w:val="00215494"/>
    <w:rsid w:val="002163E0"/>
    <w:rsid w:val="002228DF"/>
    <w:rsid w:val="00223227"/>
    <w:rsid w:val="0022343C"/>
    <w:rsid w:val="00230071"/>
    <w:rsid w:val="00230F7E"/>
    <w:rsid w:val="0023146E"/>
    <w:rsid w:val="00231A74"/>
    <w:rsid w:val="00231AF5"/>
    <w:rsid w:val="002328AA"/>
    <w:rsid w:val="00233233"/>
    <w:rsid w:val="0023323C"/>
    <w:rsid w:val="002337C4"/>
    <w:rsid w:val="00235CF1"/>
    <w:rsid w:val="00236405"/>
    <w:rsid w:val="002368E6"/>
    <w:rsid w:val="00237DA5"/>
    <w:rsid w:val="00237F86"/>
    <w:rsid w:val="00242FA5"/>
    <w:rsid w:val="00243184"/>
    <w:rsid w:val="00243F28"/>
    <w:rsid w:val="00244F0C"/>
    <w:rsid w:val="00246858"/>
    <w:rsid w:val="00246BA5"/>
    <w:rsid w:val="00250AB9"/>
    <w:rsid w:val="002517F9"/>
    <w:rsid w:val="00253692"/>
    <w:rsid w:val="00255818"/>
    <w:rsid w:val="00255C12"/>
    <w:rsid w:val="00255D03"/>
    <w:rsid w:val="00256E8F"/>
    <w:rsid w:val="00257E51"/>
    <w:rsid w:val="00257ED0"/>
    <w:rsid w:val="0026115B"/>
    <w:rsid w:val="00261CC9"/>
    <w:rsid w:val="0026275B"/>
    <w:rsid w:val="00262897"/>
    <w:rsid w:val="00266344"/>
    <w:rsid w:val="00267665"/>
    <w:rsid w:val="00267A5D"/>
    <w:rsid w:val="0027286E"/>
    <w:rsid w:val="00275A13"/>
    <w:rsid w:val="00281BB9"/>
    <w:rsid w:val="002821D2"/>
    <w:rsid w:val="00282882"/>
    <w:rsid w:val="00284161"/>
    <w:rsid w:val="00284549"/>
    <w:rsid w:val="00285040"/>
    <w:rsid w:val="002850EC"/>
    <w:rsid w:val="00285605"/>
    <w:rsid w:val="002857DF"/>
    <w:rsid w:val="002866CC"/>
    <w:rsid w:val="002867ED"/>
    <w:rsid w:val="00290A55"/>
    <w:rsid w:val="00291CC4"/>
    <w:rsid w:val="00291CCD"/>
    <w:rsid w:val="002928BF"/>
    <w:rsid w:val="00294F9B"/>
    <w:rsid w:val="002970E9"/>
    <w:rsid w:val="002977E3"/>
    <w:rsid w:val="002A10F5"/>
    <w:rsid w:val="002A2BCF"/>
    <w:rsid w:val="002A3C10"/>
    <w:rsid w:val="002A3CA0"/>
    <w:rsid w:val="002A4A98"/>
    <w:rsid w:val="002A6241"/>
    <w:rsid w:val="002A6B0B"/>
    <w:rsid w:val="002A6EC5"/>
    <w:rsid w:val="002A7C1F"/>
    <w:rsid w:val="002A7E98"/>
    <w:rsid w:val="002B17B6"/>
    <w:rsid w:val="002B1972"/>
    <w:rsid w:val="002B1D36"/>
    <w:rsid w:val="002B2BEA"/>
    <w:rsid w:val="002B4138"/>
    <w:rsid w:val="002B5422"/>
    <w:rsid w:val="002B6955"/>
    <w:rsid w:val="002C02B6"/>
    <w:rsid w:val="002C2025"/>
    <w:rsid w:val="002C2332"/>
    <w:rsid w:val="002C273E"/>
    <w:rsid w:val="002C2EFF"/>
    <w:rsid w:val="002C31E3"/>
    <w:rsid w:val="002C3B87"/>
    <w:rsid w:val="002C4E38"/>
    <w:rsid w:val="002C538C"/>
    <w:rsid w:val="002C55F0"/>
    <w:rsid w:val="002C5D9B"/>
    <w:rsid w:val="002D0544"/>
    <w:rsid w:val="002D0931"/>
    <w:rsid w:val="002D09AF"/>
    <w:rsid w:val="002D22A3"/>
    <w:rsid w:val="002D3B6C"/>
    <w:rsid w:val="002D6251"/>
    <w:rsid w:val="002D69CB"/>
    <w:rsid w:val="002D6A04"/>
    <w:rsid w:val="002D7762"/>
    <w:rsid w:val="002D7A72"/>
    <w:rsid w:val="002D7FE7"/>
    <w:rsid w:val="002E35E7"/>
    <w:rsid w:val="002E3955"/>
    <w:rsid w:val="002E4225"/>
    <w:rsid w:val="002E4F5D"/>
    <w:rsid w:val="002E541E"/>
    <w:rsid w:val="002E55FB"/>
    <w:rsid w:val="002E58B4"/>
    <w:rsid w:val="002E7431"/>
    <w:rsid w:val="002E7BB7"/>
    <w:rsid w:val="002F0F6C"/>
    <w:rsid w:val="002F1D90"/>
    <w:rsid w:val="002F2229"/>
    <w:rsid w:val="002F36C3"/>
    <w:rsid w:val="002F4C89"/>
    <w:rsid w:val="002F5020"/>
    <w:rsid w:val="002F5EAF"/>
    <w:rsid w:val="002F6353"/>
    <w:rsid w:val="002F6ED1"/>
    <w:rsid w:val="002F6ED3"/>
    <w:rsid w:val="002F6F88"/>
    <w:rsid w:val="003020EC"/>
    <w:rsid w:val="00302D69"/>
    <w:rsid w:val="00303AC6"/>
    <w:rsid w:val="003042B4"/>
    <w:rsid w:val="00305239"/>
    <w:rsid w:val="0030530F"/>
    <w:rsid w:val="0030614A"/>
    <w:rsid w:val="003067D0"/>
    <w:rsid w:val="00314C6B"/>
    <w:rsid w:val="00315A15"/>
    <w:rsid w:val="0031677D"/>
    <w:rsid w:val="003178CE"/>
    <w:rsid w:val="003203E7"/>
    <w:rsid w:val="0032045F"/>
    <w:rsid w:val="003207A2"/>
    <w:rsid w:val="0032336B"/>
    <w:rsid w:val="00324610"/>
    <w:rsid w:val="00324CF4"/>
    <w:rsid w:val="00325163"/>
    <w:rsid w:val="00332382"/>
    <w:rsid w:val="003328D9"/>
    <w:rsid w:val="003330FB"/>
    <w:rsid w:val="00334A7E"/>
    <w:rsid w:val="00335581"/>
    <w:rsid w:val="00335829"/>
    <w:rsid w:val="0033704C"/>
    <w:rsid w:val="003372D2"/>
    <w:rsid w:val="0034175F"/>
    <w:rsid w:val="00341E5D"/>
    <w:rsid w:val="0034217A"/>
    <w:rsid w:val="0034250E"/>
    <w:rsid w:val="00343C57"/>
    <w:rsid w:val="00343DDE"/>
    <w:rsid w:val="003459EC"/>
    <w:rsid w:val="0034673F"/>
    <w:rsid w:val="00346F05"/>
    <w:rsid w:val="00351895"/>
    <w:rsid w:val="00351CF8"/>
    <w:rsid w:val="0035443C"/>
    <w:rsid w:val="00354FAE"/>
    <w:rsid w:val="00355575"/>
    <w:rsid w:val="003569C6"/>
    <w:rsid w:val="0036055C"/>
    <w:rsid w:val="00360642"/>
    <w:rsid w:val="00360CD0"/>
    <w:rsid w:val="003625AC"/>
    <w:rsid w:val="003628EC"/>
    <w:rsid w:val="00362EEF"/>
    <w:rsid w:val="003656E2"/>
    <w:rsid w:val="00365970"/>
    <w:rsid w:val="00365DD2"/>
    <w:rsid w:val="00365F13"/>
    <w:rsid w:val="00367234"/>
    <w:rsid w:val="0037019D"/>
    <w:rsid w:val="00372105"/>
    <w:rsid w:val="00375691"/>
    <w:rsid w:val="00376B4A"/>
    <w:rsid w:val="003771FA"/>
    <w:rsid w:val="00377857"/>
    <w:rsid w:val="00377B32"/>
    <w:rsid w:val="00377C67"/>
    <w:rsid w:val="00377D9A"/>
    <w:rsid w:val="00380513"/>
    <w:rsid w:val="00381125"/>
    <w:rsid w:val="0038181D"/>
    <w:rsid w:val="00381F2D"/>
    <w:rsid w:val="00383BA3"/>
    <w:rsid w:val="00384A98"/>
    <w:rsid w:val="003910FD"/>
    <w:rsid w:val="0039116A"/>
    <w:rsid w:val="00391499"/>
    <w:rsid w:val="00391590"/>
    <w:rsid w:val="0039189F"/>
    <w:rsid w:val="00392993"/>
    <w:rsid w:val="003942D9"/>
    <w:rsid w:val="003946D6"/>
    <w:rsid w:val="00395C27"/>
    <w:rsid w:val="003A0022"/>
    <w:rsid w:val="003A1D2F"/>
    <w:rsid w:val="003A2092"/>
    <w:rsid w:val="003A40C6"/>
    <w:rsid w:val="003A5734"/>
    <w:rsid w:val="003B1564"/>
    <w:rsid w:val="003B19F9"/>
    <w:rsid w:val="003B33E0"/>
    <w:rsid w:val="003B37CD"/>
    <w:rsid w:val="003B7400"/>
    <w:rsid w:val="003B7954"/>
    <w:rsid w:val="003B7C84"/>
    <w:rsid w:val="003C0091"/>
    <w:rsid w:val="003C0326"/>
    <w:rsid w:val="003C259C"/>
    <w:rsid w:val="003C2B83"/>
    <w:rsid w:val="003C4282"/>
    <w:rsid w:val="003C454A"/>
    <w:rsid w:val="003C4F2C"/>
    <w:rsid w:val="003C4F73"/>
    <w:rsid w:val="003C55E7"/>
    <w:rsid w:val="003C66BB"/>
    <w:rsid w:val="003C672D"/>
    <w:rsid w:val="003C6B39"/>
    <w:rsid w:val="003D02AF"/>
    <w:rsid w:val="003D0AB8"/>
    <w:rsid w:val="003D3766"/>
    <w:rsid w:val="003D3EEC"/>
    <w:rsid w:val="003D50A4"/>
    <w:rsid w:val="003D6B0A"/>
    <w:rsid w:val="003E1763"/>
    <w:rsid w:val="003E1808"/>
    <w:rsid w:val="003E59D4"/>
    <w:rsid w:val="003E6E37"/>
    <w:rsid w:val="003E6E8A"/>
    <w:rsid w:val="003E74F9"/>
    <w:rsid w:val="003E7FB4"/>
    <w:rsid w:val="003F0057"/>
    <w:rsid w:val="003F1520"/>
    <w:rsid w:val="003F233B"/>
    <w:rsid w:val="003F23E9"/>
    <w:rsid w:val="003F2CE9"/>
    <w:rsid w:val="003F313F"/>
    <w:rsid w:val="003F3973"/>
    <w:rsid w:val="003F6681"/>
    <w:rsid w:val="00400DE2"/>
    <w:rsid w:val="004015A3"/>
    <w:rsid w:val="004019DB"/>
    <w:rsid w:val="0040230D"/>
    <w:rsid w:val="00403539"/>
    <w:rsid w:val="0040447F"/>
    <w:rsid w:val="0040513D"/>
    <w:rsid w:val="00406D44"/>
    <w:rsid w:val="004076EB"/>
    <w:rsid w:val="00410E2E"/>
    <w:rsid w:val="00410E62"/>
    <w:rsid w:val="0041305B"/>
    <w:rsid w:val="00413F60"/>
    <w:rsid w:val="004143E2"/>
    <w:rsid w:val="00415C08"/>
    <w:rsid w:val="00417A26"/>
    <w:rsid w:val="004214F5"/>
    <w:rsid w:val="004216C9"/>
    <w:rsid w:val="0042376E"/>
    <w:rsid w:val="00425172"/>
    <w:rsid w:val="00426001"/>
    <w:rsid w:val="00427072"/>
    <w:rsid w:val="0042721E"/>
    <w:rsid w:val="00427E4F"/>
    <w:rsid w:val="004302F7"/>
    <w:rsid w:val="00430952"/>
    <w:rsid w:val="00431A17"/>
    <w:rsid w:val="00432515"/>
    <w:rsid w:val="00433AF7"/>
    <w:rsid w:val="00435740"/>
    <w:rsid w:val="00435FA0"/>
    <w:rsid w:val="004361F7"/>
    <w:rsid w:val="00436253"/>
    <w:rsid w:val="004368E5"/>
    <w:rsid w:val="00437A72"/>
    <w:rsid w:val="004426A7"/>
    <w:rsid w:val="00442AF0"/>
    <w:rsid w:val="00444644"/>
    <w:rsid w:val="00444677"/>
    <w:rsid w:val="004453BE"/>
    <w:rsid w:val="00446636"/>
    <w:rsid w:val="00446CC8"/>
    <w:rsid w:val="00446EA1"/>
    <w:rsid w:val="004475F6"/>
    <w:rsid w:val="0045330B"/>
    <w:rsid w:val="00453347"/>
    <w:rsid w:val="00453589"/>
    <w:rsid w:val="00453BDA"/>
    <w:rsid w:val="00453D59"/>
    <w:rsid w:val="00454015"/>
    <w:rsid w:val="004544B8"/>
    <w:rsid w:val="004566DF"/>
    <w:rsid w:val="00456B4B"/>
    <w:rsid w:val="00461722"/>
    <w:rsid w:val="00461783"/>
    <w:rsid w:val="004624BB"/>
    <w:rsid w:val="00462F2D"/>
    <w:rsid w:val="0046326B"/>
    <w:rsid w:val="0046612F"/>
    <w:rsid w:val="004661A7"/>
    <w:rsid w:val="0046692D"/>
    <w:rsid w:val="00466A74"/>
    <w:rsid w:val="00467BD5"/>
    <w:rsid w:val="00471136"/>
    <w:rsid w:val="00471CD6"/>
    <w:rsid w:val="00475751"/>
    <w:rsid w:val="00475C3B"/>
    <w:rsid w:val="00476E9F"/>
    <w:rsid w:val="00480B97"/>
    <w:rsid w:val="00484D07"/>
    <w:rsid w:val="00484F7A"/>
    <w:rsid w:val="00486455"/>
    <w:rsid w:val="00487C99"/>
    <w:rsid w:val="004901ED"/>
    <w:rsid w:val="00490565"/>
    <w:rsid w:val="00491B8D"/>
    <w:rsid w:val="004936C3"/>
    <w:rsid w:val="0049491D"/>
    <w:rsid w:val="00495B49"/>
    <w:rsid w:val="0049673B"/>
    <w:rsid w:val="004967AC"/>
    <w:rsid w:val="0049759C"/>
    <w:rsid w:val="00497A34"/>
    <w:rsid w:val="004A0457"/>
    <w:rsid w:val="004A1352"/>
    <w:rsid w:val="004A16F8"/>
    <w:rsid w:val="004A2C22"/>
    <w:rsid w:val="004A4689"/>
    <w:rsid w:val="004A4E9D"/>
    <w:rsid w:val="004A60A9"/>
    <w:rsid w:val="004A7887"/>
    <w:rsid w:val="004B026E"/>
    <w:rsid w:val="004B07D6"/>
    <w:rsid w:val="004B1A07"/>
    <w:rsid w:val="004B2291"/>
    <w:rsid w:val="004B2A99"/>
    <w:rsid w:val="004B4BC8"/>
    <w:rsid w:val="004B68E8"/>
    <w:rsid w:val="004B6C99"/>
    <w:rsid w:val="004B76AE"/>
    <w:rsid w:val="004B7CF3"/>
    <w:rsid w:val="004C0C9B"/>
    <w:rsid w:val="004C123A"/>
    <w:rsid w:val="004C4C92"/>
    <w:rsid w:val="004C5377"/>
    <w:rsid w:val="004C57A7"/>
    <w:rsid w:val="004C6713"/>
    <w:rsid w:val="004C6DC3"/>
    <w:rsid w:val="004D2879"/>
    <w:rsid w:val="004D385A"/>
    <w:rsid w:val="004E07BA"/>
    <w:rsid w:val="004E1496"/>
    <w:rsid w:val="004E2C87"/>
    <w:rsid w:val="004E3FD9"/>
    <w:rsid w:val="004E6309"/>
    <w:rsid w:val="004E7B2B"/>
    <w:rsid w:val="004F17C8"/>
    <w:rsid w:val="004F20A9"/>
    <w:rsid w:val="004F2615"/>
    <w:rsid w:val="004F4B75"/>
    <w:rsid w:val="004F5404"/>
    <w:rsid w:val="004F6434"/>
    <w:rsid w:val="004F7C3B"/>
    <w:rsid w:val="0050063B"/>
    <w:rsid w:val="005032FC"/>
    <w:rsid w:val="005039AA"/>
    <w:rsid w:val="00504E5C"/>
    <w:rsid w:val="00510802"/>
    <w:rsid w:val="00510943"/>
    <w:rsid w:val="00511607"/>
    <w:rsid w:val="00511B38"/>
    <w:rsid w:val="005121D4"/>
    <w:rsid w:val="0051361C"/>
    <w:rsid w:val="005136C5"/>
    <w:rsid w:val="005143A5"/>
    <w:rsid w:val="0051493F"/>
    <w:rsid w:val="00516BF9"/>
    <w:rsid w:val="00520793"/>
    <w:rsid w:val="00521F33"/>
    <w:rsid w:val="0052245A"/>
    <w:rsid w:val="005232AD"/>
    <w:rsid w:val="005239D8"/>
    <w:rsid w:val="0052513F"/>
    <w:rsid w:val="00525C01"/>
    <w:rsid w:val="00526A74"/>
    <w:rsid w:val="00526BF5"/>
    <w:rsid w:val="00531A47"/>
    <w:rsid w:val="00531EAD"/>
    <w:rsid w:val="00531F64"/>
    <w:rsid w:val="005328DD"/>
    <w:rsid w:val="00533CFC"/>
    <w:rsid w:val="00533FEE"/>
    <w:rsid w:val="0053475D"/>
    <w:rsid w:val="00534AD0"/>
    <w:rsid w:val="00534BBA"/>
    <w:rsid w:val="00537421"/>
    <w:rsid w:val="0053767B"/>
    <w:rsid w:val="00540ACA"/>
    <w:rsid w:val="00541EA3"/>
    <w:rsid w:val="00543262"/>
    <w:rsid w:val="00543EDE"/>
    <w:rsid w:val="00544705"/>
    <w:rsid w:val="00546F8A"/>
    <w:rsid w:val="00547088"/>
    <w:rsid w:val="005472BE"/>
    <w:rsid w:val="005479EA"/>
    <w:rsid w:val="005516FF"/>
    <w:rsid w:val="005531D5"/>
    <w:rsid w:val="005536E9"/>
    <w:rsid w:val="005569C7"/>
    <w:rsid w:val="00556A7A"/>
    <w:rsid w:val="00557C62"/>
    <w:rsid w:val="00561F8F"/>
    <w:rsid w:val="005661AF"/>
    <w:rsid w:val="00567C7A"/>
    <w:rsid w:val="0057034F"/>
    <w:rsid w:val="00570443"/>
    <w:rsid w:val="0057077C"/>
    <w:rsid w:val="00570B63"/>
    <w:rsid w:val="00570F90"/>
    <w:rsid w:val="005712D7"/>
    <w:rsid w:val="00572BB9"/>
    <w:rsid w:val="0057427A"/>
    <w:rsid w:val="00574EB4"/>
    <w:rsid w:val="00575310"/>
    <w:rsid w:val="005753C4"/>
    <w:rsid w:val="005757D1"/>
    <w:rsid w:val="00576D1C"/>
    <w:rsid w:val="00577CAB"/>
    <w:rsid w:val="005804EE"/>
    <w:rsid w:val="005808DB"/>
    <w:rsid w:val="00580FA5"/>
    <w:rsid w:val="0058107D"/>
    <w:rsid w:val="005814A5"/>
    <w:rsid w:val="005828DC"/>
    <w:rsid w:val="00582A5C"/>
    <w:rsid w:val="00584473"/>
    <w:rsid w:val="00584A8A"/>
    <w:rsid w:val="00586C86"/>
    <w:rsid w:val="005878A9"/>
    <w:rsid w:val="00587B82"/>
    <w:rsid w:val="00587C5A"/>
    <w:rsid w:val="00587FA4"/>
    <w:rsid w:val="00592DD6"/>
    <w:rsid w:val="00593539"/>
    <w:rsid w:val="00594559"/>
    <w:rsid w:val="00594CF5"/>
    <w:rsid w:val="00595029"/>
    <w:rsid w:val="005957B4"/>
    <w:rsid w:val="00597FC8"/>
    <w:rsid w:val="005A0579"/>
    <w:rsid w:val="005A7EDD"/>
    <w:rsid w:val="005B19DB"/>
    <w:rsid w:val="005B1F81"/>
    <w:rsid w:val="005B2CF9"/>
    <w:rsid w:val="005B3D2E"/>
    <w:rsid w:val="005B50AF"/>
    <w:rsid w:val="005B5B54"/>
    <w:rsid w:val="005B5DD1"/>
    <w:rsid w:val="005B64DB"/>
    <w:rsid w:val="005B6517"/>
    <w:rsid w:val="005C6410"/>
    <w:rsid w:val="005C69DE"/>
    <w:rsid w:val="005C753A"/>
    <w:rsid w:val="005D23BE"/>
    <w:rsid w:val="005D25F4"/>
    <w:rsid w:val="005D5C07"/>
    <w:rsid w:val="005D621B"/>
    <w:rsid w:val="005D741B"/>
    <w:rsid w:val="005D7AFB"/>
    <w:rsid w:val="005E0426"/>
    <w:rsid w:val="005E3125"/>
    <w:rsid w:val="005E35A4"/>
    <w:rsid w:val="005E3C65"/>
    <w:rsid w:val="005E3ED7"/>
    <w:rsid w:val="005E49AF"/>
    <w:rsid w:val="005E4FFD"/>
    <w:rsid w:val="005F1120"/>
    <w:rsid w:val="005F20D0"/>
    <w:rsid w:val="005F31F1"/>
    <w:rsid w:val="005F3EAD"/>
    <w:rsid w:val="005F4263"/>
    <w:rsid w:val="005F507E"/>
    <w:rsid w:val="005F5118"/>
    <w:rsid w:val="005F6989"/>
    <w:rsid w:val="006000F4"/>
    <w:rsid w:val="00600745"/>
    <w:rsid w:val="00600B0A"/>
    <w:rsid w:val="006030B5"/>
    <w:rsid w:val="0060339D"/>
    <w:rsid w:val="006059FE"/>
    <w:rsid w:val="00605BF8"/>
    <w:rsid w:val="00606056"/>
    <w:rsid w:val="00606C2E"/>
    <w:rsid w:val="00606C36"/>
    <w:rsid w:val="006074A4"/>
    <w:rsid w:val="006075E7"/>
    <w:rsid w:val="0061175D"/>
    <w:rsid w:val="00612A34"/>
    <w:rsid w:val="00612C97"/>
    <w:rsid w:val="00612EBE"/>
    <w:rsid w:val="00613B04"/>
    <w:rsid w:val="00613E6B"/>
    <w:rsid w:val="00614C9F"/>
    <w:rsid w:val="0061537A"/>
    <w:rsid w:val="00615FC3"/>
    <w:rsid w:val="0061623C"/>
    <w:rsid w:val="00616DF4"/>
    <w:rsid w:val="00622C1F"/>
    <w:rsid w:val="00622DC1"/>
    <w:rsid w:val="00623D7D"/>
    <w:rsid w:val="00626598"/>
    <w:rsid w:val="00626C9C"/>
    <w:rsid w:val="00626D3C"/>
    <w:rsid w:val="006276C7"/>
    <w:rsid w:val="0063116B"/>
    <w:rsid w:val="0063201C"/>
    <w:rsid w:val="00632BEE"/>
    <w:rsid w:val="00632F62"/>
    <w:rsid w:val="006351E5"/>
    <w:rsid w:val="00635893"/>
    <w:rsid w:val="00636228"/>
    <w:rsid w:val="00636941"/>
    <w:rsid w:val="00640614"/>
    <w:rsid w:val="006411BA"/>
    <w:rsid w:val="00642732"/>
    <w:rsid w:val="0064292E"/>
    <w:rsid w:val="006456A3"/>
    <w:rsid w:val="0064661F"/>
    <w:rsid w:val="006469A6"/>
    <w:rsid w:val="006471D0"/>
    <w:rsid w:val="0064784C"/>
    <w:rsid w:val="00647888"/>
    <w:rsid w:val="00650B65"/>
    <w:rsid w:val="00651618"/>
    <w:rsid w:val="00652374"/>
    <w:rsid w:val="006529DF"/>
    <w:rsid w:val="006544EA"/>
    <w:rsid w:val="006556DC"/>
    <w:rsid w:val="00660007"/>
    <w:rsid w:val="00661E8C"/>
    <w:rsid w:val="00661FB6"/>
    <w:rsid w:val="0066205F"/>
    <w:rsid w:val="00664F48"/>
    <w:rsid w:val="006661E2"/>
    <w:rsid w:val="006679B9"/>
    <w:rsid w:val="006703BE"/>
    <w:rsid w:val="00671157"/>
    <w:rsid w:val="00672E5E"/>
    <w:rsid w:val="00673931"/>
    <w:rsid w:val="00674753"/>
    <w:rsid w:val="00675845"/>
    <w:rsid w:val="00677A75"/>
    <w:rsid w:val="0068071D"/>
    <w:rsid w:val="0068136A"/>
    <w:rsid w:val="006817B6"/>
    <w:rsid w:val="00681925"/>
    <w:rsid w:val="00681BDC"/>
    <w:rsid w:val="006831C2"/>
    <w:rsid w:val="006834F9"/>
    <w:rsid w:val="00686BA3"/>
    <w:rsid w:val="0068787C"/>
    <w:rsid w:val="006924E6"/>
    <w:rsid w:val="006924FC"/>
    <w:rsid w:val="00692A22"/>
    <w:rsid w:val="00692B9D"/>
    <w:rsid w:val="00692F0A"/>
    <w:rsid w:val="0069460F"/>
    <w:rsid w:val="00694E21"/>
    <w:rsid w:val="00694FC8"/>
    <w:rsid w:val="00696C21"/>
    <w:rsid w:val="006970A7"/>
    <w:rsid w:val="006971C7"/>
    <w:rsid w:val="00697520"/>
    <w:rsid w:val="006A0052"/>
    <w:rsid w:val="006A0E8B"/>
    <w:rsid w:val="006A159B"/>
    <w:rsid w:val="006A1FAA"/>
    <w:rsid w:val="006A4078"/>
    <w:rsid w:val="006A490D"/>
    <w:rsid w:val="006A593C"/>
    <w:rsid w:val="006B0060"/>
    <w:rsid w:val="006B04A3"/>
    <w:rsid w:val="006B1078"/>
    <w:rsid w:val="006B1FA5"/>
    <w:rsid w:val="006B2657"/>
    <w:rsid w:val="006B3653"/>
    <w:rsid w:val="006B3914"/>
    <w:rsid w:val="006B4B98"/>
    <w:rsid w:val="006B6C0C"/>
    <w:rsid w:val="006B7FDD"/>
    <w:rsid w:val="006C0A7A"/>
    <w:rsid w:val="006C182B"/>
    <w:rsid w:val="006C1F37"/>
    <w:rsid w:val="006C278A"/>
    <w:rsid w:val="006C2A53"/>
    <w:rsid w:val="006C2D8B"/>
    <w:rsid w:val="006C3CC6"/>
    <w:rsid w:val="006C5783"/>
    <w:rsid w:val="006C5F33"/>
    <w:rsid w:val="006C6C81"/>
    <w:rsid w:val="006D1140"/>
    <w:rsid w:val="006D212F"/>
    <w:rsid w:val="006D3703"/>
    <w:rsid w:val="006D4295"/>
    <w:rsid w:val="006D4A0B"/>
    <w:rsid w:val="006D58A6"/>
    <w:rsid w:val="006D621F"/>
    <w:rsid w:val="006D783E"/>
    <w:rsid w:val="006D7C29"/>
    <w:rsid w:val="006E0986"/>
    <w:rsid w:val="006E17D3"/>
    <w:rsid w:val="006E3F6E"/>
    <w:rsid w:val="006E62F6"/>
    <w:rsid w:val="006E63C5"/>
    <w:rsid w:val="006E7BF9"/>
    <w:rsid w:val="006F13E9"/>
    <w:rsid w:val="006F19BD"/>
    <w:rsid w:val="006F208C"/>
    <w:rsid w:val="006F2C06"/>
    <w:rsid w:val="006F3EE8"/>
    <w:rsid w:val="006F4B3C"/>
    <w:rsid w:val="006F574A"/>
    <w:rsid w:val="006F5CC1"/>
    <w:rsid w:val="006F78A8"/>
    <w:rsid w:val="006F7A59"/>
    <w:rsid w:val="0070193E"/>
    <w:rsid w:val="00701BCF"/>
    <w:rsid w:val="0070231B"/>
    <w:rsid w:val="007048D8"/>
    <w:rsid w:val="00705723"/>
    <w:rsid w:val="00705730"/>
    <w:rsid w:val="00705F8E"/>
    <w:rsid w:val="007074DC"/>
    <w:rsid w:val="00710FCE"/>
    <w:rsid w:val="007118A9"/>
    <w:rsid w:val="007134C3"/>
    <w:rsid w:val="007152EE"/>
    <w:rsid w:val="0071753C"/>
    <w:rsid w:val="0072258E"/>
    <w:rsid w:val="00724D13"/>
    <w:rsid w:val="007263EF"/>
    <w:rsid w:val="0072669E"/>
    <w:rsid w:val="00731C62"/>
    <w:rsid w:val="00732D8E"/>
    <w:rsid w:val="00733674"/>
    <w:rsid w:val="00733F67"/>
    <w:rsid w:val="0073482A"/>
    <w:rsid w:val="00734913"/>
    <w:rsid w:val="00734C5C"/>
    <w:rsid w:val="007407B0"/>
    <w:rsid w:val="00741546"/>
    <w:rsid w:val="00742835"/>
    <w:rsid w:val="00742F0F"/>
    <w:rsid w:val="00743D7C"/>
    <w:rsid w:val="00744A8D"/>
    <w:rsid w:val="00745BCA"/>
    <w:rsid w:val="00745E5D"/>
    <w:rsid w:val="00746F2B"/>
    <w:rsid w:val="00747182"/>
    <w:rsid w:val="0074783E"/>
    <w:rsid w:val="00751109"/>
    <w:rsid w:val="0075253D"/>
    <w:rsid w:val="007533E4"/>
    <w:rsid w:val="0075349E"/>
    <w:rsid w:val="00754ADC"/>
    <w:rsid w:val="00756530"/>
    <w:rsid w:val="007575A5"/>
    <w:rsid w:val="00757A2A"/>
    <w:rsid w:val="00757F93"/>
    <w:rsid w:val="00761275"/>
    <w:rsid w:val="007615E9"/>
    <w:rsid w:val="00762C80"/>
    <w:rsid w:val="00765B7C"/>
    <w:rsid w:val="0076687D"/>
    <w:rsid w:val="00767C9B"/>
    <w:rsid w:val="00767D69"/>
    <w:rsid w:val="00767F98"/>
    <w:rsid w:val="00770811"/>
    <w:rsid w:val="00772D3D"/>
    <w:rsid w:val="0077304D"/>
    <w:rsid w:val="00773A0E"/>
    <w:rsid w:val="007740E3"/>
    <w:rsid w:val="00774C8E"/>
    <w:rsid w:val="00775E1D"/>
    <w:rsid w:val="007767DC"/>
    <w:rsid w:val="00777AB1"/>
    <w:rsid w:val="00780F22"/>
    <w:rsid w:val="00781DF7"/>
    <w:rsid w:val="0078202A"/>
    <w:rsid w:val="007826D1"/>
    <w:rsid w:val="00782F1B"/>
    <w:rsid w:val="00783294"/>
    <w:rsid w:val="007833C7"/>
    <w:rsid w:val="007834DB"/>
    <w:rsid w:val="00783905"/>
    <w:rsid w:val="00785043"/>
    <w:rsid w:val="00793C37"/>
    <w:rsid w:val="00793F06"/>
    <w:rsid w:val="007948CA"/>
    <w:rsid w:val="007A20AB"/>
    <w:rsid w:val="007A2B27"/>
    <w:rsid w:val="007A408B"/>
    <w:rsid w:val="007A563B"/>
    <w:rsid w:val="007A6634"/>
    <w:rsid w:val="007A6E4C"/>
    <w:rsid w:val="007A752C"/>
    <w:rsid w:val="007B0513"/>
    <w:rsid w:val="007B1817"/>
    <w:rsid w:val="007B434C"/>
    <w:rsid w:val="007B50A2"/>
    <w:rsid w:val="007B5370"/>
    <w:rsid w:val="007B6AF9"/>
    <w:rsid w:val="007C085D"/>
    <w:rsid w:val="007C24F0"/>
    <w:rsid w:val="007C337E"/>
    <w:rsid w:val="007C3AB9"/>
    <w:rsid w:val="007C3C2C"/>
    <w:rsid w:val="007C4C57"/>
    <w:rsid w:val="007C5DFD"/>
    <w:rsid w:val="007C6126"/>
    <w:rsid w:val="007C63D1"/>
    <w:rsid w:val="007D148F"/>
    <w:rsid w:val="007D2CE2"/>
    <w:rsid w:val="007D3722"/>
    <w:rsid w:val="007D483C"/>
    <w:rsid w:val="007D4AE2"/>
    <w:rsid w:val="007D61FC"/>
    <w:rsid w:val="007D62D6"/>
    <w:rsid w:val="007D669B"/>
    <w:rsid w:val="007D7520"/>
    <w:rsid w:val="007E1A9F"/>
    <w:rsid w:val="007E3036"/>
    <w:rsid w:val="007E7094"/>
    <w:rsid w:val="007E7E61"/>
    <w:rsid w:val="007E7FF3"/>
    <w:rsid w:val="007F0903"/>
    <w:rsid w:val="007F2F30"/>
    <w:rsid w:val="007F3319"/>
    <w:rsid w:val="007F3634"/>
    <w:rsid w:val="007F3A6B"/>
    <w:rsid w:val="007F47F5"/>
    <w:rsid w:val="007F4B13"/>
    <w:rsid w:val="007F54A7"/>
    <w:rsid w:val="007F70AB"/>
    <w:rsid w:val="007F72B6"/>
    <w:rsid w:val="00804822"/>
    <w:rsid w:val="00805D04"/>
    <w:rsid w:val="00806147"/>
    <w:rsid w:val="00807239"/>
    <w:rsid w:val="008103CC"/>
    <w:rsid w:val="00810492"/>
    <w:rsid w:val="008107E3"/>
    <w:rsid w:val="00810E89"/>
    <w:rsid w:val="008117DD"/>
    <w:rsid w:val="00815307"/>
    <w:rsid w:val="00816239"/>
    <w:rsid w:val="00816A9F"/>
    <w:rsid w:val="008171CE"/>
    <w:rsid w:val="008173E9"/>
    <w:rsid w:val="0082025B"/>
    <w:rsid w:val="00820D74"/>
    <w:rsid w:val="00821712"/>
    <w:rsid w:val="0082391F"/>
    <w:rsid w:val="00823E23"/>
    <w:rsid w:val="00825BDB"/>
    <w:rsid w:val="00826105"/>
    <w:rsid w:val="00826220"/>
    <w:rsid w:val="00826F28"/>
    <w:rsid w:val="008272D8"/>
    <w:rsid w:val="008302B8"/>
    <w:rsid w:val="0083209F"/>
    <w:rsid w:val="008325DE"/>
    <w:rsid w:val="00832CB2"/>
    <w:rsid w:val="00832EFD"/>
    <w:rsid w:val="008335FF"/>
    <w:rsid w:val="00833A14"/>
    <w:rsid w:val="008364CA"/>
    <w:rsid w:val="00837E81"/>
    <w:rsid w:val="00840BF7"/>
    <w:rsid w:val="00841C9C"/>
    <w:rsid w:val="008426C0"/>
    <w:rsid w:val="008426F5"/>
    <w:rsid w:val="00845B8E"/>
    <w:rsid w:val="008463C5"/>
    <w:rsid w:val="00847A3F"/>
    <w:rsid w:val="00850AEE"/>
    <w:rsid w:val="00851DB0"/>
    <w:rsid w:val="008535A3"/>
    <w:rsid w:val="00854387"/>
    <w:rsid w:val="00854E54"/>
    <w:rsid w:val="00857C06"/>
    <w:rsid w:val="00857DE7"/>
    <w:rsid w:val="00857DFF"/>
    <w:rsid w:val="008609B2"/>
    <w:rsid w:val="00862867"/>
    <w:rsid w:val="00864C12"/>
    <w:rsid w:val="00864F06"/>
    <w:rsid w:val="00865087"/>
    <w:rsid w:val="00871CC0"/>
    <w:rsid w:val="008733E4"/>
    <w:rsid w:val="0087367F"/>
    <w:rsid w:val="00873BE1"/>
    <w:rsid w:val="00874D3D"/>
    <w:rsid w:val="008770F6"/>
    <w:rsid w:val="008772B4"/>
    <w:rsid w:val="0087776E"/>
    <w:rsid w:val="00880024"/>
    <w:rsid w:val="008801B1"/>
    <w:rsid w:val="008802A0"/>
    <w:rsid w:val="00881B62"/>
    <w:rsid w:val="008839D8"/>
    <w:rsid w:val="00884211"/>
    <w:rsid w:val="00885341"/>
    <w:rsid w:val="00885A47"/>
    <w:rsid w:val="00890E8D"/>
    <w:rsid w:val="0089182C"/>
    <w:rsid w:val="00894886"/>
    <w:rsid w:val="0089516C"/>
    <w:rsid w:val="008957AB"/>
    <w:rsid w:val="0089703A"/>
    <w:rsid w:val="00897689"/>
    <w:rsid w:val="008978AD"/>
    <w:rsid w:val="008A0EF0"/>
    <w:rsid w:val="008A0FA3"/>
    <w:rsid w:val="008A116F"/>
    <w:rsid w:val="008A2140"/>
    <w:rsid w:val="008A23A5"/>
    <w:rsid w:val="008A3F41"/>
    <w:rsid w:val="008A4333"/>
    <w:rsid w:val="008A6A64"/>
    <w:rsid w:val="008B0C14"/>
    <w:rsid w:val="008B1414"/>
    <w:rsid w:val="008B1C7C"/>
    <w:rsid w:val="008B3320"/>
    <w:rsid w:val="008B451F"/>
    <w:rsid w:val="008B559B"/>
    <w:rsid w:val="008B72BB"/>
    <w:rsid w:val="008C0785"/>
    <w:rsid w:val="008C13EE"/>
    <w:rsid w:val="008C2903"/>
    <w:rsid w:val="008C29D5"/>
    <w:rsid w:val="008C51F5"/>
    <w:rsid w:val="008C57E9"/>
    <w:rsid w:val="008D01D3"/>
    <w:rsid w:val="008D1495"/>
    <w:rsid w:val="008D1948"/>
    <w:rsid w:val="008D1F15"/>
    <w:rsid w:val="008D48B2"/>
    <w:rsid w:val="008D4CAA"/>
    <w:rsid w:val="008D52CB"/>
    <w:rsid w:val="008D66FE"/>
    <w:rsid w:val="008E0E19"/>
    <w:rsid w:val="008E245A"/>
    <w:rsid w:val="008E2D85"/>
    <w:rsid w:val="008E2DAD"/>
    <w:rsid w:val="008E2F22"/>
    <w:rsid w:val="008E3534"/>
    <w:rsid w:val="008E4195"/>
    <w:rsid w:val="008E59AB"/>
    <w:rsid w:val="008E65B1"/>
    <w:rsid w:val="008E778D"/>
    <w:rsid w:val="008F1985"/>
    <w:rsid w:val="008F4954"/>
    <w:rsid w:val="008F5CD8"/>
    <w:rsid w:val="00900496"/>
    <w:rsid w:val="009006DD"/>
    <w:rsid w:val="00900BBF"/>
    <w:rsid w:val="009014E6"/>
    <w:rsid w:val="0090213E"/>
    <w:rsid w:val="00902FCC"/>
    <w:rsid w:val="00903718"/>
    <w:rsid w:val="0090402D"/>
    <w:rsid w:val="009052BE"/>
    <w:rsid w:val="009074B7"/>
    <w:rsid w:val="009115AE"/>
    <w:rsid w:val="00912B95"/>
    <w:rsid w:val="00913C70"/>
    <w:rsid w:val="0091530A"/>
    <w:rsid w:val="00915F6F"/>
    <w:rsid w:val="00916A33"/>
    <w:rsid w:val="00916AAE"/>
    <w:rsid w:val="00916F50"/>
    <w:rsid w:val="00917149"/>
    <w:rsid w:val="0091724E"/>
    <w:rsid w:val="00920A09"/>
    <w:rsid w:val="00921511"/>
    <w:rsid w:val="009234EB"/>
    <w:rsid w:val="00923F6F"/>
    <w:rsid w:val="00924871"/>
    <w:rsid w:val="009249FB"/>
    <w:rsid w:val="0092620A"/>
    <w:rsid w:val="009269ED"/>
    <w:rsid w:val="0093013B"/>
    <w:rsid w:val="0093077F"/>
    <w:rsid w:val="00932B9A"/>
    <w:rsid w:val="00932ED7"/>
    <w:rsid w:val="00934B70"/>
    <w:rsid w:val="009357FE"/>
    <w:rsid w:val="009360BF"/>
    <w:rsid w:val="00936F46"/>
    <w:rsid w:val="00940176"/>
    <w:rsid w:val="0094158E"/>
    <w:rsid w:val="00941BA4"/>
    <w:rsid w:val="009422E4"/>
    <w:rsid w:val="009448F0"/>
    <w:rsid w:val="00944B23"/>
    <w:rsid w:val="00947234"/>
    <w:rsid w:val="00950212"/>
    <w:rsid w:val="0095042B"/>
    <w:rsid w:val="00951EAA"/>
    <w:rsid w:val="00952B91"/>
    <w:rsid w:val="00953CBB"/>
    <w:rsid w:val="009558FE"/>
    <w:rsid w:val="00955A30"/>
    <w:rsid w:val="009560B0"/>
    <w:rsid w:val="00956F45"/>
    <w:rsid w:val="00957F06"/>
    <w:rsid w:val="00964337"/>
    <w:rsid w:val="00964701"/>
    <w:rsid w:val="00964890"/>
    <w:rsid w:val="00964F2C"/>
    <w:rsid w:val="009652B0"/>
    <w:rsid w:val="00965958"/>
    <w:rsid w:val="00966EB6"/>
    <w:rsid w:val="0097029E"/>
    <w:rsid w:val="00970EB3"/>
    <w:rsid w:val="00971F3D"/>
    <w:rsid w:val="00973319"/>
    <w:rsid w:val="00975CCC"/>
    <w:rsid w:val="00976EA8"/>
    <w:rsid w:val="0097712C"/>
    <w:rsid w:val="00977996"/>
    <w:rsid w:val="00980422"/>
    <w:rsid w:val="009805D1"/>
    <w:rsid w:val="00981205"/>
    <w:rsid w:val="00983042"/>
    <w:rsid w:val="009834A9"/>
    <w:rsid w:val="00984211"/>
    <w:rsid w:val="00984407"/>
    <w:rsid w:val="00984F4C"/>
    <w:rsid w:val="009902D3"/>
    <w:rsid w:val="009904D6"/>
    <w:rsid w:val="00990B7A"/>
    <w:rsid w:val="009912B5"/>
    <w:rsid w:val="009914DC"/>
    <w:rsid w:val="00993780"/>
    <w:rsid w:val="00994BE7"/>
    <w:rsid w:val="00995B64"/>
    <w:rsid w:val="00997757"/>
    <w:rsid w:val="009A0C27"/>
    <w:rsid w:val="009A116D"/>
    <w:rsid w:val="009A1BE2"/>
    <w:rsid w:val="009A20DB"/>
    <w:rsid w:val="009A282C"/>
    <w:rsid w:val="009A2B81"/>
    <w:rsid w:val="009A2EE6"/>
    <w:rsid w:val="009A46DD"/>
    <w:rsid w:val="009A795C"/>
    <w:rsid w:val="009B037D"/>
    <w:rsid w:val="009B497F"/>
    <w:rsid w:val="009B5344"/>
    <w:rsid w:val="009B5F09"/>
    <w:rsid w:val="009B6236"/>
    <w:rsid w:val="009C0BFF"/>
    <w:rsid w:val="009C1735"/>
    <w:rsid w:val="009C480F"/>
    <w:rsid w:val="009C4FE2"/>
    <w:rsid w:val="009D0234"/>
    <w:rsid w:val="009D0916"/>
    <w:rsid w:val="009D1A88"/>
    <w:rsid w:val="009D3A8A"/>
    <w:rsid w:val="009D4B5C"/>
    <w:rsid w:val="009D54B2"/>
    <w:rsid w:val="009D5FC1"/>
    <w:rsid w:val="009D78ED"/>
    <w:rsid w:val="009E064B"/>
    <w:rsid w:val="009E0D79"/>
    <w:rsid w:val="009E12CB"/>
    <w:rsid w:val="009E151B"/>
    <w:rsid w:val="009E185B"/>
    <w:rsid w:val="009E1C61"/>
    <w:rsid w:val="009E2582"/>
    <w:rsid w:val="009E285E"/>
    <w:rsid w:val="009E3640"/>
    <w:rsid w:val="009E4081"/>
    <w:rsid w:val="009E4F24"/>
    <w:rsid w:val="009E6DAE"/>
    <w:rsid w:val="009F078B"/>
    <w:rsid w:val="009F256E"/>
    <w:rsid w:val="009F442E"/>
    <w:rsid w:val="009F4529"/>
    <w:rsid w:val="009F694E"/>
    <w:rsid w:val="009F74DE"/>
    <w:rsid w:val="009F7E33"/>
    <w:rsid w:val="009F7FD3"/>
    <w:rsid w:val="00A0018D"/>
    <w:rsid w:val="00A023BA"/>
    <w:rsid w:val="00A026B2"/>
    <w:rsid w:val="00A0600D"/>
    <w:rsid w:val="00A06C04"/>
    <w:rsid w:val="00A11341"/>
    <w:rsid w:val="00A125D4"/>
    <w:rsid w:val="00A12B47"/>
    <w:rsid w:val="00A138A0"/>
    <w:rsid w:val="00A16461"/>
    <w:rsid w:val="00A17629"/>
    <w:rsid w:val="00A17A8F"/>
    <w:rsid w:val="00A17CF3"/>
    <w:rsid w:val="00A21839"/>
    <w:rsid w:val="00A24510"/>
    <w:rsid w:val="00A25545"/>
    <w:rsid w:val="00A255AC"/>
    <w:rsid w:val="00A26E62"/>
    <w:rsid w:val="00A30E54"/>
    <w:rsid w:val="00A3182F"/>
    <w:rsid w:val="00A3183D"/>
    <w:rsid w:val="00A31BD3"/>
    <w:rsid w:val="00A34522"/>
    <w:rsid w:val="00A34B2F"/>
    <w:rsid w:val="00A36298"/>
    <w:rsid w:val="00A36455"/>
    <w:rsid w:val="00A373A4"/>
    <w:rsid w:val="00A440AE"/>
    <w:rsid w:val="00A44714"/>
    <w:rsid w:val="00A447A7"/>
    <w:rsid w:val="00A45185"/>
    <w:rsid w:val="00A45562"/>
    <w:rsid w:val="00A45F2F"/>
    <w:rsid w:val="00A466B6"/>
    <w:rsid w:val="00A46EEB"/>
    <w:rsid w:val="00A47BD7"/>
    <w:rsid w:val="00A50CA3"/>
    <w:rsid w:val="00A521C2"/>
    <w:rsid w:val="00A52E15"/>
    <w:rsid w:val="00A53407"/>
    <w:rsid w:val="00A56DCA"/>
    <w:rsid w:val="00A57736"/>
    <w:rsid w:val="00A57CB2"/>
    <w:rsid w:val="00A57EA9"/>
    <w:rsid w:val="00A605F7"/>
    <w:rsid w:val="00A61DF0"/>
    <w:rsid w:val="00A63DBF"/>
    <w:rsid w:val="00A65457"/>
    <w:rsid w:val="00A66106"/>
    <w:rsid w:val="00A66172"/>
    <w:rsid w:val="00A662A1"/>
    <w:rsid w:val="00A67BA3"/>
    <w:rsid w:val="00A70817"/>
    <w:rsid w:val="00A72BCC"/>
    <w:rsid w:val="00A72E4A"/>
    <w:rsid w:val="00A73B1B"/>
    <w:rsid w:val="00A7540E"/>
    <w:rsid w:val="00A75D1D"/>
    <w:rsid w:val="00A7661C"/>
    <w:rsid w:val="00A77A10"/>
    <w:rsid w:val="00A81669"/>
    <w:rsid w:val="00A820D5"/>
    <w:rsid w:val="00A8396D"/>
    <w:rsid w:val="00A83BFE"/>
    <w:rsid w:val="00A87FC3"/>
    <w:rsid w:val="00A90387"/>
    <w:rsid w:val="00A9152E"/>
    <w:rsid w:val="00A93B41"/>
    <w:rsid w:val="00A940F0"/>
    <w:rsid w:val="00A943AB"/>
    <w:rsid w:val="00A9457D"/>
    <w:rsid w:val="00A97AA1"/>
    <w:rsid w:val="00A97CF6"/>
    <w:rsid w:val="00AA4062"/>
    <w:rsid w:val="00AA44EB"/>
    <w:rsid w:val="00AA4C4C"/>
    <w:rsid w:val="00AA74EB"/>
    <w:rsid w:val="00AA786F"/>
    <w:rsid w:val="00AB0AFE"/>
    <w:rsid w:val="00AB10A6"/>
    <w:rsid w:val="00AB11E9"/>
    <w:rsid w:val="00AB1549"/>
    <w:rsid w:val="00AB3259"/>
    <w:rsid w:val="00AB70F7"/>
    <w:rsid w:val="00AB76ED"/>
    <w:rsid w:val="00AB78E1"/>
    <w:rsid w:val="00AB7A86"/>
    <w:rsid w:val="00AC0D27"/>
    <w:rsid w:val="00AC0E0B"/>
    <w:rsid w:val="00AC10AA"/>
    <w:rsid w:val="00AC1F92"/>
    <w:rsid w:val="00AC2294"/>
    <w:rsid w:val="00AC3073"/>
    <w:rsid w:val="00AC34EE"/>
    <w:rsid w:val="00AC3699"/>
    <w:rsid w:val="00AC4542"/>
    <w:rsid w:val="00AC4A96"/>
    <w:rsid w:val="00AC5492"/>
    <w:rsid w:val="00AC66DC"/>
    <w:rsid w:val="00AD201A"/>
    <w:rsid w:val="00AD3856"/>
    <w:rsid w:val="00AD7557"/>
    <w:rsid w:val="00AD7AC4"/>
    <w:rsid w:val="00AD7BB6"/>
    <w:rsid w:val="00AE5B36"/>
    <w:rsid w:val="00AE5B3E"/>
    <w:rsid w:val="00AE5DEA"/>
    <w:rsid w:val="00AE5ED2"/>
    <w:rsid w:val="00AE68AC"/>
    <w:rsid w:val="00AE6A59"/>
    <w:rsid w:val="00AE6EBF"/>
    <w:rsid w:val="00AF155C"/>
    <w:rsid w:val="00AF1885"/>
    <w:rsid w:val="00AF1DD2"/>
    <w:rsid w:val="00AF2A4C"/>
    <w:rsid w:val="00AF3A2E"/>
    <w:rsid w:val="00AF4054"/>
    <w:rsid w:val="00AF4D03"/>
    <w:rsid w:val="00AF572D"/>
    <w:rsid w:val="00AF5E59"/>
    <w:rsid w:val="00AF671C"/>
    <w:rsid w:val="00B01090"/>
    <w:rsid w:val="00B011B9"/>
    <w:rsid w:val="00B02356"/>
    <w:rsid w:val="00B0246B"/>
    <w:rsid w:val="00B02E4F"/>
    <w:rsid w:val="00B03DED"/>
    <w:rsid w:val="00B060FF"/>
    <w:rsid w:val="00B070FD"/>
    <w:rsid w:val="00B075A7"/>
    <w:rsid w:val="00B0778C"/>
    <w:rsid w:val="00B07F8B"/>
    <w:rsid w:val="00B10DB7"/>
    <w:rsid w:val="00B119A4"/>
    <w:rsid w:val="00B1214C"/>
    <w:rsid w:val="00B12DFA"/>
    <w:rsid w:val="00B13740"/>
    <w:rsid w:val="00B14348"/>
    <w:rsid w:val="00B1490C"/>
    <w:rsid w:val="00B16264"/>
    <w:rsid w:val="00B16432"/>
    <w:rsid w:val="00B1712B"/>
    <w:rsid w:val="00B202B7"/>
    <w:rsid w:val="00B20BFD"/>
    <w:rsid w:val="00B22314"/>
    <w:rsid w:val="00B22E3B"/>
    <w:rsid w:val="00B23535"/>
    <w:rsid w:val="00B241BA"/>
    <w:rsid w:val="00B25314"/>
    <w:rsid w:val="00B25C36"/>
    <w:rsid w:val="00B274E9"/>
    <w:rsid w:val="00B27637"/>
    <w:rsid w:val="00B27C74"/>
    <w:rsid w:val="00B3022C"/>
    <w:rsid w:val="00B32030"/>
    <w:rsid w:val="00B33A37"/>
    <w:rsid w:val="00B33FD1"/>
    <w:rsid w:val="00B34237"/>
    <w:rsid w:val="00B36CE5"/>
    <w:rsid w:val="00B414EC"/>
    <w:rsid w:val="00B41E59"/>
    <w:rsid w:val="00B41F6E"/>
    <w:rsid w:val="00B42A03"/>
    <w:rsid w:val="00B4331B"/>
    <w:rsid w:val="00B462B9"/>
    <w:rsid w:val="00B5217C"/>
    <w:rsid w:val="00B52859"/>
    <w:rsid w:val="00B52B17"/>
    <w:rsid w:val="00B53426"/>
    <w:rsid w:val="00B5347A"/>
    <w:rsid w:val="00B534AF"/>
    <w:rsid w:val="00B538D8"/>
    <w:rsid w:val="00B55542"/>
    <w:rsid w:val="00B55EDB"/>
    <w:rsid w:val="00B571B0"/>
    <w:rsid w:val="00B6033B"/>
    <w:rsid w:val="00B6117D"/>
    <w:rsid w:val="00B615F2"/>
    <w:rsid w:val="00B62074"/>
    <w:rsid w:val="00B63EFE"/>
    <w:rsid w:val="00B64E24"/>
    <w:rsid w:val="00B6622B"/>
    <w:rsid w:val="00B7183E"/>
    <w:rsid w:val="00B72075"/>
    <w:rsid w:val="00B72577"/>
    <w:rsid w:val="00B73DA6"/>
    <w:rsid w:val="00B746A8"/>
    <w:rsid w:val="00B80924"/>
    <w:rsid w:val="00B809D5"/>
    <w:rsid w:val="00B82901"/>
    <w:rsid w:val="00B837F0"/>
    <w:rsid w:val="00B8460B"/>
    <w:rsid w:val="00B849E8"/>
    <w:rsid w:val="00B8647E"/>
    <w:rsid w:val="00B870A3"/>
    <w:rsid w:val="00B871FA"/>
    <w:rsid w:val="00B90280"/>
    <w:rsid w:val="00B91928"/>
    <w:rsid w:val="00B91DCF"/>
    <w:rsid w:val="00B92630"/>
    <w:rsid w:val="00B93BED"/>
    <w:rsid w:val="00B943D9"/>
    <w:rsid w:val="00B95830"/>
    <w:rsid w:val="00B963B4"/>
    <w:rsid w:val="00B96806"/>
    <w:rsid w:val="00B969B8"/>
    <w:rsid w:val="00BA1BBA"/>
    <w:rsid w:val="00BA2CD6"/>
    <w:rsid w:val="00BA4965"/>
    <w:rsid w:val="00BA5260"/>
    <w:rsid w:val="00BA578B"/>
    <w:rsid w:val="00BA701D"/>
    <w:rsid w:val="00BA74C4"/>
    <w:rsid w:val="00BB1C14"/>
    <w:rsid w:val="00BB21CA"/>
    <w:rsid w:val="00BB2236"/>
    <w:rsid w:val="00BB3F07"/>
    <w:rsid w:val="00BB432C"/>
    <w:rsid w:val="00BB45E2"/>
    <w:rsid w:val="00BB52E1"/>
    <w:rsid w:val="00BB5A59"/>
    <w:rsid w:val="00BB5F2D"/>
    <w:rsid w:val="00BB6DF2"/>
    <w:rsid w:val="00BB7C31"/>
    <w:rsid w:val="00BC007F"/>
    <w:rsid w:val="00BC12BB"/>
    <w:rsid w:val="00BC1D6C"/>
    <w:rsid w:val="00BC2BD6"/>
    <w:rsid w:val="00BC3A42"/>
    <w:rsid w:val="00BC4198"/>
    <w:rsid w:val="00BD1C43"/>
    <w:rsid w:val="00BD20A0"/>
    <w:rsid w:val="00BD2442"/>
    <w:rsid w:val="00BD2DC4"/>
    <w:rsid w:val="00BD3106"/>
    <w:rsid w:val="00BD3F07"/>
    <w:rsid w:val="00BD4305"/>
    <w:rsid w:val="00BD4CBB"/>
    <w:rsid w:val="00BD5C23"/>
    <w:rsid w:val="00BD7113"/>
    <w:rsid w:val="00BE0DC4"/>
    <w:rsid w:val="00BE206C"/>
    <w:rsid w:val="00BE3C34"/>
    <w:rsid w:val="00BE41E3"/>
    <w:rsid w:val="00BE4FB0"/>
    <w:rsid w:val="00BE56DC"/>
    <w:rsid w:val="00BE5EC5"/>
    <w:rsid w:val="00BE78A0"/>
    <w:rsid w:val="00BF114D"/>
    <w:rsid w:val="00BF2EF7"/>
    <w:rsid w:val="00BF35DB"/>
    <w:rsid w:val="00BF39C0"/>
    <w:rsid w:val="00BF3AF4"/>
    <w:rsid w:val="00BF6981"/>
    <w:rsid w:val="00BF70A6"/>
    <w:rsid w:val="00C00AF0"/>
    <w:rsid w:val="00C02D95"/>
    <w:rsid w:val="00C02EA5"/>
    <w:rsid w:val="00C0438C"/>
    <w:rsid w:val="00C0547C"/>
    <w:rsid w:val="00C055E8"/>
    <w:rsid w:val="00C057A3"/>
    <w:rsid w:val="00C05AE4"/>
    <w:rsid w:val="00C05BE2"/>
    <w:rsid w:val="00C076C2"/>
    <w:rsid w:val="00C11200"/>
    <w:rsid w:val="00C117C7"/>
    <w:rsid w:val="00C1389C"/>
    <w:rsid w:val="00C13C2D"/>
    <w:rsid w:val="00C147F3"/>
    <w:rsid w:val="00C163FC"/>
    <w:rsid w:val="00C1723B"/>
    <w:rsid w:val="00C17BDA"/>
    <w:rsid w:val="00C21139"/>
    <w:rsid w:val="00C221C7"/>
    <w:rsid w:val="00C22D9D"/>
    <w:rsid w:val="00C236EE"/>
    <w:rsid w:val="00C2378E"/>
    <w:rsid w:val="00C2386D"/>
    <w:rsid w:val="00C25702"/>
    <w:rsid w:val="00C26225"/>
    <w:rsid w:val="00C26EAC"/>
    <w:rsid w:val="00C26FBA"/>
    <w:rsid w:val="00C32D01"/>
    <w:rsid w:val="00C32E7A"/>
    <w:rsid w:val="00C33ACB"/>
    <w:rsid w:val="00C341F4"/>
    <w:rsid w:val="00C3503B"/>
    <w:rsid w:val="00C36025"/>
    <w:rsid w:val="00C37FF2"/>
    <w:rsid w:val="00C42646"/>
    <w:rsid w:val="00C4547C"/>
    <w:rsid w:val="00C45532"/>
    <w:rsid w:val="00C45A57"/>
    <w:rsid w:val="00C47A14"/>
    <w:rsid w:val="00C47B4F"/>
    <w:rsid w:val="00C47F83"/>
    <w:rsid w:val="00C50AA7"/>
    <w:rsid w:val="00C512C9"/>
    <w:rsid w:val="00C51D02"/>
    <w:rsid w:val="00C51DA6"/>
    <w:rsid w:val="00C53BFA"/>
    <w:rsid w:val="00C5511B"/>
    <w:rsid w:val="00C55280"/>
    <w:rsid w:val="00C5564B"/>
    <w:rsid w:val="00C55F94"/>
    <w:rsid w:val="00C56094"/>
    <w:rsid w:val="00C5629B"/>
    <w:rsid w:val="00C565AB"/>
    <w:rsid w:val="00C56B84"/>
    <w:rsid w:val="00C61515"/>
    <w:rsid w:val="00C62847"/>
    <w:rsid w:val="00C62AC2"/>
    <w:rsid w:val="00C63068"/>
    <w:rsid w:val="00C635AF"/>
    <w:rsid w:val="00C63827"/>
    <w:rsid w:val="00C644A7"/>
    <w:rsid w:val="00C64E4F"/>
    <w:rsid w:val="00C661C7"/>
    <w:rsid w:val="00C664AD"/>
    <w:rsid w:val="00C666B4"/>
    <w:rsid w:val="00C6712A"/>
    <w:rsid w:val="00C67E83"/>
    <w:rsid w:val="00C709D8"/>
    <w:rsid w:val="00C70F1E"/>
    <w:rsid w:val="00C71A36"/>
    <w:rsid w:val="00C72BF8"/>
    <w:rsid w:val="00C74666"/>
    <w:rsid w:val="00C74EDA"/>
    <w:rsid w:val="00C7763A"/>
    <w:rsid w:val="00C77D13"/>
    <w:rsid w:val="00C80E2D"/>
    <w:rsid w:val="00C83133"/>
    <w:rsid w:val="00C851DE"/>
    <w:rsid w:val="00C85536"/>
    <w:rsid w:val="00C86D3B"/>
    <w:rsid w:val="00C878D1"/>
    <w:rsid w:val="00C936AA"/>
    <w:rsid w:val="00C93B0D"/>
    <w:rsid w:val="00C95FF2"/>
    <w:rsid w:val="00C9675F"/>
    <w:rsid w:val="00C972E6"/>
    <w:rsid w:val="00C97CA2"/>
    <w:rsid w:val="00CA1152"/>
    <w:rsid w:val="00CA28A4"/>
    <w:rsid w:val="00CA4158"/>
    <w:rsid w:val="00CA4561"/>
    <w:rsid w:val="00CA68F3"/>
    <w:rsid w:val="00CA794D"/>
    <w:rsid w:val="00CB0281"/>
    <w:rsid w:val="00CB1A52"/>
    <w:rsid w:val="00CB1AEF"/>
    <w:rsid w:val="00CB3976"/>
    <w:rsid w:val="00CB5136"/>
    <w:rsid w:val="00CC163C"/>
    <w:rsid w:val="00CC2196"/>
    <w:rsid w:val="00CC3179"/>
    <w:rsid w:val="00CD0ACA"/>
    <w:rsid w:val="00CD0D40"/>
    <w:rsid w:val="00CD0D51"/>
    <w:rsid w:val="00CD1E18"/>
    <w:rsid w:val="00CD286E"/>
    <w:rsid w:val="00CD45D3"/>
    <w:rsid w:val="00CD518E"/>
    <w:rsid w:val="00CD53F3"/>
    <w:rsid w:val="00CD62B7"/>
    <w:rsid w:val="00CE10EA"/>
    <w:rsid w:val="00CE4973"/>
    <w:rsid w:val="00CE5768"/>
    <w:rsid w:val="00CE57C7"/>
    <w:rsid w:val="00CE6A69"/>
    <w:rsid w:val="00CE7A38"/>
    <w:rsid w:val="00CF01AB"/>
    <w:rsid w:val="00CF14CC"/>
    <w:rsid w:val="00CF155F"/>
    <w:rsid w:val="00CF1F09"/>
    <w:rsid w:val="00CF24BC"/>
    <w:rsid w:val="00CF67E2"/>
    <w:rsid w:val="00D0012E"/>
    <w:rsid w:val="00D046CF"/>
    <w:rsid w:val="00D04C5D"/>
    <w:rsid w:val="00D05D7C"/>
    <w:rsid w:val="00D065B1"/>
    <w:rsid w:val="00D10F32"/>
    <w:rsid w:val="00D11FAE"/>
    <w:rsid w:val="00D12BF8"/>
    <w:rsid w:val="00D12CCA"/>
    <w:rsid w:val="00D12CCD"/>
    <w:rsid w:val="00D16364"/>
    <w:rsid w:val="00D1710C"/>
    <w:rsid w:val="00D21C49"/>
    <w:rsid w:val="00D26509"/>
    <w:rsid w:val="00D31E6B"/>
    <w:rsid w:val="00D31FA3"/>
    <w:rsid w:val="00D349EA"/>
    <w:rsid w:val="00D34A27"/>
    <w:rsid w:val="00D35377"/>
    <w:rsid w:val="00D364C2"/>
    <w:rsid w:val="00D36D77"/>
    <w:rsid w:val="00D37B44"/>
    <w:rsid w:val="00D40051"/>
    <w:rsid w:val="00D40727"/>
    <w:rsid w:val="00D40AB7"/>
    <w:rsid w:val="00D41011"/>
    <w:rsid w:val="00D4318D"/>
    <w:rsid w:val="00D43ED1"/>
    <w:rsid w:val="00D4481A"/>
    <w:rsid w:val="00D4500B"/>
    <w:rsid w:val="00D47C20"/>
    <w:rsid w:val="00D50452"/>
    <w:rsid w:val="00D52781"/>
    <w:rsid w:val="00D53484"/>
    <w:rsid w:val="00D53829"/>
    <w:rsid w:val="00D53FF1"/>
    <w:rsid w:val="00D560DF"/>
    <w:rsid w:val="00D56993"/>
    <w:rsid w:val="00D60ABA"/>
    <w:rsid w:val="00D6341E"/>
    <w:rsid w:val="00D63689"/>
    <w:rsid w:val="00D6418E"/>
    <w:rsid w:val="00D65FB3"/>
    <w:rsid w:val="00D6640A"/>
    <w:rsid w:val="00D668AE"/>
    <w:rsid w:val="00D66B72"/>
    <w:rsid w:val="00D7018A"/>
    <w:rsid w:val="00D70BB9"/>
    <w:rsid w:val="00D72A5D"/>
    <w:rsid w:val="00D72C7F"/>
    <w:rsid w:val="00D73126"/>
    <w:rsid w:val="00D74028"/>
    <w:rsid w:val="00D7512C"/>
    <w:rsid w:val="00D768DF"/>
    <w:rsid w:val="00D76EF2"/>
    <w:rsid w:val="00D77AEF"/>
    <w:rsid w:val="00D804DD"/>
    <w:rsid w:val="00D8074B"/>
    <w:rsid w:val="00D81D35"/>
    <w:rsid w:val="00D8203F"/>
    <w:rsid w:val="00D834BE"/>
    <w:rsid w:val="00D847D0"/>
    <w:rsid w:val="00D850AC"/>
    <w:rsid w:val="00D85C99"/>
    <w:rsid w:val="00D90596"/>
    <w:rsid w:val="00D90836"/>
    <w:rsid w:val="00D91437"/>
    <w:rsid w:val="00D91C81"/>
    <w:rsid w:val="00D956CD"/>
    <w:rsid w:val="00D95C2E"/>
    <w:rsid w:val="00DA20C4"/>
    <w:rsid w:val="00DA2D1D"/>
    <w:rsid w:val="00DA3D6D"/>
    <w:rsid w:val="00DA3DB8"/>
    <w:rsid w:val="00DA422D"/>
    <w:rsid w:val="00DA5F11"/>
    <w:rsid w:val="00DA63B9"/>
    <w:rsid w:val="00DA7842"/>
    <w:rsid w:val="00DB25A8"/>
    <w:rsid w:val="00DB459B"/>
    <w:rsid w:val="00DB45B6"/>
    <w:rsid w:val="00DB4FAF"/>
    <w:rsid w:val="00DB5874"/>
    <w:rsid w:val="00DB65B9"/>
    <w:rsid w:val="00DB6BF2"/>
    <w:rsid w:val="00DC081A"/>
    <w:rsid w:val="00DC0D0C"/>
    <w:rsid w:val="00DC3193"/>
    <w:rsid w:val="00DC347D"/>
    <w:rsid w:val="00DC4628"/>
    <w:rsid w:val="00DC4E57"/>
    <w:rsid w:val="00DC4FAC"/>
    <w:rsid w:val="00DC5470"/>
    <w:rsid w:val="00DD22FB"/>
    <w:rsid w:val="00DD26C6"/>
    <w:rsid w:val="00DD3185"/>
    <w:rsid w:val="00DD4D77"/>
    <w:rsid w:val="00DD7556"/>
    <w:rsid w:val="00DE2D38"/>
    <w:rsid w:val="00DE37F2"/>
    <w:rsid w:val="00DE4672"/>
    <w:rsid w:val="00DE52F5"/>
    <w:rsid w:val="00DE659A"/>
    <w:rsid w:val="00DE6FED"/>
    <w:rsid w:val="00DE7370"/>
    <w:rsid w:val="00DE7F09"/>
    <w:rsid w:val="00DF163E"/>
    <w:rsid w:val="00DF1E1F"/>
    <w:rsid w:val="00DF6057"/>
    <w:rsid w:val="00E015AE"/>
    <w:rsid w:val="00E02516"/>
    <w:rsid w:val="00E06E4B"/>
    <w:rsid w:val="00E10872"/>
    <w:rsid w:val="00E11F84"/>
    <w:rsid w:val="00E1201D"/>
    <w:rsid w:val="00E125B4"/>
    <w:rsid w:val="00E1328D"/>
    <w:rsid w:val="00E14F3E"/>
    <w:rsid w:val="00E152C1"/>
    <w:rsid w:val="00E225BA"/>
    <w:rsid w:val="00E24959"/>
    <w:rsid w:val="00E24F12"/>
    <w:rsid w:val="00E3093E"/>
    <w:rsid w:val="00E3111C"/>
    <w:rsid w:val="00E31D1C"/>
    <w:rsid w:val="00E32129"/>
    <w:rsid w:val="00E32BC9"/>
    <w:rsid w:val="00E33EE4"/>
    <w:rsid w:val="00E35ED5"/>
    <w:rsid w:val="00E35FEB"/>
    <w:rsid w:val="00E36C3B"/>
    <w:rsid w:val="00E36D78"/>
    <w:rsid w:val="00E36DD8"/>
    <w:rsid w:val="00E40844"/>
    <w:rsid w:val="00E40AC2"/>
    <w:rsid w:val="00E41216"/>
    <w:rsid w:val="00E42443"/>
    <w:rsid w:val="00E44C1B"/>
    <w:rsid w:val="00E450D1"/>
    <w:rsid w:val="00E45880"/>
    <w:rsid w:val="00E4616E"/>
    <w:rsid w:val="00E468F1"/>
    <w:rsid w:val="00E46E8E"/>
    <w:rsid w:val="00E47C28"/>
    <w:rsid w:val="00E5164A"/>
    <w:rsid w:val="00E52BDA"/>
    <w:rsid w:val="00E531F6"/>
    <w:rsid w:val="00E538BB"/>
    <w:rsid w:val="00E53B0E"/>
    <w:rsid w:val="00E55B2F"/>
    <w:rsid w:val="00E55CA5"/>
    <w:rsid w:val="00E5676B"/>
    <w:rsid w:val="00E57DC4"/>
    <w:rsid w:val="00E61975"/>
    <w:rsid w:val="00E63914"/>
    <w:rsid w:val="00E63EA1"/>
    <w:rsid w:val="00E669E7"/>
    <w:rsid w:val="00E705AE"/>
    <w:rsid w:val="00E71542"/>
    <w:rsid w:val="00E71801"/>
    <w:rsid w:val="00E719CA"/>
    <w:rsid w:val="00E721AB"/>
    <w:rsid w:val="00E723A0"/>
    <w:rsid w:val="00E729EF"/>
    <w:rsid w:val="00E72A7F"/>
    <w:rsid w:val="00E741A5"/>
    <w:rsid w:val="00E7528E"/>
    <w:rsid w:val="00E77FBA"/>
    <w:rsid w:val="00E80A16"/>
    <w:rsid w:val="00E83A6F"/>
    <w:rsid w:val="00E83BAD"/>
    <w:rsid w:val="00E84A83"/>
    <w:rsid w:val="00E85707"/>
    <w:rsid w:val="00E87383"/>
    <w:rsid w:val="00E90076"/>
    <w:rsid w:val="00E90EAC"/>
    <w:rsid w:val="00E90FB6"/>
    <w:rsid w:val="00E95F2A"/>
    <w:rsid w:val="00EA059C"/>
    <w:rsid w:val="00EA09EC"/>
    <w:rsid w:val="00EA1A32"/>
    <w:rsid w:val="00EA1D06"/>
    <w:rsid w:val="00EA37C6"/>
    <w:rsid w:val="00EA37D9"/>
    <w:rsid w:val="00EA4577"/>
    <w:rsid w:val="00EA566B"/>
    <w:rsid w:val="00EA59DE"/>
    <w:rsid w:val="00EA72DE"/>
    <w:rsid w:val="00EB2468"/>
    <w:rsid w:val="00EB3405"/>
    <w:rsid w:val="00EB43E7"/>
    <w:rsid w:val="00EC07CA"/>
    <w:rsid w:val="00EC14BF"/>
    <w:rsid w:val="00EC607C"/>
    <w:rsid w:val="00EC6DC2"/>
    <w:rsid w:val="00EC7FAB"/>
    <w:rsid w:val="00ED0CDF"/>
    <w:rsid w:val="00ED207A"/>
    <w:rsid w:val="00ED3F44"/>
    <w:rsid w:val="00EE078E"/>
    <w:rsid w:val="00EE1FE8"/>
    <w:rsid w:val="00EE205A"/>
    <w:rsid w:val="00EE2A40"/>
    <w:rsid w:val="00EE30B9"/>
    <w:rsid w:val="00EE62DD"/>
    <w:rsid w:val="00EE665F"/>
    <w:rsid w:val="00EE69A0"/>
    <w:rsid w:val="00EF20D5"/>
    <w:rsid w:val="00EF21A0"/>
    <w:rsid w:val="00EF2609"/>
    <w:rsid w:val="00EF26A3"/>
    <w:rsid w:val="00EF2745"/>
    <w:rsid w:val="00EF3782"/>
    <w:rsid w:val="00EF430A"/>
    <w:rsid w:val="00EF5217"/>
    <w:rsid w:val="00EF6C72"/>
    <w:rsid w:val="00EF79AE"/>
    <w:rsid w:val="00EF7D94"/>
    <w:rsid w:val="00F004F7"/>
    <w:rsid w:val="00F00938"/>
    <w:rsid w:val="00F01E9C"/>
    <w:rsid w:val="00F02B46"/>
    <w:rsid w:val="00F039CD"/>
    <w:rsid w:val="00F041CC"/>
    <w:rsid w:val="00F05164"/>
    <w:rsid w:val="00F0549F"/>
    <w:rsid w:val="00F0582E"/>
    <w:rsid w:val="00F06D50"/>
    <w:rsid w:val="00F077B8"/>
    <w:rsid w:val="00F07863"/>
    <w:rsid w:val="00F100E5"/>
    <w:rsid w:val="00F10B93"/>
    <w:rsid w:val="00F1181A"/>
    <w:rsid w:val="00F12C8D"/>
    <w:rsid w:val="00F1360E"/>
    <w:rsid w:val="00F14B73"/>
    <w:rsid w:val="00F165D1"/>
    <w:rsid w:val="00F16687"/>
    <w:rsid w:val="00F17C70"/>
    <w:rsid w:val="00F209E8"/>
    <w:rsid w:val="00F225BD"/>
    <w:rsid w:val="00F2327D"/>
    <w:rsid w:val="00F25CE8"/>
    <w:rsid w:val="00F25E8F"/>
    <w:rsid w:val="00F260CE"/>
    <w:rsid w:val="00F27B56"/>
    <w:rsid w:val="00F3160F"/>
    <w:rsid w:val="00F316ED"/>
    <w:rsid w:val="00F32109"/>
    <w:rsid w:val="00F3223F"/>
    <w:rsid w:val="00F34C9F"/>
    <w:rsid w:val="00F34DCA"/>
    <w:rsid w:val="00F35097"/>
    <w:rsid w:val="00F3687A"/>
    <w:rsid w:val="00F36B0A"/>
    <w:rsid w:val="00F37D21"/>
    <w:rsid w:val="00F41EA1"/>
    <w:rsid w:val="00F422CF"/>
    <w:rsid w:val="00F4696D"/>
    <w:rsid w:val="00F47AAE"/>
    <w:rsid w:val="00F5310E"/>
    <w:rsid w:val="00F53FC6"/>
    <w:rsid w:val="00F55B96"/>
    <w:rsid w:val="00F5769D"/>
    <w:rsid w:val="00F5776A"/>
    <w:rsid w:val="00F57FE8"/>
    <w:rsid w:val="00F600E7"/>
    <w:rsid w:val="00F60BBF"/>
    <w:rsid w:val="00F61EA2"/>
    <w:rsid w:val="00F6236C"/>
    <w:rsid w:val="00F632FE"/>
    <w:rsid w:val="00F64183"/>
    <w:rsid w:val="00F64E48"/>
    <w:rsid w:val="00F6628D"/>
    <w:rsid w:val="00F66CCC"/>
    <w:rsid w:val="00F66D35"/>
    <w:rsid w:val="00F71A82"/>
    <w:rsid w:val="00F71AD4"/>
    <w:rsid w:val="00F728C3"/>
    <w:rsid w:val="00F73DC7"/>
    <w:rsid w:val="00F74013"/>
    <w:rsid w:val="00F7555B"/>
    <w:rsid w:val="00F82915"/>
    <w:rsid w:val="00F82D10"/>
    <w:rsid w:val="00F83856"/>
    <w:rsid w:val="00F848EB"/>
    <w:rsid w:val="00F84FD5"/>
    <w:rsid w:val="00F85BA8"/>
    <w:rsid w:val="00F8619F"/>
    <w:rsid w:val="00F87089"/>
    <w:rsid w:val="00F90434"/>
    <w:rsid w:val="00F905EE"/>
    <w:rsid w:val="00F94688"/>
    <w:rsid w:val="00F972E6"/>
    <w:rsid w:val="00F97B85"/>
    <w:rsid w:val="00FA044C"/>
    <w:rsid w:val="00FA04C8"/>
    <w:rsid w:val="00FA09F6"/>
    <w:rsid w:val="00FA0C9A"/>
    <w:rsid w:val="00FA1213"/>
    <w:rsid w:val="00FA1EFB"/>
    <w:rsid w:val="00FA2F45"/>
    <w:rsid w:val="00FA344F"/>
    <w:rsid w:val="00FA3C49"/>
    <w:rsid w:val="00FA4456"/>
    <w:rsid w:val="00FA543E"/>
    <w:rsid w:val="00FA578B"/>
    <w:rsid w:val="00FA669C"/>
    <w:rsid w:val="00FA6E42"/>
    <w:rsid w:val="00FA74B1"/>
    <w:rsid w:val="00FB13A9"/>
    <w:rsid w:val="00FB16B6"/>
    <w:rsid w:val="00FB1CDE"/>
    <w:rsid w:val="00FB3E0E"/>
    <w:rsid w:val="00FB44F7"/>
    <w:rsid w:val="00FB4782"/>
    <w:rsid w:val="00FB490B"/>
    <w:rsid w:val="00FB4EBF"/>
    <w:rsid w:val="00FC0BA4"/>
    <w:rsid w:val="00FC0EC1"/>
    <w:rsid w:val="00FC1841"/>
    <w:rsid w:val="00FC360F"/>
    <w:rsid w:val="00FC4034"/>
    <w:rsid w:val="00FC4D88"/>
    <w:rsid w:val="00FC6369"/>
    <w:rsid w:val="00FD00D2"/>
    <w:rsid w:val="00FD13C1"/>
    <w:rsid w:val="00FD14EA"/>
    <w:rsid w:val="00FD1E38"/>
    <w:rsid w:val="00FD1EB9"/>
    <w:rsid w:val="00FD2141"/>
    <w:rsid w:val="00FD43EF"/>
    <w:rsid w:val="00FD479C"/>
    <w:rsid w:val="00FD4A9D"/>
    <w:rsid w:val="00FD5B9B"/>
    <w:rsid w:val="00FD5C5A"/>
    <w:rsid w:val="00FD625D"/>
    <w:rsid w:val="00FD6BFD"/>
    <w:rsid w:val="00FD6FC1"/>
    <w:rsid w:val="00FD7280"/>
    <w:rsid w:val="00FD779E"/>
    <w:rsid w:val="00FE0F03"/>
    <w:rsid w:val="00FE1DA1"/>
    <w:rsid w:val="00FE24AF"/>
    <w:rsid w:val="00FE504D"/>
    <w:rsid w:val="00FE6220"/>
    <w:rsid w:val="00FE6772"/>
    <w:rsid w:val="00FE6A7F"/>
    <w:rsid w:val="00FE6C50"/>
    <w:rsid w:val="00FE750E"/>
    <w:rsid w:val="00FE7A0E"/>
    <w:rsid w:val="00FF05CC"/>
    <w:rsid w:val="00FF10DE"/>
    <w:rsid w:val="00FF14C1"/>
    <w:rsid w:val="00FF237E"/>
    <w:rsid w:val="00FF3704"/>
    <w:rsid w:val="00FF44E6"/>
    <w:rsid w:val="00FF5E0A"/>
    <w:rsid w:val="00FF784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D73A8"/>
  <w15:docId w15:val="{A746DA71-A933-495F-83BB-E05F5F22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1D2"/>
    <w:pPr>
      <w:widowControl w:val="0"/>
    </w:pPr>
  </w:style>
  <w:style w:type="paragraph" w:styleId="1">
    <w:name w:val="heading 1"/>
    <w:basedOn w:val="a"/>
    <w:next w:val="a"/>
    <w:link w:val="10"/>
    <w:uiPriority w:val="9"/>
    <w:qFormat/>
    <w:rsid w:val="00CE10EA"/>
    <w:pPr>
      <w:keepNext/>
      <w:snapToGrid w:val="0"/>
      <w:spacing w:afterLines="15" w:line="276" w:lineRule="auto"/>
      <w:jc w:val="both"/>
      <w:outlineLvl w:val="0"/>
    </w:pPr>
    <w:rPr>
      <w:rFonts w:ascii="Times New Roman" w:eastAsia="標楷體" w:hAnsi="Times New Roman" w:cstheme="majorBidi"/>
      <w:b/>
      <w:bCs/>
      <w:kern w:val="52"/>
      <w:sz w:val="32"/>
      <w:szCs w:val="32"/>
    </w:rPr>
  </w:style>
  <w:style w:type="paragraph" w:styleId="2">
    <w:name w:val="heading 2"/>
    <w:basedOn w:val="a"/>
    <w:next w:val="a"/>
    <w:link w:val="20"/>
    <w:uiPriority w:val="9"/>
    <w:unhideWhenUsed/>
    <w:qFormat/>
    <w:rsid w:val="008957AB"/>
    <w:pPr>
      <w:keepNext/>
      <w:snapToGrid w:val="0"/>
      <w:spacing w:afterLines="15" w:line="276" w:lineRule="auto"/>
      <w:outlineLvl w:val="1"/>
    </w:pPr>
    <w:rPr>
      <w:rFonts w:ascii="Times New Roman" w:eastAsia="標楷體" w:hAnsiTheme="majorHAnsi" w:cs="Times New Roman"/>
      <w:b/>
      <w:bCs/>
      <w:sz w:val="32"/>
      <w:szCs w:val="32"/>
    </w:rPr>
  </w:style>
  <w:style w:type="paragraph" w:styleId="3">
    <w:name w:val="heading 3"/>
    <w:basedOn w:val="a"/>
    <w:link w:val="30"/>
    <w:uiPriority w:val="9"/>
    <w:qFormat/>
    <w:rsid w:val="00C9675F"/>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unhideWhenUsed/>
    <w:qFormat/>
    <w:rsid w:val="00C26FBA"/>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3BFE"/>
    <w:pPr>
      <w:tabs>
        <w:tab w:val="center" w:pos="4153"/>
        <w:tab w:val="right" w:pos="8306"/>
      </w:tabs>
      <w:snapToGrid w:val="0"/>
    </w:pPr>
    <w:rPr>
      <w:sz w:val="20"/>
      <w:szCs w:val="20"/>
    </w:rPr>
  </w:style>
  <w:style w:type="character" w:customStyle="1" w:styleId="a5">
    <w:name w:val="頁首 字元"/>
    <w:basedOn w:val="a0"/>
    <w:link w:val="a4"/>
    <w:uiPriority w:val="99"/>
    <w:rsid w:val="00A83BFE"/>
    <w:rPr>
      <w:sz w:val="20"/>
      <w:szCs w:val="20"/>
    </w:rPr>
  </w:style>
  <w:style w:type="paragraph" w:styleId="a6">
    <w:name w:val="footer"/>
    <w:basedOn w:val="a"/>
    <w:link w:val="a7"/>
    <w:unhideWhenUsed/>
    <w:rsid w:val="00A83BFE"/>
    <w:pPr>
      <w:tabs>
        <w:tab w:val="center" w:pos="4153"/>
        <w:tab w:val="right" w:pos="8306"/>
      </w:tabs>
      <w:snapToGrid w:val="0"/>
    </w:pPr>
    <w:rPr>
      <w:sz w:val="20"/>
      <w:szCs w:val="20"/>
    </w:rPr>
  </w:style>
  <w:style w:type="character" w:customStyle="1" w:styleId="a7">
    <w:name w:val="頁尾 字元"/>
    <w:basedOn w:val="a0"/>
    <w:link w:val="a6"/>
    <w:rsid w:val="00A83BFE"/>
    <w:rPr>
      <w:sz w:val="20"/>
      <w:szCs w:val="20"/>
    </w:rPr>
  </w:style>
  <w:style w:type="paragraph" w:styleId="a8">
    <w:name w:val="Balloon Text"/>
    <w:basedOn w:val="a"/>
    <w:link w:val="a9"/>
    <w:uiPriority w:val="99"/>
    <w:semiHidden/>
    <w:unhideWhenUsed/>
    <w:rsid w:val="00D9059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90596"/>
    <w:rPr>
      <w:rFonts w:asciiTheme="majorHAnsi" w:eastAsiaTheme="majorEastAsia" w:hAnsiTheme="majorHAnsi" w:cstheme="majorBidi"/>
      <w:sz w:val="18"/>
      <w:szCs w:val="18"/>
    </w:rPr>
  </w:style>
  <w:style w:type="paragraph" w:styleId="aa">
    <w:name w:val="List Paragraph"/>
    <w:basedOn w:val="a"/>
    <w:uiPriority w:val="34"/>
    <w:qFormat/>
    <w:rsid w:val="00AC34EE"/>
    <w:pPr>
      <w:ind w:leftChars="200" w:left="480"/>
    </w:pPr>
  </w:style>
  <w:style w:type="character" w:customStyle="1" w:styleId="20">
    <w:name w:val="標題 2 字元"/>
    <w:basedOn w:val="a0"/>
    <w:link w:val="2"/>
    <w:uiPriority w:val="9"/>
    <w:rsid w:val="008957AB"/>
    <w:rPr>
      <w:rFonts w:ascii="Times New Roman" w:eastAsia="標楷體" w:hAnsiTheme="majorHAnsi" w:cs="Times New Roman"/>
      <w:b/>
      <w:bCs/>
      <w:sz w:val="32"/>
      <w:szCs w:val="32"/>
    </w:rPr>
  </w:style>
  <w:style w:type="character" w:styleId="ab">
    <w:name w:val="annotation reference"/>
    <w:basedOn w:val="a0"/>
    <w:uiPriority w:val="99"/>
    <w:semiHidden/>
    <w:unhideWhenUsed/>
    <w:rsid w:val="00E225BA"/>
    <w:rPr>
      <w:sz w:val="18"/>
      <w:szCs w:val="18"/>
    </w:rPr>
  </w:style>
  <w:style w:type="paragraph" w:styleId="ac">
    <w:name w:val="annotation text"/>
    <w:basedOn w:val="a"/>
    <w:link w:val="ad"/>
    <w:uiPriority w:val="99"/>
    <w:semiHidden/>
    <w:unhideWhenUsed/>
    <w:rsid w:val="00E225BA"/>
  </w:style>
  <w:style w:type="character" w:customStyle="1" w:styleId="ad">
    <w:name w:val="註解文字 字元"/>
    <w:basedOn w:val="a0"/>
    <w:link w:val="ac"/>
    <w:uiPriority w:val="99"/>
    <w:semiHidden/>
    <w:rsid w:val="00E225BA"/>
  </w:style>
  <w:style w:type="paragraph" w:styleId="ae">
    <w:name w:val="annotation subject"/>
    <w:basedOn w:val="ac"/>
    <w:next w:val="ac"/>
    <w:link w:val="af"/>
    <w:uiPriority w:val="99"/>
    <w:semiHidden/>
    <w:unhideWhenUsed/>
    <w:rsid w:val="00E225BA"/>
    <w:rPr>
      <w:b/>
      <w:bCs/>
    </w:rPr>
  </w:style>
  <w:style w:type="character" w:customStyle="1" w:styleId="af">
    <w:name w:val="註解主旨 字元"/>
    <w:basedOn w:val="ad"/>
    <w:link w:val="ae"/>
    <w:uiPriority w:val="99"/>
    <w:semiHidden/>
    <w:rsid w:val="00E225BA"/>
    <w:rPr>
      <w:b/>
      <w:bCs/>
    </w:rPr>
  </w:style>
  <w:style w:type="character" w:customStyle="1" w:styleId="10">
    <w:name w:val="標題 1 字元"/>
    <w:basedOn w:val="a0"/>
    <w:link w:val="1"/>
    <w:uiPriority w:val="9"/>
    <w:rsid w:val="00CE10EA"/>
    <w:rPr>
      <w:rFonts w:ascii="Times New Roman" w:eastAsia="標楷體" w:hAnsi="Times New Roman" w:cstheme="majorBidi"/>
      <w:b/>
      <w:bCs/>
      <w:kern w:val="52"/>
      <w:sz w:val="32"/>
      <w:szCs w:val="32"/>
    </w:rPr>
  </w:style>
  <w:style w:type="paragraph" w:styleId="af0">
    <w:name w:val="TOC Heading"/>
    <w:basedOn w:val="1"/>
    <w:next w:val="a"/>
    <w:uiPriority w:val="39"/>
    <w:semiHidden/>
    <w:unhideWhenUsed/>
    <w:qFormat/>
    <w:rsid w:val="00FD1E38"/>
    <w:pPr>
      <w:keepLines/>
      <w:widowControl/>
      <w:snapToGrid/>
      <w:spacing w:before="480" w:afterLines="0"/>
      <w:jc w:val="left"/>
      <w:outlineLvl w:val="9"/>
    </w:pPr>
    <w:rPr>
      <w:rFonts w:asciiTheme="majorHAnsi" w:eastAsiaTheme="majorEastAsia" w:hAnsiTheme="majorHAnsi"/>
      <w:color w:val="365F91" w:themeColor="accent1" w:themeShade="BF"/>
      <w:kern w:val="0"/>
      <w:szCs w:val="28"/>
    </w:rPr>
  </w:style>
  <w:style w:type="paragraph" w:styleId="21">
    <w:name w:val="toc 2"/>
    <w:basedOn w:val="a"/>
    <w:next w:val="a"/>
    <w:autoRedefine/>
    <w:uiPriority w:val="39"/>
    <w:unhideWhenUsed/>
    <w:qFormat/>
    <w:rsid w:val="00FD1E38"/>
    <w:pPr>
      <w:widowControl/>
      <w:spacing w:after="100" w:line="276" w:lineRule="auto"/>
      <w:ind w:left="220"/>
    </w:pPr>
    <w:rPr>
      <w:kern w:val="0"/>
      <w:sz w:val="22"/>
    </w:rPr>
  </w:style>
  <w:style w:type="paragraph" w:styleId="11">
    <w:name w:val="toc 1"/>
    <w:basedOn w:val="a"/>
    <w:next w:val="a"/>
    <w:autoRedefine/>
    <w:uiPriority w:val="39"/>
    <w:unhideWhenUsed/>
    <w:qFormat/>
    <w:rsid w:val="00FD1E38"/>
    <w:pPr>
      <w:widowControl/>
      <w:spacing w:after="100" w:line="276" w:lineRule="auto"/>
    </w:pPr>
    <w:rPr>
      <w:kern w:val="0"/>
      <w:sz w:val="22"/>
    </w:rPr>
  </w:style>
  <w:style w:type="paragraph" w:styleId="31">
    <w:name w:val="toc 3"/>
    <w:basedOn w:val="a"/>
    <w:next w:val="a"/>
    <w:autoRedefine/>
    <w:uiPriority w:val="39"/>
    <w:semiHidden/>
    <w:unhideWhenUsed/>
    <w:qFormat/>
    <w:rsid w:val="00FD1E38"/>
    <w:pPr>
      <w:widowControl/>
      <w:spacing w:after="100" w:line="276" w:lineRule="auto"/>
      <w:ind w:left="440"/>
    </w:pPr>
    <w:rPr>
      <w:kern w:val="0"/>
      <w:sz w:val="22"/>
    </w:rPr>
  </w:style>
  <w:style w:type="character" w:styleId="af1">
    <w:name w:val="Hyperlink"/>
    <w:basedOn w:val="a0"/>
    <w:uiPriority w:val="99"/>
    <w:unhideWhenUsed/>
    <w:rsid w:val="00FD1E38"/>
    <w:rPr>
      <w:color w:val="0000FF" w:themeColor="hyperlink"/>
      <w:u w:val="single"/>
    </w:rPr>
  </w:style>
  <w:style w:type="paragraph" w:styleId="HTML">
    <w:name w:val="HTML Preformatted"/>
    <w:basedOn w:val="a"/>
    <w:link w:val="HTML0"/>
    <w:uiPriority w:val="99"/>
    <w:rsid w:val="00FC4D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333333"/>
      <w:kern w:val="0"/>
      <w:sz w:val="20"/>
      <w:szCs w:val="20"/>
    </w:rPr>
  </w:style>
  <w:style w:type="character" w:customStyle="1" w:styleId="HTML0">
    <w:name w:val="HTML 預設格式 字元"/>
    <w:basedOn w:val="a0"/>
    <w:link w:val="HTML"/>
    <w:uiPriority w:val="99"/>
    <w:rsid w:val="00FC4D88"/>
    <w:rPr>
      <w:rFonts w:ascii="Arial Unicode MS" w:eastAsia="Arial Unicode MS" w:hAnsi="Arial Unicode MS" w:cs="Arial Unicode MS"/>
      <w:color w:val="333333"/>
      <w:kern w:val="0"/>
      <w:sz w:val="20"/>
      <w:szCs w:val="20"/>
    </w:rPr>
  </w:style>
  <w:style w:type="character" w:customStyle="1" w:styleId="30">
    <w:name w:val="標題 3 字元"/>
    <w:basedOn w:val="a0"/>
    <w:link w:val="3"/>
    <w:uiPriority w:val="9"/>
    <w:rsid w:val="00C9675F"/>
    <w:rPr>
      <w:rFonts w:ascii="新細明體" w:eastAsia="新細明體" w:hAnsi="新細明體" w:cs="新細明體"/>
      <w:b/>
      <w:bCs/>
      <w:kern w:val="0"/>
      <w:sz w:val="27"/>
      <w:szCs w:val="27"/>
    </w:rPr>
  </w:style>
  <w:style w:type="character" w:customStyle="1" w:styleId="txt-keyword">
    <w:name w:val="txt-keyword"/>
    <w:basedOn w:val="a0"/>
    <w:rsid w:val="00C9675F"/>
  </w:style>
  <w:style w:type="paragraph" w:styleId="Web">
    <w:name w:val="Normal (Web)"/>
    <w:basedOn w:val="a"/>
    <w:uiPriority w:val="99"/>
    <w:semiHidden/>
    <w:unhideWhenUsed/>
    <w:rsid w:val="00C9675F"/>
    <w:pPr>
      <w:widowControl/>
      <w:spacing w:before="100" w:beforeAutospacing="1" w:after="100" w:afterAutospacing="1"/>
    </w:pPr>
    <w:rPr>
      <w:rFonts w:ascii="新細明體" w:eastAsia="新細明體" w:hAnsi="新細明體" w:cs="新細明體"/>
      <w:kern w:val="0"/>
      <w:szCs w:val="24"/>
    </w:rPr>
  </w:style>
  <w:style w:type="paragraph" w:styleId="af2">
    <w:name w:val="Body Text Indent"/>
    <w:basedOn w:val="a"/>
    <w:link w:val="af3"/>
    <w:rsid w:val="00C9675F"/>
    <w:pPr>
      <w:widowControl/>
      <w:spacing w:line="400" w:lineRule="atLeast"/>
      <w:ind w:firstLine="540"/>
      <w:jc w:val="both"/>
    </w:pPr>
    <w:rPr>
      <w:rFonts w:ascii="標楷體" w:eastAsia="標楷體" w:hAnsi="標楷體" w:cs="Times New Roman"/>
      <w:kern w:val="0"/>
      <w:szCs w:val="24"/>
    </w:rPr>
  </w:style>
  <w:style w:type="character" w:customStyle="1" w:styleId="af3">
    <w:name w:val="本文縮排 字元"/>
    <w:basedOn w:val="a0"/>
    <w:link w:val="af2"/>
    <w:rsid w:val="00C9675F"/>
    <w:rPr>
      <w:rFonts w:ascii="標楷體" w:eastAsia="標楷體" w:hAnsi="標楷體" w:cs="Times New Roman"/>
      <w:kern w:val="0"/>
      <w:szCs w:val="24"/>
    </w:rPr>
  </w:style>
  <w:style w:type="paragraph" w:customStyle="1" w:styleId="Default">
    <w:name w:val="Default"/>
    <w:rsid w:val="00C9675F"/>
    <w:pPr>
      <w:widowControl w:val="0"/>
      <w:autoSpaceDE w:val="0"/>
      <w:autoSpaceDN w:val="0"/>
      <w:adjustRightInd w:val="0"/>
    </w:pPr>
    <w:rPr>
      <w:rFonts w:ascii="標楷體" w:eastAsia="標楷體" w:hAnsi="Calibri" w:cs="標楷體"/>
      <w:color w:val="000000"/>
      <w:kern w:val="0"/>
      <w:szCs w:val="24"/>
    </w:rPr>
  </w:style>
  <w:style w:type="paragraph" w:styleId="af4">
    <w:name w:val="footnote text"/>
    <w:basedOn w:val="a"/>
    <w:link w:val="af5"/>
    <w:uiPriority w:val="99"/>
    <w:semiHidden/>
    <w:unhideWhenUsed/>
    <w:rsid w:val="00672E5E"/>
    <w:pPr>
      <w:snapToGrid w:val="0"/>
    </w:pPr>
    <w:rPr>
      <w:sz w:val="20"/>
      <w:szCs w:val="20"/>
    </w:rPr>
  </w:style>
  <w:style w:type="character" w:customStyle="1" w:styleId="af5">
    <w:name w:val="註腳文字 字元"/>
    <w:basedOn w:val="a0"/>
    <w:link w:val="af4"/>
    <w:uiPriority w:val="99"/>
    <w:semiHidden/>
    <w:rsid w:val="00672E5E"/>
    <w:rPr>
      <w:sz w:val="20"/>
      <w:szCs w:val="20"/>
    </w:rPr>
  </w:style>
  <w:style w:type="character" w:styleId="af6">
    <w:name w:val="footnote reference"/>
    <w:basedOn w:val="a0"/>
    <w:uiPriority w:val="99"/>
    <w:semiHidden/>
    <w:unhideWhenUsed/>
    <w:rsid w:val="00672E5E"/>
    <w:rPr>
      <w:vertAlign w:val="superscript"/>
    </w:rPr>
  </w:style>
  <w:style w:type="paragraph" w:styleId="af7">
    <w:name w:val="Document Map"/>
    <w:basedOn w:val="a"/>
    <w:link w:val="af8"/>
    <w:uiPriority w:val="99"/>
    <w:semiHidden/>
    <w:unhideWhenUsed/>
    <w:rsid w:val="00257ED0"/>
    <w:rPr>
      <w:rFonts w:ascii="新細明體" w:eastAsia="新細明體"/>
      <w:sz w:val="18"/>
      <w:szCs w:val="18"/>
    </w:rPr>
  </w:style>
  <w:style w:type="character" w:customStyle="1" w:styleId="af8">
    <w:name w:val="文件引導模式 字元"/>
    <w:basedOn w:val="a0"/>
    <w:link w:val="af7"/>
    <w:uiPriority w:val="99"/>
    <w:semiHidden/>
    <w:rsid w:val="00257ED0"/>
    <w:rPr>
      <w:rFonts w:ascii="新細明體" w:eastAsia="新細明體"/>
      <w:sz w:val="18"/>
      <w:szCs w:val="18"/>
    </w:rPr>
  </w:style>
  <w:style w:type="character" w:customStyle="1" w:styleId="40">
    <w:name w:val="標題 4 字元"/>
    <w:basedOn w:val="a0"/>
    <w:link w:val="4"/>
    <w:uiPriority w:val="9"/>
    <w:rsid w:val="00C26FBA"/>
    <w:rPr>
      <w:rFonts w:asciiTheme="majorHAnsi" w:eastAsiaTheme="majorEastAsia" w:hAnsiTheme="majorHAnsi" w:cstheme="majorBidi"/>
      <w:sz w:val="36"/>
      <w:szCs w:val="36"/>
    </w:rPr>
  </w:style>
  <w:style w:type="paragraph" w:styleId="af9">
    <w:name w:val="No Spacing"/>
    <w:uiPriority w:val="1"/>
    <w:qFormat/>
    <w:rsid w:val="00033244"/>
    <w:pPr>
      <w:widowControl w:val="0"/>
    </w:pPr>
  </w:style>
  <w:style w:type="paragraph" w:styleId="afa">
    <w:name w:val="Title"/>
    <w:basedOn w:val="a"/>
    <w:next w:val="a"/>
    <w:link w:val="afb"/>
    <w:uiPriority w:val="10"/>
    <w:qFormat/>
    <w:rsid w:val="003C6B39"/>
    <w:pPr>
      <w:spacing w:before="240" w:after="60"/>
      <w:jc w:val="center"/>
      <w:outlineLvl w:val="0"/>
    </w:pPr>
    <w:rPr>
      <w:rFonts w:ascii="Calibri Light" w:eastAsia="新細明體" w:hAnsi="Calibri Light" w:cs="Times New Roman"/>
      <w:b/>
      <w:bCs/>
      <w:sz w:val="32"/>
      <w:szCs w:val="32"/>
    </w:rPr>
  </w:style>
  <w:style w:type="character" w:customStyle="1" w:styleId="afb">
    <w:name w:val="標題 字元"/>
    <w:basedOn w:val="a0"/>
    <w:link w:val="afa"/>
    <w:uiPriority w:val="10"/>
    <w:rsid w:val="003C6B39"/>
    <w:rPr>
      <w:rFonts w:ascii="Calibri Light" w:eastAsia="新細明體" w:hAnsi="Calibri Light" w:cs="Times New Roman"/>
      <w:b/>
      <w:bCs/>
      <w:sz w:val="32"/>
      <w:szCs w:val="32"/>
    </w:rPr>
  </w:style>
  <w:style w:type="paragraph" w:styleId="afc">
    <w:name w:val="Body Text"/>
    <w:basedOn w:val="a"/>
    <w:link w:val="afd"/>
    <w:uiPriority w:val="99"/>
    <w:unhideWhenUsed/>
    <w:rsid w:val="00F14B73"/>
    <w:pPr>
      <w:spacing w:after="120"/>
    </w:pPr>
  </w:style>
  <w:style w:type="character" w:customStyle="1" w:styleId="afd">
    <w:name w:val="本文 字元"/>
    <w:basedOn w:val="a0"/>
    <w:link w:val="afc"/>
    <w:uiPriority w:val="99"/>
    <w:rsid w:val="00F14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91743">
      <w:bodyDiv w:val="1"/>
      <w:marLeft w:val="0"/>
      <w:marRight w:val="0"/>
      <w:marTop w:val="0"/>
      <w:marBottom w:val="0"/>
      <w:divBdr>
        <w:top w:val="none" w:sz="0" w:space="0" w:color="auto"/>
        <w:left w:val="none" w:sz="0" w:space="0" w:color="auto"/>
        <w:bottom w:val="none" w:sz="0" w:space="0" w:color="auto"/>
        <w:right w:val="none" w:sz="0" w:space="0" w:color="auto"/>
      </w:divBdr>
    </w:div>
    <w:div w:id="237251960">
      <w:bodyDiv w:val="1"/>
      <w:marLeft w:val="0"/>
      <w:marRight w:val="0"/>
      <w:marTop w:val="0"/>
      <w:marBottom w:val="0"/>
      <w:divBdr>
        <w:top w:val="none" w:sz="0" w:space="0" w:color="auto"/>
        <w:left w:val="none" w:sz="0" w:space="0" w:color="auto"/>
        <w:bottom w:val="none" w:sz="0" w:space="0" w:color="auto"/>
        <w:right w:val="none" w:sz="0" w:space="0" w:color="auto"/>
      </w:divBdr>
    </w:div>
    <w:div w:id="376971578">
      <w:bodyDiv w:val="1"/>
      <w:marLeft w:val="0"/>
      <w:marRight w:val="0"/>
      <w:marTop w:val="0"/>
      <w:marBottom w:val="0"/>
      <w:divBdr>
        <w:top w:val="none" w:sz="0" w:space="0" w:color="auto"/>
        <w:left w:val="none" w:sz="0" w:space="0" w:color="auto"/>
        <w:bottom w:val="none" w:sz="0" w:space="0" w:color="auto"/>
        <w:right w:val="none" w:sz="0" w:space="0" w:color="auto"/>
      </w:divBdr>
    </w:div>
    <w:div w:id="563561979">
      <w:bodyDiv w:val="1"/>
      <w:marLeft w:val="0"/>
      <w:marRight w:val="0"/>
      <w:marTop w:val="0"/>
      <w:marBottom w:val="0"/>
      <w:divBdr>
        <w:top w:val="none" w:sz="0" w:space="0" w:color="auto"/>
        <w:left w:val="none" w:sz="0" w:space="0" w:color="auto"/>
        <w:bottom w:val="none" w:sz="0" w:space="0" w:color="auto"/>
        <w:right w:val="none" w:sz="0" w:space="0" w:color="auto"/>
      </w:divBdr>
    </w:div>
    <w:div w:id="614210407">
      <w:bodyDiv w:val="1"/>
      <w:marLeft w:val="0"/>
      <w:marRight w:val="0"/>
      <w:marTop w:val="0"/>
      <w:marBottom w:val="0"/>
      <w:divBdr>
        <w:top w:val="none" w:sz="0" w:space="0" w:color="auto"/>
        <w:left w:val="none" w:sz="0" w:space="0" w:color="auto"/>
        <w:bottom w:val="none" w:sz="0" w:space="0" w:color="auto"/>
        <w:right w:val="none" w:sz="0" w:space="0" w:color="auto"/>
      </w:divBdr>
    </w:div>
    <w:div w:id="690837793">
      <w:bodyDiv w:val="1"/>
      <w:marLeft w:val="0"/>
      <w:marRight w:val="0"/>
      <w:marTop w:val="0"/>
      <w:marBottom w:val="0"/>
      <w:divBdr>
        <w:top w:val="none" w:sz="0" w:space="0" w:color="auto"/>
        <w:left w:val="none" w:sz="0" w:space="0" w:color="auto"/>
        <w:bottom w:val="none" w:sz="0" w:space="0" w:color="auto"/>
        <w:right w:val="none" w:sz="0" w:space="0" w:color="auto"/>
      </w:divBdr>
    </w:div>
    <w:div w:id="723136826">
      <w:bodyDiv w:val="1"/>
      <w:marLeft w:val="0"/>
      <w:marRight w:val="0"/>
      <w:marTop w:val="0"/>
      <w:marBottom w:val="0"/>
      <w:divBdr>
        <w:top w:val="none" w:sz="0" w:space="0" w:color="auto"/>
        <w:left w:val="none" w:sz="0" w:space="0" w:color="auto"/>
        <w:bottom w:val="none" w:sz="0" w:space="0" w:color="auto"/>
        <w:right w:val="none" w:sz="0" w:space="0" w:color="auto"/>
      </w:divBdr>
      <w:divsChild>
        <w:div w:id="2054235196">
          <w:marLeft w:val="634"/>
          <w:marRight w:val="0"/>
          <w:marTop w:val="0"/>
          <w:marBottom w:val="0"/>
          <w:divBdr>
            <w:top w:val="none" w:sz="0" w:space="0" w:color="auto"/>
            <w:left w:val="none" w:sz="0" w:space="0" w:color="auto"/>
            <w:bottom w:val="none" w:sz="0" w:space="0" w:color="auto"/>
            <w:right w:val="none" w:sz="0" w:space="0" w:color="auto"/>
          </w:divBdr>
        </w:div>
      </w:divsChild>
    </w:div>
    <w:div w:id="793864139">
      <w:bodyDiv w:val="1"/>
      <w:marLeft w:val="0"/>
      <w:marRight w:val="0"/>
      <w:marTop w:val="0"/>
      <w:marBottom w:val="0"/>
      <w:divBdr>
        <w:top w:val="none" w:sz="0" w:space="0" w:color="auto"/>
        <w:left w:val="none" w:sz="0" w:space="0" w:color="auto"/>
        <w:bottom w:val="none" w:sz="0" w:space="0" w:color="auto"/>
        <w:right w:val="none" w:sz="0" w:space="0" w:color="auto"/>
      </w:divBdr>
    </w:div>
    <w:div w:id="979959819">
      <w:bodyDiv w:val="1"/>
      <w:marLeft w:val="0"/>
      <w:marRight w:val="0"/>
      <w:marTop w:val="0"/>
      <w:marBottom w:val="0"/>
      <w:divBdr>
        <w:top w:val="none" w:sz="0" w:space="0" w:color="auto"/>
        <w:left w:val="none" w:sz="0" w:space="0" w:color="auto"/>
        <w:bottom w:val="none" w:sz="0" w:space="0" w:color="auto"/>
        <w:right w:val="none" w:sz="0" w:space="0" w:color="auto"/>
      </w:divBdr>
    </w:div>
    <w:div w:id="999967742">
      <w:bodyDiv w:val="1"/>
      <w:marLeft w:val="0"/>
      <w:marRight w:val="0"/>
      <w:marTop w:val="0"/>
      <w:marBottom w:val="0"/>
      <w:divBdr>
        <w:top w:val="none" w:sz="0" w:space="0" w:color="auto"/>
        <w:left w:val="none" w:sz="0" w:space="0" w:color="auto"/>
        <w:bottom w:val="none" w:sz="0" w:space="0" w:color="auto"/>
        <w:right w:val="none" w:sz="0" w:space="0" w:color="auto"/>
      </w:divBdr>
    </w:div>
    <w:div w:id="1020275578">
      <w:bodyDiv w:val="1"/>
      <w:marLeft w:val="0"/>
      <w:marRight w:val="0"/>
      <w:marTop w:val="0"/>
      <w:marBottom w:val="0"/>
      <w:divBdr>
        <w:top w:val="none" w:sz="0" w:space="0" w:color="auto"/>
        <w:left w:val="none" w:sz="0" w:space="0" w:color="auto"/>
        <w:bottom w:val="none" w:sz="0" w:space="0" w:color="auto"/>
        <w:right w:val="none" w:sz="0" w:space="0" w:color="auto"/>
      </w:divBdr>
      <w:divsChild>
        <w:div w:id="1338075742">
          <w:marLeft w:val="634"/>
          <w:marRight w:val="0"/>
          <w:marTop w:val="0"/>
          <w:marBottom w:val="0"/>
          <w:divBdr>
            <w:top w:val="none" w:sz="0" w:space="0" w:color="auto"/>
            <w:left w:val="none" w:sz="0" w:space="0" w:color="auto"/>
            <w:bottom w:val="none" w:sz="0" w:space="0" w:color="auto"/>
            <w:right w:val="none" w:sz="0" w:space="0" w:color="auto"/>
          </w:divBdr>
        </w:div>
      </w:divsChild>
    </w:div>
    <w:div w:id="1102919890">
      <w:bodyDiv w:val="1"/>
      <w:marLeft w:val="0"/>
      <w:marRight w:val="0"/>
      <w:marTop w:val="0"/>
      <w:marBottom w:val="0"/>
      <w:divBdr>
        <w:top w:val="none" w:sz="0" w:space="0" w:color="auto"/>
        <w:left w:val="none" w:sz="0" w:space="0" w:color="auto"/>
        <w:bottom w:val="none" w:sz="0" w:space="0" w:color="auto"/>
        <w:right w:val="none" w:sz="0" w:space="0" w:color="auto"/>
      </w:divBdr>
    </w:div>
    <w:div w:id="1395012092">
      <w:bodyDiv w:val="1"/>
      <w:marLeft w:val="0"/>
      <w:marRight w:val="0"/>
      <w:marTop w:val="0"/>
      <w:marBottom w:val="0"/>
      <w:divBdr>
        <w:top w:val="none" w:sz="0" w:space="0" w:color="auto"/>
        <w:left w:val="none" w:sz="0" w:space="0" w:color="auto"/>
        <w:bottom w:val="none" w:sz="0" w:space="0" w:color="auto"/>
        <w:right w:val="none" w:sz="0" w:space="0" w:color="auto"/>
      </w:divBdr>
    </w:div>
    <w:div w:id="1405757722">
      <w:bodyDiv w:val="1"/>
      <w:marLeft w:val="0"/>
      <w:marRight w:val="0"/>
      <w:marTop w:val="0"/>
      <w:marBottom w:val="0"/>
      <w:divBdr>
        <w:top w:val="none" w:sz="0" w:space="0" w:color="auto"/>
        <w:left w:val="none" w:sz="0" w:space="0" w:color="auto"/>
        <w:bottom w:val="none" w:sz="0" w:space="0" w:color="auto"/>
        <w:right w:val="none" w:sz="0" w:space="0" w:color="auto"/>
      </w:divBdr>
    </w:div>
    <w:div w:id="1444569238">
      <w:bodyDiv w:val="1"/>
      <w:marLeft w:val="0"/>
      <w:marRight w:val="0"/>
      <w:marTop w:val="0"/>
      <w:marBottom w:val="0"/>
      <w:divBdr>
        <w:top w:val="none" w:sz="0" w:space="0" w:color="auto"/>
        <w:left w:val="none" w:sz="0" w:space="0" w:color="auto"/>
        <w:bottom w:val="none" w:sz="0" w:space="0" w:color="auto"/>
        <w:right w:val="none" w:sz="0" w:space="0" w:color="auto"/>
      </w:divBdr>
    </w:div>
    <w:div w:id="1705591140">
      <w:bodyDiv w:val="1"/>
      <w:marLeft w:val="0"/>
      <w:marRight w:val="0"/>
      <w:marTop w:val="0"/>
      <w:marBottom w:val="0"/>
      <w:divBdr>
        <w:top w:val="none" w:sz="0" w:space="0" w:color="auto"/>
        <w:left w:val="none" w:sz="0" w:space="0" w:color="auto"/>
        <w:bottom w:val="none" w:sz="0" w:space="0" w:color="auto"/>
        <w:right w:val="none" w:sz="0" w:space="0" w:color="auto"/>
      </w:divBdr>
    </w:div>
    <w:div w:id="1901941706">
      <w:bodyDiv w:val="1"/>
      <w:marLeft w:val="0"/>
      <w:marRight w:val="0"/>
      <w:marTop w:val="0"/>
      <w:marBottom w:val="0"/>
      <w:divBdr>
        <w:top w:val="none" w:sz="0" w:space="0" w:color="auto"/>
        <w:left w:val="none" w:sz="0" w:space="0" w:color="auto"/>
        <w:bottom w:val="none" w:sz="0" w:space="0" w:color="auto"/>
        <w:right w:val="none" w:sz="0" w:space="0" w:color="auto"/>
      </w:divBdr>
    </w:div>
    <w:div w:id="1937668947">
      <w:bodyDiv w:val="1"/>
      <w:marLeft w:val="0"/>
      <w:marRight w:val="0"/>
      <w:marTop w:val="0"/>
      <w:marBottom w:val="0"/>
      <w:divBdr>
        <w:top w:val="none" w:sz="0" w:space="0" w:color="auto"/>
        <w:left w:val="none" w:sz="0" w:space="0" w:color="auto"/>
        <w:bottom w:val="none" w:sz="0" w:space="0" w:color="auto"/>
        <w:right w:val="none" w:sz="0" w:space="0" w:color="auto"/>
      </w:divBdr>
    </w:div>
    <w:div w:id="20472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A2C84-76E4-41E6-883B-C07274FE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dc:creator>
  <cp:lastModifiedBy>湯鐵漢</cp:lastModifiedBy>
  <cp:revision>5</cp:revision>
  <cp:lastPrinted>2021-05-27T06:54:00Z</cp:lastPrinted>
  <dcterms:created xsi:type="dcterms:W3CDTF">2021-07-12T09:37:00Z</dcterms:created>
  <dcterms:modified xsi:type="dcterms:W3CDTF">2021-07-14T10:32:00Z</dcterms:modified>
</cp:coreProperties>
</file>