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D0CE" w14:textId="77777777" w:rsidR="000D4132" w:rsidRPr="002F36AB" w:rsidRDefault="00CF096C" w:rsidP="00E454A6">
      <w:pPr>
        <w:ind w:rightChars="-337" w:right="-809"/>
        <w:jc w:val="center"/>
        <w:rPr>
          <w:rFonts w:ascii="標楷體" w:eastAsia="標楷體" w:hAnsi="標楷體"/>
          <w:b/>
          <w:sz w:val="32"/>
          <w:szCs w:val="32"/>
        </w:rPr>
      </w:pPr>
      <w:r w:rsidRPr="00CF096C">
        <w:rPr>
          <w:rFonts w:ascii="標楷體" w:eastAsia="標楷體" w:hAnsi="標楷體" w:hint="eastAsia"/>
          <w:b/>
          <w:sz w:val="32"/>
          <w:szCs w:val="32"/>
        </w:rPr>
        <w:t>認購（售）權證發行人評等辦法</w:t>
      </w:r>
      <w:r w:rsidR="00C65F4C">
        <w:rPr>
          <w:rFonts w:ascii="標楷體" w:eastAsia="標楷體" w:hAnsi="標楷體" w:hint="eastAsia"/>
          <w:b/>
          <w:sz w:val="32"/>
          <w:szCs w:val="32"/>
        </w:rPr>
        <w:t>部分條文</w:t>
      </w:r>
      <w:r w:rsidR="00B82940" w:rsidRPr="002F36AB">
        <w:rPr>
          <w:rFonts w:ascii="標楷體" w:eastAsia="標楷體" w:hAnsi="標楷體" w:hint="eastAsia"/>
          <w:b/>
          <w:sz w:val="32"/>
          <w:szCs w:val="32"/>
        </w:rPr>
        <w:t>修正對照表</w:t>
      </w:r>
    </w:p>
    <w:tbl>
      <w:tblPr>
        <w:tblStyle w:val="a3"/>
        <w:tblW w:w="9776" w:type="dxa"/>
        <w:tblLook w:val="04A0" w:firstRow="1" w:lastRow="0" w:firstColumn="1" w:lastColumn="0" w:noHBand="0" w:noVBand="1"/>
      </w:tblPr>
      <w:tblGrid>
        <w:gridCol w:w="3397"/>
        <w:gridCol w:w="3402"/>
        <w:gridCol w:w="2977"/>
      </w:tblGrid>
      <w:tr w:rsidR="00B82940" w:rsidRPr="00DC1567" w14:paraId="49A59F25" w14:textId="77777777" w:rsidTr="002B4D37">
        <w:trPr>
          <w:tblHeader/>
        </w:trPr>
        <w:tc>
          <w:tcPr>
            <w:tcW w:w="3397" w:type="dxa"/>
            <w:tcBorders>
              <w:bottom w:val="single" w:sz="4" w:space="0" w:color="auto"/>
            </w:tcBorders>
            <w:shd w:val="clear" w:color="auto" w:fill="D9D9D9"/>
          </w:tcPr>
          <w:p w14:paraId="292E3CEA" w14:textId="2CDC7454" w:rsidR="00B82940" w:rsidRPr="00DA3FF6" w:rsidRDefault="00B82940" w:rsidP="00530C09">
            <w:pPr>
              <w:spacing w:line="440" w:lineRule="exact"/>
              <w:jc w:val="center"/>
              <w:rPr>
                <w:rFonts w:ascii="標楷體" w:eastAsia="標楷體" w:hAnsi="標楷體" w:cs="Times New Roman"/>
                <w:color w:val="000000" w:themeColor="text1"/>
              </w:rPr>
            </w:pPr>
            <w:r w:rsidRPr="00DA3FF6">
              <w:rPr>
                <w:rFonts w:ascii="標楷體" w:eastAsia="標楷體" w:hAnsi="標楷體" w:cs="Times New Roman" w:hint="eastAsia"/>
                <w:color w:val="000000" w:themeColor="text1"/>
              </w:rPr>
              <w:t>修</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正</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條</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文</w:t>
            </w:r>
          </w:p>
        </w:tc>
        <w:tc>
          <w:tcPr>
            <w:tcW w:w="3402" w:type="dxa"/>
            <w:shd w:val="clear" w:color="auto" w:fill="D9D9D9"/>
          </w:tcPr>
          <w:p w14:paraId="6DE39AD2" w14:textId="01AF4992" w:rsidR="00B82940" w:rsidRPr="00DA3FF6" w:rsidRDefault="00B82940" w:rsidP="00530C09">
            <w:pPr>
              <w:spacing w:line="440" w:lineRule="exact"/>
              <w:jc w:val="center"/>
              <w:rPr>
                <w:rFonts w:ascii="標楷體" w:eastAsia="標楷體" w:hAnsi="標楷體" w:cs="Times New Roman"/>
                <w:color w:val="000000" w:themeColor="text1"/>
              </w:rPr>
            </w:pPr>
            <w:r w:rsidRPr="00DA3FF6">
              <w:rPr>
                <w:rFonts w:ascii="標楷體" w:eastAsia="標楷體" w:hAnsi="標楷體" w:cs="Times New Roman" w:hint="eastAsia"/>
                <w:color w:val="000000" w:themeColor="text1"/>
              </w:rPr>
              <w:t>現</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行</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條</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文</w:t>
            </w:r>
          </w:p>
        </w:tc>
        <w:tc>
          <w:tcPr>
            <w:tcW w:w="2977" w:type="dxa"/>
            <w:shd w:val="clear" w:color="auto" w:fill="D9D9D9"/>
          </w:tcPr>
          <w:p w14:paraId="4FB764DF" w14:textId="13F7918C" w:rsidR="00B82940" w:rsidRPr="00DA3FF6" w:rsidRDefault="00B82940" w:rsidP="00530C09">
            <w:pPr>
              <w:spacing w:line="440" w:lineRule="exact"/>
              <w:jc w:val="center"/>
              <w:rPr>
                <w:rFonts w:ascii="標楷體" w:eastAsia="標楷體" w:hAnsi="標楷體" w:cs="Times New Roman"/>
                <w:color w:val="000000" w:themeColor="text1"/>
              </w:rPr>
            </w:pPr>
            <w:r w:rsidRPr="00DA3FF6">
              <w:rPr>
                <w:rFonts w:ascii="標楷體" w:eastAsia="標楷體" w:hAnsi="標楷體" w:cs="Times New Roman" w:hint="eastAsia"/>
                <w:color w:val="000000" w:themeColor="text1"/>
              </w:rPr>
              <w:t>說</w:t>
            </w:r>
            <w:r w:rsidR="00AB3146">
              <w:rPr>
                <w:rFonts w:ascii="標楷體" w:eastAsia="標楷體" w:hAnsi="標楷體" w:cs="Times New Roman" w:hint="eastAsia"/>
                <w:color w:val="000000" w:themeColor="text1"/>
              </w:rPr>
              <w:t xml:space="preserve">    </w:t>
            </w:r>
            <w:r w:rsidRPr="00DA3FF6">
              <w:rPr>
                <w:rFonts w:ascii="標楷體" w:eastAsia="標楷體" w:hAnsi="標楷體" w:cs="Times New Roman" w:hint="eastAsia"/>
                <w:color w:val="000000" w:themeColor="text1"/>
              </w:rPr>
              <w:t>明</w:t>
            </w:r>
          </w:p>
        </w:tc>
      </w:tr>
      <w:tr w:rsidR="00C4734B" w:rsidRPr="002E2CC3" w14:paraId="6A24AD6D" w14:textId="77777777" w:rsidTr="00C4734B">
        <w:trPr>
          <w:trHeight w:val="6511"/>
        </w:trPr>
        <w:tc>
          <w:tcPr>
            <w:tcW w:w="3397" w:type="dxa"/>
          </w:tcPr>
          <w:p w14:paraId="71D72A00" w14:textId="77777777" w:rsidR="00C4734B" w:rsidRPr="00D522DC" w:rsidRDefault="00C4734B" w:rsidP="008B39F2">
            <w:pPr>
              <w:spacing w:line="360" w:lineRule="exact"/>
              <w:ind w:leftChars="-42" w:left="-101"/>
              <w:jc w:val="both"/>
              <w:rPr>
                <w:rFonts w:ascii="標楷體" w:eastAsia="標楷體" w:hAnsi="標楷體" w:cs="Times New Roman"/>
                <w:szCs w:val="24"/>
              </w:rPr>
            </w:pPr>
            <w:r>
              <w:br w:type="page"/>
            </w:r>
            <w:hyperlink r:id="rId8" w:history="1">
              <w:r w:rsidRPr="00D522DC">
                <w:rPr>
                  <w:rFonts w:ascii="標楷體" w:eastAsia="標楷體" w:hAnsi="標楷體" w:cs="Times New Roman" w:hint="eastAsia"/>
                  <w:szCs w:val="24"/>
                </w:rPr>
                <w:t>第六條</w:t>
              </w:r>
            </w:hyperlink>
            <w:r w:rsidRPr="00D522DC">
              <w:rPr>
                <w:rFonts w:ascii="標楷體" w:eastAsia="標楷體" w:hAnsi="標楷體" w:cs="Times New Roman"/>
                <w:szCs w:val="24"/>
              </w:rPr>
              <w:t xml:space="preserve"> </w:t>
            </w:r>
          </w:p>
          <w:p w14:paraId="667340DA" w14:textId="77777777" w:rsidR="00C4734B" w:rsidRPr="00D522DC" w:rsidRDefault="00C4734B" w:rsidP="008A02DE">
            <w:pPr>
              <w:spacing w:line="360" w:lineRule="exact"/>
              <w:ind w:leftChars="-42" w:left="-101"/>
              <w:jc w:val="both"/>
              <w:rPr>
                <w:rFonts w:ascii="標楷體" w:eastAsia="標楷體" w:hAnsi="標楷體" w:cs="Times New Roman"/>
                <w:szCs w:val="24"/>
              </w:rPr>
            </w:pPr>
            <w:r w:rsidRPr="00D522DC">
              <w:rPr>
                <w:rFonts w:ascii="標楷體" w:eastAsia="標楷體" w:hAnsi="標楷體" w:cs="Times New Roman" w:hint="eastAsia"/>
                <w:szCs w:val="24"/>
              </w:rPr>
              <w:t>依據</w:t>
            </w:r>
            <w:proofErr w:type="gramStart"/>
            <w:r w:rsidRPr="00D522DC">
              <w:rPr>
                <w:rFonts w:ascii="標楷體" w:eastAsia="標楷體" w:hAnsi="標楷體" w:cs="Times New Roman" w:hint="eastAsia"/>
                <w:szCs w:val="24"/>
              </w:rPr>
              <w:t>前條評等</w:t>
            </w:r>
            <w:proofErr w:type="gramEnd"/>
            <w:r w:rsidRPr="00D522DC">
              <w:rPr>
                <w:rFonts w:ascii="標楷體" w:eastAsia="標楷體" w:hAnsi="標楷體" w:cs="Times New Roman" w:hint="eastAsia"/>
                <w:szCs w:val="24"/>
              </w:rPr>
              <w:t>結果，經列為</w:t>
            </w:r>
            <w:proofErr w:type="gramStart"/>
            <w:r w:rsidRPr="00D522DC">
              <w:rPr>
                <w:rFonts w:ascii="標楷體" w:eastAsia="標楷體" w:hAnsi="標楷體" w:cs="Times New Roman" w:hint="eastAsia"/>
                <w:szCs w:val="24"/>
              </w:rPr>
              <w:t>Ａ</w:t>
            </w:r>
            <w:proofErr w:type="gramEnd"/>
            <w:r w:rsidRPr="00D522DC">
              <w:rPr>
                <w:rFonts w:ascii="標楷體" w:eastAsia="標楷體" w:hAnsi="標楷體" w:cs="Times New Roman" w:hint="eastAsia"/>
                <w:szCs w:val="24"/>
              </w:rPr>
              <w:t>級及</w:t>
            </w:r>
            <w:proofErr w:type="gramStart"/>
            <w:r w:rsidRPr="00D522DC">
              <w:rPr>
                <w:rFonts w:ascii="標楷體" w:eastAsia="標楷體" w:hAnsi="標楷體" w:cs="Times New Roman" w:hint="eastAsia"/>
                <w:szCs w:val="24"/>
              </w:rPr>
              <w:t>Ｂ</w:t>
            </w:r>
            <w:proofErr w:type="gramEnd"/>
            <w:r w:rsidRPr="00D522DC">
              <w:rPr>
                <w:rFonts w:ascii="標楷體" w:eastAsia="標楷體" w:hAnsi="標楷體" w:cs="Times New Roman" w:hint="eastAsia"/>
                <w:szCs w:val="24"/>
              </w:rPr>
              <w:t>級之發行人除有第七條所列情事外，得於次一季享有下列獎勵：</w:t>
            </w:r>
          </w:p>
          <w:p w14:paraId="6E8BD8F6" w14:textId="77777777" w:rsidR="00C4734B" w:rsidRPr="00D522DC" w:rsidRDefault="00C4734B" w:rsidP="008B39F2">
            <w:pPr>
              <w:pStyle w:val="a8"/>
              <w:numPr>
                <w:ilvl w:val="0"/>
                <w:numId w:val="15"/>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級發行人之發行額度，除依其風險管理評鑑等級所適用合格自有資本淨額百分比外，另增加其合格自有資本淨額百分之三十之額度；</w:t>
            </w:r>
            <w:proofErr w:type="gramStart"/>
            <w:r w:rsidRPr="00D522DC">
              <w:rPr>
                <w:rFonts w:ascii="標楷體" w:eastAsia="標楷體" w:hAnsi="標楷體" w:cs="Times New Roman" w:hint="eastAsia"/>
              </w:rPr>
              <w:t>Ｂ</w:t>
            </w:r>
            <w:proofErr w:type="gramEnd"/>
            <w:r w:rsidRPr="00D522DC">
              <w:rPr>
                <w:rFonts w:ascii="標楷體" w:eastAsia="標楷體" w:hAnsi="標楷體" w:cs="Times New Roman" w:hint="eastAsia"/>
              </w:rPr>
              <w:t>級發行人則另增加其合格自有資本淨額百分之二十之額度。</w:t>
            </w:r>
          </w:p>
          <w:p w14:paraId="060F598B" w14:textId="77777777" w:rsidR="00C4734B" w:rsidRPr="00D522DC" w:rsidRDefault="00C4734B" w:rsidP="008B39F2">
            <w:pPr>
              <w:pStyle w:val="a8"/>
              <w:numPr>
                <w:ilvl w:val="0"/>
                <w:numId w:val="15"/>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發行以國內股票及臺灣存託憑證為標的之權證時，其標的發行額度除依證券交易所認購（售）權證上市審查準則第十一條第三款或櫃檯中心證券商營業處所買賣認購（售）權證審查準則第十一條第一項第三款之規定限額外，每家發行人另增加權證發行單位所表彰之認購（售）標的證券股</w:t>
            </w:r>
            <w:proofErr w:type="gramStart"/>
            <w:r w:rsidRPr="00D522DC">
              <w:rPr>
                <w:rFonts w:ascii="標楷體" w:eastAsia="標楷體" w:hAnsi="標楷體" w:cs="Times New Roman" w:hint="eastAsia"/>
              </w:rPr>
              <w:t>數占標的</w:t>
            </w:r>
            <w:proofErr w:type="gramEnd"/>
            <w:r w:rsidRPr="00D522DC">
              <w:rPr>
                <w:rFonts w:ascii="標楷體" w:eastAsia="標楷體" w:hAnsi="標楷體" w:cs="Times New Roman" w:hint="eastAsia"/>
              </w:rPr>
              <w:t>證券發行公司已發行股份總額扣除該款規定股份或存託憑證已上市（櫃）單位之百分之一之額度。</w:t>
            </w:r>
          </w:p>
          <w:p w14:paraId="15EAECDC" w14:textId="77777777" w:rsidR="00C4734B" w:rsidRPr="00D522DC" w:rsidRDefault="00C4734B" w:rsidP="008B39F2">
            <w:pPr>
              <w:pStyle w:val="a8"/>
              <w:numPr>
                <w:ilvl w:val="0"/>
                <w:numId w:val="15"/>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級發行人除得依證券交易所及櫃檯中心每季公告之標的證券申請發行權證外，另得就證券交易所依認購（售）權證上市審查準則第十條第一項規定改以上市證券市值新臺幣七十億元，及櫃檯中心依證券商營</w:t>
            </w:r>
            <w:r w:rsidRPr="00D522DC">
              <w:rPr>
                <w:rFonts w:ascii="標楷體" w:eastAsia="標楷體" w:hAnsi="標楷體" w:cs="Times New Roman" w:hint="eastAsia"/>
              </w:rPr>
              <w:lastRenderedPageBreak/>
              <w:t>業處所買賣認購（售）權證審查準則第十條第一項規定改以上櫃證券市值新臺幣三十億元等標準篩選後所增加之標的證券申請發行權證，有關增加之標的證券以證券交易所及櫃檯中心每季公告為</w:t>
            </w:r>
            <w:proofErr w:type="gramStart"/>
            <w:r w:rsidRPr="00D522DC">
              <w:rPr>
                <w:rFonts w:ascii="標楷體" w:eastAsia="標楷體" w:hAnsi="標楷體" w:cs="Times New Roman" w:hint="eastAsia"/>
              </w:rPr>
              <w:t>準</w:t>
            </w:r>
            <w:proofErr w:type="gramEnd"/>
            <w:r w:rsidRPr="00D522DC">
              <w:rPr>
                <w:rFonts w:ascii="標楷體" w:eastAsia="標楷體" w:hAnsi="標楷體" w:cs="Times New Roman" w:hint="eastAsia"/>
              </w:rPr>
              <w:t>。</w:t>
            </w:r>
          </w:p>
          <w:p w14:paraId="708D72B6" w14:textId="77777777" w:rsidR="00C4734B" w:rsidRPr="00D522DC" w:rsidRDefault="00C4734B" w:rsidP="008B39F2">
            <w:pPr>
              <w:pStyle w:val="a8"/>
              <w:numPr>
                <w:ilvl w:val="0"/>
                <w:numId w:val="15"/>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級發行人每檔權證減收五千元上市（櫃）費，</w:t>
            </w:r>
            <w:proofErr w:type="gramStart"/>
            <w:r w:rsidRPr="00D522DC">
              <w:rPr>
                <w:rFonts w:ascii="標楷體" w:eastAsia="標楷體" w:hAnsi="標楷體" w:cs="Times New Roman" w:hint="eastAsia"/>
              </w:rPr>
              <w:t>Ｂ</w:t>
            </w:r>
            <w:proofErr w:type="gramEnd"/>
            <w:r w:rsidRPr="00D522DC">
              <w:rPr>
                <w:rFonts w:ascii="標楷體" w:eastAsia="標楷體" w:hAnsi="標楷體" w:cs="Times New Roman" w:hint="eastAsia"/>
              </w:rPr>
              <w:t>級發行人每檔權證減收二千元上市（櫃）費。</w:t>
            </w:r>
          </w:p>
          <w:p w14:paraId="7D769232" w14:textId="77777777" w:rsidR="00C4734B" w:rsidRPr="00D522DC" w:rsidRDefault="00C4734B" w:rsidP="008B39F2">
            <w:pPr>
              <w:spacing w:line="360" w:lineRule="exact"/>
              <w:ind w:leftChars="-42" w:left="-101"/>
              <w:jc w:val="both"/>
              <w:rPr>
                <w:rFonts w:ascii="標楷體" w:eastAsia="標楷體" w:hAnsi="標楷體" w:cs="Times New Roman"/>
              </w:rPr>
            </w:pPr>
            <w:r w:rsidRPr="00D522DC">
              <w:rPr>
                <w:rFonts w:ascii="標楷體" w:eastAsia="標楷體" w:hAnsi="標楷體" w:cs="Times New Roman" w:hint="eastAsia"/>
              </w:rPr>
              <w:t>依據</w:t>
            </w:r>
            <w:proofErr w:type="gramStart"/>
            <w:r w:rsidRPr="00D522DC">
              <w:rPr>
                <w:rFonts w:ascii="標楷體" w:eastAsia="標楷體" w:hAnsi="標楷體" w:cs="Times New Roman" w:hint="eastAsia"/>
              </w:rPr>
              <w:t>前條評等</w:t>
            </w:r>
            <w:proofErr w:type="gramEnd"/>
            <w:r w:rsidRPr="00D522DC">
              <w:rPr>
                <w:rFonts w:ascii="標楷體" w:eastAsia="標楷體" w:hAnsi="標楷體" w:cs="Times New Roman" w:hint="eastAsia"/>
              </w:rPr>
              <w:t>結果，經列為</w:t>
            </w:r>
            <w:proofErr w:type="gramStart"/>
            <w:r w:rsidRPr="00D522DC">
              <w:rPr>
                <w:rFonts w:ascii="標楷體" w:eastAsia="標楷體" w:hAnsi="標楷體" w:cs="Times New Roman" w:hint="eastAsia"/>
              </w:rPr>
              <w:t>Ｄ</w:t>
            </w:r>
            <w:proofErr w:type="gramEnd"/>
            <w:r w:rsidRPr="00D522DC">
              <w:rPr>
                <w:rFonts w:ascii="標楷體" w:eastAsia="標楷體" w:hAnsi="標楷體" w:cs="Times New Roman" w:hint="eastAsia"/>
              </w:rPr>
              <w:t>級</w:t>
            </w:r>
            <w:r w:rsidR="00DD0B63" w:rsidRPr="00DD0B63">
              <w:rPr>
                <w:rFonts w:ascii="標楷體" w:eastAsia="標楷體" w:hAnsi="標楷體" w:cs="Times New Roman" w:hint="eastAsia"/>
                <w:u w:val="single"/>
              </w:rPr>
              <w:t>或</w:t>
            </w:r>
            <w:r w:rsidR="00AD0F05">
              <w:rPr>
                <w:rFonts w:ascii="標楷體" w:eastAsia="標楷體" w:hAnsi="標楷體" w:cs="Times New Roman" w:hint="eastAsia"/>
                <w:u w:val="single"/>
              </w:rPr>
              <w:t>E</w:t>
            </w:r>
            <w:r w:rsidR="00DD0B63" w:rsidRPr="00DD0B63">
              <w:rPr>
                <w:rFonts w:ascii="標楷體" w:eastAsia="標楷體" w:hAnsi="標楷體" w:cs="Times New Roman" w:hint="eastAsia"/>
                <w:u w:val="single"/>
              </w:rPr>
              <w:t>級</w:t>
            </w:r>
            <w:r w:rsidRPr="00D522DC">
              <w:rPr>
                <w:rFonts w:ascii="標楷體" w:eastAsia="標楷體" w:hAnsi="標楷體" w:cs="Times New Roman" w:hint="eastAsia"/>
              </w:rPr>
              <w:t>之發行人，於次一季調降其合格自有資本淨額百分之二十</w:t>
            </w:r>
            <w:r w:rsidR="00DD0B63" w:rsidRPr="00DD0B63">
              <w:rPr>
                <w:rFonts w:ascii="標楷體" w:eastAsia="標楷體" w:hAnsi="標楷體" w:cs="Times New Roman" w:hint="eastAsia"/>
                <w:u w:val="single"/>
              </w:rPr>
              <w:t>或百分之</w:t>
            </w:r>
            <w:r w:rsidR="00B94141">
              <w:rPr>
                <w:rFonts w:ascii="標楷體" w:eastAsia="標楷體" w:hAnsi="標楷體" w:cs="Times New Roman" w:hint="eastAsia"/>
                <w:u w:val="single"/>
              </w:rPr>
              <w:t>四</w:t>
            </w:r>
            <w:r w:rsidR="00DD0B63" w:rsidRPr="00DD0B63">
              <w:rPr>
                <w:rFonts w:ascii="標楷體" w:eastAsia="標楷體" w:hAnsi="標楷體" w:cs="Times New Roman" w:hint="eastAsia"/>
                <w:u w:val="single"/>
              </w:rPr>
              <w:t>十</w:t>
            </w:r>
            <w:r w:rsidRPr="00D522DC">
              <w:rPr>
                <w:rFonts w:ascii="標楷體" w:eastAsia="標楷體" w:hAnsi="標楷體" w:cs="Times New Roman" w:hint="eastAsia"/>
              </w:rPr>
              <w:t>之發行額度。</w:t>
            </w:r>
          </w:p>
          <w:p w14:paraId="48D37F86" w14:textId="77777777" w:rsidR="00C4734B" w:rsidRPr="00D522DC" w:rsidRDefault="00C4734B" w:rsidP="008B39F2">
            <w:pPr>
              <w:spacing w:line="360" w:lineRule="exact"/>
              <w:ind w:leftChars="-42" w:left="-101"/>
              <w:jc w:val="both"/>
              <w:rPr>
                <w:rFonts w:ascii="標楷體" w:eastAsia="標楷體" w:hAnsi="標楷體" w:cs="Times New Roman"/>
              </w:rPr>
            </w:pPr>
          </w:p>
          <w:p w14:paraId="74D01F27" w14:textId="77777777" w:rsidR="00C4734B" w:rsidRPr="00D522DC" w:rsidRDefault="00C4734B" w:rsidP="00670843">
            <w:pPr>
              <w:spacing w:line="360" w:lineRule="exact"/>
              <w:ind w:leftChars="-42" w:left="-101"/>
              <w:jc w:val="both"/>
              <w:rPr>
                <w:rFonts w:ascii="標楷體" w:eastAsia="標楷體" w:hAnsi="標楷體" w:cs="Times New Roman"/>
              </w:rPr>
            </w:pPr>
          </w:p>
        </w:tc>
        <w:tc>
          <w:tcPr>
            <w:tcW w:w="3402" w:type="dxa"/>
          </w:tcPr>
          <w:p w14:paraId="6F481573" w14:textId="77777777" w:rsidR="00C4734B" w:rsidRPr="00D522DC" w:rsidRDefault="0075659C" w:rsidP="008B39F2">
            <w:pPr>
              <w:spacing w:line="360" w:lineRule="exact"/>
              <w:ind w:leftChars="-42" w:left="-101"/>
              <w:jc w:val="both"/>
              <w:rPr>
                <w:rFonts w:ascii="標楷體" w:eastAsia="標楷體" w:hAnsi="標楷體" w:cs="Times New Roman"/>
                <w:szCs w:val="24"/>
              </w:rPr>
            </w:pPr>
            <w:hyperlink r:id="rId9" w:history="1">
              <w:r w:rsidR="00C4734B" w:rsidRPr="00D522DC">
                <w:rPr>
                  <w:rFonts w:ascii="標楷體" w:eastAsia="標楷體" w:hAnsi="標楷體" w:cs="Times New Roman" w:hint="eastAsia"/>
                  <w:szCs w:val="24"/>
                </w:rPr>
                <w:t>第六條</w:t>
              </w:r>
            </w:hyperlink>
            <w:r w:rsidR="00C4734B" w:rsidRPr="00D522DC">
              <w:rPr>
                <w:rFonts w:ascii="標楷體" w:eastAsia="標楷體" w:hAnsi="標楷體" w:cs="Times New Roman"/>
                <w:szCs w:val="24"/>
              </w:rPr>
              <w:t xml:space="preserve"> </w:t>
            </w:r>
          </w:p>
          <w:p w14:paraId="3B6BC767" w14:textId="77777777" w:rsidR="00C4734B" w:rsidRPr="00D522DC" w:rsidRDefault="00C4734B" w:rsidP="00F009CE">
            <w:pPr>
              <w:spacing w:line="360" w:lineRule="exact"/>
              <w:ind w:leftChars="-42" w:left="-101"/>
              <w:jc w:val="both"/>
              <w:rPr>
                <w:rFonts w:ascii="標楷體" w:eastAsia="標楷體" w:hAnsi="標楷體" w:cs="Times New Roman"/>
              </w:rPr>
            </w:pPr>
            <w:r w:rsidRPr="00D522DC">
              <w:rPr>
                <w:rFonts w:ascii="標楷體" w:eastAsia="標楷體" w:hAnsi="標楷體" w:cs="Times New Roman" w:hint="eastAsia"/>
                <w:szCs w:val="24"/>
              </w:rPr>
              <w:t>依據</w:t>
            </w:r>
            <w:proofErr w:type="gramStart"/>
            <w:r w:rsidRPr="00D522DC">
              <w:rPr>
                <w:rFonts w:ascii="標楷體" w:eastAsia="標楷體" w:hAnsi="標楷體" w:cs="Times New Roman" w:hint="eastAsia"/>
                <w:szCs w:val="24"/>
              </w:rPr>
              <w:t>前條評等</w:t>
            </w:r>
            <w:proofErr w:type="gramEnd"/>
            <w:r w:rsidRPr="00D522DC">
              <w:rPr>
                <w:rFonts w:ascii="標楷體" w:eastAsia="標楷體" w:hAnsi="標楷體" w:cs="Times New Roman" w:hint="eastAsia"/>
                <w:szCs w:val="24"/>
              </w:rPr>
              <w:t>結果，經列為</w:t>
            </w:r>
            <w:proofErr w:type="gramStart"/>
            <w:r w:rsidRPr="00D522DC">
              <w:rPr>
                <w:rFonts w:ascii="標楷體" w:eastAsia="標楷體" w:hAnsi="標楷體" w:cs="Times New Roman" w:hint="eastAsia"/>
                <w:szCs w:val="24"/>
              </w:rPr>
              <w:t>Ａ</w:t>
            </w:r>
            <w:proofErr w:type="gramEnd"/>
            <w:r w:rsidRPr="00D522DC">
              <w:rPr>
                <w:rFonts w:ascii="標楷體" w:eastAsia="標楷體" w:hAnsi="標楷體" w:cs="Times New Roman" w:hint="eastAsia"/>
                <w:szCs w:val="24"/>
              </w:rPr>
              <w:t>級及</w:t>
            </w:r>
            <w:proofErr w:type="gramStart"/>
            <w:r w:rsidRPr="00D522DC">
              <w:rPr>
                <w:rFonts w:ascii="標楷體" w:eastAsia="標楷體" w:hAnsi="標楷體" w:cs="Times New Roman" w:hint="eastAsia"/>
                <w:szCs w:val="24"/>
              </w:rPr>
              <w:t>Ｂ</w:t>
            </w:r>
            <w:proofErr w:type="gramEnd"/>
            <w:r w:rsidRPr="00D522DC">
              <w:rPr>
                <w:rFonts w:ascii="標楷體" w:eastAsia="標楷體" w:hAnsi="標楷體" w:cs="Times New Roman" w:hint="eastAsia"/>
                <w:szCs w:val="24"/>
              </w:rPr>
              <w:t>級之發行人除有第七條所列情事外，得於次一季享有下列獎勵：</w:t>
            </w:r>
          </w:p>
          <w:p w14:paraId="30CD802D" w14:textId="77777777" w:rsidR="00C4734B" w:rsidRPr="00D522DC" w:rsidRDefault="00C4734B" w:rsidP="00F009CE">
            <w:pPr>
              <w:pStyle w:val="a8"/>
              <w:numPr>
                <w:ilvl w:val="0"/>
                <w:numId w:val="18"/>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級發行人之發行額度，除依其風險管理評鑑等級所適用合格自有資本淨額百分比外，另增加其合格自有資本淨額百分之三十之額度；</w:t>
            </w:r>
            <w:proofErr w:type="gramStart"/>
            <w:r w:rsidRPr="00D522DC">
              <w:rPr>
                <w:rFonts w:ascii="標楷體" w:eastAsia="標楷體" w:hAnsi="標楷體" w:cs="Times New Roman" w:hint="eastAsia"/>
              </w:rPr>
              <w:t>Ｂ</w:t>
            </w:r>
            <w:proofErr w:type="gramEnd"/>
            <w:r w:rsidRPr="00D522DC">
              <w:rPr>
                <w:rFonts w:ascii="標楷體" w:eastAsia="標楷體" w:hAnsi="標楷體" w:cs="Times New Roman" w:hint="eastAsia"/>
              </w:rPr>
              <w:t>級發行人則另增加其合格自有資本淨額百分之二十之額度。</w:t>
            </w:r>
          </w:p>
          <w:p w14:paraId="56BB1C4F" w14:textId="77777777" w:rsidR="00C4734B" w:rsidRPr="00D522DC" w:rsidRDefault="00C4734B" w:rsidP="00F009CE">
            <w:pPr>
              <w:pStyle w:val="a8"/>
              <w:numPr>
                <w:ilvl w:val="0"/>
                <w:numId w:val="18"/>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發行以國內股票及臺灣存託憑證為標的之權證時，其標的發行額度除依證券交易所認購（售）權證上市審查準則第十一條第三款或櫃檯中心證券商營業處所買賣認購（售）權證審查準則第十一條第一項第三款之規定限額外，每家發行人另增加權證發行單位所表彰之認購（售）標的證券股</w:t>
            </w:r>
            <w:proofErr w:type="gramStart"/>
            <w:r w:rsidRPr="00D522DC">
              <w:rPr>
                <w:rFonts w:ascii="標楷體" w:eastAsia="標楷體" w:hAnsi="標楷體" w:cs="Times New Roman" w:hint="eastAsia"/>
              </w:rPr>
              <w:t>數占標的</w:t>
            </w:r>
            <w:proofErr w:type="gramEnd"/>
            <w:r w:rsidRPr="00D522DC">
              <w:rPr>
                <w:rFonts w:ascii="標楷體" w:eastAsia="標楷體" w:hAnsi="標楷體" w:cs="Times New Roman" w:hint="eastAsia"/>
              </w:rPr>
              <w:t>證券發行公司已發行股份總額扣除該款規定股份或存託憑證已上市（櫃）單位之百分之一之額度。</w:t>
            </w:r>
          </w:p>
          <w:p w14:paraId="6339D3FF" w14:textId="77777777" w:rsidR="00C4734B" w:rsidRPr="00D522DC" w:rsidRDefault="00C4734B" w:rsidP="00F009CE">
            <w:pPr>
              <w:pStyle w:val="a8"/>
              <w:numPr>
                <w:ilvl w:val="0"/>
                <w:numId w:val="18"/>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級發行人除得依證券交易所及櫃檯中心每季公告之標的證券申請發行權證外，另得就證券交易所依認購（售）權證上市審查準則第十條第一項規定改以上市證券市值新臺幣七十億元，及櫃檯中心依證券商營</w:t>
            </w:r>
            <w:r w:rsidRPr="00D522DC">
              <w:rPr>
                <w:rFonts w:ascii="標楷體" w:eastAsia="標楷體" w:hAnsi="標楷體" w:cs="Times New Roman" w:hint="eastAsia"/>
              </w:rPr>
              <w:lastRenderedPageBreak/>
              <w:t>業處所買賣認購（售）權證審查準則第十條第一項規定改以上櫃證券市值新臺幣三十億元等標準篩選後所增加之標的證券申請發行權證，有關增加之標的證券以證券交易所及櫃檯中心每季公告為</w:t>
            </w:r>
            <w:proofErr w:type="gramStart"/>
            <w:r w:rsidRPr="00D522DC">
              <w:rPr>
                <w:rFonts w:ascii="標楷體" w:eastAsia="標楷體" w:hAnsi="標楷體" w:cs="Times New Roman" w:hint="eastAsia"/>
              </w:rPr>
              <w:t>準</w:t>
            </w:r>
            <w:proofErr w:type="gramEnd"/>
            <w:r w:rsidRPr="00D522DC">
              <w:rPr>
                <w:rFonts w:ascii="標楷體" w:eastAsia="標楷體" w:hAnsi="標楷體" w:cs="Times New Roman" w:hint="eastAsia"/>
              </w:rPr>
              <w:t>。</w:t>
            </w:r>
          </w:p>
          <w:p w14:paraId="3C86BA8C" w14:textId="77777777" w:rsidR="00C4734B" w:rsidRPr="00D522DC" w:rsidRDefault="00C4734B" w:rsidP="00F009CE">
            <w:pPr>
              <w:pStyle w:val="a8"/>
              <w:numPr>
                <w:ilvl w:val="0"/>
                <w:numId w:val="18"/>
              </w:numPr>
              <w:spacing w:line="360" w:lineRule="exact"/>
              <w:ind w:leftChars="0"/>
              <w:jc w:val="both"/>
              <w:rPr>
                <w:rFonts w:ascii="標楷體" w:eastAsia="標楷體" w:hAnsi="標楷體" w:cs="Times New Roman"/>
              </w:rPr>
            </w:pPr>
            <w:proofErr w:type="gramStart"/>
            <w:r w:rsidRPr="00D522DC">
              <w:rPr>
                <w:rFonts w:ascii="標楷體" w:eastAsia="標楷體" w:hAnsi="標楷體" w:cs="Times New Roman" w:hint="eastAsia"/>
              </w:rPr>
              <w:t>Ａ</w:t>
            </w:r>
            <w:proofErr w:type="gramEnd"/>
            <w:r w:rsidRPr="00D522DC">
              <w:rPr>
                <w:rFonts w:ascii="標楷體" w:eastAsia="標楷體" w:hAnsi="標楷體" w:cs="Times New Roman" w:hint="eastAsia"/>
              </w:rPr>
              <w:t>級發行人每檔權證減收五千元上市（櫃）費，</w:t>
            </w:r>
            <w:proofErr w:type="gramStart"/>
            <w:r w:rsidRPr="00D522DC">
              <w:rPr>
                <w:rFonts w:ascii="標楷體" w:eastAsia="標楷體" w:hAnsi="標楷體" w:cs="Times New Roman" w:hint="eastAsia"/>
              </w:rPr>
              <w:t>Ｂ</w:t>
            </w:r>
            <w:proofErr w:type="gramEnd"/>
            <w:r w:rsidRPr="00D522DC">
              <w:rPr>
                <w:rFonts w:ascii="標楷體" w:eastAsia="標楷體" w:hAnsi="標楷體" w:cs="Times New Roman" w:hint="eastAsia"/>
              </w:rPr>
              <w:t>級發行人每檔權證減收二千元上市（櫃）費。</w:t>
            </w:r>
          </w:p>
          <w:p w14:paraId="17AF6FB1" w14:textId="77777777" w:rsidR="00C4734B" w:rsidRPr="00D522DC" w:rsidRDefault="00C4734B" w:rsidP="00F009CE">
            <w:pPr>
              <w:spacing w:line="360" w:lineRule="exact"/>
              <w:ind w:leftChars="-42" w:left="-101"/>
              <w:jc w:val="both"/>
              <w:rPr>
                <w:rFonts w:ascii="標楷體" w:eastAsia="標楷體" w:hAnsi="標楷體" w:cs="Times New Roman"/>
              </w:rPr>
            </w:pPr>
            <w:r w:rsidRPr="00D522DC">
              <w:rPr>
                <w:rFonts w:ascii="標楷體" w:eastAsia="標楷體" w:hAnsi="標楷體" w:cs="Times New Roman" w:hint="eastAsia"/>
              </w:rPr>
              <w:t>依據</w:t>
            </w:r>
            <w:proofErr w:type="gramStart"/>
            <w:r w:rsidRPr="00D522DC">
              <w:rPr>
                <w:rFonts w:ascii="標楷體" w:eastAsia="標楷體" w:hAnsi="標楷體" w:cs="Times New Roman" w:hint="eastAsia"/>
              </w:rPr>
              <w:t>前條評等</w:t>
            </w:r>
            <w:proofErr w:type="gramEnd"/>
            <w:r w:rsidRPr="00D522DC">
              <w:rPr>
                <w:rFonts w:ascii="標楷體" w:eastAsia="標楷體" w:hAnsi="標楷體" w:cs="Times New Roman" w:hint="eastAsia"/>
              </w:rPr>
              <w:t>結果，經列為</w:t>
            </w:r>
            <w:proofErr w:type="gramStart"/>
            <w:r w:rsidRPr="00D522DC">
              <w:rPr>
                <w:rFonts w:ascii="標楷體" w:eastAsia="標楷體" w:hAnsi="標楷體" w:cs="Times New Roman" w:hint="eastAsia"/>
              </w:rPr>
              <w:t>Ｄ</w:t>
            </w:r>
            <w:proofErr w:type="gramEnd"/>
            <w:r w:rsidRPr="00D522DC">
              <w:rPr>
                <w:rFonts w:ascii="標楷體" w:eastAsia="標楷體" w:hAnsi="標楷體" w:cs="Times New Roman" w:hint="eastAsia"/>
              </w:rPr>
              <w:t>級之發行人，於次一季調降其合格自有資本淨額百分之二十之發行額度</w:t>
            </w:r>
            <w:r w:rsidRPr="00DD0B63">
              <w:rPr>
                <w:rFonts w:ascii="標楷體" w:eastAsia="標楷體" w:hAnsi="標楷體" w:cs="Times New Roman" w:hint="eastAsia"/>
                <w:u w:val="single"/>
              </w:rPr>
              <w:t>；經列為</w:t>
            </w:r>
            <w:proofErr w:type="gramStart"/>
            <w:r w:rsidRPr="00DD0B63">
              <w:rPr>
                <w:rFonts w:ascii="標楷體" w:eastAsia="標楷體" w:hAnsi="標楷體" w:cs="Times New Roman" w:hint="eastAsia"/>
                <w:u w:val="single"/>
              </w:rPr>
              <w:t>Ｅ</w:t>
            </w:r>
            <w:proofErr w:type="gramEnd"/>
            <w:r w:rsidRPr="00DD0B63">
              <w:rPr>
                <w:rFonts w:ascii="標楷體" w:eastAsia="標楷體" w:hAnsi="標楷體" w:cs="Times New Roman" w:hint="eastAsia"/>
                <w:u w:val="single"/>
              </w:rPr>
              <w:t>級之發行人，證券交易所得函知發行人限制其一年內不得申請發行上市（櫃）權證</w:t>
            </w:r>
            <w:proofErr w:type="gramStart"/>
            <w:r w:rsidRPr="00DD0B63">
              <w:rPr>
                <w:rFonts w:ascii="標楷體" w:eastAsia="標楷體" w:hAnsi="標楷體" w:cs="Times New Roman" w:hint="eastAsia"/>
                <w:u w:val="single"/>
              </w:rPr>
              <w:t>並副陳主管機關</w:t>
            </w:r>
            <w:proofErr w:type="gramEnd"/>
            <w:r w:rsidRPr="00D522DC">
              <w:rPr>
                <w:rFonts w:ascii="標楷體" w:eastAsia="標楷體" w:hAnsi="標楷體" w:cs="Times New Roman" w:hint="eastAsia"/>
              </w:rPr>
              <w:t>。</w:t>
            </w:r>
          </w:p>
          <w:p w14:paraId="405CA32E" w14:textId="77777777" w:rsidR="00C4734B" w:rsidRPr="00D522DC" w:rsidRDefault="00C4734B" w:rsidP="00C4734B">
            <w:pPr>
              <w:spacing w:line="360" w:lineRule="exact"/>
              <w:ind w:leftChars="-42" w:left="-101"/>
              <w:jc w:val="both"/>
              <w:rPr>
                <w:rFonts w:ascii="標楷體" w:eastAsia="標楷體" w:hAnsi="標楷體" w:cs="Times New Roman"/>
              </w:rPr>
            </w:pPr>
          </w:p>
        </w:tc>
        <w:tc>
          <w:tcPr>
            <w:tcW w:w="2977" w:type="dxa"/>
          </w:tcPr>
          <w:p w14:paraId="3CECF94C" w14:textId="77777777" w:rsidR="007C7DA9" w:rsidRPr="00753075" w:rsidRDefault="00753075" w:rsidP="00F87A6B">
            <w:pPr>
              <w:pStyle w:val="ac"/>
              <w:rPr>
                <w:rFonts w:ascii="標楷體" w:eastAsia="標楷體" w:hAnsi="標楷體" w:cs="Times New Roman"/>
                <w:szCs w:val="24"/>
              </w:rPr>
            </w:pPr>
            <w:r w:rsidRPr="00753075">
              <w:rPr>
                <w:rFonts w:ascii="標楷體" w:eastAsia="標楷體" w:hAnsi="標楷體" w:cs="Times New Roman" w:hint="eastAsia"/>
                <w:szCs w:val="24"/>
              </w:rPr>
              <w:lastRenderedPageBreak/>
              <w:t>為尊重權證市場商品發展之多元性</w:t>
            </w:r>
            <w:r w:rsidR="00F93606">
              <w:rPr>
                <w:rFonts w:ascii="標楷體" w:eastAsia="標楷體" w:hAnsi="標楷體" w:cs="Times New Roman" w:hint="eastAsia"/>
                <w:szCs w:val="24"/>
              </w:rPr>
              <w:t>，</w:t>
            </w:r>
            <w:r w:rsidR="001E371C" w:rsidRPr="001E371C">
              <w:rPr>
                <w:rFonts w:ascii="標楷體" w:eastAsia="標楷體" w:hAnsi="標楷體" w:cs="Times New Roman" w:hint="eastAsia"/>
                <w:szCs w:val="24"/>
              </w:rPr>
              <w:t>考量</w:t>
            </w:r>
            <w:r w:rsidR="00F93606">
              <w:rPr>
                <w:rFonts w:ascii="標楷體" w:eastAsia="標楷體" w:hAnsi="標楷體" w:cs="Times New Roman" w:hint="eastAsia"/>
                <w:szCs w:val="24"/>
              </w:rPr>
              <w:t>發行人</w:t>
            </w:r>
            <w:r w:rsidR="00FC5616">
              <w:rPr>
                <w:rFonts w:ascii="標楷體" w:eastAsia="標楷體" w:hAnsi="標楷體" w:cs="Times New Roman" w:hint="eastAsia"/>
                <w:szCs w:val="24"/>
              </w:rPr>
              <w:t>因差異化</w:t>
            </w:r>
            <w:r w:rsidR="002E2CC3">
              <w:rPr>
                <w:rFonts w:ascii="標楷體" w:eastAsia="標楷體" w:hAnsi="標楷體" w:cs="Times New Roman" w:hint="eastAsia"/>
                <w:szCs w:val="24"/>
              </w:rPr>
              <w:t>發行</w:t>
            </w:r>
            <w:r w:rsidR="00FC5616">
              <w:rPr>
                <w:rFonts w:ascii="標楷體" w:eastAsia="標楷體" w:hAnsi="標楷體" w:cs="Times New Roman" w:hint="eastAsia"/>
                <w:szCs w:val="24"/>
              </w:rPr>
              <w:t>策略</w:t>
            </w:r>
            <w:r w:rsidR="002E2CC3">
              <w:rPr>
                <w:rFonts w:ascii="標楷體" w:eastAsia="標楷體" w:hAnsi="標楷體" w:cs="Times New Roman" w:hint="eastAsia"/>
                <w:szCs w:val="24"/>
              </w:rPr>
              <w:t>可能</w:t>
            </w:r>
            <w:r w:rsidR="00FC5616">
              <w:rPr>
                <w:rFonts w:ascii="標楷體" w:eastAsia="標楷體" w:hAnsi="標楷體" w:cs="Times New Roman" w:hint="eastAsia"/>
                <w:szCs w:val="24"/>
              </w:rPr>
              <w:t>被評等為E級而須退場，然其</w:t>
            </w:r>
            <w:r w:rsidR="00D13671">
              <w:rPr>
                <w:rFonts w:ascii="標楷體" w:eastAsia="標楷體" w:hAnsi="標楷體" w:cs="Times New Roman" w:hint="eastAsia"/>
                <w:szCs w:val="24"/>
              </w:rPr>
              <w:t>非無心經營權證</w:t>
            </w:r>
            <w:proofErr w:type="gramStart"/>
            <w:r w:rsidR="00D13671">
              <w:rPr>
                <w:rFonts w:ascii="標楷體" w:eastAsia="標楷體" w:hAnsi="標楷體" w:cs="Times New Roman" w:hint="eastAsia"/>
                <w:szCs w:val="24"/>
              </w:rPr>
              <w:t>業務或造市</w:t>
            </w:r>
            <w:proofErr w:type="gramEnd"/>
            <w:r w:rsidR="00D13671">
              <w:rPr>
                <w:rFonts w:ascii="標楷體" w:eastAsia="標楷體" w:hAnsi="標楷體" w:cs="Times New Roman" w:hint="eastAsia"/>
                <w:szCs w:val="24"/>
              </w:rPr>
              <w:t>品質不佳，</w:t>
            </w:r>
            <w:proofErr w:type="gramStart"/>
            <w:r w:rsidR="00FC5616">
              <w:rPr>
                <w:rFonts w:ascii="標楷體" w:eastAsia="標楷體" w:hAnsi="標楷體" w:cs="Times New Roman" w:hint="eastAsia"/>
                <w:szCs w:val="24"/>
              </w:rPr>
              <w:t>爰</w:t>
            </w:r>
            <w:proofErr w:type="gramEnd"/>
            <w:r w:rsidRPr="00753075">
              <w:rPr>
                <w:rFonts w:ascii="標楷體" w:eastAsia="標楷體" w:hAnsi="標楷體" w:cs="Times New Roman" w:hint="eastAsia"/>
                <w:szCs w:val="24"/>
              </w:rPr>
              <w:t>將</w:t>
            </w:r>
            <w:r w:rsidRPr="00753075">
              <w:rPr>
                <w:rFonts w:ascii="標楷體" w:eastAsia="標楷體" w:hAnsi="標楷體" w:cs="Times New Roman"/>
                <w:szCs w:val="24"/>
              </w:rPr>
              <w:t>E</w:t>
            </w:r>
            <w:r w:rsidRPr="00753075">
              <w:rPr>
                <w:rFonts w:ascii="標楷體" w:eastAsia="標楷體" w:hAnsi="標楷體" w:cs="Times New Roman" w:hint="eastAsia"/>
                <w:szCs w:val="24"/>
              </w:rPr>
              <w:t>級發行人</w:t>
            </w:r>
            <w:proofErr w:type="gramStart"/>
            <w:r w:rsidRPr="00753075">
              <w:rPr>
                <w:rFonts w:ascii="標楷體" w:eastAsia="標楷體" w:hAnsi="標楷體" w:cs="Times New Roman" w:hint="eastAsia"/>
                <w:szCs w:val="24"/>
              </w:rPr>
              <w:t>一</w:t>
            </w:r>
            <w:proofErr w:type="gramEnd"/>
            <w:r w:rsidRPr="00753075">
              <w:rPr>
                <w:rFonts w:ascii="標楷體" w:eastAsia="標楷體" w:hAnsi="標楷體" w:cs="Times New Roman" w:hint="eastAsia"/>
                <w:szCs w:val="24"/>
              </w:rPr>
              <w:t>年內不得發行權證之處罰措施，</w:t>
            </w:r>
            <w:proofErr w:type="gramStart"/>
            <w:r w:rsidRPr="00753075">
              <w:rPr>
                <w:rFonts w:ascii="標楷體" w:eastAsia="標楷體" w:hAnsi="標楷體" w:cs="Times New Roman" w:hint="eastAsia"/>
                <w:szCs w:val="24"/>
              </w:rPr>
              <w:t>調整為</w:t>
            </w:r>
            <w:r w:rsidR="009010D0">
              <w:rPr>
                <w:rFonts w:ascii="標楷體" w:eastAsia="標楷體" w:hAnsi="標楷體" w:cs="Times New Roman" w:hint="eastAsia"/>
                <w:szCs w:val="24"/>
              </w:rPr>
              <w:t>扣減</w:t>
            </w:r>
            <w:proofErr w:type="gramEnd"/>
            <w:r w:rsidR="009010D0" w:rsidRPr="009010D0">
              <w:rPr>
                <w:rFonts w:ascii="標楷體" w:eastAsia="標楷體" w:hAnsi="標楷體" w:cs="Times New Roman" w:hint="eastAsia"/>
                <w:szCs w:val="24"/>
              </w:rPr>
              <w:t>其合格自有資本淨額</w:t>
            </w:r>
            <w:r w:rsidR="00211489">
              <w:rPr>
                <w:rFonts w:ascii="標楷體" w:eastAsia="標楷體" w:hAnsi="標楷體" w:cs="Times New Roman" w:hint="eastAsia"/>
                <w:szCs w:val="24"/>
              </w:rPr>
              <w:t>40</w:t>
            </w:r>
            <w:r w:rsidRPr="00753075">
              <w:rPr>
                <w:rFonts w:ascii="標楷體" w:eastAsia="標楷體" w:hAnsi="標楷體" w:cs="Times New Roman"/>
                <w:szCs w:val="24"/>
              </w:rPr>
              <w:t>%</w:t>
            </w:r>
            <w:r w:rsidR="009010D0" w:rsidRPr="00F748F8">
              <w:rPr>
                <w:rFonts w:ascii="標楷體" w:eastAsia="標楷體" w:hAnsi="標楷體" w:cs="Times New Roman" w:hint="eastAsia"/>
              </w:rPr>
              <w:t>之發行額度</w:t>
            </w:r>
            <w:r w:rsidR="00FC5616">
              <w:rPr>
                <w:rFonts w:ascii="標楷體" w:eastAsia="標楷體" w:hAnsi="標楷體" w:cs="Times New Roman" w:hint="eastAsia"/>
                <w:szCs w:val="24"/>
              </w:rPr>
              <w:t>，並</w:t>
            </w:r>
            <w:r w:rsidRPr="00753075">
              <w:rPr>
                <w:rFonts w:ascii="標楷體" w:eastAsia="標楷體" w:hAnsi="標楷體" w:cs="Times New Roman" w:hint="eastAsia"/>
                <w:szCs w:val="24"/>
              </w:rPr>
              <w:t>修正本條規定。</w:t>
            </w:r>
          </w:p>
        </w:tc>
      </w:tr>
      <w:tr w:rsidR="00C4734B" w:rsidRPr="004E7F22" w14:paraId="5B798B45" w14:textId="77777777" w:rsidTr="00C4734B">
        <w:trPr>
          <w:trHeight w:val="6511"/>
        </w:trPr>
        <w:tc>
          <w:tcPr>
            <w:tcW w:w="3397" w:type="dxa"/>
          </w:tcPr>
          <w:p w14:paraId="1C1E201E" w14:textId="77777777" w:rsidR="00C4734B" w:rsidRPr="00D522DC" w:rsidRDefault="0075659C" w:rsidP="00C4734B">
            <w:pPr>
              <w:spacing w:line="360" w:lineRule="exact"/>
              <w:ind w:leftChars="-42" w:left="-101"/>
              <w:jc w:val="both"/>
              <w:rPr>
                <w:rFonts w:ascii="標楷體" w:eastAsia="標楷體" w:hAnsi="標楷體" w:cs="Times New Roman"/>
                <w:szCs w:val="24"/>
              </w:rPr>
            </w:pPr>
            <w:hyperlink r:id="rId10" w:history="1">
              <w:r w:rsidR="00C4734B" w:rsidRPr="00D522DC">
                <w:rPr>
                  <w:rFonts w:ascii="標楷體" w:eastAsia="標楷體" w:hAnsi="標楷體" w:cs="Times New Roman" w:hint="eastAsia"/>
                  <w:szCs w:val="24"/>
                </w:rPr>
                <w:t>第七條</w:t>
              </w:r>
            </w:hyperlink>
            <w:r w:rsidR="00C4734B" w:rsidRPr="00D522DC">
              <w:rPr>
                <w:rFonts w:ascii="標楷體" w:eastAsia="標楷體" w:hAnsi="標楷體" w:cs="Times New Roman"/>
                <w:szCs w:val="24"/>
              </w:rPr>
              <w:t xml:space="preserve"> </w:t>
            </w:r>
          </w:p>
          <w:p w14:paraId="4AC2D97E" w14:textId="77777777" w:rsidR="00C4734B" w:rsidRPr="00D522DC" w:rsidRDefault="00C4734B" w:rsidP="00C4734B">
            <w:pPr>
              <w:spacing w:line="360" w:lineRule="exact"/>
              <w:ind w:leftChars="-42" w:left="-101"/>
              <w:jc w:val="both"/>
              <w:rPr>
                <w:rFonts w:ascii="標楷體" w:eastAsia="標楷體" w:hAnsi="標楷體" w:cs="Times New Roman"/>
                <w:szCs w:val="24"/>
              </w:rPr>
            </w:pPr>
            <w:r w:rsidRPr="00D522DC">
              <w:rPr>
                <w:rFonts w:ascii="標楷體" w:eastAsia="標楷體" w:hAnsi="標楷體" w:cs="Times New Roman" w:hint="eastAsia"/>
                <w:szCs w:val="24"/>
              </w:rPr>
              <w:t>證券交易所於每一季之最後營業日依第五條規定評等為</w:t>
            </w:r>
            <w:proofErr w:type="gramStart"/>
            <w:r w:rsidRPr="00D522DC">
              <w:rPr>
                <w:rFonts w:ascii="標楷體" w:eastAsia="標楷體" w:hAnsi="標楷體" w:cs="Times New Roman" w:hint="eastAsia"/>
                <w:szCs w:val="24"/>
              </w:rPr>
              <w:t>Ａ</w:t>
            </w:r>
            <w:proofErr w:type="gramEnd"/>
            <w:r w:rsidRPr="00D522DC">
              <w:rPr>
                <w:rFonts w:ascii="標楷體" w:eastAsia="標楷體" w:hAnsi="標楷體" w:cs="Times New Roman" w:hint="eastAsia"/>
                <w:szCs w:val="24"/>
              </w:rPr>
              <w:t>級及</w:t>
            </w:r>
            <w:proofErr w:type="gramStart"/>
            <w:r w:rsidRPr="00D522DC">
              <w:rPr>
                <w:rFonts w:ascii="標楷體" w:eastAsia="標楷體" w:hAnsi="標楷體" w:cs="Times New Roman" w:hint="eastAsia"/>
                <w:szCs w:val="24"/>
              </w:rPr>
              <w:t>Ｂ</w:t>
            </w:r>
            <w:proofErr w:type="gramEnd"/>
            <w:r w:rsidRPr="00D522DC">
              <w:rPr>
                <w:rFonts w:ascii="標楷體" w:eastAsia="標楷體" w:hAnsi="標楷體" w:cs="Times New Roman" w:hint="eastAsia"/>
                <w:szCs w:val="24"/>
              </w:rPr>
              <w:t>級之發行人，如該季有下列情事之</w:t>
            </w:r>
            <w:proofErr w:type="gramStart"/>
            <w:r w:rsidRPr="00D522DC">
              <w:rPr>
                <w:rFonts w:ascii="標楷體" w:eastAsia="標楷體" w:hAnsi="標楷體" w:cs="Times New Roman" w:hint="eastAsia"/>
                <w:szCs w:val="24"/>
              </w:rPr>
              <w:t>一</w:t>
            </w:r>
            <w:proofErr w:type="gramEnd"/>
            <w:r w:rsidRPr="00D522DC">
              <w:rPr>
                <w:rFonts w:ascii="標楷體" w:eastAsia="標楷體" w:hAnsi="標楷體" w:cs="Times New Roman" w:hint="eastAsia"/>
                <w:szCs w:val="24"/>
              </w:rPr>
              <w:t>者，不得享有前條規定之獎勵：</w:t>
            </w:r>
          </w:p>
          <w:p w14:paraId="301E9243" w14:textId="77777777" w:rsidR="00C4734B" w:rsidRPr="00D522DC" w:rsidRDefault="00C4734B" w:rsidP="00C4734B">
            <w:pPr>
              <w:pStyle w:val="a8"/>
              <w:numPr>
                <w:ilvl w:val="0"/>
                <w:numId w:val="19"/>
              </w:numPr>
              <w:spacing w:line="360" w:lineRule="exact"/>
              <w:ind w:leftChars="0"/>
              <w:jc w:val="both"/>
              <w:rPr>
                <w:rFonts w:ascii="標楷體" w:eastAsia="標楷體" w:hAnsi="標楷體" w:cs="Times New Roman"/>
              </w:rPr>
            </w:pPr>
            <w:r w:rsidRPr="00D522DC">
              <w:rPr>
                <w:rFonts w:ascii="標楷體" w:eastAsia="標楷體" w:hAnsi="標楷體" w:cs="Times New Roman" w:hint="eastAsia"/>
              </w:rPr>
              <w:t>依認購（售）權證流動量提供者報價系統異常處理要點規定，輸入發生報價系統異常次數累計達五點（含）以上。</w:t>
            </w:r>
          </w:p>
          <w:p w14:paraId="1FDDE5DD" w14:textId="77777777" w:rsidR="00C4734B" w:rsidRPr="00D522DC" w:rsidRDefault="00C4734B" w:rsidP="00C4734B">
            <w:pPr>
              <w:pStyle w:val="a8"/>
              <w:numPr>
                <w:ilvl w:val="0"/>
                <w:numId w:val="19"/>
              </w:numPr>
              <w:spacing w:line="360" w:lineRule="exact"/>
              <w:ind w:leftChars="0"/>
              <w:jc w:val="both"/>
              <w:rPr>
                <w:rFonts w:ascii="標楷體" w:eastAsia="標楷體" w:hAnsi="標楷體" w:cs="Times New Roman"/>
              </w:rPr>
            </w:pPr>
            <w:r w:rsidRPr="00D522DC">
              <w:rPr>
                <w:rFonts w:ascii="標楷體" w:eastAsia="標楷體" w:hAnsi="標楷體" w:cs="Times New Roman" w:hint="eastAsia"/>
              </w:rPr>
              <w:t>違反證券交易所認購（售）權證上市審查準則、櫃檯中心證券商營業處所買賣認購（售）權證審查準則、證券交易所及櫃檯中心認購（售）權證流動量提供者作業要點等規定累計達二次（含）以上。</w:t>
            </w:r>
          </w:p>
          <w:p w14:paraId="1EC81ABE" w14:textId="77777777" w:rsidR="00C4734B" w:rsidRDefault="00C4734B" w:rsidP="00C4734B">
            <w:pPr>
              <w:spacing w:line="360" w:lineRule="exact"/>
              <w:ind w:leftChars="-42" w:left="-101"/>
              <w:jc w:val="both"/>
            </w:pPr>
            <w:r w:rsidRPr="00D522DC">
              <w:rPr>
                <w:rFonts w:ascii="標楷體" w:eastAsia="標楷體" w:hAnsi="標楷體" w:cs="Times New Roman" w:hint="eastAsia"/>
              </w:rPr>
              <w:lastRenderedPageBreak/>
              <w:t>證券交易所於每一季之最後營業日依第五條規定評等為</w:t>
            </w:r>
            <w:proofErr w:type="gramStart"/>
            <w:r w:rsidRPr="00D522DC">
              <w:rPr>
                <w:rFonts w:ascii="標楷體" w:eastAsia="標楷體" w:hAnsi="標楷體" w:cs="Times New Roman" w:hint="eastAsia"/>
              </w:rPr>
              <w:t>Ｃ</w:t>
            </w:r>
            <w:proofErr w:type="gramEnd"/>
            <w:r w:rsidRPr="00D522DC">
              <w:rPr>
                <w:rFonts w:ascii="標楷體" w:eastAsia="標楷體" w:hAnsi="標楷體" w:cs="Times New Roman" w:hint="eastAsia"/>
              </w:rPr>
              <w:t>級</w:t>
            </w:r>
            <w:r w:rsidRPr="00F748F8">
              <w:rPr>
                <w:rFonts w:ascii="標楷體" w:eastAsia="標楷體" w:hAnsi="標楷體" w:cs="Times New Roman" w:hint="eastAsia"/>
                <w:u w:val="single"/>
              </w:rPr>
              <w:t>、</w:t>
            </w:r>
            <w:proofErr w:type="gramStart"/>
            <w:r w:rsidRPr="00F748F8">
              <w:rPr>
                <w:rFonts w:ascii="標楷體" w:eastAsia="標楷體" w:hAnsi="標楷體" w:cs="Times New Roman" w:hint="eastAsia"/>
              </w:rPr>
              <w:t>Ｄ</w:t>
            </w:r>
            <w:proofErr w:type="gramEnd"/>
            <w:r w:rsidRPr="00F748F8">
              <w:rPr>
                <w:rFonts w:ascii="標楷體" w:eastAsia="標楷體" w:hAnsi="標楷體" w:cs="Times New Roman" w:hint="eastAsia"/>
              </w:rPr>
              <w:t>級</w:t>
            </w:r>
            <w:r w:rsidRPr="00F748F8">
              <w:rPr>
                <w:rFonts w:ascii="標楷體" w:eastAsia="標楷體" w:hAnsi="標楷體" w:cs="Times New Roman" w:hint="eastAsia"/>
                <w:u w:val="single"/>
              </w:rPr>
              <w:t>或E級</w:t>
            </w:r>
            <w:r w:rsidRPr="00F748F8">
              <w:rPr>
                <w:rFonts w:ascii="標楷體" w:eastAsia="標楷體" w:hAnsi="標楷體" w:cs="Times New Roman" w:hint="eastAsia"/>
              </w:rPr>
              <w:t>之發行人，如該季有前項所列情事之</w:t>
            </w:r>
            <w:proofErr w:type="gramStart"/>
            <w:r w:rsidRPr="00F748F8">
              <w:rPr>
                <w:rFonts w:ascii="標楷體" w:eastAsia="標楷體" w:hAnsi="標楷體" w:cs="Times New Roman" w:hint="eastAsia"/>
              </w:rPr>
              <w:t>一</w:t>
            </w:r>
            <w:proofErr w:type="gramEnd"/>
            <w:r w:rsidRPr="00F748F8">
              <w:rPr>
                <w:rFonts w:ascii="標楷體" w:eastAsia="標楷體" w:hAnsi="標楷體" w:cs="Times New Roman" w:hint="eastAsia"/>
              </w:rPr>
              <w:t>者，分別於次一季調降其合格自有資本淨額百分之十</w:t>
            </w:r>
            <w:r w:rsidRPr="00F748F8">
              <w:rPr>
                <w:rFonts w:ascii="標楷體" w:eastAsia="標楷體" w:hAnsi="標楷體" w:cs="Times New Roman" w:hint="eastAsia"/>
                <w:u w:val="single"/>
              </w:rPr>
              <w:t>、</w:t>
            </w:r>
            <w:r w:rsidRPr="00F748F8">
              <w:rPr>
                <w:rFonts w:ascii="標楷體" w:eastAsia="標楷體" w:hAnsi="標楷體" w:cs="Times New Roman" w:hint="eastAsia"/>
              </w:rPr>
              <w:t>百分之二十</w:t>
            </w:r>
            <w:r w:rsidRPr="00F748F8">
              <w:rPr>
                <w:rFonts w:ascii="標楷體" w:eastAsia="標楷體" w:hAnsi="標楷體" w:cs="Times New Roman" w:hint="eastAsia"/>
                <w:u w:val="single"/>
              </w:rPr>
              <w:t>或百分之三十</w:t>
            </w:r>
            <w:r w:rsidRPr="00F748F8">
              <w:rPr>
                <w:rFonts w:ascii="標楷體" w:eastAsia="標楷體" w:hAnsi="標楷體" w:cs="Times New Roman" w:hint="eastAsia"/>
              </w:rPr>
              <w:t>之發行額度</w:t>
            </w:r>
            <w:r w:rsidRPr="00D522DC">
              <w:rPr>
                <w:rFonts w:ascii="標楷體" w:eastAsia="標楷體" w:hAnsi="標楷體" w:cs="Times New Roman" w:hint="eastAsia"/>
              </w:rPr>
              <w:t>。</w:t>
            </w:r>
          </w:p>
        </w:tc>
        <w:tc>
          <w:tcPr>
            <w:tcW w:w="3402" w:type="dxa"/>
          </w:tcPr>
          <w:p w14:paraId="7DB69B20" w14:textId="77777777" w:rsidR="00C4734B" w:rsidRPr="00D522DC" w:rsidRDefault="0075659C" w:rsidP="00C4734B">
            <w:pPr>
              <w:spacing w:line="360" w:lineRule="exact"/>
              <w:ind w:leftChars="-42" w:left="-101"/>
              <w:jc w:val="both"/>
              <w:rPr>
                <w:rFonts w:ascii="標楷體" w:eastAsia="標楷體" w:hAnsi="標楷體" w:cs="Times New Roman"/>
                <w:szCs w:val="24"/>
              </w:rPr>
            </w:pPr>
            <w:hyperlink r:id="rId11" w:history="1">
              <w:r w:rsidR="00C4734B" w:rsidRPr="00D522DC">
                <w:rPr>
                  <w:rFonts w:ascii="標楷體" w:eastAsia="標楷體" w:hAnsi="標楷體" w:cs="Times New Roman" w:hint="eastAsia"/>
                  <w:szCs w:val="24"/>
                </w:rPr>
                <w:t>第七條</w:t>
              </w:r>
            </w:hyperlink>
            <w:r w:rsidR="00C4734B" w:rsidRPr="00D522DC">
              <w:rPr>
                <w:rFonts w:ascii="標楷體" w:eastAsia="標楷體" w:hAnsi="標楷體" w:cs="Times New Roman"/>
                <w:szCs w:val="24"/>
              </w:rPr>
              <w:t xml:space="preserve"> </w:t>
            </w:r>
          </w:p>
          <w:p w14:paraId="616A0BFD" w14:textId="77777777" w:rsidR="00C4734B" w:rsidRPr="00D522DC" w:rsidRDefault="00C4734B" w:rsidP="00C4734B">
            <w:pPr>
              <w:spacing w:line="360" w:lineRule="exact"/>
              <w:ind w:leftChars="-42" w:left="-101"/>
              <w:jc w:val="both"/>
              <w:rPr>
                <w:rFonts w:ascii="標楷體" w:eastAsia="標楷體" w:hAnsi="標楷體" w:cs="Times New Roman"/>
                <w:szCs w:val="24"/>
              </w:rPr>
            </w:pPr>
            <w:r w:rsidRPr="00D522DC">
              <w:rPr>
                <w:rFonts w:ascii="標楷體" w:eastAsia="標楷體" w:hAnsi="標楷體" w:cs="Times New Roman" w:hint="eastAsia"/>
                <w:szCs w:val="24"/>
              </w:rPr>
              <w:t>證券交易所於每一季之最後營業日依第五條規定評等為</w:t>
            </w:r>
            <w:proofErr w:type="gramStart"/>
            <w:r w:rsidRPr="00D522DC">
              <w:rPr>
                <w:rFonts w:ascii="標楷體" w:eastAsia="標楷體" w:hAnsi="標楷體" w:cs="Times New Roman" w:hint="eastAsia"/>
                <w:szCs w:val="24"/>
              </w:rPr>
              <w:t>Ａ</w:t>
            </w:r>
            <w:proofErr w:type="gramEnd"/>
            <w:r w:rsidRPr="00D522DC">
              <w:rPr>
                <w:rFonts w:ascii="標楷體" w:eastAsia="標楷體" w:hAnsi="標楷體" w:cs="Times New Roman" w:hint="eastAsia"/>
                <w:szCs w:val="24"/>
              </w:rPr>
              <w:t>級及</w:t>
            </w:r>
            <w:proofErr w:type="gramStart"/>
            <w:r w:rsidRPr="00D522DC">
              <w:rPr>
                <w:rFonts w:ascii="標楷體" w:eastAsia="標楷體" w:hAnsi="標楷體" w:cs="Times New Roman" w:hint="eastAsia"/>
                <w:szCs w:val="24"/>
              </w:rPr>
              <w:t>Ｂ</w:t>
            </w:r>
            <w:proofErr w:type="gramEnd"/>
            <w:r w:rsidRPr="00D522DC">
              <w:rPr>
                <w:rFonts w:ascii="標楷體" w:eastAsia="標楷體" w:hAnsi="標楷體" w:cs="Times New Roman" w:hint="eastAsia"/>
                <w:szCs w:val="24"/>
              </w:rPr>
              <w:t>級之發行人，如該季有下列情事之</w:t>
            </w:r>
            <w:proofErr w:type="gramStart"/>
            <w:r w:rsidRPr="00D522DC">
              <w:rPr>
                <w:rFonts w:ascii="標楷體" w:eastAsia="標楷體" w:hAnsi="標楷體" w:cs="Times New Roman" w:hint="eastAsia"/>
                <w:szCs w:val="24"/>
              </w:rPr>
              <w:t>一</w:t>
            </w:r>
            <w:proofErr w:type="gramEnd"/>
            <w:r w:rsidRPr="00D522DC">
              <w:rPr>
                <w:rFonts w:ascii="標楷體" w:eastAsia="標楷體" w:hAnsi="標楷體" w:cs="Times New Roman" w:hint="eastAsia"/>
                <w:szCs w:val="24"/>
              </w:rPr>
              <w:t>者，不得享有前條規定之獎勵：</w:t>
            </w:r>
          </w:p>
          <w:p w14:paraId="3C5AE25F" w14:textId="77777777" w:rsidR="00C4734B" w:rsidRPr="00D522DC" w:rsidRDefault="00C4734B" w:rsidP="00C4734B">
            <w:pPr>
              <w:pStyle w:val="a8"/>
              <w:numPr>
                <w:ilvl w:val="0"/>
                <w:numId w:val="20"/>
              </w:numPr>
              <w:spacing w:line="360" w:lineRule="exact"/>
              <w:ind w:leftChars="0"/>
              <w:jc w:val="both"/>
              <w:rPr>
                <w:rFonts w:ascii="標楷體" w:eastAsia="標楷體" w:hAnsi="標楷體" w:cs="Times New Roman"/>
              </w:rPr>
            </w:pPr>
            <w:r w:rsidRPr="00D522DC">
              <w:rPr>
                <w:rFonts w:ascii="標楷體" w:eastAsia="標楷體" w:hAnsi="標楷體" w:cs="Times New Roman" w:hint="eastAsia"/>
              </w:rPr>
              <w:t>依認購（售）權證流動量提供者報價系統異常處理要點規定，輸入發生報價系統異常次數累計達五點（含）以上。</w:t>
            </w:r>
          </w:p>
          <w:p w14:paraId="05AB1ADA" w14:textId="77777777" w:rsidR="00C4734B" w:rsidRPr="00D522DC" w:rsidRDefault="00C4734B" w:rsidP="00C4734B">
            <w:pPr>
              <w:pStyle w:val="a8"/>
              <w:numPr>
                <w:ilvl w:val="0"/>
                <w:numId w:val="20"/>
              </w:numPr>
              <w:spacing w:line="360" w:lineRule="exact"/>
              <w:ind w:leftChars="0"/>
              <w:jc w:val="both"/>
              <w:rPr>
                <w:rFonts w:ascii="標楷體" w:eastAsia="標楷體" w:hAnsi="標楷體" w:cs="Times New Roman"/>
              </w:rPr>
            </w:pPr>
            <w:r w:rsidRPr="00D522DC">
              <w:rPr>
                <w:rFonts w:ascii="標楷體" w:eastAsia="標楷體" w:hAnsi="標楷體" w:cs="Times New Roman" w:hint="eastAsia"/>
              </w:rPr>
              <w:t>違反證券交易所認購（售）權證上市審查準則、櫃檯中心證券商營業處所買賣認購（售）權證審查準則、證券交易所及櫃檯中心認購（售）權證流動量提供者作業要點等規定累計達二次（含）以上。</w:t>
            </w:r>
          </w:p>
          <w:p w14:paraId="1031C37D" w14:textId="77777777" w:rsidR="00C4734B" w:rsidRPr="00D522DC" w:rsidRDefault="00C4734B" w:rsidP="00C4734B">
            <w:pPr>
              <w:spacing w:line="360" w:lineRule="exact"/>
              <w:ind w:leftChars="-42" w:left="-101"/>
              <w:jc w:val="both"/>
              <w:rPr>
                <w:rFonts w:ascii="標楷體" w:eastAsia="標楷體" w:hAnsi="標楷體" w:cs="Times New Roman"/>
              </w:rPr>
            </w:pPr>
            <w:r w:rsidRPr="00D522DC">
              <w:rPr>
                <w:rFonts w:ascii="標楷體" w:eastAsia="標楷體" w:hAnsi="標楷體" w:cs="Times New Roman" w:hint="eastAsia"/>
              </w:rPr>
              <w:lastRenderedPageBreak/>
              <w:t>證券交易所於每一季之最後營業日依第五條規定評等為</w:t>
            </w:r>
            <w:proofErr w:type="gramStart"/>
            <w:r w:rsidRPr="00D522DC">
              <w:rPr>
                <w:rFonts w:ascii="標楷體" w:eastAsia="標楷體" w:hAnsi="標楷體" w:cs="Times New Roman" w:hint="eastAsia"/>
              </w:rPr>
              <w:t>Ｃ</w:t>
            </w:r>
            <w:proofErr w:type="gramEnd"/>
            <w:r w:rsidRPr="00D522DC">
              <w:rPr>
                <w:rFonts w:ascii="標楷體" w:eastAsia="標楷體" w:hAnsi="標楷體" w:cs="Times New Roman" w:hint="eastAsia"/>
              </w:rPr>
              <w:t>級</w:t>
            </w:r>
            <w:r w:rsidRPr="00F748F8">
              <w:rPr>
                <w:rFonts w:ascii="標楷體" w:eastAsia="標楷體" w:hAnsi="標楷體" w:cs="Times New Roman" w:hint="eastAsia"/>
                <w:u w:val="single"/>
              </w:rPr>
              <w:t>或</w:t>
            </w:r>
            <w:proofErr w:type="gramStart"/>
            <w:r w:rsidRPr="00F748F8">
              <w:rPr>
                <w:rFonts w:ascii="標楷體" w:eastAsia="標楷體" w:hAnsi="標楷體" w:cs="Times New Roman" w:hint="eastAsia"/>
              </w:rPr>
              <w:t>Ｄ</w:t>
            </w:r>
            <w:proofErr w:type="gramEnd"/>
            <w:r w:rsidRPr="00F748F8">
              <w:rPr>
                <w:rFonts w:ascii="標楷體" w:eastAsia="標楷體" w:hAnsi="標楷體" w:cs="Times New Roman" w:hint="eastAsia"/>
              </w:rPr>
              <w:t>級之發行人，如該季有前項所列情事之</w:t>
            </w:r>
            <w:proofErr w:type="gramStart"/>
            <w:r w:rsidRPr="00F748F8">
              <w:rPr>
                <w:rFonts w:ascii="標楷體" w:eastAsia="標楷體" w:hAnsi="標楷體" w:cs="Times New Roman" w:hint="eastAsia"/>
              </w:rPr>
              <w:t>一</w:t>
            </w:r>
            <w:proofErr w:type="gramEnd"/>
            <w:r w:rsidRPr="00F748F8">
              <w:rPr>
                <w:rFonts w:ascii="標楷體" w:eastAsia="標楷體" w:hAnsi="標楷體" w:cs="Times New Roman" w:hint="eastAsia"/>
              </w:rPr>
              <w:t>者，分別於次一季調降其合格自有資本淨額百分之十</w:t>
            </w:r>
            <w:r w:rsidRPr="00F748F8">
              <w:rPr>
                <w:rFonts w:ascii="標楷體" w:eastAsia="標楷體" w:hAnsi="標楷體" w:cs="Times New Roman" w:hint="eastAsia"/>
                <w:u w:val="single"/>
              </w:rPr>
              <w:t>或</w:t>
            </w:r>
            <w:r w:rsidRPr="00F748F8">
              <w:rPr>
                <w:rFonts w:ascii="標楷體" w:eastAsia="標楷體" w:hAnsi="標楷體" w:cs="Times New Roman" w:hint="eastAsia"/>
              </w:rPr>
              <w:t>百分之二十之發行額度</w:t>
            </w:r>
            <w:r w:rsidRPr="00D522DC">
              <w:rPr>
                <w:rFonts w:ascii="標楷體" w:eastAsia="標楷體" w:hAnsi="標楷體" w:cs="Times New Roman" w:hint="eastAsia"/>
              </w:rPr>
              <w:t>。</w:t>
            </w:r>
          </w:p>
          <w:p w14:paraId="60253EEA" w14:textId="77777777" w:rsidR="00C4734B" w:rsidRPr="00C4734B" w:rsidRDefault="00C4734B" w:rsidP="008B39F2">
            <w:pPr>
              <w:spacing w:line="360" w:lineRule="exact"/>
              <w:ind w:leftChars="-42" w:left="-101"/>
              <w:jc w:val="both"/>
            </w:pPr>
          </w:p>
        </w:tc>
        <w:tc>
          <w:tcPr>
            <w:tcW w:w="2977" w:type="dxa"/>
          </w:tcPr>
          <w:p w14:paraId="0FEB932B" w14:textId="77777777" w:rsidR="007C7DA9" w:rsidRDefault="00A14650" w:rsidP="00F87A6B">
            <w:pPr>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lastRenderedPageBreak/>
              <w:t>增訂E級發行人於</w:t>
            </w:r>
            <w:r w:rsidRPr="00D522DC">
              <w:rPr>
                <w:rFonts w:ascii="標楷體" w:eastAsia="標楷體" w:hAnsi="標楷體" w:cs="Times New Roman" w:hint="eastAsia"/>
              </w:rPr>
              <w:t>發生報價系統異常次數累計達五點（含）以上</w:t>
            </w:r>
            <w:r>
              <w:rPr>
                <w:rFonts w:ascii="標楷體" w:eastAsia="標楷體" w:hAnsi="標楷體" w:cs="Times New Roman" w:hint="eastAsia"/>
              </w:rPr>
              <w:t>，或違反</w:t>
            </w:r>
            <w:r w:rsidRPr="00D522DC">
              <w:rPr>
                <w:rFonts w:ascii="標楷體" w:eastAsia="標楷體" w:hAnsi="標楷體" w:cs="Times New Roman" w:hint="eastAsia"/>
              </w:rPr>
              <w:t>認購（售）權證流動量提供者作業要點等規定累計達二次（含）以上</w:t>
            </w:r>
            <w:r>
              <w:rPr>
                <w:rFonts w:ascii="標楷體" w:eastAsia="標楷體" w:hAnsi="標楷體" w:cs="Times New Roman" w:hint="eastAsia"/>
              </w:rPr>
              <w:t>者，</w:t>
            </w:r>
            <w:r w:rsidRPr="00F748F8">
              <w:rPr>
                <w:rFonts w:ascii="標楷體" w:eastAsia="標楷體" w:hAnsi="標楷體" w:cs="Times New Roman" w:hint="eastAsia"/>
              </w:rPr>
              <w:t>於次一季調降其合格自有資本淨額</w:t>
            </w:r>
            <w:r w:rsidR="00A138EC">
              <w:rPr>
                <w:rFonts w:ascii="標楷體" w:eastAsia="標楷體" w:hAnsi="標楷體" w:cs="Times New Roman" w:hint="eastAsia"/>
              </w:rPr>
              <w:t>3</w:t>
            </w:r>
            <w:r w:rsidR="00F87A6B">
              <w:rPr>
                <w:rFonts w:ascii="標楷體" w:eastAsia="標楷體" w:hAnsi="標楷體" w:cs="Times New Roman" w:hint="eastAsia"/>
              </w:rPr>
              <w:t>0%</w:t>
            </w:r>
            <w:r w:rsidRPr="00F748F8">
              <w:rPr>
                <w:rFonts w:ascii="標楷體" w:eastAsia="標楷體" w:hAnsi="標楷體" w:cs="Times New Roman" w:hint="eastAsia"/>
              </w:rPr>
              <w:t>之發行額度</w:t>
            </w:r>
            <w:r w:rsidR="00A138EC" w:rsidRPr="00753075">
              <w:rPr>
                <w:rFonts w:ascii="標楷體" w:eastAsia="標楷體" w:hAnsi="標楷體" w:cs="Times New Roman" w:hint="eastAsia"/>
                <w:szCs w:val="24"/>
              </w:rPr>
              <w:t>，</w:t>
            </w:r>
            <w:proofErr w:type="gramStart"/>
            <w:r w:rsidR="00A138EC" w:rsidRPr="00753075">
              <w:rPr>
                <w:rFonts w:ascii="標楷體" w:eastAsia="標楷體" w:hAnsi="標楷體" w:cs="Times New Roman" w:hint="eastAsia"/>
                <w:szCs w:val="24"/>
              </w:rPr>
              <w:t>爰</w:t>
            </w:r>
            <w:proofErr w:type="gramEnd"/>
            <w:r w:rsidR="00A138EC" w:rsidRPr="00753075">
              <w:rPr>
                <w:rFonts w:ascii="標楷體" w:eastAsia="標楷體" w:hAnsi="標楷體" w:cs="Times New Roman" w:hint="eastAsia"/>
                <w:szCs w:val="24"/>
              </w:rPr>
              <w:t>修正本條規定</w:t>
            </w:r>
            <w:r w:rsidR="00CB1F18">
              <w:rPr>
                <w:rFonts w:ascii="標楷體" w:eastAsia="標楷體" w:hAnsi="標楷體" w:cs="Times New Roman" w:hint="eastAsia"/>
                <w:color w:val="000000" w:themeColor="text1"/>
              </w:rPr>
              <w:t>。</w:t>
            </w:r>
          </w:p>
        </w:tc>
      </w:tr>
    </w:tbl>
    <w:p w14:paraId="60E0CE2D" w14:textId="77777777" w:rsidR="00B82940" w:rsidRPr="004E7F22" w:rsidRDefault="00B82940" w:rsidP="004E7F22">
      <w:pPr>
        <w:spacing w:line="360" w:lineRule="exact"/>
        <w:jc w:val="both"/>
        <w:rPr>
          <w:rFonts w:ascii="標楷體" w:eastAsia="標楷體" w:hAnsi="標楷體"/>
          <w:color w:val="000000" w:themeColor="text1"/>
        </w:rPr>
      </w:pPr>
    </w:p>
    <w:sectPr w:rsidR="00B82940" w:rsidRPr="004E7F22" w:rsidSect="00C4734B">
      <w:pgSz w:w="11906" w:h="16838"/>
      <w:pgMar w:top="851" w:right="1800"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D34C" w14:textId="77777777" w:rsidR="0075659C" w:rsidRDefault="0075659C" w:rsidP="006F6923">
      <w:r>
        <w:separator/>
      </w:r>
    </w:p>
  </w:endnote>
  <w:endnote w:type="continuationSeparator" w:id="0">
    <w:p w14:paraId="19E977A4" w14:textId="77777777" w:rsidR="0075659C" w:rsidRDefault="0075659C" w:rsidP="006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462D" w14:textId="77777777" w:rsidR="0075659C" w:rsidRDefault="0075659C" w:rsidP="006F6923">
      <w:r>
        <w:separator/>
      </w:r>
    </w:p>
  </w:footnote>
  <w:footnote w:type="continuationSeparator" w:id="0">
    <w:p w14:paraId="5EADF71D" w14:textId="77777777" w:rsidR="0075659C" w:rsidRDefault="0075659C" w:rsidP="006F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9B5"/>
    <w:multiLevelType w:val="hybridMultilevel"/>
    <w:tmpl w:val="2F94A452"/>
    <w:lvl w:ilvl="0" w:tplc="A48C209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 w15:restartNumberingAfterBreak="0">
    <w:nsid w:val="0B36489F"/>
    <w:multiLevelType w:val="hybridMultilevel"/>
    <w:tmpl w:val="598A763E"/>
    <w:lvl w:ilvl="0" w:tplc="EABCC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B3C4C"/>
    <w:multiLevelType w:val="hybridMultilevel"/>
    <w:tmpl w:val="9B9AD7F2"/>
    <w:lvl w:ilvl="0" w:tplc="0DEA2BB8">
      <w:start w:val="1"/>
      <w:numFmt w:val="taiwaneseCountingThousand"/>
      <w:lvlText w:val="%1、"/>
      <w:lvlJc w:val="left"/>
      <w:pPr>
        <w:ind w:left="341" w:hanging="480"/>
      </w:pPr>
      <w:rPr>
        <w:rFonts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3" w15:restartNumberingAfterBreak="0">
    <w:nsid w:val="0F9B5E27"/>
    <w:multiLevelType w:val="hybridMultilevel"/>
    <w:tmpl w:val="AD588D54"/>
    <w:lvl w:ilvl="0" w:tplc="A48C209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4" w15:restartNumberingAfterBreak="0">
    <w:nsid w:val="15AD36CA"/>
    <w:multiLevelType w:val="hybridMultilevel"/>
    <w:tmpl w:val="22FEBC70"/>
    <w:lvl w:ilvl="0" w:tplc="A48C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C7ACB"/>
    <w:multiLevelType w:val="hybridMultilevel"/>
    <w:tmpl w:val="53FC4DAE"/>
    <w:lvl w:ilvl="0" w:tplc="A48C209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1D9934FD"/>
    <w:multiLevelType w:val="hybridMultilevel"/>
    <w:tmpl w:val="933E5FF8"/>
    <w:lvl w:ilvl="0" w:tplc="3E4AE632">
      <w:start w:val="1"/>
      <w:numFmt w:val="taiwaneseCountingThousand"/>
      <w:lvlText w:val="%1、"/>
      <w:lvlJc w:val="left"/>
      <w:pPr>
        <w:ind w:left="502" w:hanging="615"/>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7" w15:restartNumberingAfterBreak="0">
    <w:nsid w:val="23041390"/>
    <w:multiLevelType w:val="hybridMultilevel"/>
    <w:tmpl w:val="27984870"/>
    <w:lvl w:ilvl="0" w:tplc="B2FAB57E">
      <w:start w:val="1"/>
      <w:numFmt w:val="taiwaneseCountingThousand"/>
      <w:lvlText w:val="（%1）"/>
      <w:lvlJc w:val="left"/>
      <w:pPr>
        <w:ind w:left="844" w:hanging="825"/>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8" w15:restartNumberingAfterBreak="0">
    <w:nsid w:val="2F2B5102"/>
    <w:multiLevelType w:val="hybridMultilevel"/>
    <w:tmpl w:val="0D049B1E"/>
    <w:lvl w:ilvl="0" w:tplc="D954117C">
      <w:start w:val="1"/>
      <w:numFmt w:val="taiwaneseCountingThousand"/>
      <w:lvlText w:val="%1、"/>
      <w:lvlJc w:val="left"/>
      <w:pPr>
        <w:ind w:left="349" w:hanging="45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9" w15:restartNumberingAfterBreak="0">
    <w:nsid w:val="326054BB"/>
    <w:multiLevelType w:val="hybridMultilevel"/>
    <w:tmpl w:val="B3E4DC88"/>
    <w:lvl w:ilvl="0" w:tplc="EEFCF33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594B64"/>
    <w:multiLevelType w:val="hybridMultilevel"/>
    <w:tmpl w:val="66BA8D18"/>
    <w:lvl w:ilvl="0" w:tplc="7AA8EB1E">
      <w:start w:val="1"/>
      <w:numFmt w:val="taiwaneseCountingThousand"/>
      <w:lvlText w:val="%1、"/>
      <w:lvlJc w:val="left"/>
      <w:pPr>
        <w:ind w:left="418" w:hanging="555"/>
      </w:pPr>
      <w:rPr>
        <w:rFonts w:hint="default"/>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11" w15:restartNumberingAfterBreak="0">
    <w:nsid w:val="35E70CCF"/>
    <w:multiLevelType w:val="hybridMultilevel"/>
    <w:tmpl w:val="20A22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2D0A4A"/>
    <w:multiLevelType w:val="hybridMultilevel"/>
    <w:tmpl w:val="53FC4DAE"/>
    <w:lvl w:ilvl="0" w:tplc="A48C209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3" w15:restartNumberingAfterBreak="0">
    <w:nsid w:val="53761BEE"/>
    <w:multiLevelType w:val="hybridMultilevel"/>
    <w:tmpl w:val="53FC4DAE"/>
    <w:lvl w:ilvl="0" w:tplc="A48C209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4" w15:restartNumberingAfterBreak="0">
    <w:nsid w:val="54B560C1"/>
    <w:multiLevelType w:val="hybridMultilevel"/>
    <w:tmpl w:val="8FAC4EA4"/>
    <w:lvl w:ilvl="0" w:tplc="42C27392">
      <w:start w:val="1"/>
      <w:numFmt w:val="taiwaneseCountingThousand"/>
      <w:lvlText w:val="%1、"/>
      <w:lvlJc w:val="left"/>
      <w:pPr>
        <w:ind w:left="384" w:hanging="384"/>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6D4A9F"/>
    <w:multiLevelType w:val="hybridMultilevel"/>
    <w:tmpl w:val="08BC9714"/>
    <w:lvl w:ilvl="0" w:tplc="75A6F4EE">
      <w:start w:val="1"/>
      <w:numFmt w:val="taiwaneseCountingThousand"/>
      <w:lvlText w:val="%1、"/>
      <w:lvlJc w:val="left"/>
      <w:pPr>
        <w:ind w:left="311" w:hanging="450"/>
      </w:pPr>
      <w:rPr>
        <w:rFonts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6" w15:restartNumberingAfterBreak="0">
    <w:nsid w:val="65D86443"/>
    <w:multiLevelType w:val="hybridMultilevel"/>
    <w:tmpl w:val="802ECBFA"/>
    <w:lvl w:ilvl="0" w:tplc="81FC0E5E">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7" w15:restartNumberingAfterBreak="0">
    <w:nsid w:val="67EA363C"/>
    <w:multiLevelType w:val="hybridMultilevel"/>
    <w:tmpl w:val="B84E3F72"/>
    <w:lvl w:ilvl="0" w:tplc="A48C2098">
      <w:start w:val="1"/>
      <w:numFmt w:val="taiwaneseCountingThousand"/>
      <w:lvlText w:val="%1、"/>
      <w:lvlJc w:val="left"/>
      <w:pPr>
        <w:ind w:left="311" w:hanging="450"/>
      </w:pPr>
      <w:rPr>
        <w:rFonts w:hint="default"/>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8" w15:restartNumberingAfterBreak="0">
    <w:nsid w:val="6C8A45F9"/>
    <w:multiLevelType w:val="hybridMultilevel"/>
    <w:tmpl w:val="177AF50E"/>
    <w:lvl w:ilvl="0" w:tplc="6D84C08A">
      <w:start w:val="1"/>
      <w:numFmt w:val="taiwaneseCountingThousand"/>
      <w:lvlText w:val="%1、"/>
      <w:lvlJc w:val="left"/>
      <w:pPr>
        <w:ind w:left="514" w:hanging="615"/>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7CD3017A"/>
    <w:multiLevelType w:val="hybridMultilevel"/>
    <w:tmpl w:val="53FC4DAE"/>
    <w:lvl w:ilvl="0" w:tplc="A48C209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num w:numId="1">
    <w:abstractNumId w:val="9"/>
  </w:num>
  <w:num w:numId="2">
    <w:abstractNumId w:val="1"/>
  </w:num>
  <w:num w:numId="3">
    <w:abstractNumId w:val="17"/>
  </w:num>
  <w:num w:numId="4">
    <w:abstractNumId w:val="15"/>
  </w:num>
  <w:num w:numId="5">
    <w:abstractNumId w:val="8"/>
  </w:num>
  <w:num w:numId="6">
    <w:abstractNumId w:val="2"/>
  </w:num>
  <w:num w:numId="7">
    <w:abstractNumId w:val="10"/>
  </w:num>
  <w:num w:numId="8">
    <w:abstractNumId w:val="6"/>
  </w:num>
  <w:num w:numId="9">
    <w:abstractNumId w:val="16"/>
  </w:num>
  <w:num w:numId="10">
    <w:abstractNumId w:val="18"/>
  </w:num>
  <w:num w:numId="11">
    <w:abstractNumId w:val="7"/>
  </w:num>
  <w:num w:numId="12">
    <w:abstractNumId w:val="3"/>
  </w:num>
  <w:num w:numId="13">
    <w:abstractNumId w:val="0"/>
  </w:num>
  <w:num w:numId="14">
    <w:abstractNumId w:val="11"/>
  </w:num>
  <w:num w:numId="15">
    <w:abstractNumId w:val="13"/>
  </w:num>
  <w:num w:numId="16">
    <w:abstractNumId w:val="4"/>
  </w:num>
  <w:num w:numId="17">
    <w:abstractNumId w:val="14"/>
  </w:num>
  <w:num w:numId="18">
    <w:abstractNumId w:val="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F5"/>
    <w:rsid w:val="000219E5"/>
    <w:rsid w:val="000224EE"/>
    <w:rsid w:val="00024F43"/>
    <w:rsid w:val="00025798"/>
    <w:rsid w:val="00031D57"/>
    <w:rsid w:val="00036409"/>
    <w:rsid w:val="0003704E"/>
    <w:rsid w:val="000476F8"/>
    <w:rsid w:val="00054F0C"/>
    <w:rsid w:val="00057445"/>
    <w:rsid w:val="000622D1"/>
    <w:rsid w:val="000653BA"/>
    <w:rsid w:val="00067697"/>
    <w:rsid w:val="000720F6"/>
    <w:rsid w:val="000730D4"/>
    <w:rsid w:val="000A0D61"/>
    <w:rsid w:val="000A53AF"/>
    <w:rsid w:val="000B7B4F"/>
    <w:rsid w:val="000D4132"/>
    <w:rsid w:val="000D6CA5"/>
    <w:rsid w:val="00111AE5"/>
    <w:rsid w:val="00113642"/>
    <w:rsid w:val="0014329A"/>
    <w:rsid w:val="0015455D"/>
    <w:rsid w:val="00180CEB"/>
    <w:rsid w:val="001863B0"/>
    <w:rsid w:val="001B101F"/>
    <w:rsid w:val="001C1A8F"/>
    <w:rsid w:val="001D2D3C"/>
    <w:rsid w:val="001E1E0F"/>
    <w:rsid w:val="001E371C"/>
    <w:rsid w:val="001F315F"/>
    <w:rsid w:val="00211489"/>
    <w:rsid w:val="00215F1D"/>
    <w:rsid w:val="002200BB"/>
    <w:rsid w:val="00222B37"/>
    <w:rsid w:val="00233BE1"/>
    <w:rsid w:val="00237FF2"/>
    <w:rsid w:val="00242E7B"/>
    <w:rsid w:val="00266EFB"/>
    <w:rsid w:val="00270873"/>
    <w:rsid w:val="00275993"/>
    <w:rsid w:val="002875CD"/>
    <w:rsid w:val="00295B3D"/>
    <w:rsid w:val="002A037E"/>
    <w:rsid w:val="002B3606"/>
    <w:rsid w:val="002B4D37"/>
    <w:rsid w:val="002B73E1"/>
    <w:rsid w:val="002C5EFF"/>
    <w:rsid w:val="002E2CC3"/>
    <w:rsid w:val="002F36AB"/>
    <w:rsid w:val="003214D7"/>
    <w:rsid w:val="00323AB9"/>
    <w:rsid w:val="0033674A"/>
    <w:rsid w:val="003416EE"/>
    <w:rsid w:val="00346801"/>
    <w:rsid w:val="0038502F"/>
    <w:rsid w:val="003E6F01"/>
    <w:rsid w:val="003E7A6F"/>
    <w:rsid w:val="00414E5D"/>
    <w:rsid w:val="00423140"/>
    <w:rsid w:val="004245D0"/>
    <w:rsid w:val="00427C57"/>
    <w:rsid w:val="00442989"/>
    <w:rsid w:val="00454D87"/>
    <w:rsid w:val="00486237"/>
    <w:rsid w:val="0048675D"/>
    <w:rsid w:val="004A1A36"/>
    <w:rsid w:val="004E6CD9"/>
    <w:rsid w:val="004E7F22"/>
    <w:rsid w:val="004F6255"/>
    <w:rsid w:val="005129C5"/>
    <w:rsid w:val="00520BCD"/>
    <w:rsid w:val="0052151D"/>
    <w:rsid w:val="005215F0"/>
    <w:rsid w:val="00523017"/>
    <w:rsid w:val="00535D64"/>
    <w:rsid w:val="0055153A"/>
    <w:rsid w:val="0055532D"/>
    <w:rsid w:val="0055539A"/>
    <w:rsid w:val="00571B79"/>
    <w:rsid w:val="005739DC"/>
    <w:rsid w:val="00592527"/>
    <w:rsid w:val="005A39D0"/>
    <w:rsid w:val="005B54E8"/>
    <w:rsid w:val="005E523D"/>
    <w:rsid w:val="00627E98"/>
    <w:rsid w:val="006535B1"/>
    <w:rsid w:val="0066249B"/>
    <w:rsid w:val="00662B74"/>
    <w:rsid w:val="0066786D"/>
    <w:rsid w:val="00670843"/>
    <w:rsid w:val="006719B3"/>
    <w:rsid w:val="00673E2C"/>
    <w:rsid w:val="00676DF4"/>
    <w:rsid w:val="00684ACE"/>
    <w:rsid w:val="006903C3"/>
    <w:rsid w:val="00690D7E"/>
    <w:rsid w:val="006963A3"/>
    <w:rsid w:val="006A3878"/>
    <w:rsid w:val="006C1DA1"/>
    <w:rsid w:val="006C2D0D"/>
    <w:rsid w:val="006C67C3"/>
    <w:rsid w:val="006D0611"/>
    <w:rsid w:val="006E43FA"/>
    <w:rsid w:val="006F67AC"/>
    <w:rsid w:val="006F6923"/>
    <w:rsid w:val="00724254"/>
    <w:rsid w:val="00725ED3"/>
    <w:rsid w:val="00733029"/>
    <w:rsid w:val="00737415"/>
    <w:rsid w:val="007407F5"/>
    <w:rsid w:val="00746746"/>
    <w:rsid w:val="00752391"/>
    <w:rsid w:val="00753075"/>
    <w:rsid w:val="0075659C"/>
    <w:rsid w:val="007677F8"/>
    <w:rsid w:val="00783FE4"/>
    <w:rsid w:val="007A5ED4"/>
    <w:rsid w:val="007B7DFE"/>
    <w:rsid w:val="007C2145"/>
    <w:rsid w:val="007C7DA9"/>
    <w:rsid w:val="007D2E9B"/>
    <w:rsid w:val="008026A8"/>
    <w:rsid w:val="00802D7D"/>
    <w:rsid w:val="00804E7A"/>
    <w:rsid w:val="008231B0"/>
    <w:rsid w:val="008259D0"/>
    <w:rsid w:val="00842386"/>
    <w:rsid w:val="008438D6"/>
    <w:rsid w:val="008447DA"/>
    <w:rsid w:val="00890414"/>
    <w:rsid w:val="008A02DE"/>
    <w:rsid w:val="008A58F2"/>
    <w:rsid w:val="008A69B0"/>
    <w:rsid w:val="008B39F2"/>
    <w:rsid w:val="008B67D9"/>
    <w:rsid w:val="008C37E3"/>
    <w:rsid w:val="008C4FC6"/>
    <w:rsid w:val="008D6177"/>
    <w:rsid w:val="008E5982"/>
    <w:rsid w:val="009010D0"/>
    <w:rsid w:val="00910F04"/>
    <w:rsid w:val="00913AC6"/>
    <w:rsid w:val="00921E13"/>
    <w:rsid w:val="00932FAB"/>
    <w:rsid w:val="0093375F"/>
    <w:rsid w:val="00941466"/>
    <w:rsid w:val="00942175"/>
    <w:rsid w:val="00953E97"/>
    <w:rsid w:val="009601AC"/>
    <w:rsid w:val="00967373"/>
    <w:rsid w:val="00987A0B"/>
    <w:rsid w:val="00996B0A"/>
    <w:rsid w:val="009B5B25"/>
    <w:rsid w:val="009B6505"/>
    <w:rsid w:val="009C0EC3"/>
    <w:rsid w:val="009C1008"/>
    <w:rsid w:val="009D5CF5"/>
    <w:rsid w:val="009E5519"/>
    <w:rsid w:val="009F2B6B"/>
    <w:rsid w:val="00A04CCC"/>
    <w:rsid w:val="00A138EC"/>
    <w:rsid w:val="00A14650"/>
    <w:rsid w:val="00A25B78"/>
    <w:rsid w:val="00A26A74"/>
    <w:rsid w:val="00A27055"/>
    <w:rsid w:val="00A40727"/>
    <w:rsid w:val="00A43BEF"/>
    <w:rsid w:val="00A51662"/>
    <w:rsid w:val="00A53D96"/>
    <w:rsid w:val="00A61C87"/>
    <w:rsid w:val="00A75793"/>
    <w:rsid w:val="00A76E1F"/>
    <w:rsid w:val="00A87C05"/>
    <w:rsid w:val="00A956BC"/>
    <w:rsid w:val="00AA24F1"/>
    <w:rsid w:val="00AA72EE"/>
    <w:rsid w:val="00AB3146"/>
    <w:rsid w:val="00AC4623"/>
    <w:rsid w:val="00AD0F05"/>
    <w:rsid w:val="00AD33B4"/>
    <w:rsid w:val="00AD5951"/>
    <w:rsid w:val="00B030FA"/>
    <w:rsid w:val="00B17D1B"/>
    <w:rsid w:val="00B20B09"/>
    <w:rsid w:val="00B81DEF"/>
    <w:rsid w:val="00B82940"/>
    <w:rsid w:val="00B94141"/>
    <w:rsid w:val="00B97B1B"/>
    <w:rsid w:val="00BA0CD5"/>
    <w:rsid w:val="00BA556F"/>
    <w:rsid w:val="00BC586F"/>
    <w:rsid w:val="00BC5B74"/>
    <w:rsid w:val="00BD618B"/>
    <w:rsid w:val="00BE35A6"/>
    <w:rsid w:val="00BF41B1"/>
    <w:rsid w:val="00BF52E4"/>
    <w:rsid w:val="00C05C20"/>
    <w:rsid w:val="00C106C8"/>
    <w:rsid w:val="00C2488D"/>
    <w:rsid w:val="00C412F1"/>
    <w:rsid w:val="00C43213"/>
    <w:rsid w:val="00C4734B"/>
    <w:rsid w:val="00C6116C"/>
    <w:rsid w:val="00C65F4C"/>
    <w:rsid w:val="00C676AD"/>
    <w:rsid w:val="00C71E7F"/>
    <w:rsid w:val="00C756CE"/>
    <w:rsid w:val="00C825AE"/>
    <w:rsid w:val="00C924DF"/>
    <w:rsid w:val="00C969E9"/>
    <w:rsid w:val="00CB0BBE"/>
    <w:rsid w:val="00CB1F18"/>
    <w:rsid w:val="00CB5203"/>
    <w:rsid w:val="00CD5CD6"/>
    <w:rsid w:val="00CF096C"/>
    <w:rsid w:val="00D02D8B"/>
    <w:rsid w:val="00D04687"/>
    <w:rsid w:val="00D13671"/>
    <w:rsid w:val="00D15D33"/>
    <w:rsid w:val="00D522DC"/>
    <w:rsid w:val="00D66885"/>
    <w:rsid w:val="00D765F2"/>
    <w:rsid w:val="00D76A9B"/>
    <w:rsid w:val="00D77CCC"/>
    <w:rsid w:val="00D828A9"/>
    <w:rsid w:val="00D96594"/>
    <w:rsid w:val="00DA3FF6"/>
    <w:rsid w:val="00DB4389"/>
    <w:rsid w:val="00DC1567"/>
    <w:rsid w:val="00DC75E5"/>
    <w:rsid w:val="00DD0639"/>
    <w:rsid w:val="00DD0B63"/>
    <w:rsid w:val="00DD6AD8"/>
    <w:rsid w:val="00DE0A44"/>
    <w:rsid w:val="00DE27E6"/>
    <w:rsid w:val="00DE7E1B"/>
    <w:rsid w:val="00E230C4"/>
    <w:rsid w:val="00E235E8"/>
    <w:rsid w:val="00E36EDF"/>
    <w:rsid w:val="00E454A6"/>
    <w:rsid w:val="00E56A3B"/>
    <w:rsid w:val="00E64876"/>
    <w:rsid w:val="00E65BC6"/>
    <w:rsid w:val="00E766DF"/>
    <w:rsid w:val="00E913D3"/>
    <w:rsid w:val="00EC3431"/>
    <w:rsid w:val="00F009CE"/>
    <w:rsid w:val="00F04DED"/>
    <w:rsid w:val="00F23E44"/>
    <w:rsid w:val="00F27CA0"/>
    <w:rsid w:val="00F370F8"/>
    <w:rsid w:val="00F42B81"/>
    <w:rsid w:val="00F53F96"/>
    <w:rsid w:val="00F73BF3"/>
    <w:rsid w:val="00F748F8"/>
    <w:rsid w:val="00F87A6B"/>
    <w:rsid w:val="00F93606"/>
    <w:rsid w:val="00F9441D"/>
    <w:rsid w:val="00FA16A5"/>
    <w:rsid w:val="00FA7D2D"/>
    <w:rsid w:val="00FC1BAA"/>
    <w:rsid w:val="00FC5616"/>
    <w:rsid w:val="00FE796B"/>
    <w:rsid w:val="00FF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D4C0E"/>
  <w15:chartTrackingRefBased/>
  <w15:docId w15:val="{4118B4A4-0451-4BEF-B1CD-8F809A1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923"/>
    <w:pPr>
      <w:tabs>
        <w:tab w:val="center" w:pos="4153"/>
        <w:tab w:val="right" w:pos="8306"/>
      </w:tabs>
      <w:snapToGrid w:val="0"/>
    </w:pPr>
    <w:rPr>
      <w:sz w:val="20"/>
      <w:szCs w:val="20"/>
    </w:rPr>
  </w:style>
  <w:style w:type="character" w:customStyle="1" w:styleId="a5">
    <w:name w:val="頁首 字元"/>
    <w:basedOn w:val="a0"/>
    <w:link w:val="a4"/>
    <w:uiPriority w:val="99"/>
    <w:rsid w:val="006F6923"/>
    <w:rPr>
      <w:sz w:val="20"/>
      <w:szCs w:val="20"/>
    </w:rPr>
  </w:style>
  <w:style w:type="paragraph" w:styleId="a6">
    <w:name w:val="footer"/>
    <w:basedOn w:val="a"/>
    <w:link w:val="a7"/>
    <w:uiPriority w:val="99"/>
    <w:unhideWhenUsed/>
    <w:rsid w:val="006F6923"/>
    <w:pPr>
      <w:tabs>
        <w:tab w:val="center" w:pos="4153"/>
        <w:tab w:val="right" w:pos="8306"/>
      </w:tabs>
      <w:snapToGrid w:val="0"/>
    </w:pPr>
    <w:rPr>
      <w:sz w:val="20"/>
      <w:szCs w:val="20"/>
    </w:rPr>
  </w:style>
  <w:style w:type="character" w:customStyle="1" w:styleId="a7">
    <w:name w:val="頁尾 字元"/>
    <w:basedOn w:val="a0"/>
    <w:link w:val="a6"/>
    <w:uiPriority w:val="99"/>
    <w:rsid w:val="006F6923"/>
    <w:rPr>
      <w:sz w:val="20"/>
      <w:szCs w:val="20"/>
    </w:rPr>
  </w:style>
  <w:style w:type="paragraph" w:styleId="a8">
    <w:name w:val="List Paragraph"/>
    <w:basedOn w:val="a"/>
    <w:uiPriority w:val="34"/>
    <w:qFormat/>
    <w:rsid w:val="00222B37"/>
    <w:pPr>
      <w:ind w:leftChars="200" w:left="480"/>
    </w:pPr>
  </w:style>
  <w:style w:type="paragraph" w:styleId="a9">
    <w:name w:val="Balloon Text"/>
    <w:basedOn w:val="a"/>
    <w:link w:val="aa"/>
    <w:uiPriority w:val="99"/>
    <w:semiHidden/>
    <w:unhideWhenUsed/>
    <w:rsid w:val="00DE7E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E1B"/>
    <w:rPr>
      <w:rFonts w:asciiTheme="majorHAnsi" w:eastAsiaTheme="majorEastAsia" w:hAnsiTheme="majorHAnsi" w:cstheme="majorBidi"/>
      <w:sz w:val="18"/>
      <w:szCs w:val="18"/>
    </w:rPr>
  </w:style>
  <w:style w:type="character" w:styleId="ab">
    <w:name w:val="Placeholder Text"/>
    <w:basedOn w:val="a0"/>
    <w:uiPriority w:val="99"/>
    <w:semiHidden/>
    <w:rsid w:val="00D96594"/>
    <w:rPr>
      <w:color w:val="808080"/>
    </w:rPr>
  </w:style>
  <w:style w:type="paragraph" w:styleId="ac">
    <w:name w:val="Plain Text"/>
    <w:basedOn w:val="a"/>
    <w:link w:val="ad"/>
    <w:uiPriority w:val="99"/>
    <w:unhideWhenUsed/>
    <w:rsid w:val="00753075"/>
    <w:rPr>
      <w:rFonts w:ascii="Calibri" w:eastAsia="新細明體" w:hAnsi="Courier New" w:cs="Courier New"/>
    </w:rPr>
  </w:style>
  <w:style w:type="character" w:customStyle="1" w:styleId="ad">
    <w:name w:val="純文字 字元"/>
    <w:basedOn w:val="a0"/>
    <w:link w:val="ac"/>
    <w:uiPriority w:val="99"/>
    <w:rsid w:val="00753075"/>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8167">
      <w:bodyDiv w:val="1"/>
      <w:marLeft w:val="0"/>
      <w:marRight w:val="0"/>
      <w:marTop w:val="0"/>
      <w:marBottom w:val="0"/>
      <w:divBdr>
        <w:top w:val="none" w:sz="0" w:space="0" w:color="auto"/>
        <w:left w:val="none" w:sz="0" w:space="0" w:color="auto"/>
        <w:bottom w:val="none" w:sz="0" w:space="0" w:color="auto"/>
        <w:right w:val="none" w:sz="0" w:space="0" w:color="auto"/>
      </w:divBdr>
    </w:div>
    <w:div w:id="1303921863">
      <w:bodyDiv w:val="1"/>
      <w:marLeft w:val="0"/>
      <w:marRight w:val="0"/>
      <w:marTop w:val="0"/>
      <w:marBottom w:val="0"/>
      <w:divBdr>
        <w:top w:val="none" w:sz="0" w:space="0" w:color="auto"/>
        <w:left w:val="none" w:sz="0" w:space="0" w:color="auto"/>
        <w:bottom w:val="none" w:sz="0" w:space="0" w:color="auto"/>
        <w:right w:val="none" w:sz="0" w:space="0" w:color="auto"/>
      </w:divBdr>
    </w:div>
    <w:div w:id="20836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1852&amp;ModifyDate=1070214&amp;LawNO=3000&amp;k1=&amp;k2=&amp;k3=&amp;c1=&amp;c2=&amp;ak1=&amp;ak2=&amp;ak3=&amp;ac1=&amp;ac2=&amp;rng=&amp;SLawNO=&amp;ELaw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LawArticleRef.aspx?LawID=G0101852&amp;ModifyDate=1070214&amp;LawNO=3000&amp;k1=&amp;k2=&amp;k3=&amp;c1=&amp;c2=&amp;ak1=&amp;ak2=&amp;ak3=&amp;ac1=&amp;ac2=&amp;rng=&amp;SLawNO=&amp;ELawNO=" TargetMode="External"/><Relationship Id="rId5" Type="http://schemas.openxmlformats.org/officeDocument/2006/relationships/webSettings" Target="webSettings.xml"/><Relationship Id="rId10" Type="http://schemas.openxmlformats.org/officeDocument/2006/relationships/hyperlink" Target="http://www.selaw.com.tw/LawArticleRef.aspx?LawID=G0101852&amp;ModifyDate=1070214&amp;LawNO=3000&amp;k1=&amp;k2=&amp;k3=&amp;c1=&amp;c2=&amp;ak1=&amp;ak2=&amp;ak3=&amp;ac1=&amp;ac2=&amp;rng=&amp;SLawNO=&amp;ELawNO=" TargetMode="External"/><Relationship Id="rId4" Type="http://schemas.openxmlformats.org/officeDocument/2006/relationships/settings" Target="settings.xml"/><Relationship Id="rId9" Type="http://schemas.openxmlformats.org/officeDocument/2006/relationships/hyperlink" Target="http://www.selaw.com.tw/LawArticleRef.aspx?LawID=G0101852&amp;ModifyDate=1070214&amp;LawNO=3000&amp;k1=&amp;k2=&amp;k3=&amp;c1=&amp;c2=&amp;ak1=&amp;ak2=&amp;ak3=&amp;ac1=&amp;ac2=&amp;rng=&amp;SLawNO=&amp;ELawN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F022-F6FB-4E00-ADB3-929992BB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2342</Characters>
  <Application>Microsoft Office Word</Application>
  <DocSecurity>0</DocSecurity>
  <Lines>19</Lines>
  <Paragraphs>5</Paragraphs>
  <ScaleCrop>false</ScaleCrop>
  <Company>TWSE 臺灣證券交易所</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吳心怡</dc:creator>
  <cp:keywords/>
  <dc:description/>
  <cp:lastModifiedBy>湯鐵漢</cp:lastModifiedBy>
  <cp:revision>3</cp:revision>
  <cp:lastPrinted>2022-07-15T09:27:00Z</cp:lastPrinted>
  <dcterms:created xsi:type="dcterms:W3CDTF">2022-11-11T05:57:00Z</dcterms:created>
  <dcterms:modified xsi:type="dcterms:W3CDTF">2022-11-15T10:15:00Z</dcterms:modified>
</cp:coreProperties>
</file>