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38EF" w14:textId="17F5FC74" w:rsidR="0038253D" w:rsidRPr="0038253D" w:rsidRDefault="0038253D" w:rsidP="0038253D">
      <w:pPr>
        <w:overflowPunct w:val="0"/>
        <w:spacing w:line="360" w:lineRule="auto"/>
        <w:jc w:val="center"/>
        <w:rPr>
          <w:rFonts w:ascii="標楷體" w:eastAsia="標楷體" w:hAnsi="新細明體"/>
          <w:b/>
          <w:bCs/>
          <w:color w:val="000000"/>
          <w:sz w:val="36"/>
          <w:szCs w:val="36"/>
        </w:rPr>
      </w:pPr>
      <w:r w:rsidRPr="001B0F9F">
        <w:rPr>
          <w:rFonts w:ascii="標楷體" w:eastAsia="標楷體" w:hAnsi="新細明體" w:hint="eastAsia"/>
          <w:b/>
          <w:bCs/>
          <w:color w:val="000000"/>
          <w:sz w:val="36"/>
          <w:szCs w:val="36"/>
        </w:rPr>
        <w:t>財團法人中華民國證券櫃檯買賣中心</w:t>
      </w:r>
    </w:p>
    <w:p w14:paraId="0B257881" w14:textId="77777777" w:rsidR="0038253D" w:rsidRPr="0038253D" w:rsidRDefault="00104B04" w:rsidP="0038253D">
      <w:pPr>
        <w:spacing w:line="420" w:lineRule="exact"/>
        <w:ind w:left="1070" w:hangingChars="297" w:hanging="1070"/>
        <w:jc w:val="center"/>
        <w:rPr>
          <w:rFonts w:ascii="標楷體" w:eastAsia="標楷體" w:hAnsi="新細明體"/>
          <w:b/>
          <w:bCs/>
          <w:color w:val="000000"/>
          <w:sz w:val="36"/>
          <w:szCs w:val="36"/>
        </w:rPr>
      </w:pPr>
      <w:r w:rsidRPr="0038253D">
        <w:rPr>
          <w:rFonts w:ascii="標楷體" w:eastAsia="標楷體" w:hAnsi="新細明體" w:hint="eastAsia"/>
          <w:b/>
          <w:bCs/>
          <w:color w:val="000000"/>
          <w:sz w:val="36"/>
          <w:szCs w:val="36"/>
        </w:rPr>
        <w:t>「</w:t>
      </w:r>
      <w:r w:rsidR="00C2220B" w:rsidRPr="0038253D">
        <w:rPr>
          <w:rFonts w:ascii="標楷體" w:eastAsia="標楷體" w:hAnsi="新細明體"/>
          <w:b/>
          <w:bCs/>
          <w:color w:val="000000"/>
          <w:sz w:val="36"/>
          <w:szCs w:val="36"/>
        </w:rPr>
        <w:t>證券商營業處所買賣有價證券業務規則</w:t>
      </w:r>
      <w:r w:rsidRPr="0038253D">
        <w:rPr>
          <w:rFonts w:ascii="標楷體" w:eastAsia="標楷體" w:hAnsi="新細明體" w:hint="eastAsia"/>
          <w:b/>
          <w:bCs/>
          <w:color w:val="000000"/>
          <w:sz w:val="36"/>
          <w:szCs w:val="36"/>
        </w:rPr>
        <w:t>」等</w:t>
      </w:r>
      <w:r w:rsidR="00885CFF" w:rsidRPr="0038253D">
        <w:rPr>
          <w:rFonts w:ascii="標楷體" w:eastAsia="標楷體" w:hAnsi="新細明體" w:hint="eastAsia"/>
          <w:b/>
          <w:bCs/>
          <w:color w:val="000000"/>
          <w:sz w:val="36"/>
          <w:szCs w:val="36"/>
        </w:rPr>
        <w:t>9</w:t>
      </w:r>
      <w:r w:rsidRPr="0038253D">
        <w:rPr>
          <w:rFonts w:ascii="標楷體" w:eastAsia="標楷體" w:hAnsi="新細明體" w:hint="eastAsia"/>
          <w:b/>
          <w:bCs/>
          <w:color w:val="000000"/>
          <w:sz w:val="36"/>
          <w:szCs w:val="36"/>
        </w:rPr>
        <w:t>項</w:t>
      </w:r>
    </w:p>
    <w:p w14:paraId="0AB5391D" w14:textId="0995DD09" w:rsidR="00104B04" w:rsidRPr="0038253D" w:rsidRDefault="00104B04" w:rsidP="0038253D">
      <w:pPr>
        <w:overflowPunct w:val="0"/>
        <w:spacing w:line="360" w:lineRule="auto"/>
        <w:jc w:val="center"/>
        <w:rPr>
          <w:rFonts w:ascii="標楷體" w:eastAsia="標楷體" w:hAnsi="新細明體"/>
          <w:b/>
          <w:bCs/>
          <w:color w:val="000000"/>
          <w:sz w:val="36"/>
          <w:szCs w:val="36"/>
        </w:rPr>
      </w:pPr>
      <w:r w:rsidRPr="0038253D">
        <w:rPr>
          <w:rFonts w:ascii="標楷體" w:eastAsia="標楷體" w:hAnsi="新細明體" w:hint="eastAsia"/>
          <w:b/>
          <w:bCs/>
          <w:color w:val="000000"/>
          <w:sz w:val="36"/>
          <w:szCs w:val="36"/>
        </w:rPr>
        <w:t>規章修正總說明</w:t>
      </w:r>
    </w:p>
    <w:p w14:paraId="492D18F6" w14:textId="7A613510" w:rsidR="006E009A" w:rsidRPr="00913928" w:rsidRDefault="00885CFF" w:rsidP="0038253D">
      <w:pPr>
        <w:spacing w:beforeLines="50" w:before="180" w:line="420" w:lineRule="exact"/>
        <w:ind w:firstLineChars="202" w:firstLine="566"/>
        <w:jc w:val="both"/>
        <w:rPr>
          <w:rFonts w:ascii="標楷體" w:eastAsia="標楷體" w:hAnsi="標楷體"/>
          <w:sz w:val="28"/>
          <w:szCs w:val="28"/>
        </w:rPr>
      </w:pPr>
      <w:r w:rsidRPr="00885CFF">
        <w:rPr>
          <w:rFonts w:ascii="標楷體" w:eastAsia="標楷體" w:hAnsi="標楷體" w:cs="Times New Roman" w:hint="eastAsia"/>
          <w:color w:val="000000"/>
          <w:sz w:val="28"/>
          <w:szCs w:val="28"/>
        </w:rPr>
        <w:t>為發展我國上櫃ETF市場及協助</w:t>
      </w:r>
      <w:r w:rsidR="00F709CE">
        <w:rPr>
          <w:rFonts w:ascii="標楷體" w:eastAsia="標楷體" w:hAnsi="標楷體" w:cs="Times New Roman" w:hint="eastAsia"/>
          <w:color w:val="000000"/>
          <w:sz w:val="28"/>
          <w:szCs w:val="28"/>
        </w:rPr>
        <w:t>證券投資信託事業</w:t>
      </w:r>
      <w:r w:rsidRPr="00885CFF">
        <w:rPr>
          <w:rFonts w:ascii="標楷體" w:eastAsia="標楷體" w:hAnsi="標楷體" w:cs="Times New Roman" w:hint="eastAsia"/>
          <w:color w:val="000000"/>
          <w:sz w:val="28"/>
          <w:szCs w:val="28"/>
        </w:rPr>
        <w:t>拓展ETF業務，與滿足投資人外幣投資需求，本中心規劃開放</w:t>
      </w:r>
      <w:r w:rsidR="00F709CE">
        <w:rPr>
          <w:rFonts w:ascii="標楷體" w:eastAsia="標楷體" w:hAnsi="標楷體" w:cs="Times New Roman" w:hint="eastAsia"/>
          <w:color w:val="000000"/>
          <w:sz w:val="28"/>
          <w:szCs w:val="28"/>
        </w:rPr>
        <w:t>證券投資信託事業</w:t>
      </w:r>
      <w:r w:rsidRPr="00885CFF">
        <w:rPr>
          <w:rFonts w:ascii="標楷體" w:eastAsia="標楷體" w:hAnsi="標楷體" w:cs="Times New Roman" w:hint="eastAsia"/>
          <w:color w:val="000000"/>
          <w:sz w:val="28"/>
          <w:szCs w:val="28"/>
        </w:rPr>
        <w:t>得</w:t>
      </w:r>
      <w:r w:rsidR="00BF7D58">
        <w:rPr>
          <w:rFonts w:ascii="標楷體" w:eastAsia="標楷體" w:hAnsi="標楷體" w:cs="Times New Roman" w:hint="eastAsia"/>
          <w:color w:val="000000"/>
          <w:sz w:val="28"/>
          <w:szCs w:val="28"/>
        </w:rPr>
        <w:t>為其</w:t>
      </w:r>
      <w:r w:rsidRPr="00885CFF">
        <w:rPr>
          <w:rFonts w:ascii="標楷體" w:eastAsia="標楷體" w:hAnsi="標楷體" w:cs="Times New Roman" w:hint="eastAsia"/>
          <w:color w:val="000000"/>
          <w:sz w:val="28"/>
          <w:szCs w:val="28"/>
        </w:rPr>
        <w:t>新臺幣ETF</w:t>
      </w:r>
      <w:r w:rsidR="00BF7D58" w:rsidRPr="00885CFF">
        <w:rPr>
          <w:rFonts w:ascii="標楷體" w:eastAsia="標楷體" w:hAnsi="標楷體" w:cs="Times New Roman" w:hint="eastAsia"/>
          <w:color w:val="000000"/>
          <w:sz w:val="28"/>
          <w:szCs w:val="28"/>
        </w:rPr>
        <w:t>申請</w:t>
      </w:r>
      <w:r w:rsidRPr="00885CFF">
        <w:rPr>
          <w:rFonts w:ascii="標楷體" w:eastAsia="標楷體" w:hAnsi="標楷體" w:cs="Times New Roman" w:hint="eastAsia"/>
          <w:color w:val="000000"/>
          <w:sz w:val="28"/>
          <w:szCs w:val="28"/>
        </w:rPr>
        <w:t>加掛其他幣別</w:t>
      </w:r>
      <w:proofErr w:type="gramStart"/>
      <w:r w:rsidR="00A5059D">
        <w:rPr>
          <w:rFonts w:ascii="標楷體" w:eastAsia="標楷體" w:hAnsi="標楷體" w:cs="Times New Roman" w:hint="eastAsia"/>
          <w:color w:val="000000"/>
          <w:sz w:val="28"/>
          <w:szCs w:val="28"/>
        </w:rPr>
        <w:t>之</w:t>
      </w:r>
      <w:proofErr w:type="gramEnd"/>
      <w:r w:rsidR="00A5059D">
        <w:rPr>
          <w:rFonts w:ascii="標楷體" w:eastAsia="標楷體" w:hAnsi="標楷體" w:cs="Times New Roman" w:hint="eastAsia"/>
          <w:color w:val="000000"/>
          <w:sz w:val="28"/>
          <w:szCs w:val="28"/>
        </w:rPr>
        <w:t>受益憑證</w:t>
      </w:r>
      <w:r w:rsidRPr="00885CFF">
        <w:rPr>
          <w:rFonts w:ascii="標楷體" w:eastAsia="標楷體" w:hAnsi="標楷體" w:cs="Times New Roman" w:hint="eastAsia"/>
          <w:color w:val="000000"/>
          <w:sz w:val="28"/>
          <w:szCs w:val="28"/>
        </w:rPr>
        <w:t>(以下簡稱加掛ETF</w:t>
      </w:r>
      <w:r w:rsidR="00A5059D">
        <w:rPr>
          <w:rFonts w:ascii="標楷體" w:eastAsia="標楷體" w:hAnsi="標楷體" w:cs="Times New Roman" w:hint="eastAsia"/>
          <w:color w:val="000000"/>
          <w:sz w:val="28"/>
          <w:szCs w:val="28"/>
        </w:rPr>
        <w:t>受益憑證</w:t>
      </w:r>
      <w:r w:rsidRPr="00885CFF">
        <w:rPr>
          <w:rFonts w:ascii="標楷體" w:eastAsia="標楷體" w:hAnsi="標楷體" w:cs="Times New Roman" w:hint="eastAsia"/>
          <w:color w:val="000000"/>
          <w:sz w:val="28"/>
          <w:szCs w:val="28"/>
        </w:rPr>
        <w:t>)櫃檯買賣</w:t>
      </w:r>
      <w:r w:rsidR="00BF7D58">
        <w:rPr>
          <w:rFonts w:ascii="新細明體" w:eastAsia="新細明體" w:hAnsi="新細明體" w:cs="Times New Roman" w:hint="eastAsia"/>
          <w:color w:val="000000"/>
          <w:sz w:val="28"/>
          <w:szCs w:val="28"/>
        </w:rPr>
        <w:t>，</w:t>
      </w:r>
      <w:r w:rsidR="00BF7D58">
        <w:rPr>
          <w:rFonts w:ascii="標楷體" w:eastAsia="標楷體" w:hAnsi="標楷體" w:cs="Times New Roman" w:hint="eastAsia"/>
          <w:color w:val="000000"/>
          <w:sz w:val="28"/>
          <w:szCs w:val="28"/>
        </w:rPr>
        <w:t>以及開放</w:t>
      </w:r>
      <w:r w:rsidR="002D4769" w:rsidRPr="00885CFF">
        <w:rPr>
          <w:rFonts w:ascii="標楷體" w:eastAsia="標楷體" w:hAnsi="標楷體" w:cs="Times New Roman" w:hint="eastAsia"/>
          <w:color w:val="000000"/>
          <w:sz w:val="28"/>
          <w:szCs w:val="28"/>
        </w:rPr>
        <w:t>加掛ETF</w:t>
      </w:r>
      <w:r w:rsidR="002D4769">
        <w:rPr>
          <w:rFonts w:ascii="標楷體" w:eastAsia="標楷體" w:hAnsi="標楷體" w:cs="Times New Roman" w:hint="eastAsia"/>
          <w:color w:val="000000"/>
          <w:sz w:val="28"/>
          <w:szCs w:val="28"/>
        </w:rPr>
        <w:t>受益憑證</w:t>
      </w:r>
      <w:r w:rsidR="000E2D0F">
        <w:rPr>
          <w:rFonts w:ascii="標楷體" w:eastAsia="標楷體" w:hAnsi="標楷體" w:cs="Times New Roman" w:hint="eastAsia"/>
          <w:color w:val="000000"/>
          <w:sz w:val="28"/>
          <w:szCs w:val="28"/>
        </w:rPr>
        <w:t>得</w:t>
      </w:r>
      <w:r w:rsidRPr="00885CFF">
        <w:rPr>
          <w:rFonts w:ascii="標楷體" w:eastAsia="標楷體" w:hAnsi="標楷體" w:cs="Times New Roman" w:hint="eastAsia"/>
          <w:color w:val="000000"/>
          <w:sz w:val="28"/>
          <w:szCs w:val="28"/>
        </w:rPr>
        <w:t>以</w:t>
      </w:r>
      <w:r w:rsidR="00BF7D58">
        <w:rPr>
          <w:rFonts w:ascii="標楷體" w:eastAsia="標楷體" w:hAnsi="標楷體" w:cs="Times New Roman" w:hint="eastAsia"/>
          <w:color w:val="000000"/>
          <w:sz w:val="28"/>
          <w:szCs w:val="28"/>
        </w:rPr>
        <w:t>其</w:t>
      </w:r>
      <w:r w:rsidRPr="00885CFF">
        <w:rPr>
          <w:rFonts w:ascii="標楷體" w:eastAsia="標楷體" w:hAnsi="標楷體" w:cs="Times New Roman" w:hint="eastAsia"/>
          <w:color w:val="000000"/>
          <w:sz w:val="28"/>
          <w:szCs w:val="28"/>
        </w:rPr>
        <w:t>櫃檯買賣幣別辦理申購</w:t>
      </w:r>
      <w:r w:rsidR="002E0F16">
        <w:rPr>
          <w:rFonts w:ascii="標楷體" w:eastAsia="標楷體" w:hAnsi="標楷體" w:cs="Times New Roman" w:hint="eastAsia"/>
          <w:color w:val="000000"/>
          <w:sz w:val="28"/>
          <w:szCs w:val="28"/>
        </w:rPr>
        <w:t>、</w:t>
      </w:r>
      <w:r w:rsidRPr="00885CFF">
        <w:rPr>
          <w:rFonts w:ascii="標楷體" w:eastAsia="標楷體" w:hAnsi="標楷體" w:cs="Times New Roman" w:hint="eastAsia"/>
          <w:color w:val="000000"/>
          <w:sz w:val="28"/>
          <w:szCs w:val="28"/>
        </w:rPr>
        <w:t>買回</w:t>
      </w:r>
      <w:r w:rsidR="001852CA" w:rsidRPr="00913928">
        <w:rPr>
          <w:rFonts w:ascii="標楷體" w:eastAsia="標楷體" w:hAnsi="標楷體" w:hint="eastAsia"/>
          <w:sz w:val="28"/>
          <w:szCs w:val="28"/>
        </w:rPr>
        <w:t>。</w:t>
      </w:r>
    </w:p>
    <w:p w14:paraId="79ECB55E" w14:textId="34F90F1D" w:rsidR="008E061A" w:rsidRDefault="00885CFF" w:rsidP="00D640E0">
      <w:pPr>
        <w:spacing w:line="420" w:lineRule="exact"/>
        <w:ind w:firstLineChars="202" w:firstLine="566"/>
        <w:jc w:val="both"/>
        <w:rPr>
          <w:rFonts w:ascii="標楷體" w:eastAsia="標楷體" w:hAnsi="標楷體" w:cs="Times New Roman"/>
          <w:color w:val="000000"/>
          <w:sz w:val="28"/>
          <w:szCs w:val="28"/>
        </w:rPr>
      </w:pPr>
      <w:r w:rsidRPr="004F2F6C">
        <w:rPr>
          <w:rFonts w:ascii="標楷體" w:eastAsia="標楷體" w:hAnsi="標楷體" w:cs="Times New Roman" w:hint="eastAsia"/>
          <w:color w:val="000000"/>
          <w:sz w:val="28"/>
          <w:szCs w:val="28"/>
        </w:rPr>
        <w:t>有關</w:t>
      </w:r>
      <w:r w:rsidR="00BF7D58">
        <w:rPr>
          <w:rFonts w:ascii="標楷體" w:eastAsia="標楷體" w:hAnsi="標楷體" w:cs="Times New Roman" w:hint="eastAsia"/>
          <w:color w:val="000000"/>
          <w:sz w:val="28"/>
          <w:szCs w:val="28"/>
        </w:rPr>
        <w:t>證券投資信託事業</w:t>
      </w:r>
      <w:r w:rsidR="00BF7D58" w:rsidRPr="00885CFF">
        <w:rPr>
          <w:rFonts w:ascii="標楷體" w:eastAsia="標楷體" w:hAnsi="標楷體" w:cs="Times New Roman" w:hint="eastAsia"/>
          <w:color w:val="000000"/>
          <w:sz w:val="28"/>
          <w:szCs w:val="28"/>
        </w:rPr>
        <w:t>得</w:t>
      </w:r>
      <w:r w:rsidR="00BF7D58">
        <w:rPr>
          <w:rFonts w:ascii="標楷體" w:eastAsia="標楷體" w:hAnsi="標楷體" w:cs="Times New Roman" w:hint="eastAsia"/>
          <w:color w:val="000000"/>
          <w:sz w:val="28"/>
          <w:szCs w:val="28"/>
        </w:rPr>
        <w:t>為其</w:t>
      </w:r>
      <w:r w:rsidR="00BF7D58" w:rsidRPr="00885CFF">
        <w:rPr>
          <w:rFonts w:ascii="標楷體" w:eastAsia="標楷體" w:hAnsi="標楷體" w:cs="Times New Roman" w:hint="eastAsia"/>
          <w:color w:val="000000"/>
          <w:sz w:val="28"/>
          <w:szCs w:val="28"/>
        </w:rPr>
        <w:t>新臺幣ETF申請加掛</w:t>
      </w:r>
      <w:r w:rsidR="00BF7D58">
        <w:rPr>
          <w:rFonts w:ascii="標楷體" w:eastAsia="標楷體" w:hAnsi="標楷體" w:cs="Times New Roman" w:hint="eastAsia"/>
          <w:color w:val="000000"/>
          <w:sz w:val="28"/>
          <w:szCs w:val="28"/>
        </w:rPr>
        <w:t>ETF受益憑證</w:t>
      </w:r>
      <w:r w:rsidR="00BF7D58" w:rsidRPr="00885CFF">
        <w:rPr>
          <w:rFonts w:ascii="標楷體" w:eastAsia="標楷體" w:hAnsi="標楷體" w:cs="Times New Roman" w:hint="eastAsia"/>
          <w:color w:val="000000"/>
          <w:sz w:val="28"/>
          <w:szCs w:val="28"/>
        </w:rPr>
        <w:t>櫃檯買賣</w:t>
      </w:r>
      <w:r w:rsidR="00BF7D58">
        <w:rPr>
          <w:rFonts w:ascii="新細明體" w:eastAsia="新細明體" w:hAnsi="新細明體" w:cs="Times New Roman" w:hint="eastAsia"/>
          <w:color w:val="000000"/>
          <w:sz w:val="28"/>
          <w:szCs w:val="28"/>
        </w:rPr>
        <w:t>，</w:t>
      </w:r>
      <w:r w:rsidR="00BF7D58">
        <w:rPr>
          <w:rFonts w:ascii="標楷體" w:eastAsia="標楷體" w:hAnsi="標楷體" w:cs="Times New Roman" w:hint="eastAsia"/>
          <w:color w:val="000000"/>
          <w:sz w:val="28"/>
          <w:szCs w:val="28"/>
        </w:rPr>
        <w:t>以及開放</w:t>
      </w:r>
      <w:r w:rsidR="00BF7D58" w:rsidRPr="00885CFF">
        <w:rPr>
          <w:rFonts w:ascii="標楷體" w:eastAsia="標楷體" w:hAnsi="標楷體" w:cs="Times New Roman" w:hint="eastAsia"/>
          <w:color w:val="000000"/>
          <w:sz w:val="28"/>
          <w:szCs w:val="28"/>
        </w:rPr>
        <w:t>加掛ETF</w:t>
      </w:r>
      <w:r w:rsidR="00BF7D58">
        <w:rPr>
          <w:rFonts w:ascii="標楷體" w:eastAsia="標楷體" w:hAnsi="標楷體" w:cs="Times New Roman" w:hint="eastAsia"/>
          <w:color w:val="000000"/>
          <w:sz w:val="28"/>
          <w:szCs w:val="28"/>
        </w:rPr>
        <w:t>受益憑證</w:t>
      </w:r>
      <w:r w:rsidR="00BF7D58" w:rsidRPr="00885CFF">
        <w:rPr>
          <w:rFonts w:ascii="標楷體" w:eastAsia="標楷體" w:hAnsi="標楷體" w:cs="Times New Roman" w:hint="eastAsia"/>
          <w:color w:val="000000"/>
          <w:sz w:val="28"/>
          <w:szCs w:val="28"/>
        </w:rPr>
        <w:t>以</w:t>
      </w:r>
      <w:r w:rsidR="00BF7D58">
        <w:rPr>
          <w:rFonts w:ascii="標楷體" w:eastAsia="標楷體" w:hAnsi="標楷體" w:cs="Times New Roman" w:hint="eastAsia"/>
          <w:color w:val="000000"/>
          <w:sz w:val="28"/>
          <w:szCs w:val="28"/>
        </w:rPr>
        <w:t>其</w:t>
      </w:r>
      <w:r w:rsidR="00BF7D58" w:rsidRPr="00885CFF">
        <w:rPr>
          <w:rFonts w:ascii="標楷體" w:eastAsia="標楷體" w:hAnsi="標楷體" w:cs="Times New Roman" w:hint="eastAsia"/>
          <w:color w:val="000000"/>
          <w:sz w:val="28"/>
          <w:szCs w:val="28"/>
        </w:rPr>
        <w:t>櫃檯買賣幣別辦理申購</w:t>
      </w:r>
      <w:r w:rsidR="00BF7D58">
        <w:rPr>
          <w:rFonts w:ascii="標楷體" w:eastAsia="標楷體" w:hAnsi="標楷體" w:cs="Times New Roman" w:hint="eastAsia"/>
          <w:color w:val="000000"/>
          <w:sz w:val="28"/>
          <w:szCs w:val="28"/>
        </w:rPr>
        <w:t>、</w:t>
      </w:r>
      <w:r w:rsidR="00BF7D58" w:rsidRPr="00885CFF">
        <w:rPr>
          <w:rFonts w:ascii="標楷體" w:eastAsia="標楷體" w:hAnsi="標楷體" w:cs="Times New Roman" w:hint="eastAsia"/>
          <w:color w:val="000000"/>
          <w:sz w:val="28"/>
          <w:szCs w:val="28"/>
        </w:rPr>
        <w:t>買回</w:t>
      </w:r>
      <w:r w:rsidR="00FD5ED7">
        <w:rPr>
          <w:rFonts w:ascii="標楷體" w:eastAsia="標楷體" w:hAnsi="標楷體" w:cs="Times New Roman" w:hint="eastAsia"/>
          <w:color w:val="000000"/>
          <w:sz w:val="28"/>
          <w:szCs w:val="28"/>
        </w:rPr>
        <w:t>一</w:t>
      </w:r>
      <w:r w:rsidRPr="004F2F6C">
        <w:rPr>
          <w:rFonts w:ascii="標楷體" w:eastAsia="標楷體" w:hAnsi="標楷體" w:cs="Times New Roman" w:hint="eastAsia"/>
          <w:color w:val="000000"/>
          <w:sz w:val="28"/>
          <w:szCs w:val="28"/>
        </w:rPr>
        <w:t>案</w:t>
      </w:r>
      <w:r w:rsidR="008E061A" w:rsidRPr="00500699">
        <w:rPr>
          <w:rFonts w:ascii="標楷體" w:eastAsia="標楷體" w:hAnsi="標楷體" w:cs="Times New Roman" w:hint="eastAsia"/>
          <w:color w:val="000000"/>
          <w:sz w:val="28"/>
          <w:szCs w:val="28"/>
        </w:rPr>
        <w:t>，修正本中心</w:t>
      </w:r>
      <w:r w:rsidR="00924312" w:rsidRPr="00924312">
        <w:rPr>
          <w:rFonts w:ascii="標楷體" w:eastAsia="標楷體" w:hAnsi="標楷體" w:cs="Times New Roman"/>
          <w:color w:val="000000"/>
          <w:kern w:val="0"/>
          <w:sz w:val="28"/>
          <w:szCs w:val="28"/>
        </w:rPr>
        <w:t>證券商營業處所買賣有價證券業務規則</w:t>
      </w:r>
      <w:r w:rsidR="008E061A" w:rsidRPr="00500699">
        <w:rPr>
          <w:rFonts w:ascii="標楷體" w:eastAsia="標楷體" w:hAnsi="標楷體" w:cs="Times New Roman" w:hint="eastAsia"/>
          <w:color w:val="000000"/>
          <w:sz w:val="28"/>
          <w:szCs w:val="28"/>
        </w:rPr>
        <w:t>、證券商營業處所買賣指數股票型基金受益憑證審查準則、指數股票型基金受益憑證買賣辦法、指數股票型基金受益憑證流動量提供者作業要點、指數股票型基金受益憑證辦理申購暨買回作業要點、上櫃證券鉅額買賣辦法、</w:t>
      </w:r>
      <w:r w:rsidRPr="00500699">
        <w:rPr>
          <w:rFonts w:ascii="標楷體" w:eastAsia="標楷體" w:hAnsi="標楷體" w:cs="Times New Roman" w:hint="eastAsia"/>
          <w:color w:val="000000"/>
          <w:sz w:val="28"/>
          <w:szCs w:val="28"/>
        </w:rPr>
        <w:t>證券經紀商受託買賣錯帳及更正帳號處理作業要點、</w:t>
      </w:r>
      <w:r w:rsidR="008E061A" w:rsidRPr="00500699">
        <w:rPr>
          <w:rFonts w:ascii="標楷體" w:eastAsia="標楷體" w:hAnsi="標楷體" w:cs="Times New Roman" w:hint="eastAsia"/>
          <w:color w:val="000000"/>
          <w:sz w:val="28"/>
          <w:szCs w:val="28"/>
        </w:rPr>
        <w:t>證券經紀商申報客戶遲延給付結算及違約案件處理作業要點、</w:t>
      </w:r>
      <w:r w:rsidR="00232977">
        <w:rPr>
          <w:rFonts w:ascii="標楷體" w:eastAsia="標楷體" w:hAnsi="標楷體" w:cs="Times New Roman" w:hint="eastAsia"/>
          <w:color w:val="000000"/>
          <w:sz w:val="28"/>
          <w:szCs w:val="28"/>
        </w:rPr>
        <w:t>證券商辦理</w:t>
      </w:r>
      <w:r w:rsidRPr="00500699">
        <w:rPr>
          <w:rFonts w:ascii="標楷體" w:eastAsia="標楷體" w:hAnsi="標楷體" w:cs="Times New Roman" w:hint="eastAsia"/>
          <w:color w:val="000000"/>
          <w:sz w:val="28"/>
          <w:szCs w:val="28"/>
        </w:rPr>
        <w:t>有價證券買賣融資融券業務操作辦法</w:t>
      </w:r>
      <w:r w:rsidR="008E061A" w:rsidRPr="00500699">
        <w:rPr>
          <w:rFonts w:ascii="標楷體" w:eastAsia="標楷體" w:hAnsi="標楷體" w:cs="Times New Roman" w:hint="eastAsia"/>
          <w:color w:val="000000"/>
          <w:sz w:val="28"/>
          <w:szCs w:val="28"/>
        </w:rPr>
        <w:t>等9項規章</w:t>
      </w:r>
      <w:r w:rsidR="007A71CF">
        <w:rPr>
          <w:rFonts w:ascii="標楷體" w:eastAsia="標楷體" w:hAnsi="標楷體" w:cs="Times New Roman" w:hint="eastAsia"/>
          <w:color w:val="000000"/>
          <w:sz w:val="28"/>
          <w:szCs w:val="28"/>
        </w:rPr>
        <w:t>，</w:t>
      </w:r>
      <w:r w:rsidR="007D152E">
        <w:rPr>
          <w:rFonts w:ascii="標楷體" w:eastAsia="標楷體" w:hAnsi="標楷體" w:cs="Times New Roman" w:hint="eastAsia"/>
          <w:color w:val="000000"/>
          <w:sz w:val="28"/>
          <w:szCs w:val="28"/>
        </w:rPr>
        <w:t>以</w:t>
      </w:r>
      <w:r w:rsidR="004601E0">
        <w:rPr>
          <w:rFonts w:ascii="標楷體" w:eastAsia="標楷體" w:hAnsi="標楷體" w:cs="Times New Roman" w:hint="eastAsia"/>
          <w:color w:val="000000"/>
          <w:sz w:val="28"/>
          <w:szCs w:val="28"/>
        </w:rPr>
        <w:t>及</w:t>
      </w:r>
      <w:r w:rsidR="007A71CF" w:rsidRPr="007D152E">
        <w:rPr>
          <w:rFonts w:ascii="標楷體" w:eastAsia="標楷體" w:hAnsi="標楷體" w:hint="eastAsia"/>
          <w:sz w:val="28"/>
          <w:szCs w:val="28"/>
        </w:rPr>
        <w:t>增訂</w:t>
      </w:r>
      <w:r w:rsidR="007A71CF" w:rsidRPr="007D152E">
        <w:rPr>
          <w:rFonts w:ascii="標楷體" w:eastAsia="標楷體" w:hAnsi="標楷體" w:cs="Times New Roman"/>
          <w:color w:val="000000"/>
          <w:sz w:val="28"/>
          <w:szCs w:val="28"/>
        </w:rPr>
        <w:t>指</w:t>
      </w:r>
      <w:r w:rsidR="007A71CF" w:rsidRPr="004601E0">
        <w:rPr>
          <w:rFonts w:ascii="標楷體" w:eastAsia="標楷體" w:hAnsi="標楷體" w:cs="Times New Roman"/>
          <w:color w:val="000000"/>
          <w:sz w:val="28"/>
          <w:szCs w:val="28"/>
        </w:rPr>
        <w:t>數股票型</w:t>
      </w:r>
      <w:r w:rsidR="007A71CF" w:rsidRPr="004601E0">
        <w:rPr>
          <w:rFonts w:ascii="標楷體" w:eastAsia="標楷體" w:hAnsi="標楷體" w:cs="Times New Roman" w:hint="eastAsia"/>
          <w:color w:val="000000"/>
          <w:sz w:val="28"/>
          <w:szCs w:val="28"/>
        </w:rPr>
        <w:t>證券投資信託</w:t>
      </w:r>
      <w:r w:rsidR="007A71CF" w:rsidRPr="004601E0">
        <w:rPr>
          <w:rFonts w:ascii="標楷體" w:eastAsia="標楷體" w:hAnsi="標楷體" w:cs="Times New Roman"/>
          <w:color w:val="000000"/>
          <w:sz w:val="28"/>
          <w:szCs w:val="28"/>
        </w:rPr>
        <w:t>基金</w:t>
      </w:r>
      <w:r w:rsidR="007A71CF" w:rsidRPr="004601E0">
        <w:rPr>
          <w:rFonts w:ascii="標楷體" w:eastAsia="標楷體" w:hAnsi="標楷體" w:cs="Times New Roman" w:hint="eastAsia"/>
          <w:color w:val="000000"/>
          <w:sz w:val="28"/>
          <w:szCs w:val="28"/>
        </w:rPr>
        <w:t>加掛E</w:t>
      </w:r>
      <w:r w:rsidR="007A71CF" w:rsidRPr="004601E0">
        <w:rPr>
          <w:rFonts w:ascii="標楷體" w:eastAsia="標楷體" w:hAnsi="標楷體" w:cs="Times New Roman"/>
          <w:color w:val="000000"/>
          <w:sz w:val="28"/>
          <w:szCs w:val="28"/>
        </w:rPr>
        <w:t>TF受益憑證</w:t>
      </w:r>
      <w:r w:rsidR="007A71CF" w:rsidRPr="004601E0">
        <w:rPr>
          <w:rFonts w:ascii="標楷體" w:eastAsia="標楷體" w:hAnsi="標楷體" w:cs="Times New Roman" w:hint="eastAsia"/>
          <w:color w:val="000000"/>
          <w:sz w:val="28"/>
          <w:szCs w:val="28"/>
        </w:rPr>
        <w:t>櫃檯買賣</w:t>
      </w:r>
      <w:r w:rsidR="007A71CF" w:rsidRPr="004601E0">
        <w:rPr>
          <w:rFonts w:ascii="標楷體" w:eastAsia="標楷體" w:hAnsi="標楷體" w:cs="Times New Roman"/>
          <w:color w:val="000000"/>
          <w:sz w:val="28"/>
          <w:szCs w:val="28"/>
        </w:rPr>
        <w:t>申請書</w:t>
      </w:r>
      <w:r w:rsidR="007A71CF">
        <w:rPr>
          <w:rFonts w:ascii="標楷體" w:eastAsia="標楷體" w:hAnsi="標楷體" w:hint="eastAsia"/>
          <w:sz w:val="28"/>
          <w:szCs w:val="28"/>
        </w:rPr>
        <w:t>。</w:t>
      </w:r>
    </w:p>
    <w:p w14:paraId="2B92C4ED" w14:textId="76B907AB" w:rsidR="008E061A" w:rsidRPr="001834BC" w:rsidRDefault="00097727" w:rsidP="00A63ED8">
      <w:pPr>
        <w:spacing w:line="420" w:lineRule="exact"/>
        <w:ind w:firstLineChars="202" w:firstLine="566"/>
        <w:jc w:val="both"/>
        <w:rPr>
          <w:rFonts w:ascii="標楷體" w:eastAsia="標楷體" w:hAnsi="標楷體" w:cs="Times New Roman"/>
          <w:color w:val="000000"/>
          <w:kern w:val="0"/>
          <w:sz w:val="28"/>
          <w:szCs w:val="28"/>
        </w:rPr>
      </w:pPr>
      <w:r w:rsidRPr="001834BC">
        <w:rPr>
          <w:rFonts w:ascii="標楷體" w:eastAsia="標楷體" w:hAnsi="標楷體" w:cs="Times New Roman" w:hint="eastAsia"/>
          <w:color w:val="000000"/>
          <w:kern w:val="0"/>
          <w:sz w:val="28"/>
          <w:szCs w:val="28"/>
        </w:rPr>
        <w:t>本次修正共計</w:t>
      </w:r>
      <w:r w:rsidR="00885CFF">
        <w:rPr>
          <w:rFonts w:ascii="標楷體" w:eastAsia="標楷體" w:hAnsi="標楷體" w:cs="Times New Roman" w:hint="eastAsia"/>
          <w:color w:val="000000"/>
          <w:kern w:val="0"/>
          <w:sz w:val="28"/>
          <w:szCs w:val="28"/>
        </w:rPr>
        <w:t>9</w:t>
      </w:r>
      <w:r w:rsidRPr="001834BC">
        <w:rPr>
          <w:rFonts w:ascii="標楷體" w:eastAsia="標楷體" w:hAnsi="標楷體" w:cs="Times New Roman" w:hint="eastAsia"/>
          <w:color w:val="000000"/>
          <w:kern w:val="0"/>
          <w:sz w:val="28"/>
          <w:szCs w:val="28"/>
        </w:rPr>
        <w:t>項規章、增訂1附表，修正</w:t>
      </w:r>
      <w:r w:rsidR="00872F2D">
        <w:rPr>
          <w:rFonts w:ascii="標楷體" w:eastAsia="標楷體" w:hAnsi="標楷體" w:cs="Times New Roman" w:hint="eastAsia"/>
          <w:color w:val="000000"/>
          <w:kern w:val="0"/>
          <w:sz w:val="28"/>
          <w:szCs w:val="28"/>
        </w:rPr>
        <w:t>要</w:t>
      </w:r>
      <w:r w:rsidRPr="001834BC">
        <w:rPr>
          <w:rFonts w:ascii="標楷體" w:eastAsia="標楷體" w:hAnsi="標楷體" w:cs="Times New Roman" w:hint="eastAsia"/>
          <w:color w:val="000000"/>
          <w:kern w:val="0"/>
          <w:sz w:val="28"/>
          <w:szCs w:val="28"/>
        </w:rPr>
        <w:t>點</w:t>
      </w:r>
      <w:r w:rsidR="008E061A" w:rsidRPr="001834BC">
        <w:rPr>
          <w:rFonts w:ascii="標楷體" w:eastAsia="標楷體" w:hAnsi="標楷體" w:cs="Times New Roman" w:hint="eastAsia"/>
          <w:color w:val="000000"/>
          <w:kern w:val="0"/>
          <w:sz w:val="28"/>
          <w:szCs w:val="28"/>
        </w:rPr>
        <w:t>如下：</w:t>
      </w:r>
    </w:p>
    <w:p w14:paraId="10DE7D8A" w14:textId="54A4F0BA" w:rsidR="00A4491C" w:rsidRPr="00CB1E9D" w:rsidRDefault="002C7D2E" w:rsidP="00CB1E9D">
      <w:pPr>
        <w:pStyle w:val="Default"/>
        <w:widowControl/>
        <w:autoSpaceDE/>
        <w:autoSpaceDN/>
        <w:adjustRightInd/>
        <w:spacing w:line="420" w:lineRule="exact"/>
        <w:ind w:left="504" w:hangingChars="180" w:hanging="504"/>
        <w:jc w:val="both"/>
        <w:rPr>
          <w:rFonts w:hAnsi="標楷體" w:cstheme="minorBidi"/>
          <w:color w:val="auto"/>
          <w:kern w:val="2"/>
          <w:sz w:val="28"/>
          <w:szCs w:val="28"/>
        </w:rPr>
      </w:pPr>
      <w:r w:rsidRPr="00A63ED8">
        <w:rPr>
          <w:rFonts w:hAnsi="標楷體" w:cs="Times New Roman" w:hint="eastAsia"/>
          <w:sz w:val="28"/>
          <w:szCs w:val="28"/>
        </w:rPr>
        <w:t>一、</w:t>
      </w:r>
      <w:r w:rsidR="00CB1E9D" w:rsidRPr="00CB1E9D">
        <w:rPr>
          <w:rFonts w:hAnsi="標楷體" w:cstheme="minorBidi" w:hint="eastAsia"/>
          <w:color w:val="auto"/>
          <w:kern w:val="2"/>
          <w:sz w:val="28"/>
          <w:szCs w:val="28"/>
        </w:rPr>
        <w:t>參酌現行指數股票型基金受益憑證訂有本中心得終止其櫃檯買賣之規範，配合增訂本中心得終止加掛</w:t>
      </w:r>
      <w:r w:rsidR="00A5059D">
        <w:rPr>
          <w:rFonts w:hAnsi="標楷體" w:cstheme="minorBidi" w:hint="eastAsia"/>
          <w:color w:val="auto"/>
          <w:kern w:val="2"/>
          <w:sz w:val="28"/>
          <w:szCs w:val="28"/>
        </w:rPr>
        <w:t>E</w:t>
      </w:r>
      <w:r w:rsidR="00A5059D">
        <w:rPr>
          <w:rFonts w:hAnsi="標楷體" w:cstheme="minorBidi"/>
          <w:color w:val="auto"/>
          <w:kern w:val="2"/>
          <w:sz w:val="28"/>
          <w:szCs w:val="28"/>
        </w:rPr>
        <w:t>TF</w:t>
      </w:r>
      <w:r w:rsidR="00CB1E9D" w:rsidRPr="00CB1E9D">
        <w:rPr>
          <w:rFonts w:hAnsi="標楷體" w:cstheme="minorBidi" w:hint="eastAsia"/>
          <w:color w:val="auto"/>
          <w:kern w:val="2"/>
          <w:sz w:val="28"/>
          <w:szCs w:val="28"/>
        </w:rPr>
        <w:t>受益憑證櫃檯買賣之事由、明定加掛</w:t>
      </w:r>
      <w:r w:rsidR="00CB1E9D" w:rsidRPr="00CB1E9D">
        <w:rPr>
          <w:rFonts w:hAnsi="標楷體" w:cstheme="minorBidi"/>
          <w:color w:val="auto"/>
          <w:kern w:val="2"/>
          <w:sz w:val="28"/>
          <w:szCs w:val="28"/>
        </w:rPr>
        <w:t>ETF</w:t>
      </w:r>
      <w:r w:rsidR="00CB1E9D" w:rsidRPr="00CB1E9D">
        <w:rPr>
          <w:rFonts w:hAnsi="標楷體" w:cstheme="minorBidi" w:hint="eastAsia"/>
          <w:color w:val="auto"/>
          <w:kern w:val="2"/>
          <w:sz w:val="28"/>
          <w:szCs w:val="28"/>
        </w:rPr>
        <w:t>受益憑證終止櫃檯買賣之時程，以及明定加掛</w:t>
      </w:r>
      <w:r w:rsidR="00CB1E9D" w:rsidRPr="00CB1E9D">
        <w:rPr>
          <w:rFonts w:hAnsi="標楷體" w:cstheme="minorBidi"/>
          <w:color w:val="auto"/>
          <w:kern w:val="2"/>
          <w:sz w:val="28"/>
          <w:szCs w:val="28"/>
        </w:rPr>
        <w:t>ETF</w:t>
      </w:r>
      <w:r w:rsidR="00CB1E9D" w:rsidRPr="00CB1E9D">
        <w:rPr>
          <w:rFonts w:hAnsi="標楷體" w:cstheme="minorBidi" w:hint="eastAsia"/>
          <w:color w:val="auto"/>
          <w:kern w:val="2"/>
          <w:sz w:val="28"/>
          <w:szCs w:val="28"/>
        </w:rPr>
        <w:t>每受益權單位淨資產價值</w:t>
      </w:r>
      <w:proofErr w:type="gramStart"/>
      <w:r w:rsidR="00CB1E9D" w:rsidRPr="00CB1E9D">
        <w:rPr>
          <w:rFonts w:hAnsi="標楷體" w:cstheme="minorBidi" w:hint="eastAsia"/>
          <w:color w:val="auto"/>
          <w:kern w:val="2"/>
          <w:sz w:val="28"/>
          <w:szCs w:val="28"/>
        </w:rPr>
        <w:t>為零或負數</w:t>
      </w:r>
      <w:proofErr w:type="gramEnd"/>
      <w:r w:rsidR="00CB1E9D" w:rsidRPr="00CB1E9D">
        <w:rPr>
          <w:rFonts w:hAnsi="標楷體" w:cstheme="minorBidi" w:hint="eastAsia"/>
          <w:color w:val="auto"/>
          <w:kern w:val="2"/>
          <w:sz w:val="28"/>
          <w:szCs w:val="28"/>
        </w:rPr>
        <w:t>時，本中心得停止該加掛</w:t>
      </w:r>
      <w:r w:rsidR="00CB1E9D" w:rsidRPr="00CB1E9D">
        <w:rPr>
          <w:rFonts w:hAnsi="標楷體" w:cstheme="minorBidi"/>
          <w:color w:val="auto"/>
          <w:kern w:val="2"/>
          <w:sz w:val="28"/>
          <w:szCs w:val="28"/>
        </w:rPr>
        <w:t>ETF</w:t>
      </w:r>
      <w:r w:rsidR="00CB1E9D" w:rsidRPr="00CB1E9D">
        <w:rPr>
          <w:rFonts w:hAnsi="標楷體" w:cstheme="minorBidi" w:hint="eastAsia"/>
          <w:color w:val="auto"/>
          <w:kern w:val="2"/>
          <w:sz w:val="28"/>
          <w:szCs w:val="28"/>
        </w:rPr>
        <w:t>受益憑證櫃檯買賣之規定，及被加掛之</w:t>
      </w:r>
      <w:r w:rsidR="00CB1E9D" w:rsidRPr="00CB1E9D">
        <w:rPr>
          <w:rFonts w:hAnsi="標楷體" w:cstheme="minorBidi"/>
          <w:color w:val="auto"/>
          <w:kern w:val="2"/>
          <w:sz w:val="28"/>
          <w:szCs w:val="28"/>
        </w:rPr>
        <w:t>ETF</w:t>
      </w:r>
      <w:r w:rsidR="00CB1E9D" w:rsidRPr="00CB1E9D">
        <w:rPr>
          <w:rFonts w:hAnsi="標楷體" w:cstheme="minorBidi" w:hint="eastAsia"/>
          <w:color w:val="auto"/>
          <w:kern w:val="2"/>
          <w:sz w:val="28"/>
          <w:szCs w:val="28"/>
        </w:rPr>
        <w:t>有每受益權單位淨資產價值</w:t>
      </w:r>
      <w:proofErr w:type="gramStart"/>
      <w:r w:rsidR="00CB1E9D" w:rsidRPr="00CB1E9D">
        <w:rPr>
          <w:rFonts w:hAnsi="標楷體" w:cstheme="minorBidi" w:hint="eastAsia"/>
          <w:color w:val="auto"/>
          <w:kern w:val="2"/>
          <w:sz w:val="28"/>
          <w:szCs w:val="28"/>
        </w:rPr>
        <w:t>為零或負數</w:t>
      </w:r>
      <w:proofErr w:type="gramEnd"/>
      <w:r w:rsidR="00CB1E9D" w:rsidRPr="00CB1E9D">
        <w:rPr>
          <w:rFonts w:hAnsi="標楷體" w:cstheme="minorBidi" w:hint="eastAsia"/>
          <w:color w:val="auto"/>
          <w:kern w:val="2"/>
          <w:sz w:val="28"/>
          <w:szCs w:val="28"/>
        </w:rPr>
        <w:t>時，本中心得停止其加掛</w:t>
      </w:r>
      <w:r w:rsidR="00CB1E9D" w:rsidRPr="00CB1E9D">
        <w:rPr>
          <w:rFonts w:hAnsi="標楷體" w:cstheme="minorBidi"/>
          <w:color w:val="auto"/>
          <w:kern w:val="2"/>
          <w:sz w:val="28"/>
          <w:szCs w:val="28"/>
        </w:rPr>
        <w:t>ETF</w:t>
      </w:r>
      <w:r w:rsidR="00CB1E9D" w:rsidRPr="00CB1E9D">
        <w:rPr>
          <w:rFonts w:hAnsi="標楷體" w:cstheme="minorBidi" w:hint="eastAsia"/>
          <w:color w:val="auto"/>
          <w:kern w:val="2"/>
          <w:sz w:val="28"/>
          <w:szCs w:val="28"/>
        </w:rPr>
        <w:t>受益憑證櫃檯買賣</w:t>
      </w:r>
      <w:r w:rsidR="000C7127">
        <w:rPr>
          <w:rFonts w:hAnsi="標楷體" w:cstheme="minorBidi" w:hint="eastAsia"/>
          <w:color w:val="auto"/>
          <w:kern w:val="2"/>
          <w:sz w:val="28"/>
          <w:szCs w:val="28"/>
        </w:rPr>
        <w:t>等</w:t>
      </w:r>
      <w:r w:rsidR="00CB1E9D" w:rsidRPr="00CB1E9D">
        <w:rPr>
          <w:rFonts w:hAnsi="標楷體" w:cstheme="minorBidi" w:hint="eastAsia"/>
          <w:color w:val="auto"/>
          <w:kern w:val="2"/>
          <w:sz w:val="28"/>
          <w:szCs w:val="28"/>
        </w:rPr>
        <w:t>規定</w:t>
      </w:r>
      <w:r w:rsidR="009D2EEB" w:rsidRPr="00CB1E9D">
        <w:rPr>
          <w:rFonts w:hAnsi="標楷體" w:cstheme="minorBidi" w:hint="eastAsia"/>
          <w:color w:val="auto"/>
          <w:kern w:val="2"/>
          <w:sz w:val="28"/>
          <w:szCs w:val="28"/>
        </w:rPr>
        <w:t>。(</w:t>
      </w:r>
      <w:r w:rsidR="00925E2F" w:rsidRPr="00924312">
        <w:rPr>
          <w:rFonts w:hAnsi="標楷體" w:cs="Times New Roman"/>
          <w:sz w:val="28"/>
          <w:szCs w:val="28"/>
        </w:rPr>
        <w:t>證券商營業處所買賣有價證券業務規則</w:t>
      </w:r>
      <w:r w:rsidR="009D2EEB" w:rsidRPr="00CB1E9D">
        <w:rPr>
          <w:rFonts w:hAnsi="標楷體" w:cstheme="minorBidi" w:hint="eastAsia"/>
          <w:color w:val="auto"/>
          <w:kern w:val="2"/>
          <w:sz w:val="28"/>
          <w:szCs w:val="28"/>
        </w:rPr>
        <w:t>第12條之13)</w:t>
      </w:r>
    </w:p>
    <w:p w14:paraId="1266BE70" w14:textId="01FC83CF" w:rsidR="00E75B96" w:rsidRPr="000354C8" w:rsidRDefault="00CE6D58" w:rsidP="00CB1E9D">
      <w:pPr>
        <w:pStyle w:val="Default"/>
        <w:widowControl/>
        <w:autoSpaceDE/>
        <w:autoSpaceDN/>
        <w:adjustRightInd/>
        <w:spacing w:line="420" w:lineRule="exact"/>
        <w:ind w:left="504" w:hangingChars="180" w:hanging="504"/>
        <w:jc w:val="both"/>
        <w:rPr>
          <w:rFonts w:hAnsi="標楷體" w:cstheme="minorBidi"/>
          <w:color w:val="auto"/>
          <w:kern w:val="2"/>
          <w:sz w:val="28"/>
          <w:szCs w:val="28"/>
        </w:rPr>
      </w:pPr>
      <w:r>
        <w:rPr>
          <w:rFonts w:hAnsi="標楷體" w:cs="Times New Roman" w:hint="eastAsia"/>
          <w:sz w:val="28"/>
          <w:szCs w:val="28"/>
        </w:rPr>
        <w:t>二</w:t>
      </w:r>
      <w:r w:rsidR="00E75B96" w:rsidRPr="00A63ED8">
        <w:rPr>
          <w:rFonts w:hAnsi="標楷體" w:cs="Times New Roman" w:hint="eastAsia"/>
          <w:sz w:val="28"/>
          <w:szCs w:val="28"/>
        </w:rPr>
        <w:t>、</w:t>
      </w:r>
      <w:r w:rsidR="003950A1" w:rsidRPr="00A63ED8">
        <w:rPr>
          <w:rFonts w:hAnsi="標楷體" w:cs="Times New Roman"/>
          <w:sz w:val="28"/>
          <w:szCs w:val="28"/>
        </w:rPr>
        <w:t>為提</w:t>
      </w:r>
      <w:r w:rsidR="003950A1" w:rsidRPr="000354C8">
        <w:rPr>
          <w:rFonts w:hAnsi="標楷體" w:cstheme="minorBidi"/>
          <w:color w:val="auto"/>
          <w:kern w:val="2"/>
          <w:sz w:val="28"/>
          <w:szCs w:val="28"/>
        </w:rPr>
        <w:t>供多樣化投資商品及促進證券市場發展，</w:t>
      </w:r>
      <w:r w:rsidR="000354C8" w:rsidRPr="000354C8">
        <w:rPr>
          <w:rFonts w:hAnsi="標楷體" w:cstheme="minorBidi" w:hint="eastAsia"/>
          <w:color w:val="auto"/>
          <w:kern w:val="2"/>
          <w:sz w:val="28"/>
          <w:szCs w:val="28"/>
        </w:rPr>
        <w:t>明定得申請加掛</w:t>
      </w:r>
      <w:r w:rsidR="000354C8" w:rsidRPr="000354C8">
        <w:rPr>
          <w:rFonts w:hAnsi="標楷體" w:cstheme="minorBidi"/>
          <w:color w:val="auto"/>
          <w:kern w:val="2"/>
          <w:sz w:val="28"/>
          <w:szCs w:val="28"/>
        </w:rPr>
        <w:t>ETF</w:t>
      </w:r>
      <w:r w:rsidR="000354C8" w:rsidRPr="000354C8">
        <w:rPr>
          <w:rFonts w:hAnsi="標楷體" w:cstheme="minorBidi" w:hint="eastAsia"/>
          <w:color w:val="auto"/>
          <w:kern w:val="2"/>
          <w:sz w:val="28"/>
          <w:szCs w:val="28"/>
        </w:rPr>
        <w:t>受益憑證櫃檯買賣之指數股票型基金範圍、申請櫃檯買賣之標準，以及增訂</w:t>
      </w:r>
      <w:r w:rsidR="006027E6" w:rsidRPr="007D152E">
        <w:rPr>
          <w:rFonts w:hAnsi="標楷體" w:cs="Times New Roman"/>
          <w:sz w:val="28"/>
          <w:szCs w:val="28"/>
        </w:rPr>
        <w:t>指</w:t>
      </w:r>
      <w:r w:rsidR="006027E6" w:rsidRPr="004601E0">
        <w:rPr>
          <w:rFonts w:hAnsi="標楷體" w:cs="Times New Roman"/>
          <w:sz w:val="28"/>
          <w:szCs w:val="28"/>
        </w:rPr>
        <w:t>數股票型</w:t>
      </w:r>
      <w:r w:rsidR="006027E6" w:rsidRPr="004601E0">
        <w:rPr>
          <w:rFonts w:hAnsi="標楷體" w:cs="Times New Roman" w:hint="eastAsia"/>
          <w:sz w:val="28"/>
          <w:szCs w:val="28"/>
        </w:rPr>
        <w:t>證券投資信託</w:t>
      </w:r>
      <w:r w:rsidR="006027E6" w:rsidRPr="004601E0">
        <w:rPr>
          <w:rFonts w:hAnsi="標楷體" w:cs="Times New Roman"/>
          <w:sz w:val="28"/>
          <w:szCs w:val="28"/>
        </w:rPr>
        <w:t>基金</w:t>
      </w:r>
      <w:r w:rsidR="006027E6" w:rsidRPr="004601E0">
        <w:rPr>
          <w:rFonts w:hAnsi="標楷體" w:cs="Times New Roman" w:hint="eastAsia"/>
          <w:sz w:val="28"/>
          <w:szCs w:val="28"/>
        </w:rPr>
        <w:t>加掛E</w:t>
      </w:r>
      <w:r w:rsidR="006027E6" w:rsidRPr="004601E0">
        <w:rPr>
          <w:rFonts w:hAnsi="標楷體" w:cs="Times New Roman"/>
          <w:sz w:val="28"/>
          <w:szCs w:val="28"/>
        </w:rPr>
        <w:t>TF受益憑證</w:t>
      </w:r>
      <w:r w:rsidR="006027E6" w:rsidRPr="004601E0">
        <w:rPr>
          <w:rFonts w:hAnsi="標楷體" w:cs="Times New Roman" w:hint="eastAsia"/>
          <w:sz w:val="28"/>
          <w:szCs w:val="28"/>
        </w:rPr>
        <w:t>櫃檯買賣</w:t>
      </w:r>
      <w:r w:rsidR="006027E6" w:rsidRPr="004601E0">
        <w:rPr>
          <w:rFonts w:hAnsi="標楷體" w:cs="Times New Roman"/>
          <w:sz w:val="28"/>
          <w:szCs w:val="28"/>
        </w:rPr>
        <w:t>申請書</w:t>
      </w:r>
      <w:r w:rsidR="0096560A" w:rsidRPr="000354C8">
        <w:rPr>
          <w:rFonts w:hAnsi="標楷體" w:cstheme="minorBidi" w:hint="eastAsia"/>
          <w:color w:val="auto"/>
          <w:kern w:val="2"/>
          <w:sz w:val="28"/>
          <w:szCs w:val="28"/>
        </w:rPr>
        <w:t>。</w:t>
      </w:r>
      <w:r w:rsidR="0072301C" w:rsidRPr="000354C8">
        <w:rPr>
          <w:rFonts w:hAnsi="標楷體" w:cstheme="minorBidi" w:hint="eastAsia"/>
          <w:color w:val="auto"/>
          <w:kern w:val="2"/>
          <w:sz w:val="28"/>
          <w:szCs w:val="28"/>
        </w:rPr>
        <w:t>(</w:t>
      </w:r>
      <w:r w:rsidR="00925E2F" w:rsidRPr="00500699">
        <w:rPr>
          <w:rFonts w:hAnsi="標楷體" w:cs="Times New Roman" w:hint="eastAsia"/>
          <w:sz w:val="28"/>
          <w:szCs w:val="28"/>
        </w:rPr>
        <w:t>證券商營業處所買賣指數股票型基金受益憑證審查準則</w:t>
      </w:r>
      <w:r w:rsidR="0072301C" w:rsidRPr="000354C8">
        <w:rPr>
          <w:rFonts w:hAnsi="標楷體" w:cstheme="minorBidi"/>
          <w:color w:val="auto"/>
          <w:kern w:val="2"/>
          <w:sz w:val="28"/>
          <w:szCs w:val="28"/>
        </w:rPr>
        <w:t>第</w:t>
      </w:r>
      <w:r w:rsidR="0072301C" w:rsidRPr="000354C8">
        <w:rPr>
          <w:rFonts w:hAnsi="標楷體" w:cstheme="minorBidi" w:hint="eastAsia"/>
          <w:color w:val="auto"/>
          <w:kern w:val="2"/>
          <w:sz w:val="28"/>
          <w:szCs w:val="28"/>
        </w:rPr>
        <w:t>4</w:t>
      </w:r>
      <w:r w:rsidR="0072301C" w:rsidRPr="000354C8">
        <w:rPr>
          <w:rFonts w:hAnsi="標楷體" w:cstheme="minorBidi"/>
          <w:color w:val="auto"/>
          <w:kern w:val="2"/>
          <w:sz w:val="28"/>
          <w:szCs w:val="28"/>
        </w:rPr>
        <w:t>條</w:t>
      </w:r>
      <w:r w:rsidR="009E6FE6" w:rsidRPr="000354C8">
        <w:rPr>
          <w:rFonts w:hAnsi="標楷體" w:cstheme="minorBidi" w:hint="eastAsia"/>
          <w:color w:val="auto"/>
          <w:kern w:val="2"/>
          <w:sz w:val="28"/>
          <w:szCs w:val="28"/>
        </w:rPr>
        <w:t>及</w:t>
      </w:r>
      <w:r w:rsidR="00E75B96" w:rsidRPr="000354C8">
        <w:rPr>
          <w:rFonts w:hAnsi="標楷體" w:cstheme="minorBidi" w:hint="eastAsia"/>
          <w:color w:val="auto"/>
          <w:kern w:val="2"/>
          <w:sz w:val="28"/>
          <w:szCs w:val="28"/>
        </w:rPr>
        <w:t>新增附表</w:t>
      </w:r>
      <w:r w:rsidR="0072301C" w:rsidRPr="000354C8">
        <w:rPr>
          <w:rFonts w:hAnsi="標楷體" w:cstheme="minorBidi" w:hint="eastAsia"/>
          <w:color w:val="auto"/>
          <w:kern w:val="2"/>
          <w:sz w:val="28"/>
          <w:szCs w:val="28"/>
        </w:rPr>
        <w:t>)</w:t>
      </w:r>
    </w:p>
    <w:p w14:paraId="2A35FF1D" w14:textId="32504A4F" w:rsidR="00D00C29" w:rsidRPr="00375398" w:rsidRDefault="00CE6D58" w:rsidP="006D5B1A">
      <w:pPr>
        <w:pStyle w:val="Default"/>
        <w:autoSpaceDE/>
        <w:autoSpaceDN/>
        <w:adjustRightInd/>
        <w:spacing w:line="420" w:lineRule="exact"/>
        <w:ind w:left="566" w:hangingChars="202" w:hanging="566"/>
        <w:jc w:val="both"/>
        <w:rPr>
          <w:rFonts w:hAnsi="標楷體" w:cs="Times New Roman"/>
          <w:color w:val="auto"/>
          <w:sz w:val="28"/>
          <w:szCs w:val="28"/>
        </w:rPr>
      </w:pPr>
      <w:r>
        <w:rPr>
          <w:rFonts w:hAnsi="標楷體" w:cs="Times New Roman" w:hint="eastAsia"/>
          <w:sz w:val="28"/>
          <w:szCs w:val="28"/>
        </w:rPr>
        <w:t>三</w:t>
      </w:r>
      <w:r w:rsidR="00E75B96" w:rsidRPr="00A63ED8">
        <w:rPr>
          <w:rFonts w:hAnsi="標楷體" w:cs="Times New Roman" w:hint="eastAsia"/>
          <w:sz w:val="28"/>
          <w:szCs w:val="28"/>
        </w:rPr>
        <w:t>、</w:t>
      </w:r>
      <w:r w:rsidR="006D5B1A" w:rsidRPr="00A76B48">
        <w:rPr>
          <w:rFonts w:hAnsi="標楷體" w:cs="Times New Roman"/>
          <w:sz w:val="28"/>
          <w:szCs w:val="28"/>
        </w:rPr>
        <w:t>配合開放加掛ETF受益憑證櫃檯買賣</w:t>
      </w:r>
      <w:r w:rsidR="004D6882" w:rsidRPr="00A63ED8">
        <w:rPr>
          <w:rFonts w:hAnsi="標楷體" w:cs="Times New Roman"/>
          <w:sz w:val="28"/>
          <w:szCs w:val="28"/>
        </w:rPr>
        <w:t>，增訂</w:t>
      </w:r>
      <w:r w:rsidR="002222C8" w:rsidRPr="002222C8">
        <w:rPr>
          <w:rFonts w:hAnsi="標楷體" w:cs="Times New Roman" w:hint="eastAsia"/>
          <w:sz w:val="28"/>
          <w:szCs w:val="28"/>
        </w:rPr>
        <w:t>加掛</w:t>
      </w:r>
      <w:r w:rsidR="002222C8" w:rsidRPr="002222C8">
        <w:rPr>
          <w:rFonts w:hAnsi="標楷體" w:cs="Times New Roman"/>
          <w:sz w:val="28"/>
          <w:szCs w:val="28"/>
        </w:rPr>
        <w:t>ETF</w:t>
      </w:r>
      <w:r w:rsidR="002222C8" w:rsidRPr="002222C8">
        <w:rPr>
          <w:rFonts w:hAnsi="標楷體" w:cs="Times New Roman" w:hint="eastAsia"/>
          <w:sz w:val="28"/>
          <w:szCs w:val="28"/>
        </w:rPr>
        <w:t>受益憑證為</w:t>
      </w:r>
      <w:r w:rsidR="006D5B1A" w:rsidRPr="00A76B48">
        <w:rPr>
          <w:rFonts w:hAnsi="標楷體" w:cs="Times New Roman"/>
          <w:sz w:val="28"/>
          <w:szCs w:val="28"/>
        </w:rPr>
        <w:t>櫃檯買賣</w:t>
      </w:r>
      <w:r w:rsidR="002222C8" w:rsidRPr="002222C8">
        <w:rPr>
          <w:rFonts w:hAnsi="標楷體" w:cs="Times New Roman" w:hint="eastAsia"/>
          <w:sz w:val="28"/>
          <w:szCs w:val="28"/>
        </w:rPr>
        <w:t>標的範圍，以及增訂委託人應簽具風險預告書、在證券商營業處所議價之方式、遇指數成分流通市場休市得繼續交易、</w:t>
      </w:r>
      <w:proofErr w:type="gramStart"/>
      <w:r w:rsidR="002222C8" w:rsidRPr="002222C8">
        <w:rPr>
          <w:rFonts w:hAnsi="標楷體" w:cs="Times New Roman" w:hint="eastAsia"/>
          <w:sz w:val="28"/>
          <w:szCs w:val="28"/>
        </w:rPr>
        <w:t>一</w:t>
      </w:r>
      <w:proofErr w:type="gramEnd"/>
      <w:r w:rsidR="002222C8" w:rsidRPr="002222C8">
        <w:rPr>
          <w:rFonts w:hAnsi="標楷體" w:cs="Times New Roman" w:hint="eastAsia"/>
          <w:sz w:val="28"/>
          <w:szCs w:val="28"/>
        </w:rPr>
        <w:t>交易單位之受益權</w:t>
      </w:r>
      <w:r w:rsidR="002222C8" w:rsidRPr="002222C8">
        <w:rPr>
          <w:rFonts w:hAnsi="標楷體" w:cs="Times New Roman" w:hint="eastAsia"/>
          <w:sz w:val="28"/>
          <w:szCs w:val="28"/>
        </w:rPr>
        <w:lastRenderedPageBreak/>
        <w:t>單位數選定、申報買賣幣別、每營業日成交價格之升降幅度、櫃檯買賣開始日之參考價格計算方式、給付結算使用幣別、手續費及業務服務費收取幣別、委託人應開立外幣存款帳戶、交易限制、證券商當日輸入委託或自行買賣申報總金額之方式、新臺幣</w:t>
      </w:r>
      <w:proofErr w:type="spellStart"/>
      <w:r w:rsidR="002222C8" w:rsidRPr="002222C8">
        <w:rPr>
          <w:rFonts w:hAnsi="標楷體" w:cs="Times New Roman"/>
          <w:sz w:val="28"/>
          <w:szCs w:val="28"/>
        </w:rPr>
        <w:t>ETF</w:t>
      </w:r>
      <w:proofErr w:type="spellEnd"/>
      <w:r w:rsidR="002222C8" w:rsidRPr="002222C8">
        <w:rPr>
          <w:rFonts w:hAnsi="標楷體" w:cs="Times New Roman" w:hint="eastAsia"/>
          <w:sz w:val="28"/>
          <w:szCs w:val="28"/>
        </w:rPr>
        <w:t>受益憑證及其加掛</w:t>
      </w:r>
      <w:r w:rsidR="002222C8" w:rsidRPr="002222C8">
        <w:rPr>
          <w:rFonts w:hAnsi="標楷體" w:cs="Times New Roman"/>
          <w:sz w:val="28"/>
          <w:szCs w:val="28"/>
        </w:rPr>
        <w:t>ETF</w:t>
      </w:r>
      <w:r w:rsidR="002222C8" w:rsidRPr="002222C8">
        <w:rPr>
          <w:rFonts w:hAnsi="標楷體" w:cs="Times New Roman" w:hint="eastAsia"/>
          <w:sz w:val="28"/>
          <w:szCs w:val="28"/>
        </w:rPr>
        <w:t>受益憑證得互相轉換、互相轉換之金額限制等規定</w:t>
      </w:r>
      <w:r w:rsidR="004D6882" w:rsidRPr="00A63ED8">
        <w:rPr>
          <w:rFonts w:hAnsi="標楷體" w:cs="Times New Roman"/>
          <w:sz w:val="28"/>
          <w:szCs w:val="28"/>
        </w:rPr>
        <w:t>。</w:t>
      </w:r>
      <w:r w:rsidR="00E75B96" w:rsidRPr="00A63ED8">
        <w:rPr>
          <w:rFonts w:hAnsi="標楷體" w:cs="Times New Roman" w:hint="eastAsia"/>
          <w:sz w:val="28"/>
          <w:szCs w:val="28"/>
        </w:rPr>
        <w:t>(</w:t>
      </w:r>
      <w:r w:rsidR="00925E2F" w:rsidRPr="00500699">
        <w:rPr>
          <w:rFonts w:hAnsi="標楷體" w:cs="Times New Roman" w:hint="eastAsia"/>
          <w:sz w:val="28"/>
          <w:szCs w:val="28"/>
        </w:rPr>
        <w:t>指數股票型基金受益憑證買賣辦法</w:t>
      </w:r>
      <w:r w:rsidR="00E75B96" w:rsidRPr="00A63ED8">
        <w:rPr>
          <w:rFonts w:hAnsi="標楷體" w:cs="Times New Roman" w:hint="eastAsia"/>
          <w:sz w:val="28"/>
          <w:szCs w:val="28"/>
        </w:rPr>
        <w:t>第2條、第3條、第4條、第4-1條、第5條、第6條、第7條、第8條、第11條、第</w:t>
      </w:r>
      <w:r w:rsidR="00E75B96" w:rsidRPr="00375398">
        <w:rPr>
          <w:rFonts w:hAnsi="標楷體" w:cs="Times New Roman" w:hint="eastAsia"/>
          <w:color w:val="auto"/>
          <w:sz w:val="28"/>
          <w:szCs w:val="28"/>
        </w:rPr>
        <w:t>15條、第1</w:t>
      </w:r>
      <w:r w:rsidR="00774BD0" w:rsidRPr="00375398">
        <w:rPr>
          <w:rFonts w:hAnsi="標楷體" w:cs="Times New Roman" w:hint="eastAsia"/>
          <w:color w:val="auto"/>
          <w:sz w:val="28"/>
          <w:szCs w:val="28"/>
        </w:rPr>
        <w:t>9</w:t>
      </w:r>
      <w:r w:rsidR="00E75B96" w:rsidRPr="00375398">
        <w:rPr>
          <w:rFonts w:hAnsi="標楷體" w:cs="Times New Roman" w:hint="eastAsia"/>
          <w:color w:val="auto"/>
          <w:sz w:val="28"/>
          <w:szCs w:val="28"/>
        </w:rPr>
        <w:t>條、第</w:t>
      </w:r>
      <w:r w:rsidR="00774BD0" w:rsidRPr="00375398">
        <w:rPr>
          <w:rFonts w:hAnsi="標楷體" w:cs="Times New Roman" w:hint="eastAsia"/>
          <w:color w:val="auto"/>
          <w:sz w:val="28"/>
          <w:szCs w:val="28"/>
        </w:rPr>
        <w:t>20</w:t>
      </w:r>
      <w:r w:rsidR="00E75B96" w:rsidRPr="00375398">
        <w:rPr>
          <w:rFonts w:hAnsi="標楷體" w:cs="Times New Roman" w:hint="eastAsia"/>
          <w:color w:val="auto"/>
          <w:sz w:val="28"/>
          <w:szCs w:val="28"/>
        </w:rPr>
        <w:t>條、第</w:t>
      </w:r>
      <w:r w:rsidR="00774BD0" w:rsidRPr="00375398">
        <w:rPr>
          <w:rFonts w:hAnsi="標楷體" w:cs="Times New Roman" w:hint="eastAsia"/>
          <w:color w:val="auto"/>
          <w:sz w:val="28"/>
          <w:szCs w:val="28"/>
        </w:rPr>
        <w:t>21</w:t>
      </w:r>
      <w:r w:rsidR="00E75B96" w:rsidRPr="00375398">
        <w:rPr>
          <w:rFonts w:hAnsi="標楷體" w:cs="Times New Roman" w:hint="eastAsia"/>
          <w:color w:val="auto"/>
          <w:sz w:val="28"/>
          <w:szCs w:val="28"/>
        </w:rPr>
        <w:t>條、第</w:t>
      </w:r>
      <w:r w:rsidR="00774BD0" w:rsidRPr="00375398">
        <w:rPr>
          <w:rFonts w:hAnsi="標楷體" w:cs="Times New Roman" w:hint="eastAsia"/>
          <w:color w:val="auto"/>
          <w:sz w:val="28"/>
          <w:szCs w:val="28"/>
        </w:rPr>
        <w:t>22</w:t>
      </w:r>
      <w:r w:rsidR="00E75B96" w:rsidRPr="00375398">
        <w:rPr>
          <w:rFonts w:hAnsi="標楷體" w:cs="Times New Roman" w:hint="eastAsia"/>
          <w:color w:val="auto"/>
          <w:sz w:val="28"/>
          <w:szCs w:val="28"/>
        </w:rPr>
        <w:t>條、</w:t>
      </w:r>
      <w:r w:rsidR="00084A62" w:rsidRPr="00375398">
        <w:rPr>
          <w:rFonts w:hAnsi="標楷體" w:cs="Times New Roman" w:hint="eastAsia"/>
          <w:color w:val="auto"/>
          <w:sz w:val="28"/>
          <w:szCs w:val="28"/>
        </w:rPr>
        <w:t>第</w:t>
      </w:r>
      <w:r w:rsidR="00774BD0" w:rsidRPr="00375398">
        <w:rPr>
          <w:rFonts w:hAnsi="標楷體" w:cs="Times New Roman" w:hint="eastAsia"/>
          <w:color w:val="auto"/>
          <w:sz w:val="28"/>
          <w:szCs w:val="28"/>
        </w:rPr>
        <w:t>22</w:t>
      </w:r>
      <w:r w:rsidR="00084A62" w:rsidRPr="00375398">
        <w:rPr>
          <w:rFonts w:hAnsi="標楷體" w:cs="Times New Roman" w:hint="eastAsia"/>
          <w:color w:val="auto"/>
          <w:sz w:val="28"/>
          <w:szCs w:val="28"/>
        </w:rPr>
        <w:t>條之1</w:t>
      </w:r>
      <w:r w:rsidR="009A66E2" w:rsidRPr="00375398">
        <w:rPr>
          <w:rFonts w:hAnsi="標楷體" w:cs="Times New Roman" w:hint="eastAsia"/>
          <w:color w:val="auto"/>
          <w:sz w:val="28"/>
          <w:szCs w:val="28"/>
        </w:rPr>
        <w:t>及</w:t>
      </w:r>
      <w:r w:rsidR="00E75B96" w:rsidRPr="00375398">
        <w:rPr>
          <w:rFonts w:hAnsi="標楷體" w:cs="Times New Roman" w:hint="eastAsia"/>
          <w:color w:val="auto"/>
          <w:sz w:val="28"/>
          <w:szCs w:val="28"/>
        </w:rPr>
        <w:t>第2</w:t>
      </w:r>
      <w:r w:rsidR="00774BD0" w:rsidRPr="00375398">
        <w:rPr>
          <w:rFonts w:hAnsi="標楷體" w:cs="Times New Roman" w:hint="eastAsia"/>
          <w:color w:val="auto"/>
          <w:sz w:val="28"/>
          <w:szCs w:val="28"/>
        </w:rPr>
        <w:t>3</w:t>
      </w:r>
      <w:r w:rsidR="00E75B96" w:rsidRPr="00375398">
        <w:rPr>
          <w:rFonts w:hAnsi="標楷體" w:cs="Times New Roman" w:hint="eastAsia"/>
          <w:color w:val="auto"/>
          <w:sz w:val="28"/>
          <w:szCs w:val="28"/>
        </w:rPr>
        <w:t>條</w:t>
      </w:r>
      <w:r w:rsidR="00EC13BC" w:rsidRPr="00375398">
        <w:rPr>
          <w:rFonts w:hAnsi="標楷體" w:cstheme="minorBidi" w:hint="eastAsia"/>
          <w:color w:val="auto"/>
          <w:kern w:val="2"/>
          <w:sz w:val="28"/>
          <w:szCs w:val="28"/>
        </w:rPr>
        <w:t>及新增</w:t>
      </w:r>
      <w:r w:rsidR="00B4054F" w:rsidRPr="00375398">
        <w:rPr>
          <w:rFonts w:hAnsi="標楷體" w:cstheme="minorBidi" w:hint="eastAsia"/>
          <w:color w:val="auto"/>
          <w:kern w:val="2"/>
          <w:sz w:val="28"/>
          <w:szCs w:val="28"/>
        </w:rPr>
        <w:t>同意書</w:t>
      </w:r>
      <w:r w:rsidR="00E75B96" w:rsidRPr="00375398">
        <w:rPr>
          <w:rFonts w:hAnsi="標楷體" w:cs="Times New Roman" w:hint="eastAsia"/>
          <w:color w:val="auto"/>
          <w:sz w:val="28"/>
          <w:szCs w:val="28"/>
        </w:rPr>
        <w:t>)</w:t>
      </w:r>
    </w:p>
    <w:p w14:paraId="2836D1DE" w14:textId="2327EE34" w:rsidR="004D6882" w:rsidRPr="00D00C29" w:rsidRDefault="00CE6D58" w:rsidP="002222C8">
      <w:pPr>
        <w:pStyle w:val="Default"/>
        <w:autoSpaceDE/>
        <w:autoSpaceDN/>
        <w:adjustRightInd/>
        <w:spacing w:line="420" w:lineRule="exact"/>
        <w:ind w:left="574" w:hangingChars="205" w:hanging="574"/>
        <w:jc w:val="both"/>
        <w:rPr>
          <w:rFonts w:hAnsi="標楷體" w:cs="Times New Roman"/>
          <w:sz w:val="28"/>
          <w:szCs w:val="28"/>
        </w:rPr>
      </w:pPr>
      <w:r>
        <w:rPr>
          <w:rFonts w:hAnsi="標楷體" w:cs="Times New Roman" w:hint="eastAsia"/>
          <w:sz w:val="28"/>
          <w:szCs w:val="28"/>
        </w:rPr>
        <w:t>四</w:t>
      </w:r>
      <w:r w:rsidR="00A4491C">
        <w:rPr>
          <w:rFonts w:hAnsi="標楷體" w:cs="Times New Roman" w:hint="eastAsia"/>
          <w:sz w:val="28"/>
          <w:szCs w:val="28"/>
        </w:rPr>
        <w:t>、</w:t>
      </w:r>
      <w:r w:rsidR="00EC5AA9">
        <w:rPr>
          <w:rFonts w:hAnsi="標楷體" w:cs="Times New Roman" w:hint="eastAsia"/>
          <w:sz w:val="28"/>
          <w:szCs w:val="28"/>
        </w:rPr>
        <w:t>為建置加掛ETF流動量提供者制度及其市場</w:t>
      </w:r>
      <w:r w:rsidR="00EC5AA9" w:rsidRPr="004F2F6C">
        <w:rPr>
          <w:rFonts w:hAnsi="標楷體" w:cs="Times New Roman" w:hint="eastAsia"/>
          <w:sz w:val="28"/>
          <w:szCs w:val="28"/>
        </w:rPr>
        <w:t>行情揭示</w:t>
      </w:r>
      <w:r w:rsidR="00EC5AA9">
        <w:rPr>
          <w:rFonts w:hAnsi="標楷體" w:cs="Times New Roman" w:hint="eastAsia"/>
          <w:sz w:val="28"/>
          <w:szCs w:val="28"/>
        </w:rPr>
        <w:t>，增</w:t>
      </w:r>
      <w:r w:rsidR="003417F3" w:rsidRPr="003417F3">
        <w:rPr>
          <w:rFonts w:hAnsi="標楷體" w:cs="Times New Roman" w:hint="eastAsia"/>
          <w:sz w:val="28"/>
          <w:szCs w:val="28"/>
        </w:rPr>
        <w:t>訂加掛</w:t>
      </w:r>
      <w:r w:rsidR="003417F3" w:rsidRPr="003417F3">
        <w:rPr>
          <w:rFonts w:hAnsi="標楷體" w:cs="Times New Roman"/>
          <w:sz w:val="28"/>
          <w:szCs w:val="28"/>
        </w:rPr>
        <w:t>ETF</w:t>
      </w:r>
      <w:r w:rsidR="003417F3" w:rsidRPr="003417F3">
        <w:rPr>
          <w:rFonts w:hAnsi="標楷體" w:cs="Times New Roman" w:hint="eastAsia"/>
          <w:sz w:val="28"/>
          <w:szCs w:val="28"/>
        </w:rPr>
        <w:t>之流動量提供者相關市場行情揭示之規定</w:t>
      </w:r>
      <w:r w:rsidR="00D00C29" w:rsidRPr="00487BEF">
        <w:rPr>
          <w:rFonts w:hAnsi="標楷體" w:cs="Times New Roman"/>
          <w:sz w:val="28"/>
          <w:szCs w:val="28"/>
        </w:rPr>
        <w:t>。</w:t>
      </w:r>
      <w:r w:rsidR="00D00C29" w:rsidRPr="00487BEF">
        <w:rPr>
          <w:rFonts w:hAnsi="標楷體" w:cs="Times New Roman" w:hint="eastAsia"/>
          <w:sz w:val="28"/>
          <w:szCs w:val="28"/>
        </w:rPr>
        <w:t>(</w:t>
      </w:r>
      <w:r w:rsidR="00925E2F" w:rsidRPr="00500699">
        <w:rPr>
          <w:rFonts w:hAnsi="標楷體" w:cs="Times New Roman" w:hint="eastAsia"/>
          <w:sz w:val="28"/>
          <w:szCs w:val="28"/>
        </w:rPr>
        <w:t>指數股票型基金受益憑證流動量提供者作業要點</w:t>
      </w:r>
      <w:r w:rsidR="004D6882" w:rsidRPr="00487BEF">
        <w:rPr>
          <w:rFonts w:hAnsi="標楷體" w:cs="Times New Roman"/>
          <w:sz w:val="28"/>
          <w:szCs w:val="28"/>
        </w:rPr>
        <w:t>第</w:t>
      </w:r>
      <w:r w:rsidR="006E21D1">
        <w:rPr>
          <w:rFonts w:hAnsi="標楷體" w:cs="Times New Roman" w:hint="eastAsia"/>
          <w:sz w:val="28"/>
          <w:szCs w:val="28"/>
        </w:rPr>
        <w:t>陸</w:t>
      </w:r>
      <w:r w:rsidR="004D6882" w:rsidRPr="00487BEF">
        <w:rPr>
          <w:rFonts w:hAnsi="標楷體" w:cs="Times New Roman"/>
          <w:sz w:val="28"/>
          <w:szCs w:val="28"/>
        </w:rPr>
        <w:t>之</w:t>
      </w:r>
      <w:r w:rsidR="006E21D1">
        <w:rPr>
          <w:rFonts w:hAnsi="標楷體" w:cs="Times New Roman" w:hint="eastAsia"/>
          <w:sz w:val="28"/>
          <w:szCs w:val="28"/>
        </w:rPr>
        <w:t>一</w:t>
      </w:r>
      <w:r w:rsidR="00D00C29" w:rsidRPr="00487BEF">
        <w:rPr>
          <w:rFonts w:hAnsi="標楷體" w:cs="Times New Roman" w:hint="eastAsia"/>
          <w:sz w:val="28"/>
          <w:szCs w:val="28"/>
        </w:rPr>
        <w:t>點)</w:t>
      </w:r>
    </w:p>
    <w:p w14:paraId="099FFEE0" w14:textId="52BB9EEA" w:rsidR="00356EC5" w:rsidRPr="0059354F" w:rsidRDefault="00CE6D58" w:rsidP="0059354F">
      <w:pPr>
        <w:spacing w:line="420" w:lineRule="exact"/>
        <w:ind w:left="574" w:hangingChars="205" w:hanging="574"/>
        <w:jc w:val="both"/>
        <w:rPr>
          <w:rFonts w:ascii="標楷體" w:eastAsia="標楷體" w:hAnsi="標楷體" w:cs="Times New Roman"/>
          <w:color w:val="000000"/>
          <w:kern w:val="0"/>
          <w:sz w:val="28"/>
          <w:szCs w:val="28"/>
        </w:rPr>
      </w:pPr>
      <w:r>
        <w:rPr>
          <w:rFonts w:ascii="標楷體" w:eastAsia="標楷體" w:hAnsi="標楷體" w:cs="Times New Roman" w:hint="eastAsia"/>
          <w:color w:val="000000"/>
          <w:kern w:val="0"/>
          <w:sz w:val="28"/>
          <w:szCs w:val="28"/>
        </w:rPr>
        <w:t>五</w:t>
      </w:r>
      <w:r w:rsidR="001175FE" w:rsidRPr="0059354F">
        <w:rPr>
          <w:rFonts w:ascii="標楷體" w:eastAsia="標楷體" w:hAnsi="標楷體" w:cs="Times New Roman" w:hint="eastAsia"/>
          <w:color w:val="000000"/>
          <w:kern w:val="0"/>
          <w:sz w:val="28"/>
          <w:szCs w:val="28"/>
        </w:rPr>
        <w:t>、</w:t>
      </w:r>
      <w:r w:rsidR="00126E1D">
        <w:rPr>
          <w:rFonts w:ascii="標楷體" w:eastAsia="標楷體" w:hAnsi="標楷體" w:cs="Times New Roman" w:hint="eastAsia"/>
          <w:color w:val="000000"/>
          <w:kern w:val="0"/>
          <w:sz w:val="28"/>
          <w:szCs w:val="28"/>
        </w:rPr>
        <w:t>配合</w:t>
      </w:r>
      <w:r w:rsidR="00126E1D">
        <w:rPr>
          <w:rFonts w:ascii="標楷體" w:eastAsia="標楷體" w:hAnsi="標楷體" w:cs="Times New Roman" w:hint="eastAsia"/>
          <w:color w:val="000000"/>
          <w:sz w:val="28"/>
          <w:szCs w:val="28"/>
        </w:rPr>
        <w:t>開放</w:t>
      </w:r>
      <w:r w:rsidR="00126E1D" w:rsidRPr="00885CFF">
        <w:rPr>
          <w:rFonts w:ascii="標楷體" w:eastAsia="標楷體" w:hAnsi="標楷體" w:cs="Times New Roman" w:hint="eastAsia"/>
          <w:color w:val="000000"/>
          <w:sz w:val="28"/>
          <w:szCs w:val="28"/>
        </w:rPr>
        <w:t>加掛ETF</w:t>
      </w:r>
      <w:r w:rsidR="00126E1D">
        <w:rPr>
          <w:rFonts w:ascii="標楷體" w:eastAsia="標楷體" w:hAnsi="標楷體" w:cs="Times New Roman" w:hint="eastAsia"/>
          <w:color w:val="000000"/>
          <w:sz w:val="28"/>
          <w:szCs w:val="28"/>
        </w:rPr>
        <w:t>受益憑證</w:t>
      </w:r>
      <w:r w:rsidR="000E2D0F">
        <w:rPr>
          <w:rFonts w:ascii="標楷體" w:eastAsia="標楷體" w:hAnsi="標楷體" w:cs="Times New Roman" w:hint="eastAsia"/>
          <w:color w:val="000000"/>
          <w:sz w:val="28"/>
          <w:szCs w:val="28"/>
        </w:rPr>
        <w:t>得</w:t>
      </w:r>
      <w:r w:rsidR="00126E1D" w:rsidRPr="00885CFF">
        <w:rPr>
          <w:rFonts w:ascii="標楷體" w:eastAsia="標楷體" w:hAnsi="標楷體" w:cs="Times New Roman" w:hint="eastAsia"/>
          <w:color w:val="000000"/>
          <w:sz w:val="28"/>
          <w:szCs w:val="28"/>
        </w:rPr>
        <w:t>以</w:t>
      </w:r>
      <w:r w:rsidR="00126E1D">
        <w:rPr>
          <w:rFonts w:ascii="標楷體" w:eastAsia="標楷體" w:hAnsi="標楷體" w:cs="Times New Roman" w:hint="eastAsia"/>
          <w:color w:val="000000"/>
          <w:sz w:val="28"/>
          <w:szCs w:val="28"/>
        </w:rPr>
        <w:t>其</w:t>
      </w:r>
      <w:r w:rsidR="00126E1D" w:rsidRPr="00885CFF">
        <w:rPr>
          <w:rFonts w:ascii="標楷體" w:eastAsia="標楷體" w:hAnsi="標楷體" w:cs="Times New Roman" w:hint="eastAsia"/>
          <w:color w:val="000000"/>
          <w:sz w:val="28"/>
          <w:szCs w:val="28"/>
        </w:rPr>
        <w:t>櫃檯買賣幣別辦理申購</w:t>
      </w:r>
      <w:r w:rsidR="00126E1D">
        <w:rPr>
          <w:rFonts w:ascii="標楷體" w:eastAsia="標楷體" w:hAnsi="標楷體" w:cs="Times New Roman" w:hint="eastAsia"/>
          <w:color w:val="000000"/>
          <w:sz w:val="28"/>
          <w:szCs w:val="28"/>
        </w:rPr>
        <w:t>、</w:t>
      </w:r>
      <w:r w:rsidR="00126E1D" w:rsidRPr="00885CFF">
        <w:rPr>
          <w:rFonts w:ascii="標楷體" w:eastAsia="標楷體" w:hAnsi="標楷體" w:cs="Times New Roman" w:hint="eastAsia"/>
          <w:color w:val="000000"/>
          <w:sz w:val="28"/>
          <w:szCs w:val="28"/>
        </w:rPr>
        <w:t>買回</w:t>
      </w:r>
      <w:r w:rsidR="00126E1D">
        <w:rPr>
          <w:rFonts w:ascii="新細明體" w:eastAsia="新細明體" w:hAnsi="新細明體" w:cs="Times New Roman" w:hint="eastAsia"/>
          <w:color w:val="000000"/>
          <w:sz w:val="28"/>
          <w:szCs w:val="28"/>
        </w:rPr>
        <w:t>，</w:t>
      </w:r>
      <w:r w:rsidR="00D85BAA" w:rsidRPr="0072721D">
        <w:rPr>
          <w:rFonts w:ascii="標楷體" w:eastAsia="標楷體" w:hAnsi="標楷體" w:cs="Times New Roman" w:hint="eastAsia"/>
          <w:color w:val="000000"/>
          <w:sz w:val="28"/>
          <w:szCs w:val="28"/>
        </w:rPr>
        <w:t>增訂參與證券商自行或受託辦理</w:t>
      </w:r>
      <w:r w:rsidR="007C355D">
        <w:rPr>
          <w:rFonts w:ascii="標楷體" w:eastAsia="標楷體" w:hAnsi="標楷體" w:cs="Times New Roman" w:hint="eastAsia"/>
          <w:color w:val="000000"/>
          <w:sz w:val="28"/>
          <w:szCs w:val="28"/>
        </w:rPr>
        <w:t>加掛</w:t>
      </w:r>
      <w:r w:rsidR="00D85BAA" w:rsidRPr="0072721D">
        <w:rPr>
          <w:rFonts w:ascii="標楷體" w:eastAsia="標楷體" w:hAnsi="標楷體" w:cs="Times New Roman" w:hint="eastAsia"/>
          <w:color w:val="000000"/>
          <w:sz w:val="28"/>
          <w:szCs w:val="28"/>
        </w:rPr>
        <w:t>ETF受益憑證</w:t>
      </w:r>
      <w:r w:rsidR="009F3256">
        <w:rPr>
          <w:rFonts w:ascii="標楷體" w:eastAsia="標楷體" w:hAnsi="標楷體" w:cs="Times New Roman" w:hint="eastAsia"/>
          <w:color w:val="000000"/>
          <w:sz w:val="28"/>
          <w:szCs w:val="28"/>
        </w:rPr>
        <w:t>申購、買回</w:t>
      </w:r>
      <w:r w:rsidR="00D85BAA" w:rsidRPr="0072721D">
        <w:rPr>
          <w:rFonts w:ascii="標楷體" w:eastAsia="標楷體" w:hAnsi="標楷體" w:cs="Times New Roman" w:hint="eastAsia"/>
          <w:color w:val="000000"/>
          <w:sz w:val="28"/>
          <w:szCs w:val="28"/>
        </w:rPr>
        <w:t>，應以其櫃檯買賣幣別為款項收付，以及考量買賣加掛ETF投資人須承擔風險，增訂委託人首次委託參與證券商辦理加掛ETF受益憑證申購買回，應簽具風險預告書</w:t>
      </w:r>
      <w:r w:rsidR="0018131B">
        <w:rPr>
          <w:rFonts w:ascii="新細明體" w:eastAsia="新細明體" w:hAnsi="新細明體" w:cs="Times New Roman" w:hint="eastAsia"/>
          <w:color w:val="000000"/>
          <w:sz w:val="28"/>
          <w:szCs w:val="28"/>
        </w:rPr>
        <w:t>，</w:t>
      </w:r>
      <w:r w:rsidR="0018131B" w:rsidRPr="0018131B">
        <w:rPr>
          <w:rFonts w:ascii="標楷體" w:eastAsia="標楷體" w:hAnsi="標楷體" w:cs="Times New Roman" w:hint="eastAsia"/>
          <w:color w:val="000000"/>
          <w:sz w:val="28"/>
          <w:szCs w:val="28"/>
        </w:rPr>
        <w:t>參與證券商始得接受其委託</w:t>
      </w:r>
      <w:r w:rsidR="00AE0BDA">
        <w:rPr>
          <w:rFonts w:ascii="標楷體" w:eastAsia="標楷體" w:hAnsi="標楷體" w:cs="Times New Roman" w:hint="eastAsia"/>
          <w:color w:val="000000"/>
          <w:sz w:val="28"/>
          <w:szCs w:val="28"/>
        </w:rPr>
        <w:t>等</w:t>
      </w:r>
      <w:r w:rsidR="00D85BAA" w:rsidRPr="0072721D">
        <w:rPr>
          <w:rFonts w:ascii="標楷體" w:eastAsia="標楷體" w:hAnsi="標楷體" w:cs="Times New Roman" w:hint="eastAsia"/>
          <w:color w:val="000000"/>
          <w:sz w:val="28"/>
          <w:szCs w:val="28"/>
        </w:rPr>
        <w:t>規定</w:t>
      </w:r>
      <w:r w:rsidR="0059354F" w:rsidRPr="0059354F">
        <w:rPr>
          <w:rFonts w:ascii="標楷體" w:eastAsia="標楷體" w:hAnsi="標楷體" w:cs="Times New Roman" w:hint="eastAsia"/>
          <w:color w:val="000000"/>
          <w:kern w:val="0"/>
          <w:sz w:val="28"/>
          <w:szCs w:val="28"/>
        </w:rPr>
        <w:t>(</w:t>
      </w:r>
      <w:r w:rsidR="00925E2F" w:rsidRPr="00500699">
        <w:rPr>
          <w:rFonts w:ascii="標楷體" w:eastAsia="標楷體" w:hAnsi="標楷體" w:cs="Times New Roman" w:hint="eastAsia"/>
          <w:color w:val="000000"/>
          <w:sz w:val="28"/>
          <w:szCs w:val="28"/>
        </w:rPr>
        <w:t>指數股票型基金受益憑證辦理申購暨買回作業要點</w:t>
      </w:r>
      <w:r w:rsidR="00D85BAA" w:rsidRPr="0072721D">
        <w:rPr>
          <w:rFonts w:ascii="標楷體" w:eastAsia="標楷體" w:hAnsi="標楷體" w:cs="Times New Roman" w:hint="eastAsia"/>
          <w:color w:val="000000"/>
          <w:sz w:val="28"/>
          <w:szCs w:val="28"/>
        </w:rPr>
        <w:t>第</w:t>
      </w:r>
      <w:r w:rsidR="0070272C">
        <w:rPr>
          <w:rFonts w:ascii="標楷體" w:eastAsia="標楷體" w:hAnsi="標楷體" w:cs="Times New Roman" w:hint="eastAsia"/>
          <w:color w:val="000000"/>
          <w:sz w:val="28"/>
          <w:szCs w:val="28"/>
        </w:rPr>
        <w:t>陸</w:t>
      </w:r>
      <w:r w:rsidR="00D85BAA" w:rsidRPr="0072721D">
        <w:rPr>
          <w:rFonts w:ascii="標楷體" w:eastAsia="標楷體" w:hAnsi="標楷體" w:cs="Times New Roman" w:hint="eastAsia"/>
          <w:color w:val="000000"/>
          <w:sz w:val="28"/>
          <w:szCs w:val="28"/>
        </w:rPr>
        <w:t>點</w:t>
      </w:r>
      <w:r w:rsidR="0070272C">
        <w:rPr>
          <w:rFonts w:ascii="標楷體" w:eastAsia="標楷體" w:hAnsi="標楷體" w:cs="Times New Roman" w:hint="eastAsia"/>
          <w:color w:val="000000"/>
          <w:sz w:val="28"/>
          <w:szCs w:val="28"/>
        </w:rPr>
        <w:t>及</w:t>
      </w:r>
      <w:r w:rsidR="00D85BAA" w:rsidRPr="0072721D">
        <w:rPr>
          <w:rFonts w:ascii="標楷體" w:eastAsia="標楷體" w:hAnsi="標楷體" w:cs="Times New Roman" w:hint="eastAsia"/>
          <w:color w:val="000000"/>
          <w:sz w:val="28"/>
          <w:szCs w:val="28"/>
        </w:rPr>
        <w:t>第</w:t>
      </w:r>
      <w:r w:rsidR="00FB4DCE">
        <w:rPr>
          <w:rFonts w:ascii="標楷體" w:eastAsia="標楷體" w:hAnsi="標楷體" w:cs="Times New Roman" w:hint="eastAsia"/>
          <w:color w:val="000000"/>
          <w:sz w:val="28"/>
          <w:szCs w:val="28"/>
        </w:rPr>
        <w:t>拾</w:t>
      </w:r>
      <w:r w:rsidR="00D85BAA" w:rsidRPr="0072721D">
        <w:rPr>
          <w:rFonts w:ascii="標楷體" w:eastAsia="標楷體" w:hAnsi="標楷體" w:cs="Times New Roman" w:hint="eastAsia"/>
          <w:color w:val="000000"/>
          <w:sz w:val="28"/>
          <w:szCs w:val="28"/>
        </w:rPr>
        <w:t>點</w:t>
      </w:r>
      <w:r w:rsidR="0059354F" w:rsidRPr="0059354F">
        <w:rPr>
          <w:rFonts w:ascii="標楷體" w:eastAsia="標楷體" w:hAnsi="標楷體" w:cs="Times New Roman" w:hint="eastAsia"/>
          <w:color w:val="000000"/>
          <w:kern w:val="0"/>
          <w:sz w:val="28"/>
          <w:szCs w:val="28"/>
        </w:rPr>
        <w:t>)</w:t>
      </w:r>
    </w:p>
    <w:p w14:paraId="7DFD3BA1" w14:textId="12395861" w:rsidR="003950A1" w:rsidRPr="00023751" w:rsidRDefault="00BB6C5E" w:rsidP="00023751">
      <w:pPr>
        <w:pStyle w:val="Default"/>
        <w:widowControl/>
        <w:autoSpaceDE/>
        <w:autoSpaceDN/>
        <w:adjustRightInd/>
        <w:spacing w:line="420" w:lineRule="exact"/>
        <w:ind w:left="504" w:hangingChars="180" w:hanging="504"/>
        <w:jc w:val="both"/>
        <w:rPr>
          <w:rFonts w:hAnsi="標楷體" w:cs="Times New Roman"/>
          <w:kern w:val="2"/>
          <w:sz w:val="28"/>
          <w:szCs w:val="28"/>
        </w:rPr>
      </w:pPr>
      <w:r>
        <w:rPr>
          <w:rFonts w:hAnsi="標楷體" w:cs="Times New Roman" w:hint="eastAsia"/>
          <w:sz w:val="28"/>
          <w:szCs w:val="28"/>
        </w:rPr>
        <w:t>六</w:t>
      </w:r>
      <w:r w:rsidR="002B4835">
        <w:rPr>
          <w:rFonts w:hAnsi="標楷體" w:cs="Times New Roman" w:hint="eastAsia"/>
          <w:sz w:val="28"/>
          <w:szCs w:val="28"/>
        </w:rPr>
        <w:t>、</w:t>
      </w:r>
      <w:r w:rsidR="00126E1D" w:rsidRPr="00A76B48">
        <w:rPr>
          <w:rFonts w:hAnsi="標楷體" w:cs="Times New Roman"/>
          <w:sz w:val="28"/>
          <w:szCs w:val="28"/>
        </w:rPr>
        <w:t>配合開放加掛ETF受益憑證櫃檯買賣</w:t>
      </w:r>
      <w:r w:rsidR="00CF36CE" w:rsidRPr="00023751">
        <w:rPr>
          <w:rFonts w:hAnsi="標楷體" w:cs="Times New Roman"/>
          <w:kern w:val="2"/>
          <w:sz w:val="28"/>
          <w:szCs w:val="28"/>
        </w:rPr>
        <w:t>，</w:t>
      </w:r>
      <w:r w:rsidR="00023751" w:rsidRPr="00023751">
        <w:rPr>
          <w:rFonts w:hAnsi="標楷體" w:cs="Times New Roman" w:hint="eastAsia"/>
          <w:sz w:val="28"/>
          <w:szCs w:val="28"/>
        </w:rPr>
        <w:t>增訂證券商申報鉅額買賣，加掛</w:t>
      </w:r>
      <w:r w:rsidR="00023751" w:rsidRPr="00023751">
        <w:rPr>
          <w:rFonts w:hAnsi="標楷體" w:cs="Times New Roman"/>
          <w:sz w:val="28"/>
          <w:szCs w:val="28"/>
        </w:rPr>
        <w:t>ETF</w:t>
      </w:r>
      <w:r w:rsidR="00023751" w:rsidRPr="00023751">
        <w:rPr>
          <w:rFonts w:hAnsi="標楷體" w:cs="Times New Roman" w:hint="eastAsia"/>
          <w:sz w:val="28"/>
          <w:szCs w:val="28"/>
        </w:rPr>
        <w:t>受益憑證金額換算為新臺幣之計算方式。</w:t>
      </w:r>
      <w:r w:rsidRPr="00023751">
        <w:rPr>
          <w:rFonts w:hAnsi="標楷體" w:cs="Times New Roman" w:hint="eastAsia"/>
          <w:kern w:val="2"/>
          <w:sz w:val="28"/>
          <w:szCs w:val="28"/>
        </w:rPr>
        <w:t>(</w:t>
      </w:r>
      <w:r w:rsidR="00CF36CE" w:rsidRPr="00023751">
        <w:rPr>
          <w:rFonts w:hAnsi="標楷體" w:cs="Times New Roman"/>
          <w:kern w:val="2"/>
          <w:sz w:val="28"/>
          <w:szCs w:val="28"/>
        </w:rPr>
        <w:t>上櫃證券鉅額買賣辦法第</w:t>
      </w:r>
      <w:r w:rsidRPr="00023751">
        <w:rPr>
          <w:rFonts w:hAnsi="標楷體" w:cs="Times New Roman" w:hint="eastAsia"/>
          <w:kern w:val="2"/>
          <w:sz w:val="28"/>
          <w:szCs w:val="28"/>
        </w:rPr>
        <w:t>3</w:t>
      </w:r>
      <w:r w:rsidR="00CF36CE" w:rsidRPr="00023751">
        <w:rPr>
          <w:rFonts w:hAnsi="標楷體" w:cs="Times New Roman"/>
          <w:kern w:val="2"/>
          <w:sz w:val="28"/>
          <w:szCs w:val="28"/>
        </w:rPr>
        <w:t>條</w:t>
      </w:r>
      <w:r w:rsidRPr="00023751">
        <w:rPr>
          <w:rFonts w:hAnsi="標楷體" w:cs="Times New Roman" w:hint="eastAsia"/>
          <w:kern w:val="2"/>
          <w:sz w:val="28"/>
          <w:szCs w:val="28"/>
        </w:rPr>
        <w:t>)</w:t>
      </w:r>
    </w:p>
    <w:p w14:paraId="5E2D6F5C" w14:textId="2D75A8A9" w:rsidR="00CF36CE" w:rsidRPr="009F1927" w:rsidRDefault="00747295" w:rsidP="00023751">
      <w:pPr>
        <w:pStyle w:val="Default"/>
        <w:widowControl/>
        <w:autoSpaceDE/>
        <w:autoSpaceDN/>
        <w:adjustRightInd/>
        <w:spacing w:line="420" w:lineRule="exact"/>
        <w:ind w:left="504" w:hangingChars="180" w:hanging="504"/>
        <w:jc w:val="both"/>
        <w:rPr>
          <w:rFonts w:hAnsi="標楷體" w:cs="Times New Roman"/>
          <w:sz w:val="28"/>
          <w:szCs w:val="28"/>
        </w:rPr>
      </w:pPr>
      <w:r>
        <w:rPr>
          <w:rFonts w:hAnsi="標楷體" w:hint="eastAsia"/>
          <w:sz w:val="28"/>
          <w:szCs w:val="28"/>
        </w:rPr>
        <w:t>七、</w:t>
      </w:r>
      <w:r w:rsidR="009B5D73" w:rsidRPr="00A76B48">
        <w:rPr>
          <w:rFonts w:hAnsi="標楷體" w:cs="Times New Roman"/>
          <w:sz w:val="28"/>
          <w:szCs w:val="28"/>
        </w:rPr>
        <w:t>配合開放加掛ETF受益憑證櫃檯買賣，</w:t>
      </w:r>
      <w:proofErr w:type="gramStart"/>
      <w:r w:rsidR="009B5D73">
        <w:rPr>
          <w:rFonts w:hAnsi="標楷體" w:cs="Times New Roman" w:hint="eastAsia"/>
          <w:sz w:val="28"/>
          <w:szCs w:val="28"/>
        </w:rPr>
        <w:t>於</w:t>
      </w:r>
      <w:r w:rsidR="009B5D73" w:rsidRPr="007D480F">
        <w:rPr>
          <w:rFonts w:hAnsi="標楷體" w:cs="Times New Roman"/>
          <w:sz w:val="28"/>
          <w:szCs w:val="28"/>
        </w:rPr>
        <w:t>錯帳</w:t>
      </w:r>
      <w:proofErr w:type="gramEnd"/>
      <w:r w:rsidR="009B5D73" w:rsidRPr="007D480F">
        <w:rPr>
          <w:rFonts w:hAnsi="標楷體" w:cs="Times New Roman"/>
          <w:sz w:val="28"/>
          <w:szCs w:val="28"/>
        </w:rPr>
        <w:t>及更正帳號申報作業</w:t>
      </w:r>
      <w:r w:rsidR="009B5D73" w:rsidRPr="007D480F">
        <w:rPr>
          <w:rFonts w:hAnsi="標楷體" w:cs="Times New Roman" w:hint="eastAsia"/>
          <w:sz w:val="28"/>
          <w:szCs w:val="28"/>
        </w:rPr>
        <w:t>部分，</w:t>
      </w:r>
      <w:r w:rsidR="009B5D73" w:rsidRPr="00A76B48">
        <w:rPr>
          <w:rFonts w:hAnsi="標楷體" w:cs="Times New Roman"/>
          <w:sz w:val="28"/>
          <w:szCs w:val="28"/>
        </w:rPr>
        <w:t>增</w:t>
      </w:r>
      <w:r w:rsidR="002F6911" w:rsidRPr="002F6911">
        <w:rPr>
          <w:rFonts w:hAnsi="標楷體" w:cs="Times New Roman" w:hint="eastAsia"/>
          <w:sz w:val="28"/>
          <w:szCs w:val="28"/>
        </w:rPr>
        <w:t>訂加掛</w:t>
      </w:r>
      <w:r w:rsidR="002F6911" w:rsidRPr="002F6911">
        <w:rPr>
          <w:rFonts w:hAnsi="標楷體" w:cs="Times New Roman"/>
          <w:sz w:val="28"/>
          <w:szCs w:val="28"/>
        </w:rPr>
        <w:t>ETF</w:t>
      </w:r>
      <w:r w:rsidR="002F6911" w:rsidRPr="002F6911">
        <w:rPr>
          <w:rFonts w:hAnsi="標楷體" w:cs="Times New Roman" w:hint="eastAsia"/>
          <w:sz w:val="28"/>
          <w:szCs w:val="28"/>
        </w:rPr>
        <w:t>受益憑證納入通報機制範圍，及換算為新臺幣之計算方式等規定。</w:t>
      </w:r>
      <w:r w:rsidR="009B5D73">
        <w:rPr>
          <w:rFonts w:hAnsi="標楷體" w:cs="Times New Roman" w:hint="eastAsia"/>
          <w:sz w:val="28"/>
          <w:szCs w:val="28"/>
        </w:rPr>
        <w:t>(</w:t>
      </w:r>
      <w:r w:rsidR="00925E2F" w:rsidRPr="00925E2F">
        <w:rPr>
          <w:rFonts w:hAnsi="標楷體" w:cs="Times New Roman" w:hint="eastAsia"/>
          <w:sz w:val="28"/>
          <w:szCs w:val="28"/>
        </w:rPr>
        <w:t>櫃檯買賣證券經紀商受託買賣錯帳及更正帳號處理作業要點</w:t>
      </w:r>
      <w:r w:rsidR="009B5D73" w:rsidRPr="00A76B48">
        <w:rPr>
          <w:rFonts w:hAnsi="標楷體" w:cs="Times New Roman"/>
          <w:sz w:val="28"/>
          <w:szCs w:val="28"/>
        </w:rPr>
        <w:t>第</w:t>
      </w:r>
      <w:r w:rsidR="000364B0">
        <w:rPr>
          <w:rFonts w:hAnsi="標楷體" w:cs="Times New Roman" w:hint="eastAsia"/>
          <w:sz w:val="28"/>
          <w:szCs w:val="28"/>
        </w:rPr>
        <w:t>2</w:t>
      </w:r>
      <w:r w:rsidR="009B5D73" w:rsidRPr="00A76B48">
        <w:rPr>
          <w:rFonts w:hAnsi="標楷體" w:cs="Times New Roman"/>
          <w:sz w:val="28"/>
          <w:szCs w:val="28"/>
        </w:rPr>
        <w:t>點</w:t>
      </w:r>
      <w:r w:rsidR="009B5D73">
        <w:rPr>
          <w:rFonts w:hAnsi="標楷體" w:cs="Times New Roman" w:hint="eastAsia"/>
          <w:sz w:val="28"/>
          <w:szCs w:val="28"/>
        </w:rPr>
        <w:t>)</w:t>
      </w:r>
    </w:p>
    <w:p w14:paraId="28E1C066" w14:textId="21BA3456" w:rsidR="00CF36CE" w:rsidRPr="002F6911" w:rsidRDefault="00795AB6" w:rsidP="002F6911">
      <w:pPr>
        <w:pStyle w:val="Default"/>
        <w:widowControl/>
        <w:autoSpaceDE/>
        <w:autoSpaceDN/>
        <w:adjustRightInd/>
        <w:spacing w:line="420" w:lineRule="exact"/>
        <w:ind w:left="504" w:hangingChars="180" w:hanging="504"/>
        <w:jc w:val="both"/>
        <w:rPr>
          <w:rFonts w:hAnsi="標楷體" w:cs="Times New Roman"/>
          <w:sz w:val="28"/>
          <w:szCs w:val="28"/>
        </w:rPr>
      </w:pPr>
      <w:r>
        <w:rPr>
          <w:rFonts w:hAnsi="標楷體" w:cs="Times New Roman" w:hint="eastAsia"/>
          <w:sz w:val="28"/>
          <w:szCs w:val="28"/>
        </w:rPr>
        <w:t>八</w:t>
      </w:r>
      <w:r w:rsidR="00A76B48" w:rsidRPr="00A76B48">
        <w:rPr>
          <w:rFonts w:hAnsi="標楷體" w:cs="Times New Roman" w:hint="eastAsia"/>
          <w:sz w:val="28"/>
          <w:szCs w:val="28"/>
        </w:rPr>
        <w:t>、</w:t>
      </w:r>
      <w:r w:rsidR="009B5D73" w:rsidRPr="00F70F32">
        <w:rPr>
          <w:rFonts w:hAnsi="標楷體" w:cs="Times New Roman"/>
          <w:sz w:val="28"/>
          <w:szCs w:val="28"/>
        </w:rPr>
        <w:t>配合開放加掛ETF受益憑證櫃檯買賣，</w:t>
      </w:r>
      <w:r w:rsidR="009B5D73">
        <w:rPr>
          <w:rFonts w:hAnsi="標楷體" w:cs="Times New Roman" w:hint="eastAsia"/>
          <w:sz w:val="28"/>
          <w:szCs w:val="28"/>
        </w:rPr>
        <w:t>於</w:t>
      </w:r>
      <w:r w:rsidR="009B5D73" w:rsidRPr="007E7476">
        <w:rPr>
          <w:rFonts w:hAnsi="標楷體" w:cs="Times New Roman"/>
          <w:sz w:val="28"/>
          <w:szCs w:val="28"/>
        </w:rPr>
        <w:t>違約通告作業</w:t>
      </w:r>
      <w:r w:rsidR="009B5D73">
        <w:rPr>
          <w:rFonts w:hAnsi="標楷體" w:cs="Times New Roman" w:hint="eastAsia"/>
          <w:sz w:val="28"/>
          <w:szCs w:val="28"/>
        </w:rPr>
        <w:t>部分，</w:t>
      </w:r>
      <w:r w:rsidR="002F6911" w:rsidRPr="002F6911">
        <w:rPr>
          <w:rFonts w:hAnsi="標楷體" w:cs="Times New Roman" w:hint="eastAsia"/>
          <w:sz w:val="28"/>
          <w:szCs w:val="28"/>
        </w:rPr>
        <w:t>增訂加掛</w:t>
      </w:r>
      <w:r w:rsidR="002F6911" w:rsidRPr="002F6911">
        <w:rPr>
          <w:rFonts w:hAnsi="標楷體" w:cs="Times New Roman"/>
          <w:sz w:val="28"/>
          <w:szCs w:val="28"/>
        </w:rPr>
        <w:t>ETF</w:t>
      </w:r>
      <w:r w:rsidR="002F6911" w:rsidRPr="002F6911">
        <w:rPr>
          <w:rFonts w:hAnsi="標楷體" w:cs="Times New Roman" w:hint="eastAsia"/>
          <w:sz w:val="28"/>
          <w:szCs w:val="28"/>
        </w:rPr>
        <w:t>受益憑證納入違約通告規定適用範圍，以及換算為新臺幣之計算方式等規定。</w:t>
      </w:r>
      <w:r w:rsidR="009B5D73" w:rsidRPr="00F70F32">
        <w:rPr>
          <w:rFonts w:hAnsi="標楷體" w:cs="Times New Roman" w:hint="eastAsia"/>
          <w:sz w:val="28"/>
          <w:szCs w:val="28"/>
        </w:rPr>
        <w:t>(</w:t>
      </w:r>
      <w:r w:rsidR="00925E2F" w:rsidRPr="00925E2F">
        <w:rPr>
          <w:rFonts w:hAnsi="標楷體" w:cs="Times New Roman" w:hint="eastAsia"/>
          <w:sz w:val="28"/>
          <w:szCs w:val="28"/>
        </w:rPr>
        <w:t>櫃檯買賣證券經紀商申報客戶遲延給付結算及違約案件處理作業要點</w:t>
      </w:r>
      <w:r w:rsidR="009B5D73" w:rsidRPr="009F1927">
        <w:rPr>
          <w:rFonts w:hAnsi="標楷體" w:cs="Times New Roman"/>
          <w:sz w:val="28"/>
          <w:szCs w:val="28"/>
        </w:rPr>
        <w:t>第</w:t>
      </w:r>
      <w:r w:rsidR="000364B0">
        <w:rPr>
          <w:rFonts w:hAnsi="標楷體" w:cs="Times New Roman" w:hint="eastAsia"/>
          <w:sz w:val="28"/>
          <w:szCs w:val="28"/>
        </w:rPr>
        <w:t>陸</w:t>
      </w:r>
      <w:r w:rsidR="009B5D73" w:rsidRPr="009F1927">
        <w:rPr>
          <w:rFonts w:hAnsi="標楷體" w:cs="Times New Roman"/>
          <w:sz w:val="28"/>
          <w:szCs w:val="28"/>
        </w:rPr>
        <w:t>點</w:t>
      </w:r>
      <w:r w:rsidR="009B5D73" w:rsidRPr="009F1927">
        <w:rPr>
          <w:rFonts w:hAnsi="標楷體" w:cs="Times New Roman" w:hint="eastAsia"/>
          <w:sz w:val="28"/>
          <w:szCs w:val="28"/>
        </w:rPr>
        <w:t>)</w:t>
      </w:r>
    </w:p>
    <w:p w14:paraId="056CEE33" w14:textId="2A205817" w:rsidR="00CF36CE" w:rsidRDefault="00C004E2" w:rsidP="005E4820">
      <w:pPr>
        <w:widowControl/>
        <w:spacing w:line="420" w:lineRule="exact"/>
        <w:ind w:left="504" w:hangingChars="180" w:hanging="504"/>
        <w:jc w:val="both"/>
        <w:rPr>
          <w:rFonts w:ascii="標楷體" w:eastAsia="標楷體" w:hAnsi="標楷體"/>
          <w:sz w:val="28"/>
          <w:szCs w:val="28"/>
        </w:rPr>
      </w:pPr>
      <w:r w:rsidRPr="007677AA">
        <w:rPr>
          <w:rFonts w:ascii="標楷體" w:eastAsia="標楷體" w:hAnsi="標楷體" w:cs="Times New Roman" w:hint="eastAsia"/>
          <w:color w:val="000000"/>
          <w:kern w:val="0"/>
          <w:sz w:val="28"/>
          <w:szCs w:val="28"/>
        </w:rPr>
        <w:t>九、</w:t>
      </w:r>
      <w:r w:rsidR="00CF36CE" w:rsidRPr="007677AA">
        <w:rPr>
          <w:rFonts w:ascii="標楷體" w:eastAsia="標楷體" w:hAnsi="標楷體" w:cs="Times New Roman" w:hint="eastAsia"/>
          <w:color w:val="000000"/>
          <w:kern w:val="0"/>
          <w:sz w:val="28"/>
          <w:szCs w:val="28"/>
        </w:rPr>
        <w:t>因應</w:t>
      </w:r>
      <w:r w:rsidR="009A6AA5">
        <w:rPr>
          <w:rFonts w:ascii="標楷體" w:eastAsia="標楷體" w:hAnsi="標楷體" w:cs="Times New Roman" w:hint="eastAsia"/>
          <w:color w:val="000000"/>
          <w:kern w:val="0"/>
          <w:sz w:val="28"/>
          <w:szCs w:val="28"/>
        </w:rPr>
        <w:t>加掛ETF</w:t>
      </w:r>
      <w:r w:rsidR="00CF36CE" w:rsidRPr="007677AA">
        <w:rPr>
          <w:rFonts w:ascii="標楷體" w:eastAsia="標楷體" w:hAnsi="標楷體" w:cs="Times New Roman" w:hint="eastAsia"/>
          <w:color w:val="000000"/>
          <w:kern w:val="0"/>
          <w:sz w:val="28"/>
          <w:szCs w:val="28"/>
        </w:rPr>
        <w:t>受益憑證</w:t>
      </w:r>
      <w:r w:rsidR="009A6AA5">
        <w:rPr>
          <w:rFonts w:ascii="標楷體" w:eastAsia="標楷體" w:hAnsi="標楷體" w:cs="Times New Roman" w:hint="eastAsia"/>
          <w:color w:val="000000"/>
          <w:sz w:val="28"/>
          <w:szCs w:val="28"/>
        </w:rPr>
        <w:t>不得為融資融券交易</w:t>
      </w:r>
      <w:r w:rsidR="00CF36CE" w:rsidRPr="007677AA">
        <w:rPr>
          <w:rFonts w:ascii="標楷體" w:eastAsia="標楷體" w:hAnsi="標楷體" w:cs="Times New Roman" w:hint="eastAsia"/>
          <w:color w:val="000000"/>
          <w:kern w:val="0"/>
          <w:sz w:val="28"/>
          <w:szCs w:val="28"/>
        </w:rPr>
        <w:t>，</w:t>
      </w:r>
      <w:r w:rsidR="009A6AA5">
        <w:rPr>
          <w:rFonts w:ascii="標楷體" w:eastAsia="標楷體" w:hAnsi="標楷體" w:cs="Times New Roman" w:hint="eastAsia"/>
          <w:color w:val="000000"/>
          <w:sz w:val="28"/>
          <w:szCs w:val="28"/>
        </w:rPr>
        <w:t>訂定加掛E</w:t>
      </w:r>
      <w:r w:rsidR="009A6AA5">
        <w:rPr>
          <w:rFonts w:ascii="標楷體" w:eastAsia="標楷體" w:hAnsi="標楷體" w:cs="Times New Roman"/>
          <w:color w:val="000000"/>
          <w:sz w:val="28"/>
          <w:szCs w:val="28"/>
        </w:rPr>
        <w:t>TF</w:t>
      </w:r>
      <w:r w:rsidR="009A6AA5">
        <w:rPr>
          <w:rFonts w:ascii="標楷體" w:eastAsia="標楷體" w:hAnsi="標楷體" w:cs="Times New Roman" w:hint="eastAsia"/>
          <w:color w:val="000000"/>
          <w:sz w:val="28"/>
          <w:szCs w:val="28"/>
        </w:rPr>
        <w:t>受益憑證</w:t>
      </w:r>
      <w:r w:rsidR="009A6AA5" w:rsidRPr="004F2F6C">
        <w:rPr>
          <w:rFonts w:ascii="標楷體" w:eastAsia="標楷體" w:hAnsi="標楷體" w:cs="Times New Roman" w:hint="eastAsia"/>
          <w:color w:val="000000"/>
          <w:sz w:val="28"/>
          <w:szCs w:val="28"/>
        </w:rPr>
        <w:t>不得融資融券交易</w:t>
      </w:r>
      <w:r w:rsidR="009A6AA5">
        <w:rPr>
          <w:rFonts w:ascii="標楷體" w:eastAsia="標楷體" w:hAnsi="標楷體" w:cs="Times New Roman" w:hint="eastAsia"/>
          <w:color w:val="000000"/>
          <w:sz w:val="28"/>
          <w:szCs w:val="28"/>
        </w:rPr>
        <w:t>規定。</w:t>
      </w:r>
      <w:r w:rsidRPr="007677AA">
        <w:rPr>
          <w:rFonts w:ascii="標楷體" w:eastAsia="標楷體" w:hAnsi="標楷體" w:cs="Times New Roman" w:hint="eastAsia"/>
          <w:color w:val="000000"/>
          <w:kern w:val="0"/>
          <w:sz w:val="28"/>
          <w:szCs w:val="28"/>
        </w:rPr>
        <w:t>(</w:t>
      </w:r>
      <w:r w:rsidR="00925E2F" w:rsidRPr="00925E2F">
        <w:rPr>
          <w:rFonts w:ascii="標楷體" w:eastAsia="標楷體" w:hAnsi="標楷體" w:cs="Times New Roman" w:hint="eastAsia"/>
          <w:color w:val="000000"/>
          <w:kern w:val="0"/>
          <w:sz w:val="28"/>
          <w:szCs w:val="28"/>
        </w:rPr>
        <w:t>證券商辦理有價證券買賣融資融券業務操作辦法</w:t>
      </w:r>
      <w:r w:rsidR="00CF36CE" w:rsidRPr="007677AA">
        <w:rPr>
          <w:rFonts w:ascii="標楷體" w:eastAsia="標楷體" w:hAnsi="標楷體" w:cs="Times New Roman" w:hint="eastAsia"/>
          <w:color w:val="000000"/>
          <w:kern w:val="0"/>
          <w:sz w:val="28"/>
          <w:szCs w:val="28"/>
        </w:rPr>
        <w:t>第</w:t>
      </w:r>
      <w:r w:rsidRPr="007677AA">
        <w:rPr>
          <w:rFonts w:ascii="標楷體" w:eastAsia="標楷體" w:hAnsi="標楷體" w:cs="Times New Roman" w:hint="eastAsia"/>
          <w:color w:val="000000"/>
          <w:kern w:val="0"/>
          <w:sz w:val="28"/>
          <w:szCs w:val="28"/>
        </w:rPr>
        <w:t>10條</w:t>
      </w:r>
      <w:r w:rsidR="002559D7">
        <w:rPr>
          <w:rFonts w:ascii="標楷體" w:eastAsia="標楷體" w:hAnsi="標楷體" w:cs="Times New Roman" w:hint="eastAsia"/>
          <w:color w:val="000000"/>
          <w:kern w:val="0"/>
          <w:sz w:val="28"/>
          <w:szCs w:val="28"/>
        </w:rPr>
        <w:t>、</w:t>
      </w:r>
      <w:r w:rsidR="002559D7" w:rsidRPr="007677AA">
        <w:rPr>
          <w:rFonts w:ascii="標楷體" w:eastAsia="標楷體" w:hAnsi="標楷體" w:cs="Times New Roman" w:hint="eastAsia"/>
          <w:color w:val="000000"/>
          <w:kern w:val="0"/>
          <w:sz w:val="28"/>
          <w:szCs w:val="28"/>
        </w:rPr>
        <w:t>第1</w:t>
      </w:r>
      <w:r w:rsidR="002559D7">
        <w:rPr>
          <w:rFonts w:ascii="標楷體" w:eastAsia="標楷體" w:hAnsi="標楷體" w:cs="Times New Roman" w:hint="eastAsia"/>
          <w:color w:val="000000"/>
          <w:kern w:val="0"/>
          <w:sz w:val="28"/>
          <w:szCs w:val="28"/>
        </w:rPr>
        <w:t>8</w:t>
      </w:r>
      <w:r w:rsidR="002559D7" w:rsidRPr="007677AA">
        <w:rPr>
          <w:rFonts w:ascii="標楷體" w:eastAsia="標楷體" w:hAnsi="標楷體" w:cs="Times New Roman" w:hint="eastAsia"/>
          <w:color w:val="000000"/>
          <w:kern w:val="0"/>
          <w:sz w:val="28"/>
          <w:szCs w:val="28"/>
        </w:rPr>
        <w:t>條</w:t>
      </w:r>
      <w:r w:rsidR="009A6AA5">
        <w:rPr>
          <w:rFonts w:ascii="標楷體" w:eastAsia="標楷體" w:hAnsi="標楷體" w:cs="Times New Roman" w:hint="eastAsia"/>
          <w:color w:val="000000"/>
          <w:kern w:val="0"/>
          <w:sz w:val="28"/>
          <w:szCs w:val="28"/>
        </w:rPr>
        <w:t>)</w:t>
      </w:r>
    </w:p>
    <w:p w14:paraId="5BE6C968" w14:textId="5C882AE1" w:rsidR="00CF36CE" w:rsidRPr="000B1229" w:rsidRDefault="00CF36CE" w:rsidP="005D5F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504" w:hangingChars="180" w:hanging="504"/>
        <w:jc w:val="both"/>
        <w:rPr>
          <w:rFonts w:ascii="標楷體" w:eastAsia="標楷體" w:hAnsi="標楷體" w:cs="Times New Roman"/>
          <w:color w:val="FF0000"/>
          <w:kern w:val="0"/>
          <w:sz w:val="28"/>
          <w:szCs w:val="28"/>
        </w:rPr>
      </w:pPr>
    </w:p>
    <w:sectPr w:rsidR="00CF36CE" w:rsidRPr="000B1229" w:rsidSect="00FC00BE">
      <w:footerReference w:type="default" r:id="rId8"/>
      <w:pgSz w:w="11906" w:h="16838"/>
      <w:pgMar w:top="1440" w:right="1274"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9C031" w14:textId="77777777" w:rsidR="00E86580" w:rsidRDefault="00E86580" w:rsidP="0085535C">
      <w:r>
        <w:separator/>
      </w:r>
    </w:p>
  </w:endnote>
  <w:endnote w:type="continuationSeparator" w:id="0">
    <w:p w14:paraId="7DED30A0" w14:textId="77777777" w:rsidR="00E86580" w:rsidRDefault="00E86580" w:rsidP="0085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270352"/>
      <w:docPartObj>
        <w:docPartGallery w:val="Page Numbers (Bottom of Page)"/>
        <w:docPartUnique/>
      </w:docPartObj>
    </w:sdtPr>
    <w:sdtContent>
      <w:p w14:paraId="6F74BF0C" w14:textId="4A60484A" w:rsidR="004F0F25" w:rsidRDefault="004F0F25">
        <w:pPr>
          <w:pStyle w:val="a5"/>
          <w:jc w:val="center"/>
        </w:pPr>
        <w:r>
          <w:fldChar w:fldCharType="begin"/>
        </w:r>
        <w:r>
          <w:instrText>PAGE   \* MERGEFORMAT</w:instrText>
        </w:r>
        <w:r>
          <w:fldChar w:fldCharType="separate"/>
        </w:r>
        <w:r>
          <w:rPr>
            <w:lang w:val="zh-TW"/>
          </w:rPr>
          <w:t>2</w:t>
        </w:r>
        <w:r>
          <w:fldChar w:fldCharType="end"/>
        </w:r>
      </w:p>
    </w:sdtContent>
  </w:sdt>
  <w:p w14:paraId="5F9C77B9" w14:textId="77777777" w:rsidR="004F0F25" w:rsidRDefault="004F0F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C8277" w14:textId="77777777" w:rsidR="00E86580" w:rsidRDefault="00E86580" w:rsidP="0085535C">
      <w:r>
        <w:separator/>
      </w:r>
    </w:p>
  </w:footnote>
  <w:footnote w:type="continuationSeparator" w:id="0">
    <w:p w14:paraId="7EB7DD83" w14:textId="77777777" w:rsidR="00E86580" w:rsidRDefault="00E86580" w:rsidP="00855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A3C"/>
    <w:multiLevelType w:val="hybridMultilevel"/>
    <w:tmpl w:val="AD8AFFB4"/>
    <w:lvl w:ilvl="0" w:tplc="2116A1BE">
      <w:start w:val="1"/>
      <w:numFmt w:val="taiwaneseCountingThousand"/>
      <w:lvlText w:val="%1、"/>
      <w:lvlJc w:val="left"/>
      <w:pPr>
        <w:ind w:left="391" w:hanging="480"/>
      </w:pPr>
      <w:rPr>
        <w:rFonts w:hint="default"/>
        <w:shd w:val="clear" w:color="auto" w:fill="auto"/>
        <w:lang w:val="en-US"/>
      </w:rPr>
    </w:lvl>
    <w:lvl w:ilvl="1" w:tplc="04090019" w:tentative="1">
      <w:start w:val="1"/>
      <w:numFmt w:val="ideographTraditional"/>
      <w:lvlText w:val="%2、"/>
      <w:lvlJc w:val="left"/>
      <w:pPr>
        <w:ind w:left="871" w:hanging="480"/>
      </w:pPr>
    </w:lvl>
    <w:lvl w:ilvl="2" w:tplc="0409001B" w:tentative="1">
      <w:start w:val="1"/>
      <w:numFmt w:val="lowerRoman"/>
      <w:lvlText w:val="%3."/>
      <w:lvlJc w:val="right"/>
      <w:pPr>
        <w:ind w:left="1351" w:hanging="480"/>
      </w:pPr>
    </w:lvl>
    <w:lvl w:ilvl="3" w:tplc="0409000F" w:tentative="1">
      <w:start w:val="1"/>
      <w:numFmt w:val="decimal"/>
      <w:lvlText w:val="%4."/>
      <w:lvlJc w:val="left"/>
      <w:pPr>
        <w:ind w:left="1831" w:hanging="480"/>
      </w:pPr>
    </w:lvl>
    <w:lvl w:ilvl="4" w:tplc="04090019" w:tentative="1">
      <w:start w:val="1"/>
      <w:numFmt w:val="ideographTraditional"/>
      <w:lvlText w:val="%5、"/>
      <w:lvlJc w:val="left"/>
      <w:pPr>
        <w:ind w:left="2311" w:hanging="480"/>
      </w:pPr>
    </w:lvl>
    <w:lvl w:ilvl="5" w:tplc="0409001B" w:tentative="1">
      <w:start w:val="1"/>
      <w:numFmt w:val="lowerRoman"/>
      <w:lvlText w:val="%6."/>
      <w:lvlJc w:val="right"/>
      <w:pPr>
        <w:ind w:left="2791" w:hanging="480"/>
      </w:pPr>
    </w:lvl>
    <w:lvl w:ilvl="6" w:tplc="0409000F" w:tentative="1">
      <w:start w:val="1"/>
      <w:numFmt w:val="decimal"/>
      <w:lvlText w:val="%7."/>
      <w:lvlJc w:val="left"/>
      <w:pPr>
        <w:ind w:left="3271" w:hanging="480"/>
      </w:pPr>
    </w:lvl>
    <w:lvl w:ilvl="7" w:tplc="04090019" w:tentative="1">
      <w:start w:val="1"/>
      <w:numFmt w:val="ideographTraditional"/>
      <w:lvlText w:val="%8、"/>
      <w:lvlJc w:val="left"/>
      <w:pPr>
        <w:ind w:left="3751" w:hanging="480"/>
      </w:pPr>
    </w:lvl>
    <w:lvl w:ilvl="8" w:tplc="0409001B" w:tentative="1">
      <w:start w:val="1"/>
      <w:numFmt w:val="lowerRoman"/>
      <w:lvlText w:val="%9."/>
      <w:lvlJc w:val="right"/>
      <w:pPr>
        <w:ind w:left="4231" w:hanging="480"/>
      </w:pPr>
    </w:lvl>
  </w:abstractNum>
  <w:abstractNum w:abstractNumId="1" w15:restartNumberingAfterBreak="0">
    <w:nsid w:val="2B995476"/>
    <w:multiLevelType w:val="hybridMultilevel"/>
    <w:tmpl w:val="4126D6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54554214">
    <w:abstractNumId w:val="0"/>
  </w:num>
  <w:num w:numId="2" w16cid:durableId="1472675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FD"/>
    <w:rsid w:val="00023751"/>
    <w:rsid w:val="000354C8"/>
    <w:rsid w:val="000364B0"/>
    <w:rsid w:val="00063802"/>
    <w:rsid w:val="00074572"/>
    <w:rsid w:val="00084060"/>
    <w:rsid w:val="00084A62"/>
    <w:rsid w:val="00087D20"/>
    <w:rsid w:val="00097727"/>
    <w:rsid w:val="000A3297"/>
    <w:rsid w:val="000B1229"/>
    <w:rsid w:val="000C0FA3"/>
    <w:rsid w:val="000C2639"/>
    <w:rsid w:val="000C7127"/>
    <w:rsid w:val="000E0BE7"/>
    <w:rsid w:val="000E2D0F"/>
    <w:rsid w:val="000F7266"/>
    <w:rsid w:val="00104B04"/>
    <w:rsid w:val="001175FE"/>
    <w:rsid w:val="00126E1D"/>
    <w:rsid w:val="0013146A"/>
    <w:rsid w:val="001378A1"/>
    <w:rsid w:val="00154638"/>
    <w:rsid w:val="0018131B"/>
    <w:rsid w:val="001834BC"/>
    <w:rsid w:val="00183888"/>
    <w:rsid w:val="001852CA"/>
    <w:rsid w:val="001B13C2"/>
    <w:rsid w:val="0021480D"/>
    <w:rsid w:val="002222C8"/>
    <w:rsid w:val="00224EC1"/>
    <w:rsid w:val="00232977"/>
    <w:rsid w:val="002359AE"/>
    <w:rsid w:val="002559D7"/>
    <w:rsid w:val="00293CA5"/>
    <w:rsid w:val="002B4835"/>
    <w:rsid w:val="002C2325"/>
    <w:rsid w:val="002C7D2E"/>
    <w:rsid w:val="002D4769"/>
    <w:rsid w:val="002E0F16"/>
    <w:rsid w:val="002F4497"/>
    <w:rsid w:val="002F6911"/>
    <w:rsid w:val="002F7F08"/>
    <w:rsid w:val="003034FA"/>
    <w:rsid w:val="003038F5"/>
    <w:rsid w:val="003121D6"/>
    <w:rsid w:val="003417F3"/>
    <w:rsid w:val="00356EC5"/>
    <w:rsid w:val="00370D01"/>
    <w:rsid w:val="00375398"/>
    <w:rsid w:val="0038253D"/>
    <w:rsid w:val="00387BCF"/>
    <w:rsid w:val="003910D7"/>
    <w:rsid w:val="00392D0A"/>
    <w:rsid w:val="003950A1"/>
    <w:rsid w:val="003B437D"/>
    <w:rsid w:val="003D4C7D"/>
    <w:rsid w:val="003D636C"/>
    <w:rsid w:val="00400EF5"/>
    <w:rsid w:val="004601E0"/>
    <w:rsid w:val="00477378"/>
    <w:rsid w:val="00487BEF"/>
    <w:rsid w:val="00491BC9"/>
    <w:rsid w:val="00496FE6"/>
    <w:rsid w:val="004A6307"/>
    <w:rsid w:val="004D6882"/>
    <w:rsid w:val="004F0F25"/>
    <w:rsid w:val="0053131C"/>
    <w:rsid w:val="00543B5E"/>
    <w:rsid w:val="00545ECE"/>
    <w:rsid w:val="00564F40"/>
    <w:rsid w:val="00580B41"/>
    <w:rsid w:val="0059354F"/>
    <w:rsid w:val="005B1DB0"/>
    <w:rsid w:val="005B4001"/>
    <w:rsid w:val="005D5F80"/>
    <w:rsid w:val="005E2716"/>
    <w:rsid w:val="005E28B1"/>
    <w:rsid w:val="005E3A57"/>
    <w:rsid w:val="005E4820"/>
    <w:rsid w:val="006027E6"/>
    <w:rsid w:val="00603824"/>
    <w:rsid w:val="0061491F"/>
    <w:rsid w:val="00655B6E"/>
    <w:rsid w:val="00657BA7"/>
    <w:rsid w:val="006672CE"/>
    <w:rsid w:val="0069344B"/>
    <w:rsid w:val="00695AD1"/>
    <w:rsid w:val="006D5B1A"/>
    <w:rsid w:val="006E009A"/>
    <w:rsid w:val="006E21D1"/>
    <w:rsid w:val="006E5C3A"/>
    <w:rsid w:val="006F6D9E"/>
    <w:rsid w:val="0070272C"/>
    <w:rsid w:val="0072301C"/>
    <w:rsid w:val="00747295"/>
    <w:rsid w:val="00753271"/>
    <w:rsid w:val="00765935"/>
    <w:rsid w:val="007677AA"/>
    <w:rsid w:val="00774BD0"/>
    <w:rsid w:val="00795AB6"/>
    <w:rsid w:val="007A71CF"/>
    <w:rsid w:val="007C355D"/>
    <w:rsid w:val="007C65FD"/>
    <w:rsid w:val="007D152E"/>
    <w:rsid w:val="007D480F"/>
    <w:rsid w:val="007E6888"/>
    <w:rsid w:val="007E7476"/>
    <w:rsid w:val="00807632"/>
    <w:rsid w:val="0081322E"/>
    <w:rsid w:val="008369B8"/>
    <w:rsid w:val="00851CD7"/>
    <w:rsid w:val="0085535C"/>
    <w:rsid w:val="00872F2D"/>
    <w:rsid w:val="00885CFF"/>
    <w:rsid w:val="008871FD"/>
    <w:rsid w:val="008E061A"/>
    <w:rsid w:val="008E4487"/>
    <w:rsid w:val="00913928"/>
    <w:rsid w:val="0091497E"/>
    <w:rsid w:val="009237BE"/>
    <w:rsid w:val="00924312"/>
    <w:rsid w:val="00925E2F"/>
    <w:rsid w:val="009347E7"/>
    <w:rsid w:val="0096560A"/>
    <w:rsid w:val="009908FA"/>
    <w:rsid w:val="00991963"/>
    <w:rsid w:val="00992F24"/>
    <w:rsid w:val="009A115C"/>
    <w:rsid w:val="009A66E2"/>
    <w:rsid w:val="009A6AA5"/>
    <w:rsid w:val="009B5D73"/>
    <w:rsid w:val="009D2EEB"/>
    <w:rsid w:val="009D73C0"/>
    <w:rsid w:val="009E0AF8"/>
    <w:rsid w:val="009E40B5"/>
    <w:rsid w:val="009E6FE6"/>
    <w:rsid w:val="009F1927"/>
    <w:rsid w:val="009F1B43"/>
    <w:rsid w:val="009F204F"/>
    <w:rsid w:val="009F3256"/>
    <w:rsid w:val="00A005DA"/>
    <w:rsid w:val="00A22235"/>
    <w:rsid w:val="00A22237"/>
    <w:rsid w:val="00A22973"/>
    <w:rsid w:val="00A4491C"/>
    <w:rsid w:val="00A5059D"/>
    <w:rsid w:val="00A57D49"/>
    <w:rsid w:val="00A622AB"/>
    <w:rsid w:val="00A63ED8"/>
    <w:rsid w:val="00A722E3"/>
    <w:rsid w:val="00A7311E"/>
    <w:rsid w:val="00A76B48"/>
    <w:rsid w:val="00A97FB8"/>
    <w:rsid w:val="00AE0351"/>
    <w:rsid w:val="00AE0BDA"/>
    <w:rsid w:val="00AE243B"/>
    <w:rsid w:val="00B4054F"/>
    <w:rsid w:val="00B4219F"/>
    <w:rsid w:val="00B43B8D"/>
    <w:rsid w:val="00B5510E"/>
    <w:rsid w:val="00B745D6"/>
    <w:rsid w:val="00BB6C5E"/>
    <w:rsid w:val="00BD4F61"/>
    <w:rsid w:val="00BE1616"/>
    <w:rsid w:val="00BE3771"/>
    <w:rsid w:val="00BE4BA1"/>
    <w:rsid w:val="00BF7D58"/>
    <w:rsid w:val="00C004E2"/>
    <w:rsid w:val="00C14A22"/>
    <w:rsid w:val="00C2220B"/>
    <w:rsid w:val="00C30BD6"/>
    <w:rsid w:val="00C66172"/>
    <w:rsid w:val="00CA18E9"/>
    <w:rsid w:val="00CB1E9D"/>
    <w:rsid w:val="00CC2FE7"/>
    <w:rsid w:val="00CE6D58"/>
    <w:rsid w:val="00CF36CE"/>
    <w:rsid w:val="00D00C29"/>
    <w:rsid w:val="00D111F9"/>
    <w:rsid w:val="00D20660"/>
    <w:rsid w:val="00D431D4"/>
    <w:rsid w:val="00D640E0"/>
    <w:rsid w:val="00D85BAA"/>
    <w:rsid w:val="00D96631"/>
    <w:rsid w:val="00DA7B76"/>
    <w:rsid w:val="00DD14A7"/>
    <w:rsid w:val="00DD3674"/>
    <w:rsid w:val="00DE61F4"/>
    <w:rsid w:val="00E17BBE"/>
    <w:rsid w:val="00E63010"/>
    <w:rsid w:val="00E650EE"/>
    <w:rsid w:val="00E7508C"/>
    <w:rsid w:val="00E75B96"/>
    <w:rsid w:val="00E75C35"/>
    <w:rsid w:val="00E86580"/>
    <w:rsid w:val="00EC13BC"/>
    <w:rsid w:val="00EC5AA9"/>
    <w:rsid w:val="00ED3F39"/>
    <w:rsid w:val="00ED4968"/>
    <w:rsid w:val="00F2748F"/>
    <w:rsid w:val="00F41CB0"/>
    <w:rsid w:val="00F50F8B"/>
    <w:rsid w:val="00F709CE"/>
    <w:rsid w:val="00F70F32"/>
    <w:rsid w:val="00F7127D"/>
    <w:rsid w:val="00F72AAA"/>
    <w:rsid w:val="00FB4DCE"/>
    <w:rsid w:val="00FC00BE"/>
    <w:rsid w:val="00FD5E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C0686"/>
  <w15:chartTrackingRefBased/>
  <w15:docId w15:val="{3DE11A00-934B-4D8E-984A-E78BA56A0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009A"/>
    <w:pPr>
      <w:widowControl w:val="0"/>
    </w:pPr>
  </w:style>
  <w:style w:type="paragraph" w:styleId="2">
    <w:name w:val="heading 2"/>
    <w:basedOn w:val="a"/>
    <w:next w:val="a"/>
    <w:link w:val="20"/>
    <w:uiPriority w:val="9"/>
    <w:unhideWhenUsed/>
    <w:qFormat/>
    <w:rsid w:val="004D6882"/>
    <w:pPr>
      <w:keepNext/>
      <w:snapToGrid w:val="0"/>
      <w:spacing w:afterLines="15" w:line="276" w:lineRule="auto"/>
      <w:outlineLvl w:val="1"/>
    </w:pPr>
    <w:rPr>
      <w:rFonts w:ascii="Times New Roman" w:eastAsia="標楷體" w:hAnsiTheme="majorHAns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E009A"/>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85535C"/>
    <w:pPr>
      <w:tabs>
        <w:tab w:val="center" w:pos="4153"/>
        <w:tab w:val="right" w:pos="8306"/>
      </w:tabs>
      <w:snapToGrid w:val="0"/>
    </w:pPr>
    <w:rPr>
      <w:sz w:val="20"/>
      <w:szCs w:val="20"/>
    </w:rPr>
  </w:style>
  <w:style w:type="character" w:customStyle="1" w:styleId="a4">
    <w:name w:val="頁首 字元"/>
    <w:basedOn w:val="a0"/>
    <w:link w:val="a3"/>
    <w:uiPriority w:val="99"/>
    <w:rsid w:val="0085535C"/>
    <w:rPr>
      <w:sz w:val="20"/>
      <w:szCs w:val="20"/>
    </w:rPr>
  </w:style>
  <w:style w:type="paragraph" w:styleId="a5">
    <w:name w:val="footer"/>
    <w:basedOn w:val="a"/>
    <w:link w:val="a6"/>
    <w:uiPriority w:val="99"/>
    <w:unhideWhenUsed/>
    <w:rsid w:val="0085535C"/>
    <w:pPr>
      <w:tabs>
        <w:tab w:val="center" w:pos="4153"/>
        <w:tab w:val="right" w:pos="8306"/>
      </w:tabs>
      <w:snapToGrid w:val="0"/>
    </w:pPr>
    <w:rPr>
      <w:sz w:val="20"/>
      <w:szCs w:val="20"/>
    </w:rPr>
  </w:style>
  <w:style w:type="character" w:customStyle="1" w:styleId="a6">
    <w:name w:val="頁尾 字元"/>
    <w:basedOn w:val="a0"/>
    <w:link w:val="a5"/>
    <w:uiPriority w:val="99"/>
    <w:rsid w:val="0085535C"/>
    <w:rPr>
      <w:sz w:val="20"/>
      <w:szCs w:val="20"/>
    </w:rPr>
  </w:style>
  <w:style w:type="character" w:customStyle="1" w:styleId="20">
    <w:name w:val="標題 2 字元"/>
    <w:basedOn w:val="a0"/>
    <w:link w:val="2"/>
    <w:uiPriority w:val="9"/>
    <w:rsid w:val="004D6882"/>
    <w:rPr>
      <w:rFonts w:ascii="Times New Roman" w:eastAsia="標楷體" w:hAnsiTheme="majorHAnsi" w:cs="Times New Roman"/>
      <w:b/>
      <w:bCs/>
      <w:sz w:val="32"/>
      <w:szCs w:val="32"/>
    </w:rPr>
  </w:style>
  <w:style w:type="table" w:styleId="a7">
    <w:name w:val="Table Grid"/>
    <w:basedOn w:val="a1"/>
    <w:uiPriority w:val="59"/>
    <w:rsid w:val="00356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56EC5"/>
    <w:pPr>
      <w:ind w:leftChars="200" w:left="480"/>
    </w:pPr>
  </w:style>
  <w:style w:type="paragraph" w:styleId="a9">
    <w:name w:val="Body Text Indent"/>
    <w:basedOn w:val="a"/>
    <w:link w:val="aa"/>
    <w:rsid w:val="00CF36CE"/>
    <w:pPr>
      <w:widowControl/>
      <w:spacing w:line="400" w:lineRule="atLeast"/>
      <w:ind w:firstLine="540"/>
      <w:jc w:val="both"/>
    </w:pPr>
    <w:rPr>
      <w:rFonts w:ascii="標楷體" w:eastAsia="標楷體" w:hAnsi="標楷體" w:cs="Times New Roman"/>
      <w:kern w:val="0"/>
      <w:szCs w:val="24"/>
    </w:rPr>
  </w:style>
  <w:style w:type="character" w:customStyle="1" w:styleId="aa">
    <w:name w:val="本文縮排 字元"/>
    <w:basedOn w:val="a0"/>
    <w:link w:val="a9"/>
    <w:rsid w:val="00CF36CE"/>
    <w:rPr>
      <w:rFonts w:ascii="標楷體" w:eastAsia="標楷體" w:hAnsi="標楷體" w:cs="Times New Roman"/>
      <w:kern w:val="0"/>
      <w:szCs w:val="24"/>
    </w:rPr>
  </w:style>
  <w:style w:type="paragraph" w:styleId="ab">
    <w:name w:val="Body Text"/>
    <w:basedOn w:val="a"/>
    <w:link w:val="ac"/>
    <w:uiPriority w:val="99"/>
    <w:unhideWhenUsed/>
    <w:rsid w:val="00104B04"/>
    <w:pPr>
      <w:spacing w:after="120"/>
    </w:pPr>
  </w:style>
  <w:style w:type="character" w:customStyle="1" w:styleId="ac">
    <w:name w:val="本文 字元"/>
    <w:basedOn w:val="a0"/>
    <w:link w:val="ab"/>
    <w:uiPriority w:val="99"/>
    <w:rsid w:val="00104B04"/>
  </w:style>
  <w:style w:type="paragraph" w:styleId="ad">
    <w:name w:val="Balloon Text"/>
    <w:basedOn w:val="a"/>
    <w:link w:val="ae"/>
    <w:uiPriority w:val="99"/>
    <w:semiHidden/>
    <w:unhideWhenUsed/>
    <w:rsid w:val="00392D0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92D0A"/>
    <w:rPr>
      <w:rFonts w:asciiTheme="majorHAnsi" w:eastAsiaTheme="majorEastAsia" w:hAnsiTheme="majorHAnsi" w:cstheme="majorBidi"/>
      <w:sz w:val="18"/>
      <w:szCs w:val="18"/>
    </w:rPr>
  </w:style>
  <w:style w:type="paragraph" w:customStyle="1" w:styleId="Default">
    <w:name w:val="Default"/>
    <w:rsid w:val="002F6911"/>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BC26B-B236-436F-B92B-BA51C127B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黃鎮傑</dc:creator>
  <cp:keywords/>
  <dc:description/>
  <cp:lastModifiedBy>黃鎮傑</cp:lastModifiedBy>
  <cp:revision>2</cp:revision>
  <cp:lastPrinted>2020-05-27T03:01:00Z</cp:lastPrinted>
  <dcterms:created xsi:type="dcterms:W3CDTF">2023-09-12T01:35:00Z</dcterms:created>
  <dcterms:modified xsi:type="dcterms:W3CDTF">2023-09-12T01:35:00Z</dcterms:modified>
</cp:coreProperties>
</file>