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DD62" w14:textId="77777777" w:rsidR="00161123" w:rsidRDefault="00161123">
      <w:pPr>
        <w:pStyle w:val="a7"/>
        <w:rPr>
          <w:rFonts w:ascii="新細明體" w:hAnsi="新細明體"/>
          <w:color w:val="FF6600"/>
        </w:rPr>
      </w:pPr>
    </w:p>
    <w:p w14:paraId="7655D403" w14:textId="0A30D47E" w:rsidR="00161123" w:rsidRDefault="00041E13">
      <w:pPr>
        <w:pStyle w:val="a7"/>
        <w:rPr>
          <w:rFonts w:ascii="新細明體" w:hAnsi="新細明體"/>
          <w:color w:val="FF6600"/>
        </w:rPr>
      </w:pPr>
      <w:r>
        <w:rPr>
          <w:noProof/>
        </w:rPr>
        <mc:AlternateContent>
          <mc:Choice Requires="wps">
            <w:drawing>
              <wp:anchor distT="0" distB="0" distL="114300" distR="114300" simplePos="0" relativeHeight="251663872" behindDoc="0" locked="0" layoutInCell="1" allowOverlap="1" wp14:anchorId="3F9E984E" wp14:editId="4B6F5C32">
                <wp:simplePos x="0" y="0"/>
                <wp:positionH relativeFrom="column">
                  <wp:posOffset>2058035</wp:posOffset>
                </wp:positionH>
                <wp:positionV relativeFrom="paragraph">
                  <wp:posOffset>161925</wp:posOffset>
                </wp:positionV>
                <wp:extent cx="2009140" cy="373380"/>
                <wp:effectExtent l="6350" t="12065" r="13335" b="508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14:paraId="05C8012E" w14:textId="77777777" w:rsidR="00575729" w:rsidRPr="00DA75FC" w:rsidRDefault="00575729"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E984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FzFviE+AgAAVQQAAA4A&#10;AAAAAAAAAAAAAAAALgIAAGRycy9lMm9Eb2MueG1sUEsBAi0AFAAGAAgAAAAhANHgNVXfAAAACQEA&#10;AA8AAAAAAAAAAAAAAAAAmAQAAGRycy9kb3ducmV2LnhtbFBLBQYAAAAABAAEAPMAAACkBQAAAAA=&#10;">
                <v:textbox>
                  <w:txbxContent>
                    <w:p w14:paraId="05C8012E" w14:textId="77777777" w:rsidR="00575729" w:rsidRPr="00DA75FC" w:rsidRDefault="00575729"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Pr>
          <w:rFonts w:ascii="新細明體" w:hAnsi="新細明體" w:hint="eastAsia"/>
          <w:noProof/>
          <w:color w:val="FF6600"/>
        </w:rPr>
        <w:drawing>
          <wp:inline distT="0" distB="0" distL="0" distR="0" wp14:anchorId="02F9B628" wp14:editId="5697EE0B">
            <wp:extent cx="6116320" cy="7067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706755"/>
                    </a:xfrm>
                    <a:prstGeom prst="rect">
                      <a:avLst/>
                    </a:prstGeom>
                    <a:noFill/>
                    <a:ln>
                      <a:noFill/>
                    </a:ln>
                  </pic:spPr>
                </pic:pic>
              </a:graphicData>
            </a:graphic>
          </wp:inline>
        </w:drawing>
      </w:r>
    </w:p>
    <w:p w14:paraId="55B36801" w14:textId="0E00FF67" w:rsidR="0094454A" w:rsidRPr="0002364F" w:rsidRDefault="0094454A" w:rsidP="0094454A">
      <w:pPr>
        <w:rPr>
          <w:rFonts w:eastAsia="標楷體"/>
          <w:b/>
          <w:bCs/>
          <w:color w:val="0000FF"/>
        </w:rPr>
      </w:pPr>
      <w:r w:rsidRPr="0002364F">
        <w:rPr>
          <w:rFonts w:eastAsia="標楷體"/>
          <w:b/>
          <w:bCs/>
          <w:color w:val="0000FF"/>
        </w:rPr>
        <w:t>以下資料由</w:t>
      </w:r>
      <w:r w:rsidR="00BD37C6" w:rsidRPr="0002364F">
        <w:rPr>
          <w:rFonts w:eastAsia="標楷體"/>
          <w:b/>
          <w:bCs/>
          <w:color w:val="0000FF"/>
        </w:rPr>
        <w:t>巨生生醫股份有限公司</w:t>
      </w:r>
      <w:r w:rsidRPr="0002364F">
        <w:rPr>
          <w:rFonts w:eastAsia="標楷體"/>
          <w:b/>
          <w:bCs/>
          <w:color w:val="FF0000"/>
        </w:rPr>
        <w:t>及其推薦證券商</w:t>
      </w:r>
      <w:r w:rsidRPr="0002364F">
        <w:rPr>
          <w:rFonts w:eastAsia="標楷體"/>
          <w:b/>
          <w:bCs/>
          <w:color w:val="0000FF"/>
        </w:rPr>
        <w:t>提供，資料若有錯誤、遺漏或虛偽不實，均由該公司</w:t>
      </w:r>
      <w:r w:rsidRPr="0002364F">
        <w:rPr>
          <w:rFonts w:eastAsia="標楷體"/>
          <w:b/>
          <w:bCs/>
          <w:color w:val="FF0000"/>
        </w:rPr>
        <w:t>及其推薦證券商</w:t>
      </w:r>
      <w:r w:rsidRPr="0002364F">
        <w:rPr>
          <w:rFonts w:eastAsia="標楷體"/>
          <w:b/>
          <w:bCs/>
          <w:color w:val="0000FF"/>
        </w:rPr>
        <w:t>負責。</w:t>
      </w:r>
    </w:p>
    <w:p w14:paraId="5EA9E460" w14:textId="77777777" w:rsidR="0094454A" w:rsidRPr="0002364F" w:rsidRDefault="0094454A" w:rsidP="0094454A">
      <w:pPr>
        <w:tabs>
          <w:tab w:val="left" w:pos="1125"/>
        </w:tabs>
        <w:rPr>
          <w:rFonts w:eastAsia="標楷體"/>
          <w:b/>
          <w:bCs/>
          <w:color w:val="FF0000"/>
        </w:rPr>
      </w:pPr>
      <w:r w:rsidRPr="0002364F">
        <w:rPr>
          <w:rFonts w:eastAsia="標楷體"/>
          <w:b/>
          <w:bCs/>
          <w:color w:val="FF0000"/>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注意</w:t>
      </w:r>
    </w:p>
    <w:p w14:paraId="53A57B82" w14:textId="77777777" w:rsidR="0002364F" w:rsidRDefault="0002364F" w:rsidP="0094454A">
      <w:pPr>
        <w:tabs>
          <w:tab w:val="left" w:pos="1125"/>
        </w:tabs>
        <w:rPr>
          <w:rFonts w:eastAsia="標楷體"/>
          <w:b/>
          <w:bCs/>
          <w:color w:val="FF6600"/>
        </w:rPr>
      </w:pPr>
    </w:p>
    <w:p w14:paraId="36AB13F0" w14:textId="71513685" w:rsidR="00161123" w:rsidRPr="0002364F" w:rsidRDefault="00041E13" w:rsidP="0094454A">
      <w:pPr>
        <w:tabs>
          <w:tab w:val="left" w:pos="1125"/>
        </w:tabs>
        <w:rPr>
          <w:rFonts w:eastAsia="標楷體"/>
          <w:b/>
          <w:bCs/>
          <w:color w:val="FF6600"/>
        </w:rPr>
      </w:pPr>
      <w:r w:rsidRPr="0002364F">
        <w:rPr>
          <w:rFonts w:eastAsia="標楷體"/>
          <w:b/>
          <w:bCs/>
          <w:noProof/>
          <w:color w:val="FF6600"/>
        </w:rPr>
        <mc:AlternateContent>
          <mc:Choice Requires="wps">
            <w:drawing>
              <wp:anchor distT="0" distB="0" distL="114300" distR="114300" simplePos="0" relativeHeight="251650560" behindDoc="1" locked="0" layoutInCell="1" allowOverlap="1" wp14:anchorId="4245D1C3" wp14:editId="22A13A0E">
                <wp:simplePos x="0" y="0"/>
                <wp:positionH relativeFrom="column">
                  <wp:posOffset>-95250</wp:posOffset>
                </wp:positionH>
                <wp:positionV relativeFrom="paragraph">
                  <wp:posOffset>201295</wp:posOffset>
                </wp:positionV>
                <wp:extent cx="6105525" cy="1631950"/>
                <wp:effectExtent l="0" t="0" r="3810" b="635"/>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3195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4F8BA" w14:textId="77682BC2" w:rsidR="00575729" w:rsidRDefault="00575729" w:rsidP="00936BE1">
                            <w:pPr>
                              <w:rPr>
                                <w:szCs w:val="20"/>
                              </w:rPr>
                            </w:pPr>
                            <w:r>
                              <w:rPr>
                                <w:rFonts w:hint="eastAsia"/>
                                <w:szCs w:val="20"/>
                              </w:rPr>
                              <w:t xml:space="preserve"> </w:t>
                            </w:r>
                            <w:r w:rsidRPr="00936BE1">
                              <w:rPr>
                                <w:rStyle w:val="a6"/>
                                <w:rFonts w:ascii="新細明體" w:hAnsi="新細明體" w:hint="eastAsia"/>
                                <w:b/>
                                <w:bCs/>
                                <w:noProof/>
                                <w:color w:val="auto"/>
                                <w:sz w:val="20"/>
                              </w:rPr>
                              <w:drawing>
                                <wp:inline distT="0" distB="0" distL="0" distR="0" wp14:anchorId="3A3AF5EF" wp14:editId="71843167">
                                  <wp:extent cx="115570" cy="1073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107315"/>
                                          </a:xfrm>
                                          <a:prstGeom prst="rect">
                                            <a:avLst/>
                                          </a:prstGeom>
                                          <a:noFill/>
                                          <a:ln>
                                            <a:noFill/>
                                          </a:ln>
                                        </pic:spPr>
                                      </pic:pic>
                                    </a:graphicData>
                                  </a:graphic>
                                </wp:inline>
                              </w:drawing>
                            </w:r>
                            <w:r w:rsidRPr="00936BE1">
                              <w:rPr>
                                <w:rStyle w:val="a6"/>
                                <w:rFonts w:ascii="新細明體" w:hAnsi="新細明體" w:hint="eastAsia"/>
                                <w:b/>
                                <w:bCs/>
                                <w:color w:val="auto"/>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D1C3" id="Text Box 65" o:spid="_x0000_s1027" type="#_x0000_t202" style="position:absolute;margin-left:-7.5pt;margin-top:15.85pt;width:480.75pt;height:1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" fillcolor="#fffbed" stroked="f">
                <v:textbox>
                  <w:txbxContent>
                    <w:p w14:paraId="4C84F8BA" w14:textId="77682BC2" w:rsidR="00575729" w:rsidRDefault="00575729" w:rsidP="00936BE1">
                      <w:pPr>
                        <w:rPr>
                          <w:szCs w:val="20"/>
                        </w:rPr>
                      </w:pPr>
                      <w:r>
                        <w:rPr>
                          <w:rFonts w:hint="eastAsia"/>
                          <w:szCs w:val="20"/>
                        </w:rPr>
                        <w:t xml:space="preserve"> </w:t>
                      </w:r>
                      <w:r w:rsidRPr="00936BE1">
                        <w:rPr>
                          <w:rStyle w:val="a6"/>
                          <w:rFonts w:ascii="新細明體" w:hAnsi="新細明體" w:hint="eastAsia"/>
                          <w:b/>
                          <w:bCs/>
                          <w:noProof/>
                          <w:color w:val="auto"/>
                          <w:sz w:val="20"/>
                        </w:rPr>
                        <w:drawing>
                          <wp:inline distT="0" distB="0" distL="0" distR="0" wp14:anchorId="3A3AF5EF" wp14:editId="71843167">
                            <wp:extent cx="115570" cy="1073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07315"/>
                                    </a:xfrm>
                                    <a:prstGeom prst="rect">
                                      <a:avLst/>
                                    </a:prstGeom>
                                    <a:noFill/>
                                    <a:ln>
                                      <a:noFill/>
                                    </a:ln>
                                  </pic:spPr>
                                </pic:pic>
                              </a:graphicData>
                            </a:graphic>
                          </wp:inline>
                        </w:drawing>
                      </w:r>
                      <w:r w:rsidRPr="00936BE1">
                        <w:rPr>
                          <w:rStyle w:val="a6"/>
                          <w:rFonts w:ascii="新細明體" w:hAnsi="新細明體" w:hint="eastAsia"/>
                          <w:b/>
                          <w:bCs/>
                          <w:color w:val="auto"/>
                          <w:sz w:val="20"/>
                        </w:rPr>
                        <w:t xml:space="preserve"> (</w:t>
                      </w:r>
                    </w:p>
                  </w:txbxContent>
                </v:textbox>
              </v:shape>
            </w:pict>
          </mc:Fallback>
        </mc:AlternateContent>
      </w:r>
    </w:p>
    <w:p w14:paraId="5C28A897" w14:textId="73EDBFE1" w:rsidR="00161123" w:rsidRPr="0002364F" w:rsidRDefault="00041E13">
      <w:pPr>
        <w:rPr>
          <w:rFonts w:eastAsia="標楷體"/>
          <w:b/>
          <w:bCs/>
          <w:color w:val="000000"/>
          <w:shd w:val="pct15" w:color="auto" w:fill="FFFFFF"/>
        </w:rPr>
      </w:pPr>
      <w:bookmarkStart w:id="0" w:name="第一頁"/>
      <w:bookmarkEnd w:id="0"/>
      <w:r w:rsidRPr="0002364F">
        <w:rPr>
          <w:rFonts w:eastAsia="標楷體"/>
          <w:noProof/>
          <w:color w:val="000000"/>
        </w:rPr>
        <w:drawing>
          <wp:anchor distT="0" distB="0" distL="114300" distR="114300" simplePos="0" relativeHeight="251653632" behindDoc="1" locked="0" layoutInCell="1" allowOverlap="1" wp14:anchorId="0B8CEF20" wp14:editId="153A2D6F">
            <wp:simplePos x="0" y="0"/>
            <wp:positionH relativeFrom="column">
              <wp:posOffset>0</wp:posOffset>
            </wp:positionH>
            <wp:positionV relativeFrom="paragraph">
              <wp:posOffset>45085</wp:posOffset>
            </wp:positionV>
            <wp:extent cx="152400" cy="146050"/>
            <wp:effectExtent l="0" t="0" r="0" b="0"/>
            <wp:wrapNone/>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64F">
        <w:rPr>
          <w:rFonts w:eastAsia="標楷體"/>
          <w:b/>
          <w:bCs/>
          <w:noProof/>
          <w:color w:val="000000"/>
        </w:rPr>
        <w:drawing>
          <wp:anchor distT="0" distB="0" distL="114300" distR="114300" simplePos="0" relativeHeight="251654656" behindDoc="1" locked="0" layoutInCell="1" allowOverlap="1" wp14:anchorId="38BE4477" wp14:editId="00DE0C31">
            <wp:simplePos x="0" y="0"/>
            <wp:positionH relativeFrom="column">
              <wp:posOffset>0</wp:posOffset>
            </wp:positionH>
            <wp:positionV relativeFrom="paragraph">
              <wp:posOffset>45085</wp:posOffset>
            </wp:positionV>
            <wp:extent cx="152400" cy="146050"/>
            <wp:effectExtent l="0" t="0" r="0" b="0"/>
            <wp:wrapNone/>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02364F">
        <w:rPr>
          <w:rFonts w:eastAsia="標楷體"/>
          <w:b/>
          <w:bCs/>
          <w:color w:val="000000"/>
        </w:rPr>
        <w:t xml:space="preserve">   </w:t>
      </w:r>
      <w:r w:rsidR="00BF2B97" w:rsidRPr="0002364F">
        <w:rPr>
          <w:rStyle w:val="a6"/>
          <w:rFonts w:eastAsia="標楷體"/>
          <w:b/>
          <w:bCs/>
          <w:color w:val="000000"/>
        </w:rPr>
        <w:t>認購相關資訊</w:t>
      </w:r>
    </w:p>
    <w:p w14:paraId="1ED890DC" w14:textId="573F8F98" w:rsidR="00BF2B97" w:rsidRPr="0002364F" w:rsidRDefault="00041E13">
      <w:pPr>
        <w:rPr>
          <w:rFonts w:eastAsia="標楷體"/>
          <w:b/>
          <w:bCs/>
          <w:color w:val="000000"/>
        </w:rPr>
      </w:pPr>
      <w:r w:rsidRPr="0002364F">
        <w:rPr>
          <w:rFonts w:eastAsia="標楷體"/>
          <w:b/>
          <w:bCs/>
          <w:noProof/>
          <w:color w:val="000000"/>
        </w:rPr>
        <w:drawing>
          <wp:anchor distT="0" distB="0" distL="114300" distR="114300" simplePos="0" relativeHeight="251655680" behindDoc="1" locked="0" layoutInCell="1" allowOverlap="1" wp14:anchorId="765558A7" wp14:editId="008A5DDD">
            <wp:simplePos x="0" y="0"/>
            <wp:positionH relativeFrom="column">
              <wp:posOffset>0</wp:posOffset>
            </wp:positionH>
            <wp:positionV relativeFrom="paragraph">
              <wp:posOffset>45085</wp:posOffset>
            </wp:positionV>
            <wp:extent cx="152400" cy="146050"/>
            <wp:effectExtent l="0" t="0" r="0" b="0"/>
            <wp:wrapNone/>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02364F">
        <w:rPr>
          <w:rFonts w:eastAsia="標楷體"/>
          <w:b/>
          <w:bCs/>
          <w:color w:val="000000"/>
        </w:rPr>
        <w:t xml:space="preserve">   </w:t>
      </w:r>
      <w:hyperlink w:anchor="公司簡介" w:history="1">
        <w:r w:rsidR="00BF2B97" w:rsidRPr="0002364F">
          <w:rPr>
            <w:rStyle w:val="a6"/>
            <w:rFonts w:eastAsia="標楷體"/>
            <w:b/>
            <w:bCs/>
            <w:color w:val="000000"/>
          </w:rPr>
          <w:t>公司簡介</w:t>
        </w:r>
      </w:hyperlink>
    </w:p>
    <w:p w14:paraId="7539FFE4" w14:textId="1DB21B8F" w:rsidR="006B3623" w:rsidRPr="0002364F" w:rsidRDefault="00041E13">
      <w:pPr>
        <w:rPr>
          <w:rFonts w:eastAsia="標楷體"/>
          <w:b/>
          <w:bCs/>
          <w:color w:val="C00000"/>
          <w:u w:val="single"/>
        </w:rPr>
      </w:pPr>
      <w:r w:rsidRPr="0002364F">
        <w:rPr>
          <w:rFonts w:eastAsia="標楷體"/>
          <w:b/>
          <w:bCs/>
          <w:noProof/>
          <w:color w:val="000000"/>
        </w:rPr>
        <w:drawing>
          <wp:anchor distT="0" distB="0" distL="114300" distR="114300" simplePos="0" relativeHeight="251664896" behindDoc="1" locked="0" layoutInCell="1" allowOverlap="1" wp14:anchorId="4336ED30" wp14:editId="1A1473FB">
            <wp:simplePos x="0" y="0"/>
            <wp:positionH relativeFrom="column">
              <wp:posOffset>12700</wp:posOffset>
            </wp:positionH>
            <wp:positionV relativeFrom="paragraph">
              <wp:posOffset>4445</wp:posOffset>
            </wp:positionV>
            <wp:extent cx="152400" cy="146050"/>
            <wp:effectExtent l="0" t="0" r="0" b="0"/>
            <wp:wrapNone/>
            <wp:docPr id="130"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623" w:rsidRPr="0002364F">
        <w:rPr>
          <w:rFonts w:eastAsia="標楷體"/>
          <w:b/>
          <w:bCs/>
          <w:color w:val="000000"/>
        </w:rPr>
        <w:t xml:space="preserve"> </w:t>
      </w:r>
      <w:r w:rsidR="006B3623" w:rsidRPr="0002364F">
        <w:rPr>
          <w:rFonts w:eastAsia="標楷體"/>
          <w:b/>
          <w:bCs/>
          <w:color w:val="C00000"/>
        </w:rPr>
        <w:t xml:space="preserve">  </w:t>
      </w:r>
      <w:r w:rsidR="006B3623" w:rsidRPr="0002364F">
        <w:rPr>
          <w:rFonts w:eastAsia="標楷體"/>
          <w:b/>
          <w:bCs/>
          <w:color w:val="C00000"/>
          <w:u w:val="single"/>
        </w:rPr>
        <w:t>風險事項說明</w:t>
      </w:r>
      <w:r w:rsidR="00954BC6" w:rsidRPr="0002364F">
        <w:rPr>
          <w:rFonts w:eastAsia="標楷體"/>
          <w:b/>
          <w:bCs/>
          <w:color w:val="C00000"/>
          <w:u w:val="single"/>
        </w:rPr>
        <w:t>(</w:t>
      </w:r>
      <w:r w:rsidR="00954BC6" w:rsidRPr="0002364F">
        <w:rPr>
          <w:rFonts w:eastAsia="標楷體"/>
          <w:b/>
          <w:bCs/>
          <w:color w:val="C00000"/>
          <w:u w:val="single"/>
        </w:rPr>
        <w:t>申請登錄戰略新板公司適用</w:t>
      </w:r>
      <w:r w:rsidR="00954BC6" w:rsidRPr="0002364F">
        <w:rPr>
          <w:rFonts w:eastAsia="標楷體"/>
          <w:b/>
          <w:bCs/>
          <w:color w:val="C00000"/>
          <w:u w:val="single"/>
        </w:rPr>
        <w:t>)</w:t>
      </w:r>
    </w:p>
    <w:p w14:paraId="4D1AC1F7" w14:textId="00188EF5" w:rsidR="00161123" w:rsidRPr="0002364F" w:rsidRDefault="00041E13">
      <w:pPr>
        <w:rPr>
          <w:rFonts w:eastAsia="標楷體"/>
          <w:b/>
          <w:bCs/>
          <w:color w:val="000000"/>
        </w:rPr>
      </w:pPr>
      <w:r w:rsidRPr="0002364F">
        <w:rPr>
          <w:rFonts w:eastAsia="標楷體"/>
          <w:b/>
          <w:bCs/>
          <w:noProof/>
          <w:color w:val="000000"/>
        </w:rPr>
        <w:drawing>
          <wp:anchor distT="0" distB="0" distL="114300" distR="114300" simplePos="0" relativeHeight="251662848" behindDoc="1" locked="0" layoutInCell="1" allowOverlap="1" wp14:anchorId="2D362148" wp14:editId="47361035">
            <wp:simplePos x="0" y="0"/>
            <wp:positionH relativeFrom="column">
              <wp:posOffset>0</wp:posOffset>
            </wp:positionH>
            <wp:positionV relativeFrom="paragraph">
              <wp:posOffset>45085</wp:posOffset>
            </wp:positionV>
            <wp:extent cx="152400" cy="146050"/>
            <wp:effectExtent l="0" t="0" r="0" b="0"/>
            <wp:wrapNone/>
            <wp:docPr id="127" name="圖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97" w:rsidRPr="0002364F">
        <w:rPr>
          <w:rFonts w:eastAsia="標楷體"/>
          <w:b/>
          <w:bCs/>
          <w:color w:val="000000"/>
        </w:rPr>
        <w:t xml:space="preserve">   </w:t>
      </w:r>
      <w:hyperlink w:anchor="主要業務項目" w:history="1">
        <w:r w:rsidR="00161123" w:rsidRPr="0002364F">
          <w:rPr>
            <w:rStyle w:val="a6"/>
            <w:rFonts w:eastAsia="標楷體"/>
            <w:b/>
            <w:bCs/>
            <w:color w:val="000000"/>
          </w:rPr>
          <w:t>主要業務項目</w:t>
        </w:r>
      </w:hyperlink>
    </w:p>
    <w:p w14:paraId="16900F8D" w14:textId="6581D207" w:rsidR="00161123" w:rsidRPr="0002364F" w:rsidRDefault="00041E13">
      <w:pPr>
        <w:rPr>
          <w:rFonts w:eastAsia="標楷體"/>
          <w:b/>
          <w:bCs/>
          <w:color w:val="000000"/>
        </w:rPr>
      </w:pPr>
      <w:r w:rsidRPr="0002364F">
        <w:rPr>
          <w:rFonts w:eastAsia="標楷體"/>
          <w:b/>
          <w:bCs/>
          <w:noProof/>
          <w:color w:val="000000"/>
        </w:rPr>
        <w:drawing>
          <wp:anchor distT="0" distB="0" distL="114300" distR="114300" simplePos="0" relativeHeight="251656704" behindDoc="1" locked="0" layoutInCell="1" allowOverlap="1" wp14:anchorId="10A78EA4" wp14:editId="3E33D511">
            <wp:simplePos x="0" y="0"/>
            <wp:positionH relativeFrom="column">
              <wp:posOffset>0</wp:posOffset>
            </wp:positionH>
            <wp:positionV relativeFrom="paragraph">
              <wp:posOffset>45085</wp:posOffset>
            </wp:positionV>
            <wp:extent cx="152400" cy="146050"/>
            <wp:effectExtent l="0" t="0" r="0" b="0"/>
            <wp:wrapNone/>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02364F">
        <w:rPr>
          <w:rFonts w:eastAsia="標楷體"/>
          <w:b/>
          <w:bCs/>
          <w:color w:val="000000"/>
        </w:rPr>
        <w:t xml:space="preserve">   </w:t>
      </w:r>
      <w:hyperlink w:anchor="最近五年度簡明損益表及申請年度截至最近月份止之自結損益表" w:history="1">
        <w:r w:rsidR="00161123" w:rsidRPr="0002364F">
          <w:rPr>
            <w:rStyle w:val="a6"/>
            <w:rFonts w:eastAsia="標楷體"/>
            <w:b/>
            <w:bCs/>
            <w:color w:val="000000"/>
          </w:rPr>
          <w:t>最近五年度簡明損益表及申請年度截至最近月份止之自結損益表</w:t>
        </w:r>
      </w:hyperlink>
    </w:p>
    <w:p w14:paraId="2FB16080" w14:textId="75E4ABB4" w:rsidR="00161123" w:rsidRPr="0002364F" w:rsidRDefault="00041E13">
      <w:pPr>
        <w:rPr>
          <w:rFonts w:eastAsia="標楷體"/>
          <w:b/>
          <w:bCs/>
          <w:color w:val="000000"/>
        </w:rPr>
      </w:pPr>
      <w:r w:rsidRPr="0002364F">
        <w:rPr>
          <w:rFonts w:eastAsia="標楷體"/>
          <w:b/>
          <w:bCs/>
          <w:noProof/>
          <w:color w:val="000000"/>
        </w:rPr>
        <w:drawing>
          <wp:anchor distT="0" distB="0" distL="114300" distR="114300" simplePos="0" relativeHeight="251658752" behindDoc="1" locked="0" layoutInCell="1" allowOverlap="1" wp14:anchorId="0717E7FF" wp14:editId="42A2AD71">
            <wp:simplePos x="0" y="0"/>
            <wp:positionH relativeFrom="column">
              <wp:posOffset>0</wp:posOffset>
            </wp:positionH>
            <wp:positionV relativeFrom="paragraph">
              <wp:posOffset>42545</wp:posOffset>
            </wp:positionV>
            <wp:extent cx="152400" cy="146050"/>
            <wp:effectExtent l="0" t="0" r="0" b="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02364F">
        <w:rPr>
          <w:rFonts w:eastAsia="標楷體"/>
          <w:b/>
          <w:bCs/>
          <w:color w:val="000000"/>
        </w:rPr>
        <w:t xml:space="preserve">   </w:t>
      </w:r>
      <w:hyperlink w:anchor="最近五年度簡明資產負債表" w:history="1">
        <w:r w:rsidR="00161123" w:rsidRPr="0002364F">
          <w:rPr>
            <w:rStyle w:val="a6"/>
            <w:rFonts w:eastAsia="標楷體"/>
            <w:b/>
            <w:bCs/>
            <w:color w:val="000000"/>
          </w:rPr>
          <w:t>最近五年度簡明資產負債表</w:t>
        </w:r>
      </w:hyperlink>
    </w:p>
    <w:p w14:paraId="42CFE4E4" w14:textId="25D44C7B" w:rsidR="00070C0D" w:rsidRPr="0002364F" w:rsidRDefault="00041E13">
      <w:pPr>
        <w:rPr>
          <w:rFonts w:eastAsia="標楷體"/>
          <w:b/>
          <w:bCs/>
          <w:color w:val="000000"/>
        </w:rPr>
      </w:pPr>
      <w:r w:rsidRPr="0002364F">
        <w:rPr>
          <w:rFonts w:eastAsia="標楷體"/>
          <w:b/>
          <w:bCs/>
          <w:i/>
          <w:iCs/>
          <w:noProof/>
          <w:color w:val="000000"/>
        </w:rPr>
        <w:drawing>
          <wp:anchor distT="0" distB="0" distL="114300" distR="114300" simplePos="0" relativeHeight="251659776" behindDoc="1" locked="0" layoutInCell="1" allowOverlap="1" wp14:anchorId="3B2BE0E0" wp14:editId="216B20C1">
            <wp:simplePos x="0" y="0"/>
            <wp:positionH relativeFrom="column">
              <wp:posOffset>0</wp:posOffset>
            </wp:positionH>
            <wp:positionV relativeFrom="paragraph">
              <wp:posOffset>42545</wp:posOffset>
            </wp:positionV>
            <wp:extent cx="152400" cy="146050"/>
            <wp:effectExtent l="0" t="0" r="0" b="0"/>
            <wp:wrapNone/>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123" w:rsidRPr="0002364F">
        <w:rPr>
          <w:rFonts w:eastAsia="標楷體"/>
          <w:b/>
          <w:bCs/>
          <w:i/>
          <w:iCs/>
          <w:color w:val="000000"/>
        </w:rPr>
        <w:t xml:space="preserve">   </w:t>
      </w:r>
      <w:hyperlink w:anchor="最近三年度財務比率及股利發放情形" w:history="1">
        <w:r w:rsidR="00161123" w:rsidRPr="0002364F">
          <w:rPr>
            <w:rStyle w:val="a6"/>
            <w:rFonts w:eastAsia="標楷體"/>
            <w:b/>
            <w:bCs/>
            <w:color w:val="000000"/>
          </w:rPr>
          <w:t>最近三年度財務比率</w:t>
        </w:r>
      </w:hyperlink>
    </w:p>
    <w:p w14:paraId="318645F7" w14:textId="7DD4D39D" w:rsidR="0002364F" w:rsidRDefault="0002364F">
      <w:pPr>
        <w:rPr>
          <w:rFonts w:ascii="標楷體" w:eastAsia="標楷體" w:hAnsi="標楷體"/>
          <w:b/>
          <w:bCs/>
        </w:rPr>
      </w:pPr>
    </w:p>
    <w:p w14:paraId="68C71AD4" w14:textId="77777777" w:rsidR="0002364F" w:rsidRDefault="0002364F">
      <w:pPr>
        <w:rPr>
          <w:rFonts w:ascii="標楷體" w:eastAsia="標楷體" w:hAnsi="標楷體"/>
          <w:b/>
          <w:bCs/>
        </w:rPr>
      </w:pPr>
    </w:p>
    <w:p w14:paraId="0DBF53FA" w14:textId="1D932885" w:rsidR="00161123" w:rsidRDefault="00161123">
      <w:pPr>
        <w:rPr>
          <w:rFonts w:ascii="標楷體" w:eastAsia="標楷體" w:hAnsi="標楷體"/>
          <w:b/>
          <w:bCs/>
        </w:rPr>
      </w:pPr>
      <w:r w:rsidRPr="0002364F">
        <w:rPr>
          <w:rFonts w:ascii="標楷體" w:eastAsia="標楷體" w:hAnsi="標楷體"/>
          <w:b/>
          <w:bCs/>
        </w:rPr>
        <w:t>公司名稱：</w:t>
      </w:r>
      <w:r w:rsidR="006B2237" w:rsidRPr="0002364F">
        <w:rPr>
          <w:rFonts w:ascii="標楷體" w:eastAsia="標楷體" w:hAnsi="標楷體" w:hint="eastAsia"/>
          <w:b/>
          <w:bCs/>
          <w:color w:val="FF6600"/>
        </w:rPr>
        <w:t>巨生生醫</w:t>
      </w:r>
      <w:r w:rsidRPr="0002364F">
        <w:rPr>
          <w:rFonts w:ascii="標楷體" w:eastAsia="標楷體" w:hAnsi="標楷體" w:hint="eastAsia"/>
          <w:b/>
          <w:bCs/>
          <w:color w:val="FF6600"/>
        </w:rPr>
        <w:t>股份有限公司</w:t>
      </w:r>
      <w:r w:rsidRPr="0002364F">
        <w:rPr>
          <w:rFonts w:ascii="標楷體" w:eastAsia="標楷體" w:hAnsi="標楷體" w:hint="eastAsia"/>
          <w:b/>
          <w:bCs/>
        </w:rPr>
        <w:t xml:space="preserve"> (股票代號：</w:t>
      </w:r>
      <w:r w:rsidR="006B2237" w:rsidRPr="0002364F">
        <w:rPr>
          <w:rFonts w:eastAsia="標楷體"/>
          <w:b/>
          <w:bCs/>
        </w:rPr>
        <w:t>6827</w:t>
      </w:r>
      <w:r w:rsidRPr="0002364F">
        <w:rPr>
          <w:rFonts w:ascii="標楷體" w:eastAsia="標楷體" w:hAnsi="標楷體" w:hint="eastAsia"/>
          <w:b/>
          <w:bCs/>
        </w:rPr>
        <w:t>)</w:t>
      </w:r>
    </w:p>
    <w:p w14:paraId="0092C315" w14:textId="46160F0E" w:rsidR="0002364F" w:rsidRDefault="0002364F">
      <w:pPr>
        <w:rPr>
          <w:rFonts w:ascii="標楷體" w:eastAsia="標楷體" w:hAnsi="標楷體"/>
          <w:b/>
          <w:bCs/>
        </w:rPr>
      </w:pPr>
    </w:p>
    <w:p w14:paraId="00054BC1" w14:textId="7A201738" w:rsidR="00161123" w:rsidRPr="001155CE" w:rsidRDefault="007D5D44">
      <w:pPr>
        <w:jc w:val="both"/>
        <w:rPr>
          <w:rFonts w:ascii="標楷體" w:eastAsia="標楷體" w:hAnsi="標楷體"/>
          <w:color w:val="FF0000"/>
          <w:u w:val="single"/>
        </w:rPr>
      </w:pPr>
      <w:bookmarkStart w:id="1" w:name="基本資料"/>
      <w:bookmarkEnd w:id="1"/>
      <w:r w:rsidRPr="001155CE">
        <w:rPr>
          <w:rFonts w:ascii="標楷體" w:eastAsia="標楷體" w:hAnsi="標楷體" w:hint="eastAsia"/>
          <w:color w:val="FF0000"/>
          <w:u w:val="single"/>
        </w:rPr>
        <w:t>申請登錄</w:t>
      </w:r>
      <w:r w:rsidR="00FF5DB6" w:rsidRPr="001155CE">
        <w:rPr>
          <w:rFonts w:ascii="標楷體" w:eastAsia="標楷體" w:hAnsi="標楷體" w:hint="eastAsia"/>
          <w:color w:val="FF0000"/>
          <w:u w:val="single"/>
        </w:rPr>
        <w:t>：</w:t>
      </w:r>
      <w:r w:rsidR="006B2237" w:rsidRPr="001155CE">
        <w:rPr>
          <w:rFonts w:ascii="新細明體" w:hAnsi="新細明體" w:hint="eastAsia"/>
          <w:color w:val="FF0000"/>
          <w:u w:val="single"/>
        </w:rPr>
        <w:t>■</w:t>
      </w:r>
      <w:r w:rsidRPr="001155CE">
        <w:rPr>
          <w:rFonts w:ascii="標楷體" w:eastAsia="標楷體" w:hAnsi="標楷體" w:hint="eastAsia"/>
          <w:color w:val="FF0000"/>
          <w:u w:val="single"/>
        </w:rPr>
        <w:t>一般板</w:t>
      </w:r>
      <w:r w:rsidRPr="001155CE">
        <w:rPr>
          <w:rFonts w:ascii="新細明體" w:hAnsi="新細明體" w:hint="eastAsia"/>
          <w:color w:val="FF0000"/>
          <w:u w:val="single"/>
        </w:rPr>
        <w:t xml:space="preserve">       □</w:t>
      </w:r>
      <w:r w:rsidR="00D53FD9" w:rsidRPr="001155CE">
        <w:rPr>
          <w:rFonts w:ascii="標楷體" w:eastAsia="標楷體" w:hAnsi="標楷體" w:hint="eastAsia"/>
          <w:color w:val="FF0000"/>
          <w:u w:val="single"/>
        </w:rPr>
        <w:t>戰略新板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163"/>
      </w:tblGrid>
      <w:tr w:rsidR="00AB245A" w:rsidRPr="001155CE" w14:paraId="1B6010F2" w14:textId="77777777" w:rsidTr="0002364F">
        <w:trPr>
          <w:cantSplit/>
        </w:trPr>
        <w:tc>
          <w:tcPr>
            <w:tcW w:w="2405" w:type="dxa"/>
            <w:shd w:val="clear" w:color="auto" w:fill="F9F9F9"/>
          </w:tcPr>
          <w:p w14:paraId="6637EBD9" w14:textId="77777777" w:rsidR="00AB245A" w:rsidRPr="00712A14" w:rsidRDefault="00AB245A">
            <w:pPr>
              <w:rPr>
                <w:rFonts w:eastAsia="標楷體"/>
              </w:rPr>
            </w:pPr>
            <w:r w:rsidRPr="00712A14">
              <w:rPr>
                <w:rFonts w:eastAsia="標楷體"/>
              </w:rPr>
              <w:t>董事長</w:t>
            </w:r>
          </w:p>
        </w:tc>
        <w:tc>
          <w:tcPr>
            <w:tcW w:w="7163" w:type="dxa"/>
          </w:tcPr>
          <w:p w14:paraId="0A5FE1A4" w14:textId="3DD708C6" w:rsidR="00AB245A" w:rsidRPr="001155CE" w:rsidRDefault="006B2237">
            <w:pPr>
              <w:rPr>
                <w:rFonts w:eastAsia="標楷體"/>
              </w:rPr>
            </w:pPr>
            <w:r w:rsidRPr="001155CE">
              <w:rPr>
                <w:rFonts w:eastAsia="標楷體"/>
              </w:rPr>
              <w:t>蔣為峰</w:t>
            </w:r>
          </w:p>
        </w:tc>
      </w:tr>
      <w:tr w:rsidR="00AB245A" w:rsidRPr="001155CE" w14:paraId="190822C1" w14:textId="77777777" w:rsidTr="0002364F">
        <w:trPr>
          <w:cantSplit/>
        </w:trPr>
        <w:tc>
          <w:tcPr>
            <w:tcW w:w="2405" w:type="dxa"/>
            <w:shd w:val="clear" w:color="auto" w:fill="F9F9F9"/>
          </w:tcPr>
          <w:p w14:paraId="4F76C883" w14:textId="77777777" w:rsidR="00AB245A" w:rsidRPr="00712A14" w:rsidRDefault="00AB245A">
            <w:pPr>
              <w:rPr>
                <w:rFonts w:eastAsia="標楷體"/>
              </w:rPr>
            </w:pPr>
            <w:r w:rsidRPr="00712A14">
              <w:rPr>
                <w:rFonts w:eastAsia="標楷體"/>
              </w:rPr>
              <w:t>總經理</w:t>
            </w:r>
          </w:p>
        </w:tc>
        <w:tc>
          <w:tcPr>
            <w:tcW w:w="7163" w:type="dxa"/>
          </w:tcPr>
          <w:p w14:paraId="1AF73710" w14:textId="4F706F3D" w:rsidR="00AB245A" w:rsidRPr="001155CE" w:rsidRDefault="006B2237">
            <w:pPr>
              <w:rPr>
                <w:rFonts w:eastAsia="標楷體"/>
              </w:rPr>
            </w:pPr>
            <w:r w:rsidRPr="001155CE">
              <w:rPr>
                <w:rFonts w:eastAsia="標楷體"/>
              </w:rPr>
              <w:t>王先知</w:t>
            </w:r>
          </w:p>
        </w:tc>
      </w:tr>
      <w:tr w:rsidR="0094454A" w:rsidRPr="001155CE" w14:paraId="50B5E82E" w14:textId="77777777" w:rsidTr="0002364F">
        <w:trPr>
          <w:cantSplit/>
        </w:trPr>
        <w:tc>
          <w:tcPr>
            <w:tcW w:w="2405" w:type="dxa"/>
            <w:shd w:val="clear" w:color="auto" w:fill="F9F9F9"/>
          </w:tcPr>
          <w:p w14:paraId="6829F398" w14:textId="77777777" w:rsidR="0094454A" w:rsidRPr="001155CE" w:rsidRDefault="0094454A">
            <w:pPr>
              <w:rPr>
                <w:rFonts w:eastAsia="標楷體"/>
              </w:rPr>
            </w:pPr>
            <w:r w:rsidRPr="00712A14">
              <w:rPr>
                <w:rFonts w:eastAsia="標楷體"/>
              </w:rPr>
              <w:t>資本額</w:t>
            </w:r>
          </w:p>
        </w:tc>
        <w:tc>
          <w:tcPr>
            <w:tcW w:w="7163" w:type="dxa"/>
          </w:tcPr>
          <w:p w14:paraId="2C72F1E0" w14:textId="7B9E65D0" w:rsidR="0094454A" w:rsidRPr="001155CE" w:rsidRDefault="008D522D">
            <w:pPr>
              <w:rPr>
                <w:rFonts w:eastAsia="標楷體"/>
              </w:rPr>
            </w:pPr>
            <w:r w:rsidRPr="001155CE">
              <w:rPr>
                <w:rFonts w:eastAsia="標楷體"/>
              </w:rPr>
              <w:t>新台幣</w:t>
            </w:r>
            <w:r w:rsidRPr="001155CE">
              <w:rPr>
                <w:rFonts w:eastAsia="標楷體"/>
              </w:rPr>
              <w:t>553,959,030</w:t>
            </w:r>
            <w:r w:rsidRPr="001155CE">
              <w:rPr>
                <w:rFonts w:eastAsia="標楷體"/>
              </w:rPr>
              <w:t>元</w:t>
            </w:r>
          </w:p>
        </w:tc>
      </w:tr>
      <w:tr w:rsidR="00161123" w:rsidRPr="001155CE" w14:paraId="7B30015B" w14:textId="77777777" w:rsidTr="0002364F">
        <w:trPr>
          <w:cantSplit/>
        </w:trPr>
        <w:tc>
          <w:tcPr>
            <w:tcW w:w="2405" w:type="dxa"/>
            <w:shd w:val="clear" w:color="auto" w:fill="F9F9F9"/>
          </w:tcPr>
          <w:p w14:paraId="6D990353" w14:textId="77777777" w:rsidR="00161123" w:rsidRPr="001155CE" w:rsidRDefault="00161123">
            <w:pPr>
              <w:rPr>
                <w:rFonts w:eastAsia="標楷體"/>
              </w:rPr>
            </w:pPr>
            <w:r w:rsidRPr="001155CE">
              <w:rPr>
                <w:rFonts w:eastAsia="標楷體"/>
              </w:rPr>
              <w:t>輔導推薦證券商</w:t>
            </w:r>
          </w:p>
        </w:tc>
        <w:tc>
          <w:tcPr>
            <w:tcW w:w="7163" w:type="dxa"/>
          </w:tcPr>
          <w:p w14:paraId="22218675" w14:textId="520FD45C" w:rsidR="00161123" w:rsidRPr="001155CE" w:rsidRDefault="006B2237">
            <w:pPr>
              <w:rPr>
                <w:rFonts w:eastAsia="標楷體"/>
              </w:rPr>
            </w:pPr>
            <w:r w:rsidRPr="001155CE">
              <w:rPr>
                <w:rFonts w:eastAsia="標楷體"/>
              </w:rPr>
              <w:t>富邦</w:t>
            </w:r>
            <w:r w:rsidR="008D522D" w:rsidRPr="001155CE">
              <w:rPr>
                <w:rFonts w:eastAsia="標楷體"/>
              </w:rPr>
              <w:t>綜合</w:t>
            </w:r>
            <w:r w:rsidRPr="001155CE">
              <w:rPr>
                <w:rFonts w:eastAsia="標楷體"/>
              </w:rPr>
              <w:t>證券股份有限公司</w:t>
            </w:r>
            <w:r w:rsidR="008D522D" w:rsidRPr="001155CE">
              <w:rPr>
                <w:rFonts w:eastAsia="標楷體"/>
              </w:rPr>
              <w:t>、台新綜合證券股份有限公司、群益金鼎證券股份有限公司</w:t>
            </w:r>
          </w:p>
        </w:tc>
      </w:tr>
      <w:tr w:rsidR="00FD1CF9" w:rsidRPr="001155CE" w14:paraId="4FD16495" w14:textId="77777777" w:rsidTr="0002364F">
        <w:trPr>
          <w:cantSplit/>
        </w:trPr>
        <w:tc>
          <w:tcPr>
            <w:tcW w:w="2405" w:type="dxa"/>
            <w:shd w:val="clear" w:color="auto" w:fill="F9F9F9"/>
          </w:tcPr>
          <w:p w14:paraId="7BB0EB81" w14:textId="77777777" w:rsidR="00FD1CF9" w:rsidRPr="001155CE" w:rsidRDefault="00FD1CF9" w:rsidP="00385C47">
            <w:pPr>
              <w:rPr>
                <w:rFonts w:eastAsia="標楷體"/>
              </w:rPr>
            </w:pPr>
            <w:r w:rsidRPr="001155CE">
              <w:rPr>
                <w:rFonts w:eastAsia="標楷體"/>
              </w:rPr>
              <w:t>主辦輔導券商聯絡</w:t>
            </w:r>
            <w:r w:rsidR="00553CD3" w:rsidRPr="001155CE">
              <w:rPr>
                <w:rFonts w:eastAsia="標楷體"/>
              </w:rPr>
              <w:t>人</w:t>
            </w:r>
            <w:r w:rsidRPr="001155CE">
              <w:rPr>
                <w:rFonts w:eastAsia="標楷體"/>
              </w:rPr>
              <w:t>電話</w:t>
            </w:r>
          </w:p>
        </w:tc>
        <w:tc>
          <w:tcPr>
            <w:tcW w:w="7163" w:type="dxa"/>
          </w:tcPr>
          <w:p w14:paraId="416A9195" w14:textId="77777777" w:rsidR="00CD51B6" w:rsidRDefault="00BD37C6">
            <w:pPr>
              <w:rPr>
                <w:rFonts w:eastAsia="標楷體"/>
              </w:rPr>
            </w:pPr>
            <w:r w:rsidRPr="001155CE">
              <w:rPr>
                <w:rFonts w:eastAsia="標楷體"/>
              </w:rPr>
              <w:t>富邦綜合證券股份有限公司</w:t>
            </w:r>
            <w:r w:rsidRPr="001155CE">
              <w:rPr>
                <w:rFonts w:eastAsia="標楷體"/>
              </w:rPr>
              <w:t xml:space="preserve">  </w:t>
            </w:r>
          </w:p>
          <w:p w14:paraId="4D479FFC" w14:textId="425491CF" w:rsidR="00FD1CF9" w:rsidRPr="001155CE" w:rsidRDefault="00BD37C6">
            <w:pPr>
              <w:rPr>
                <w:rFonts w:eastAsia="標楷體"/>
              </w:rPr>
            </w:pPr>
            <w:r w:rsidRPr="001155CE">
              <w:rPr>
                <w:rFonts w:eastAsia="標楷體"/>
              </w:rPr>
              <w:t>張玉如</w:t>
            </w:r>
            <w:r w:rsidRPr="001155CE">
              <w:rPr>
                <w:rFonts w:eastAsia="標楷體"/>
              </w:rPr>
              <w:t xml:space="preserve"> (02)8771-6888</w:t>
            </w:r>
            <w:r w:rsidRPr="001155CE">
              <w:rPr>
                <w:rFonts w:eastAsia="標楷體"/>
              </w:rPr>
              <w:t>分機</w:t>
            </w:r>
            <w:r w:rsidRPr="001155CE">
              <w:rPr>
                <w:rFonts w:eastAsia="標楷體"/>
              </w:rPr>
              <w:t>66672</w:t>
            </w:r>
          </w:p>
        </w:tc>
      </w:tr>
      <w:tr w:rsidR="00161123" w:rsidRPr="001155CE" w14:paraId="46DC00E3" w14:textId="77777777" w:rsidTr="0002364F">
        <w:trPr>
          <w:cantSplit/>
        </w:trPr>
        <w:tc>
          <w:tcPr>
            <w:tcW w:w="2405" w:type="dxa"/>
            <w:shd w:val="clear" w:color="auto" w:fill="F9F9F9"/>
          </w:tcPr>
          <w:p w14:paraId="2F0C8065" w14:textId="77777777" w:rsidR="00161123" w:rsidRPr="001155CE" w:rsidRDefault="00161123">
            <w:pPr>
              <w:rPr>
                <w:rFonts w:eastAsia="標楷體"/>
              </w:rPr>
            </w:pPr>
            <w:r w:rsidRPr="001155CE">
              <w:rPr>
                <w:rFonts w:eastAsia="標楷體"/>
              </w:rPr>
              <w:t>註冊地國</w:t>
            </w:r>
          </w:p>
        </w:tc>
        <w:tc>
          <w:tcPr>
            <w:tcW w:w="7163" w:type="dxa"/>
          </w:tcPr>
          <w:p w14:paraId="0DA67B7C" w14:textId="77777777" w:rsidR="00161123" w:rsidRPr="001155CE" w:rsidRDefault="00161123">
            <w:pPr>
              <w:rPr>
                <w:rFonts w:eastAsia="標楷體"/>
              </w:rPr>
            </w:pPr>
            <w:r w:rsidRPr="001155CE">
              <w:rPr>
                <w:rFonts w:eastAsia="標楷體"/>
              </w:rPr>
              <w:t>(</w:t>
            </w:r>
            <w:r w:rsidRPr="001155CE">
              <w:rPr>
                <w:rFonts w:eastAsia="標楷體"/>
              </w:rPr>
              <w:t>外國發行人適用</w:t>
            </w:r>
            <w:r w:rsidRPr="001155CE">
              <w:rPr>
                <w:rFonts w:eastAsia="標楷體"/>
              </w:rPr>
              <w:t>)</w:t>
            </w:r>
          </w:p>
        </w:tc>
      </w:tr>
      <w:tr w:rsidR="00161123" w:rsidRPr="001155CE" w14:paraId="798EEA90" w14:textId="77777777" w:rsidTr="0002364F">
        <w:trPr>
          <w:cantSplit/>
        </w:trPr>
        <w:tc>
          <w:tcPr>
            <w:tcW w:w="2405" w:type="dxa"/>
            <w:shd w:val="clear" w:color="auto" w:fill="F9F9F9"/>
          </w:tcPr>
          <w:p w14:paraId="011AF131" w14:textId="77777777" w:rsidR="00161123" w:rsidRPr="001155CE" w:rsidRDefault="00161123">
            <w:pPr>
              <w:rPr>
                <w:rFonts w:eastAsia="標楷體"/>
              </w:rPr>
            </w:pPr>
            <w:r w:rsidRPr="001155CE">
              <w:rPr>
                <w:rFonts w:eastAsia="標楷體"/>
              </w:rPr>
              <w:t>訴訟及非訟代理人</w:t>
            </w:r>
          </w:p>
        </w:tc>
        <w:tc>
          <w:tcPr>
            <w:tcW w:w="7163" w:type="dxa"/>
          </w:tcPr>
          <w:p w14:paraId="01A3876C" w14:textId="77777777" w:rsidR="00161123" w:rsidRPr="001155CE" w:rsidRDefault="00161123">
            <w:pPr>
              <w:rPr>
                <w:rFonts w:eastAsia="標楷體"/>
              </w:rPr>
            </w:pPr>
            <w:r w:rsidRPr="001155CE">
              <w:rPr>
                <w:rFonts w:eastAsia="標楷體"/>
              </w:rPr>
              <w:t>(</w:t>
            </w:r>
            <w:r w:rsidRPr="001155CE">
              <w:rPr>
                <w:rFonts w:eastAsia="標楷體"/>
              </w:rPr>
              <w:t>外國發行人適用</w:t>
            </w:r>
            <w:r w:rsidRPr="001155CE">
              <w:rPr>
                <w:rFonts w:eastAsia="標楷體"/>
              </w:rPr>
              <w:t>)</w:t>
            </w:r>
          </w:p>
        </w:tc>
      </w:tr>
    </w:tbl>
    <w:p w14:paraId="7AC981B7" w14:textId="77777777" w:rsidR="00161123" w:rsidRPr="001155CE" w:rsidRDefault="00161123">
      <w:pPr>
        <w:jc w:val="both"/>
        <w:rPr>
          <w:rFonts w:eastAsia="標楷體"/>
        </w:rPr>
      </w:pPr>
      <w:r w:rsidRPr="001155CE">
        <w:rPr>
          <w:rFonts w:eastAsia="標楷體"/>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625"/>
        <w:gridCol w:w="2119"/>
        <w:gridCol w:w="2616"/>
        <w:gridCol w:w="43"/>
      </w:tblGrid>
      <w:tr w:rsidR="00BF2B97" w:rsidRPr="001155CE" w14:paraId="65F53D70" w14:textId="77777777" w:rsidTr="00A6106F">
        <w:tc>
          <w:tcPr>
            <w:tcW w:w="9611" w:type="dxa"/>
            <w:gridSpan w:val="5"/>
            <w:shd w:val="clear" w:color="auto" w:fill="auto"/>
          </w:tcPr>
          <w:p w14:paraId="1F8254A0" w14:textId="77777777" w:rsidR="00BF2B97" w:rsidRPr="001155CE" w:rsidRDefault="00BF2B97" w:rsidP="00F23D95">
            <w:pPr>
              <w:jc w:val="center"/>
              <w:rPr>
                <w:rFonts w:eastAsia="標楷體"/>
              </w:rPr>
            </w:pPr>
            <w:r w:rsidRPr="001155CE">
              <w:rPr>
                <w:rFonts w:eastAsia="標楷體"/>
              </w:rPr>
              <w:t>輔導推薦證券商認購</w:t>
            </w:r>
            <w:r w:rsidRPr="001155CE">
              <w:rPr>
                <w:rFonts w:eastAsia="標楷體"/>
              </w:rPr>
              <w:t xml:space="preserve">      </w:t>
            </w:r>
            <w:r w:rsidRPr="001155CE">
              <w:rPr>
                <w:rFonts w:eastAsia="標楷體"/>
              </w:rPr>
              <w:t>公司股票之相關資訊</w:t>
            </w:r>
          </w:p>
        </w:tc>
      </w:tr>
      <w:tr w:rsidR="00EE4C00" w:rsidRPr="001155CE" w14:paraId="51970388" w14:textId="77777777" w:rsidTr="00A6106F">
        <w:tc>
          <w:tcPr>
            <w:tcW w:w="2208" w:type="dxa"/>
            <w:vMerge w:val="restart"/>
            <w:shd w:val="clear" w:color="auto" w:fill="auto"/>
            <w:vAlign w:val="center"/>
          </w:tcPr>
          <w:p w14:paraId="0C42DE30" w14:textId="77777777" w:rsidR="00EE4C00" w:rsidRPr="001155CE" w:rsidRDefault="00EE4C00" w:rsidP="00D00024">
            <w:pPr>
              <w:jc w:val="center"/>
              <w:rPr>
                <w:rFonts w:eastAsia="標楷體"/>
              </w:rPr>
            </w:pPr>
            <w:r w:rsidRPr="001155CE">
              <w:rPr>
                <w:rFonts w:eastAsia="標楷體"/>
              </w:rPr>
              <w:t>證券商名稱</w:t>
            </w:r>
          </w:p>
        </w:tc>
        <w:tc>
          <w:tcPr>
            <w:tcW w:w="2625" w:type="dxa"/>
            <w:shd w:val="clear" w:color="auto" w:fill="auto"/>
          </w:tcPr>
          <w:p w14:paraId="7C528B82" w14:textId="77777777" w:rsidR="00EE4C00" w:rsidRPr="00A6106F" w:rsidRDefault="00EE4C00" w:rsidP="00F23D95">
            <w:pPr>
              <w:jc w:val="center"/>
              <w:rPr>
                <w:rFonts w:eastAsia="標楷體"/>
              </w:rPr>
            </w:pPr>
            <w:r w:rsidRPr="00A6106F">
              <w:rPr>
                <w:rFonts w:eastAsia="標楷體"/>
              </w:rPr>
              <w:t>主辦</w:t>
            </w:r>
          </w:p>
        </w:tc>
        <w:tc>
          <w:tcPr>
            <w:tcW w:w="2119" w:type="dxa"/>
            <w:shd w:val="clear" w:color="auto" w:fill="auto"/>
          </w:tcPr>
          <w:p w14:paraId="05BF03A6" w14:textId="77777777" w:rsidR="00EE4C00" w:rsidRPr="00A6106F" w:rsidRDefault="00EE4C00" w:rsidP="00F23D95">
            <w:pPr>
              <w:jc w:val="center"/>
              <w:rPr>
                <w:rFonts w:eastAsia="標楷體"/>
              </w:rPr>
            </w:pPr>
            <w:r w:rsidRPr="00A6106F">
              <w:rPr>
                <w:rFonts w:eastAsia="標楷體"/>
              </w:rPr>
              <w:t>協辦</w:t>
            </w:r>
          </w:p>
        </w:tc>
        <w:tc>
          <w:tcPr>
            <w:tcW w:w="2659" w:type="dxa"/>
            <w:gridSpan w:val="2"/>
            <w:shd w:val="clear" w:color="auto" w:fill="auto"/>
          </w:tcPr>
          <w:p w14:paraId="0BFBAFE1" w14:textId="77777777" w:rsidR="00EE4C00" w:rsidRPr="00A6106F" w:rsidRDefault="00EE4C00" w:rsidP="00F23D95">
            <w:pPr>
              <w:jc w:val="center"/>
              <w:rPr>
                <w:rFonts w:eastAsia="標楷體"/>
              </w:rPr>
            </w:pPr>
            <w:r w:rsidRPr="00A6106F">
              <w:rPr>
                <w:rFonts w:eastAsia="標楷體"/>
              </w:rPr>
              <w:t>協辦</w:t>
            </w:r>
          </w:p>
        </w:tc>
      </w:tr>
      <w:tr w:rsidR="00EE4C00" w:rsidRPr="001155CE" w14:paraId="1D944048" w14:textId="77777777" w:rsidTr="00A6106F">
        <w:tc>
          <w:tcPr>
            <w:tcW w:w="2208" w:type="dxa"/>
            <w:vMerge/>
            <w:shd w:val="clear" w:color="auto" w:fill="auto"/>
          </w:tcPr>
          <w:p w14:paraId="296F6C79" w14:textId="77777777" w:rsidR="00EE4C00" w:rsidRPr="001155CE" w:rsidRDefault="00EE4C00" w:rsidP="00F23D95">
            <w:pPr>
              <w:jc w:val="center"/>
              <w:rPr>
                <w:rFonts w:eastAsia="標楷體"/>
              </w:rPr>
            </w:pPr>
          </w:p>
        </w:tc>
        <w:tc>
          <w:tcPr>
            <w:tcW w:w="2625" w:type="dxa"/>
            <w:shd w:val="clear" w:color="auto" w:fill="auto"/>
          </w:tcPr>
          <w:p w14:paraId="32A11F4C" w14:textId="4452B3ED" w:rsidR="00EE4C00" w:rsidRPr="001155CE" w:rsidRDefault="008D522D" w:rsidP="00EE4C00">
            <w:pPr>
              <w:jc w:val="center"/>
              <w:rPr>
                <w:rFonts w:eastAsia="標楷體"/>
              </w:rPr>
            </w:pPr>
            <w:r w:rsidRPr="001155CE">
              <w:rPr>
                <w:rFonts w:eastAsia="標楷體"/>
              </w:rPr>
              <w:t>富邦綜合證券</w:t>
            </w:r>
          </w:p>
        </w:tc>
        <w:tc>
          <w:tcPr>
            <w:tcW w:w="2119" w:type="dxa"/>
            <w:shd w:val="clear" w:color="auto" w:fill="auto"/>
          </w:tcPr>
          <w:p w14:paraId="6A3A6912" w14:textId="5B28FEC2" w:rsidR="00EE4C00" w:rsidRPr="001155CE" w:rsidRDefault="008D522D" w:rsidP="00EE4C00">
            <w:pPr>
              <w:jc w:val="center"/>
              <w:rPr>
                <w:rFonts w:eastAsia="標楷體"/>
              </w:rPr>
            </w:pPr>
            <w:r w:rsidRPr="001155CE">
              <w:rPr>
                <w:rFonts w:eastAsia="標楷體"/>
              </w:rPr>
              <w:t>台新綜合證券</w:t>
            </w:r>
          </w:p>
        </w:tc>
        <w:tc>
          <w:tcPr>
            <w:tcW w:w="2659" w:type="dxa"/>
            <w:gridSpan w:val="2"/>
            <w:shd w:val="clear" w:color="auto" w:fill="auto"/>
          </w:tcPr>
          <w:p w14:paraId="5DDDB5CC" w14:textId="7BC53164" w:rsidR="00EE4C00" w:rsidRPr="001155CE" w:rsidRDefault="008D522D" w:rsidP="00EE4C00">
            <w:pPr>
              <w:jc w:val="center"/>
              <w:rPr>
                <w:rFonts w:eastAsia="標楷體"/>
              </w:rPr>
            </w:pPr>
            <w:r w:rsidRPr="001155CE">
              <w:rPr>
                <w:rFonts w:eastAsia="標楷體"/>
              </w:rPr>
              <w:t>群益金鼎證券</w:t>
            </w:r>
          </w:p>
        </w:tc>
      </w:tr>
      <w:tr w:rsidR="008D522D" w:rsidRPr="001155CE" w14:paraId="7061C8A8" w14:textId="286EC70F" w:rsidTr="00A6106F">
        <w:tc>
          <w:tcPr>
            <w:tcW w:w="2208" w:type="dxa"/>
            <w:shd w:val="clear" w:color="auto" w:fill="auto"/>
          </w:tcPr>
          <w:p w14:paraId="5B72D695" w14:textId="77777777" w:rsidR="008D522D" w:rsidRPr="001155CE" w:rsidRDefault="008D522D" w:rsidP="00F23D95">
            <w:pPr>
              <w:jc w:val="center"/>
              <w:rPr>
                <w:rFonts w:eastAsia="標楷體"/>
              </w:rPr>
            </w:pPr>
            <w:r w:rsidRPr="001155CE">
              <w:rPr>
                <w:rFonts w:eastAsia="標楷體"/>
              </w:rPr>
              <w:t>認購日期</w:t>
            </w:r>
          </w:p>
        </w:tc>
        <w:tc>
          <w:tcPr>
            <w:tcW w:w="4744" w:type="dxa"/>
            <w:gridSpan w:val="2"/>
            <w:shd w:val="clear" w:color="auto" w:fill="auto"/>
          </w:tcPr>
          <w:p w14:paraId="5F9EF675" w14:textId="744A90DA" w:rsidR="008D522D" w:rsidRPr="001155CE" w:rsidRDefault="008D522D" w:rsidP="008D522D">
            <w:pPr>
              <w:jc w:val="center"/>
              <w:rPr>
                <w:rFonts w:eastAsia="標楷體"/>
              </w:rPr>
            </w:pPr>
            <w:r w:rsidRPr="00976A47">
              <w:rPr>
                <w:rFonts w:eastAsia="標楷體"/>
              </w:rPr>
              <w:t>110</w:t>
            </w:r>
            <w:r w:rsidRPr="00976A47">
              <w:rPr>
                <w:rFonts w:eastAsia="標楷體"/>
              </w:rPr>
              <w:t>年</w:t>
            </w:r>
            <w:r w:rsidRPr="00976A47">
              <w:rPr>
                <w:rFonts w:eastAsia="標楷體"/>
              </w:rPr>
              <w:t>8</w:t>
            </w:r>
            <w:r w:rsidRPr="00976A47">
              <w:rPr>
                <w:rFonts w:eastAsia="標楷體"/>
              </w:rPr>
              <w:t>月</w:t>
            </w:r>
            <w:r w:rsidRPr="00976A47">
              <w:rPr>
                <w:rFonts w:eastAsia="標楷體"/>
              </w:rPr>
              <w:t>19</w:t>
            </w:r>
            <w:r w:rsidRPr="00976A47">
              <w:rPr>
                <w:rFonts w:eastAsia="標楷體"/>
              </w:rPr>
              <w:t>日</w:t>
            </w:r>
          </w:p>
        </w:tc>
        <w:tc>
          <w:tcPr>
            <w:tcW w:w="2659" w:type="dxa"/>
            <w:gridSpan w:val="2"/>
            <w:shd w:val="clear" w:color="auto" w:fill="auto"/>
          </w:tcPr>
          <w:p w14:paraId="3CD7590D" w14:textId="6C4BCA00" w:rsidR="008D522D" w:rsidRPr="001155CE" w:rsidRDefault="008D522D" w:rsidP="008D522D">
            <w:pPr>
              <w:pStyle w:val="af1"/>
              <w:ind w:leftChars="0"/>
              <w:rPr>
                <w:rFonts w:ascii="Times New Roman" w:eastAsia="標楷體" w:hAnsi="Times New Roman" w:cs="Times New Roman"/>
                <w:szCs w:val="24"/>
              </w:rPr>
            </w:pPr>
            <w:r w:rsidRPr="003152E9">
              <w:rPr>
                <w:rFonts w:ascii="Times New Roman" w:eastAsia="標楷體" w:hAnsi="Times New Roman" w:cs="Times New Roman"/>
                <w:szCs w:val="24"/>
              </w:rPr>
              <w:t>110</w:t>
            </w:r>
            <w:r w:rsidRPr="003152E9">
              <w:rPr>
                <w:rFonts w:ascii="Times New Roman" w:eastAsia="標楷體" w:hAnsi="Times New Roman" w:cs="Times New Roman"/>
                <w:szCs w:val="24"/>
              </w:rPr>
              <w:t>年</w:t>
            </w:r>
            <w:r w:rsidRPr="003152E9">
              <w:rPr>
                <w:rFonts w:ascii="Times New Roman" w:eastAsia="標楷體" w:hAnsi="Times New Roman" w:cs="Times New Roman"/>
                <w:szCs w:val="24"/>
              </w:rPr>
              <w:t>9</w:t>
            </w:r>
            <w:r w:rsidRPr="003152E9">
              <w:rPr>
                <w:rFonts w:ascii="Times New Roman" w:eastAsia="標楷體" w:hAnsi="Times New Roman" w:cs="Times New Roman"/>
                <w:szCs w:val="24"/>
              </w:rPr>
              <w:t>月</w:t>
            </w:r>
            <w:r w:rsidRPr="003152E9">
              <w:rPr>
                <w:rFonts w:ascii="Times New Roman" w:eastAsia="標楷體" w:hAnsi="Times New Roman" w:cs="Times New Roman"/>
                <w:szCs w:val="24"/>
              </w:rPr>
              <w:t>10</w:t>
            </w:r>
            <w:r w:rsidRPr="003152E9">
              <w:rPr>
                <w:rFonts w:ascii="Times New Roman" w:eastAsia="標楷體" w:hAnsi="Times New Roman" w:cs="Times New Roman"/>
                <w:szCs w:val="24"/>
              </w:rPr>
              <w:t>日</w:t>
            </w:r>
          </w:p>
        </w:tc>
      </w:tr>
      <w:tr w:rsidR="00BF2B97" w:rsidRPr="001155CE" w14:paraId="1AD5632F" w14:textId="77777777" w:rsidTr="00A6106F">
        <w:tc>
          <w:tcPr>
            <w:tcW w:w="2208" w:type="dxa"/>
            <w:shd w:val="clear" w:color="auto" w:fill="auto"/>
          </w:tcPr>
          <w:p w14:paraId="725BD348" w14:textId="77777777" w:rsidR="00BF2B97" w:rsidRPr="001155CE" w:rsidRDefault="00BF2B97" w:rsidP="00F23D95">
            <w:pPr>
              <w:jc w:val="center"/>
              <w:rPr>
                <w:rFonts w:eastAsia="標楷體"/>
              </w:rPr>
            </w:pPr>
            <w:r w:rsidRPr="001155CE">
              <w:rPr>
                <w:rFonts w:eastAsia="標楷體"/>
              </w:rPr>
              <w:t>認購股數（股）</w:t>
            </w:r>
          </w:p>
        </w:tc>
        <w:tc>
          <w:tcPr>
            <w:tcW w:w="2625" w:type="dxa"/>
            <w:shd w:val="clear" w:color="auto" w:fill="auto"/>
          </w:tcPr>
          <w:p w14:paraId="47C573E8" w14:textId="438D8553" w:rsidR="00BF2B97" w:rsidRPr="001155CE" w:rsidRDefault="008D522D" w:rsidP="008D522D">
            <w:pPr>
              <w:jc w:val="center"/>
              <w:rPr>
                <w:rFonts w:eastAsia="標楷體"/>
              </w:rPr>
            </w:pPr>
            <w:r w:rsidRPr="001155CE">
              <w:rPr>
                <w:rFonts w:eastAsia="標楷體"/>
              </w:rPr>
              <w:t>1</w:t>
            </w:r>
            <w:r w:rsidR="007D7AC4">
              <w:rPr>
                <w:rFonts w:eastAsia="標楷體" w:hint="eastAsia"/>
              </w:rPr>
              <w:t>,</w:t>
            </w:r>
            <w:r w:rsidRPr="001155CE">
              <w:rPr>
                <w:rFonts w:eastAsia="標楷體"/>
              </w:rPr>
              <w:t>200,000</w:t>
            </w:r>
          </w:p>
        </w:tc>
        <w:tc>
          <w:tcPr>
            <w:tcW w:w="2119" w:type="dxa"/>
            <w:shd w:val="clear" w:color="auto" w:fill="auto"/>
          </w:tcPr>
          <w:p w14:paraId="7CFC63C5" w14:textId="4812E381" w:rsidR="00BF2B97" w:rsidRPr="001155CE" w:rsidRDefault="008D522D" w:rsidP="008D522D">
            <w:pPr>
              <w:jc w:val="center"/>
              <w:rPr>
                <w:rFonts w:eastAsia="標楷體"/>
              </w:rPr>
            </w:pPr>
            <w:r w:rsidRPr="001155CE">
              <w:rPr>
                <w:rFonts w:eastAsia="標楷體"/>
              </w:rPr>
              <w:t>100,000</w:t>
            </w:r>
          </w:p>
        </w:tc>
        <w:tc>
          <w:tcPr>
            <w:tcW w:w="2659" w:type="dxa"/>
            <w:gridSpan w:val="2"/>
            <w:shd w:val="clear" w:color="auto" w:fill="auto"/>
          </w:tcPr>
          <w:p w14:paraId="798C6A42" w14:textId="2EFE0C97" w:rsidR="00BF2B97" w:rsidRPr="001155CE" w:rsidRDefault="008D522D" w:rsidP="008D522D">
            <w:pPr>
              <w:jc w:val="center"/>
              <w:rPr>
                <w:rFonts w:eastAsia="標楷體"/>
              </w:rPr>
            </w:pPr>
            <w:r w:rsidRPr="001155CE">
              <w:rPr>
                <w:rFonts w:eastAsia="標楷體"/>
              </w:rPr>
              <w:t>200,000</w:t>
            </w:r>
          </w:p>
        </w:tc>
      </w:tr>
      <w:tr w:rsidR="00BF2B97" w:rsidRPr="001155CE" w14:paraId="43DFB8B4" w14:textId="77777777" w:rsidTr="00A6106F">
        <w:tc>
          <w:tcPr>
            <w:tcW w:w="2208" w:type="dxa"/>
            <w:shd w:val="clear" w:color="auto" w:fill="auto"/>
          </w:tcPr>
          <w:p w14:paraId="074AC9A2" w14:textId="77777777" w:rsidR="00BF2B97" w:rsidRPr="001155CE" w:rsidRDefault="00BF2B97" w:rsidP="00F23D95">
            <w:pPr>
              <w:jc w:val="center"/>
              <w:rPr>
                <w:rFonts w:eastAsia="標楷體"/>
              </w:rPr>
            </w:pPr>
            <w:r w:rsidRPr="001155CE">
              <w:rPr>
                <w:rFonts w:eastAsia="標楷體"/>
              </w:rPr>
              <w:t>認購占擬櫃檯買賣股份總數之比率</w:t>
            </w:r>
          </w:p>
        </w:tc>
        <w:tc>
          <w:tcPr>
            <w:tcW w:w="2625" w:type="dxa"/>
            <w:shd w:val="clear" w:color="auto" w:fill="auto"/>
            <w:vAlign w:val="center"/>
          </w:tcPr>
          <w:p w14:paraId="5B26113C" w14:textId="52EB5808" w:rsidR="00BF2B97" w:rsidRPr="00712A14" w:rsidRDefault="00E8625F" w:rsidP="0002364F">
            <w:pPr>
              <w:jc w:val="center"/>
              <w:rPr>
                <w:rFonts w:eastAsia="標楷體"/>
              </w:rPr>
            </w:pPr>
            <w:r w:rsidRPr="00712A14">
              <w:rPr>
                <w:rFonts w:eastAsia="標楷體"/>
              </w:rPr>
              <w:t>2</w:t>
            </w:r>
            <w:r w:rsidR="0002364F" w:rsidRPr="00712A14">
              <w:rPr>
                <w:rFonts w:eastAsia="標楷體"/>
              </w:rPr>
              <w:t>.</w:t>
            </w:r>
            <w:r w:rsidRPr="00712A14">
              <w:rPr>
                <w:rFonts w:eastAsia="標楷體"/>
              </w:rPr>
              <w:t>17</w:t>
            </w:r>
            <w:r w:rsidR="0002364F" w:rsidRPr="00712A14">
              <w:rPr>
                <w:rFonts w:eastAsia="標楷體"/>
              </w:rPr>
              <w:t>%</w:t>
            </w:r>
          </w:p>
        </w:tc>
        <w:tc>
          <w:tcPr>
            <w:tcW w:w="2119" w:type="dxa"/>
            <w:shd w:val="clear" w:color="auto" w:fill="auto"/>
            <w:vAlign w:val="center"/>
          </w:tcPr>
          <w:p w14:paraId="5E700C47" w14:textId="5CB89CED" w:rsidR="00BF2B97" w:rsidRPr="00712A14" w:rsidRDefault="00E8625F" w:rsidP="008D522D">
            <w:pPr>
              <w:jc w:val="center"/>
              <w:rPr>
                <w:rFonts w:eastAsia="標楷體"/>
              </w:rPr>
            </w:pPr>
            <w:r w:rsidRPr="00712A14">
              <w:rPr>
                <w:rFonts w:eastAsia="標楷體"/>
              </w:rPr>
              <w:t>0</w:t>
            </w:r>
            <w:r w:rsidR="0002364F" w:rsidRPr="00712A14">
              <w:rPr>
                <w:rFonts w:eastAsia="標楷體"/>
              </w:rPr>
              <w:t>.</w:t>
            </w:r>
            <w:r w:rsidRPr="00712A14">
              <w:rPr>
                <w:rFonts w:eastAsia="標楷體"/>
              </w:rPr>
              <w:t>18</w:t>
            </w:r>
            <w:r w:rsidR="0002364F" w:rsidRPr="00712A14">
              <w:rPr>
                <w:rFonts w:eastAsia="標楷體" w:hint="eastAsia"/>
              </w:rPr>
              <w:t>%</w:t>
            </w:r>
          </w:p>
        </w:tc>
        <w:tc>
          <w:tcPr>
            <w:tcW w:w="2659" w:type="dxa"/>
            <w:gridSpan w:val="2"/>
            <w:shd w:val="clear" w:color="auto" w:fill="auto"/>
            <w:vAlign w:val="center"/>
          </w:tcPr>
          <w:p w14:paraId="0B93E5B3" w14:textId="7BA3DECC" w:rsidR="00BF2B97" w:rsidRPr="00712A14" w:rsidRDefault="00E8625F" w:rsidP="008D522D">
            <w:pPr>
              <w:jc w:val="center"/>
              <w:rPr>
                <w:rFonts w:eastAsia="標楷體"/>
              </w:rPr>
            </w:pPr>
            <w:r w:rsidRPr="00712A14">
              <w:rPr>
                <w:rFonts w:eastAsia="標楷體"/>
              </w:rPr>
              <w:t>0</w:t>
            </w:r>
            <w:r w:rsidR="0002364F" w:rsidRPr="00712A14">
              <w:rPr>
                <w:rFonts w:eastAsia="標楷體" w:hint="eastAsia"/>
              </w:rPr>
              <w:t>.3</w:t>
            </w:r>
            <w:r w:rsidRPr="00712A14">
              <w:rPr>
                <w:rFonts w:eastAsia="標楷體"/>
              </w:rPr>
              <w:t>6</w:t>
            </w:r>
            <w:r w:rsidR="0002364F" w:rsidRPr="00712A14">
              <w:rPr>
                <w:rFonts w:eastAsia="標楷體" w:hint="eastAsia"/>
              </w:rPr>
              <w:t>%</w:t>
            </w:r>
          </w:p>
        </w:tc>
      </w:tr>
      <w:tr w:rsidR="00BF2B97" w:rsidRPr="001155CE" w14:paraId="71009C70" w14:textId="77777777" w:rsidTr="00A6106F">
        <w:tc>
          <w:tcPr>
            <w:tcW w:w="2208" w:type="dxa"/>
            <w:shd w:val="clear" w:color="auto" w:fill="auto"/>
          </w:tcPr>
          <w:p w14:paraId="78BD9F76" w14:textId="77777777" w:rsidR="00BF2B97" w:rsidRPr="001155CE" w:rsidRDefault="00BF2B97" w:rsidP="00F23D95">
            <w:pPr>
              <w:jc w:val="center"/>
              <w:rPr>
                <w:rFonts w:eastAsia="標楷體"/>
              </w:rPr>
            </w:pPr>
            <w:r w:rsidRPr="001155CE">
              <w:rPr>
                <w:rFonts w:eastAsia="標楷體"/>
              </w:rPr>
              <w:t>認購價格</w:t>
            </w:r>
          </w:p>
        </w:tc>
        <w:tc>
          <w:tcPr>
            <w:tcW w:w="7403" w:type="dxa"/>
            <w:gridSpan w:val="4"/>
            <w:shd w:val="clear" w:color="auto" w:fill="auto"/>
          </w:tcPr>
          <w:p w14:paraId="1D9B7C69" w14:textId="40E0F8CB" w:rsidR="00BF2B97" w:rsidRPr="001155CE" w:rsidRDefault="008D522D" w:rsidP="0002364F">
            <w:pPr>
              <w:jc w:val="center"/>
              <w:rPr>
                <w:rFonts w:eastAsia="標楷體"/>
              </w:rPr>
            </w:pPr>
            <w:r w:rsidRPr="001155CE">
              <w:rPr>
                <w:rFonts w:eastAsia="標楷體"/>
              </w:rPr>
              <w:t>35</w:t>
            </w:r>
            <w:r w:rsidRPr="001155CE">
              <w:rPr>
                <w:rFonts w:eastAsia="標楷體"/>
              </w:rPr>
              <w:t>元</w:t>
            </w:r>
            <w:r w:rsidRPr="001155CE">
              <w:rPr>
                <w:rFonts w:eastAsia="標楷體"/>
              </w:rPr>
              <w:t>/</w:t>
            </w:r>
            <w:r w:rsidRPr="001155CE">
              <w:rPr>
                <w:rFonts w:eastAsia="標楷體"/>
              </w:rPr>
              <w:t>股</w:t>
            </w:r>
          </w:p>
        </w:tc>
      </w:tr>
      <w:tr w:rsidR="00BF2B97" w:rsidRPr="00F23D95" w14:paraId="7DB2776D" w14:textId="77777777" w:rsidTr="00A6106F">
        <w:tc>
          <w:tcPr>
            <w:tcW w:w="2208" w:type="dxa"/>
            <w:shd w:val="clear" w:color="auto" w:fill="auto"/>
            <w:vAlign w:val="center"/>
          </w:tcPr>
          <w:p w14:paraId="3F7E5BCA" w14:textId="77777777" w:rsidR="00BF2B97" w:rsidRPr="0002364F" w:rsidRDefault="00BF2B97" w:rsidP="00F23D95">
            <w:pPr>
              <w:jc w:val="center"/>
              <w:rPr>
                <w:rFonts w:ascii="標楷體" w:eastAsia="標楷體" w:hAnsi="標楷體"/>
                <w:color w:val="000000"/>
              </w:rPr>
            </w:pPr>
            <w:r w:rsidRPr="0002364F">
              <w:rPr>
                <w:rFonts w:ascii="標楷體" w:eastAsia="標楷體" w:hAnsi="標楷體" w:hint="eastAsia"/>
                <w:color w:val="000000"/>
              </w:rPr>
              <w:lastRenderedPageBreak/>
              <w:t>認購價格之訂定</w:t>
            </w:r>
          </w:p>
          <w:p w14:paraId="6D942BD2" w14:textId="77777777" w:rsidR="00BF2B97" w:rsidRPr="001155CE" w:rsidRDefault="00BF2B97" w:rsidP="00F23D95">
            <w:pPr>
              <w:jc w:val="center"/>
              <w:rPr>
                <w:rFonts w:ascii="新細明體" w:hAnsi="新細明體"/>
                <w:sz w:val="20"/>
                <w:szCs w:val="20"/>
              </w:rPr>
            </w:pPr>
            <w:r w:rsidRPr="0002364F">
              <w:rPr>
                <w:rFonts w:ascii="標楷體" w:eastAsia="標楷體" w:hAnsi="標楷體" w:hint="eastAsia"/>
                <w:color w:val="000000"/>
              </w:rPr>
              <w:t>依據</w:t>
            </w:r>
            <w:r w:rsidRPr="0002364F">
              <w:rPr>
                <w:rFonts w:ascii="標楷體" w:eastAsia="標楷體" w:hAnsi="標楷體"/>
                <w:color w:val="000000"/>
              </w:rPr>
              <w:t>及方式</w:t>
            </w:r>
          </w:p>
        </w:tc>
        <w:tc>
          <w:tcPr>
            <w:tcW w:w="7403" w:type="dxa"/>
            <w:gridSpan w:val="4"/>
            <w:shd w:val="clear" w:color="auto" w:fill="auto"/>
          </w:tcPr>
          <w:p w14:paraId="6B05DF40" w14:textId="0C6EF64E" w:rsidR="007E2084" w:rsidRPr="00B837D0" w:rsidRDefault="007E0FDC" w:rsidP="007E0FDC">
            <w:pPr>
              <w:spacing w:before="240"/>
              <w:ind w:left="456" w:hangingChars="190" w:hanging="456"/>
              <w:jc w:val="both"/>
              <w:rPr>
                <w:rFonts w:eastAsia="標楷體"/>
              </w:rPr>
            </w:pPr>
            <w:r w:rsidRPr="00B837D0">
              <w:rPr>
                <w:rFonts w:eastAsia="標楷體" w:hint="eastAsia"/>
              </w:rPr>
              <w:t>一、</w:t>
            </w:r>
            <w:r w:rsidR="007E2084" w:rsidRPr="00B837D0">
              <w:rPr>
                <w:rFonts w:eastAsia="標楷體"/>
              </w:rPr>
              <w:t>目前股票價值的評估方法諸多，而各種方法皆有其優缺點，評估之結果亦有所差異。證券投資分析常用之股票評價方法主要包括：</w:t>
            </w:r>
          </w:p>
          <w:p w14:paraId="5B5287CB" w14:textId="26502859" w:rsidR="007E2084" w:rsidRPr="00B837D0" w:rsidRDefault="00B837D0" w:rsidP="00B837D0">
            <w:pPr>
              <w:spacing w:beforeLines="50" w:before="180" w:afterLines="50" w:after="180"/>
              <w:ind w:leftChars="205" w:left="1764" w:hangingChars="530" w:hanging="1272"/>
              <w:jc w:val="both"/>
              <w:rPr>
                <w:rFonts w:eastAsia="標楷體"/>
              </w:rPr>
            </w:pPr>
            <w:r w:rsidRPr="00B837D0">
              <w:rPr>
                <w:rFonts w:eastAsia="標楷體" w:hint="eastAsia"/>
              </w:rPr>
              <w:t>(</w:t>
            </w:r>
            <w:r w:rsidRPr="00B837D0">
              <w:rPr>
                <w:rFonts w:eastAsia="標楷體" w:hint="eastAsia"/>
              </w:rPr>
              <w:t>一</w:t>
            </w:r>
            <w:r w:rsidRPr="00B837D0">
              <w:rPr>
                <w:rFonts w:eastAsia="標楷體" w:hint="eastAsia"/>
              </w:rPr>
              <w:t>)</w:t>
            </w:r>
            <w:r w:rsidR="007E2084" w:rsidRPr="00B837D0">
              <w:rPr>
                <w:rFonts w:eastAsia="標楷體"/>
              </w:rPr>
              <w:t>市場法：本益比法</w:t>
            </w:r>
            <w:r w:rsidR="007E2084" w:rsidRPr="00B837D0">
              <w:rPr>
                <w:rFonts w:eastAsia="標楷體"/>
              </w:rPr>
              <w:t>(Price/Earnings Ratio</w:t>
            </w:r>
            <w:r w:rsidR="007E2084" w:rsidRPr="00B837D0">
              <w:rPr>
                <w:rFonts w:eastAsia="標楷體"/>
              </w:rPr>
              <w:t>，</w:t>
            </w:r>
            <w:r w:rsidR="007E2084" w:rsidRPr="00B837D0">
              <w:rPr>
                <w:rFonts w:eastAsia="標楷體"/>
              </w:rPr>
              <w:t>P/E Ratio)</w:t>
            </w:r>
            <w:r w:rsidR="007E2084" w:rsidRPr="00B837D0">
              <w:rPr>
                <w:rFonts w:eastAsia="標楷體"/>
              </w:rPr>
              <w:t>及股價淨値比法</w:t>
            </w:r>
            <w:r w:rsidR="007E2084" w:rsidRPr="00B837D0">
              <w:rPr>
                <w:rFonts w:eastAsia="標楷體"/>
              </w:rPr>
              <w:t>(Price/Book Value Ratio</w:t>
            </w:r>
            <w:r w:rsidR="007E2084" w:rsidRPr="00B837D0">
              <w:rPr>
                <w:rFonts w:eastAsia="標楷體"/>
              </w:rPr>
              <w:t>，</w:t>
            </w:r>
            <w:r w:rsidR="007E2084" w:rsidRPr="00B837D0">
              <w:rPr>
                <w:rFonts w:eastAsia="標楷體"/>
              </w:rPr>
              <w:t>P/B Ratio)</w:t>
            </w:r>
            <w:r w:rsidR="007E2084" w:rsidRPr="00B837D0">
              <w:rPr>
                <w:rFonts w:eastAsia="標楷體"/>
              </w:rPr>
              <w:t>，均透過已公開的資訊，與整體市場、產業性質相近的同業及被評價公司歷史軌跡比較，作為評量企業的價值，再根據被評價公司本身異於採樣公司之部分作折溢價之調整。</w:t>
            </w:r>
          </w:p>
          <w:p w14:paraId="0830662B" w14:textId="3C160215" w:rsidR="007E2084" w:rsidRPr="00B837D0" w:rsidRDefault="00B837D0" w:rsidP="00B837D0">
            <w:pPr>
              <w:spacing w:beforeLines="50" w:before="180" w:afterLines="50" w:after="180"/>
              <w:ind w:leftChars="205" w:left="1764" w:hangingChars="530" w:hanging="1272"/>
              <w:jc w:val="both"/>
              <w:rPr>
                <w:rFonts w:eastAsia="標楷體"/>
              </w:rPr>
            </w:pPr>
            <w:r w:rsidRPr="00B837D0">
              <w:rPr>
                <w:rFonts w:eastAsia="標楷體" w:hint="eastAsia"/>
              </w:rPr>
              <w:t>(</w:t>
            </w:r>
            <w:r w:rsidRPr="00B837D0">
              <w:rPr>
                <w:rFonts w:eastAsia="標楷體" w:hint="eastAsia"/>
              </w:rPr>
              <w:t>二</w:t>
            </w:r>
            <w:r w:rsidRPr="00B837D0">
              <w:rPr>
                <w:rFonts w:eastAsia="標楷體" w:hint="eastAsia"/>
              </w:rPr>
              <w:t>)</w:t>
            </w:r>
            <w:r w:rsidR="007E2084" w:rsidRPr="00B837D0">
              <w:rPr>
                <w:rFonts w:eastAsia="標楷體"/>
              </w:rPr>
              <w:t>成本法：亦稱帳面價值法</w:t>
            </w:r>
            <w:r w:rsidR="007E2084" w:rsidRPr="00B837D0">
              <w:rPr>
                <w:rFonts w:eastAsia="標楷體"/>
              </w:rPr>
              <w:t>(Book Value Method)</w:t>
            </w:r>
            <w:r w:rsidR="007E2084" w:rsidRPr="00B837D0">
              <w:rPr>
                <w:rFonts w:eastAsia="標楷體"/>
              </w:rPr>
              <w:t>，係以帳面歷史成本資料作為公司價值評定之基礎。</w:t>
            </w:r>
          </w:p>
          <w:p w14:paraId="43CC36EB" w14:textId="1F3B5E40" w:rsidR="007E2084" w:rsidRPr="00B837D0" w:rsidRDefault="00B837D0" w:rsidP="00B837D0">
            <w:pPr>
              <w:spacing w:beforeLines="50" w:before="180" w:afterLines="50" w:after="180"/>
              <w:ind w:leftChars="205" w:left="1764" w:hangingChars="530" w:hanging="1272"/>
              <w:jc w:val="both"/>
              <w:rPr>
                <w:rFonts w:eastAsia="標楷體"/>
              </w:rPr>
            </w:pPr>
            <w:r w:rsidRPr="00B837D0">
              <w:rPr>
                <w:rFonts w:eastAsia="標楷體" w:hint="eastAsia"/>
              </w:rPr>
              <w:t>(</w:t>
            </w:r>
            <w:r w:rsidRPr="00B837D0">
              <w:rPr>
                <w:rFonts w:eastAsia="標楷體" w:hint="eastAsia"/>
              </w:rPr>
              <w:t>三</w:t>
            </w:r>
            <w:r w:rsidRPr="00B837D0">
              <w:rPr>
                <w:rFonts w:eastAsia="標楷體" w:hint="eastAsia"/>
              </w:rPr>
              <w:t>)</w:t>
            </w:r>
            <w:r w:rsidR="007E2084" w:rsidRPr="00B837D0">
              <w:rPr>
                <w:rFonts w:eastAsia="標楷體"/>
              </w:rPr>
              <w:t>收益法：重視公司未來營運所創造之現金流入價值。</w:t>
            </w:r>
          </w:p>
          <w:p w14:paraId="211F3585" w14:textId="6A72A661" w:rsidR="007E2084" w:rsidRPr="00B837D0" w:rsidRDefault="007E2084" w:rsidP="00B837D0">
            <w:pPr>
              <w:ind w:leftChars="219" w:left="526" w:firstLineChars="210" w:firstLine="504"/>
              <w:jc w:val="both"/>
              <w:rPr>
                <w:rFonts w:eastAsia="標楷體"/>
              </w:rPr>
            </w:pPr>
            <w:r w:rsidRPr="00B837D0">
              <w:rPr>
                <w:rFonts w:eastAsia="標楷體"/>
              </w:rPr>
              <w:t>以上股票評價方法，因成本法係以歷史成本為計算之基礎，易忽略通貨膨脹因素且無法反應資產實際之經濟價值，且深受財務報表所採行之會計原則與方法之影響，將可能低估成長型公司應有之價值；另收益法下某些假設，如未來營收成長率、邊際利潤率、資本支出之假設等，因較難取得適切之數據，使未來現金流量及加權平均資金成本更無法精確掌握，故以</w:t>
            </w:r>
            <w:r w:rsidRPr="00B837D0">
              <w:rPr>
                <w:rFonts w:eastAsia="標楷體" w:hint="eastAsia"/>
              </w:rPr>
              <w:t>巨生</w:t>
            </w:r>
            <w:r w:rsidRPr="00B837D0">
              <w:rPr>
                <w:rFonts w:eastAsia="標楷體"/>
              </w:rPr>
              <w:t>生醫股份有限公司</w:t>
            </w:r>
            <w:r w:rsidRPr="00B837D0">
              <w:rPr>
                <w:rFonts w:eastAsia="標楷體"/>
              </w:rPr>
              <w:t>(</w:t>
            </w:r>
            <w:r w:rsidRPr="00B837D0">
              <w:rPr>
                <w:rFonts w:eastAsia="標楷體"/>
              </w:rPr>
              <w:t>以下簡稱</w:t>
            </w:r>
            <w:r w:rsidRPr="00B837D0">
              <w:rPr>
                <w:rFonts w:eastAsia="標楷體" w:hint="eastAsia"/>
              </w:rPr>
              <w:t>巨</w:t>
            </w:r>
            <w:r w:rsidRPr="00B837D0">
              <w:rPr>
                <w:rFonts w:eastAsia="標楷體"/>
              </w:rPr>
              <w:t>生醫或該公司</w:t>
            </w:r>
            <w:r w:rsidRPr="00B837D0">
              <w:rPr>
                <w:rFonts w:eastAsia="標楷體"/>
              </w:rPr>
              <w:t>)</w:t>
            </w:r>
            <w:r w:rsidRPr="00B837D0">
              <w:rPr>
                <w:rFonts w:eastAsia="標楷體"/>
              </w:rPr>
              <w:t>之產業性質，以</w:t>
            </w:r>
            <w:r w:rsidRPr="00B837D0">
              <w:rPr>
                <w:rFonts w:eastAsia="標楷體" w:hint="eastAsia"/>
              </w:rPr>
              <w:t>股價淨值比</w:t>
            </w:r>
            <w:r w:rsidRPr="00B837D0">
              <w:rPr>
                <w:rFonts w:eastAsia="標楷體"/>
              </w:rPr>
              <w:t>作為評估基準較為適當。</w:t>
            </w:r>
          </w:p>
          <w:p w14:paraId="056E6FE1" w14:textId="77777777" w:rsidR="00B32771" w:rsidRPr="00CD51B6" w:rsidRDefault="00B32771" w:rsidP="00B32771">
            <w:pPr>
              <w:spacing w:before="240"/>
              <w:ind w:left="456" w:hangingChars="190" w:hanging="456"/>
              <w:jc w:val="both"/>
              <w:rPr>
                <w:rFonts w:eastAsia="標楷體"/>
                <w:color w:val="000000"/>
              </w:rPr>
            </w:pPr>
            <w:r w:rsidRPr="00CD51B6">
              <w:rPr>
                <w:rFonts w:eastAsia="標楷體"/>
                <w:color w:val="000000"/>
              </w:rPr>
              <w:t>二、承銷價格訂定與適用國際慣用之巿價法、成本法及現金流量折現法之比較</w:t>
            </w:r>
          </w:p>
          <w:p w14:paraId="78C6BA2A" w14:textId="77777777" w:rsidR="00B32771" w:rsidRPr="00CD51B6" w:rsidRDefault="00B32771" w:rsidP="00B32771">
            <w:pPr>
              <w:ind w:firstLineChars="126" w:firstLine="302"/>
              <w:jc w:val="both"/>
              <w:rPr>
                <w:rFonts w:eastAsia="標楷體"/>
                <w:color w:val="000000"/>
              </w:rPr>
            </w:pPr>
            <w:r w:rsidRPr="00CD51B6">
              <w:rPr>
                <w:rFonts w:eastAsia="標楷體"/>
                <w:color w:val="000000"/>
              </w:rPr>
              <w:t>(</w:t>
            </w:r>
            <w:r w:rsidRPr="00CD51B6">
              <w:rPr>
                <w:rFonts w:eastAsia="標楷體"/>
                <w:color w:val="000000"/>
              </w:rPr>
              <w:t>一</w:t>
            </w:r>
            <w:r w:rsidRPr="00CD51B6">
              <w:rPr>
                <w:rFonts w:eastAsia="標楷體"/>
                <w:color w:val="000000"/>
              </w:rPr>
              <w:t>)</w:t>
            </w:r>
            <w:r w:rsidRPr="00CD51B6">
              <w:rPr>
                <w:rFonts w:eastAsia="標楷體"/>
                <w:color w:val="000000"/>
              </w:rPr>
              <w:t>巿場基礎法</w:t>
            </w:r>
          </w:p>
          <w:p w14:paraId="7AE0DCA2" w14:textId="77777777" w:rsidR="00B32771" w:rsidRPr="00CD51B6" w:rsidRDefault="00B32771" w:rsidP="00B32771">
            <w:pPr>
              <w:ind w:firstLineChars="236" w:firstLine="566"/>
              <w:jc w:val="both"/>
              <w:rPr>
                <w:rFonts w:eastAsia="標楷體"/>
                <w:color w:val="000000"/>
              </w:rPr>
            </w:pPr>
            <w:r w:rsidRPr="00CD51B6">
              <w:rPr>
                <w:rFonts w:eastAsia="標楷體"/>
                <w:color w:val="000000"/>
              </w:rPr>
              <w:t>1.</w:t>
            </w:r>
            <w:r w:rsidRPr="00CD51B6">
              <w:rPr>
                <w:rFonts w:eastAsia="標楷體"/>
                <w:color w:val="000000"/>
              </w:rPr>
              <w:t>本益比法</w:t>
            </w:r>
          </w:p>
          <w:p w14:paraId="0EFE36CD" w14:textId="63688E1E" w:rsidR="001A6992" w:rsidRPr="00CD51B6" w:rsidRDefault="001A6992" w:rsidP="001A6992">
            <w:pPr>
              <w:ind w:leftChars="309" w:left="742" w:firstLineChars="236" w:firstLine="566"/>
              <w:jc w:val="both"/>
              <w:rPr>
                <w:rFonts w:eastAsia="標楷體"/>
                <w:kern w:val="0"/>
              </w:rPr>
            </w:pPr>
            <w:r w:rsidRPr="00CD51B6">
              <w:rPr>
                <w:rFonts w:eastAsia="標楷體" w:hint="eastAsia"/>
              </w:rPr>
              <w:t>該公司</w:t>
            </w:r>
            <w:r w:rsidRPr="00CD51B6">
              <w:rPr>
                <w:rFonts w:eastAsia="標楷體" w:hint="eastAsia"/>
                <w:kern w:val="0"/>
              </w:rPr>
              <w:t>為專注奈米藥物與劑型開發的新創公司，已成功運用奈米藥物平臺開發新藥，完成多項臨床前期的開發</w:t>
            </w:r>
            <w:r w:rsidRPr="00CD51B6">
              <w:rPr>
                <w:rFonts w:eastAsia="標楷體"/>
                <w:kern w:val="0"/>
              </w:rPr>
              <w:t>，</w:t>
            </w:r>
            <w:r w:rsidRPr="00CD51B6">
              <w:rPr>
                <w:rFonts w:eastAsia="標楷體"/>
              </w:rPr>
              <w:t>主要擁有兩個奈米技術平台</w:t>
            </w:r>
            <w:r w:rsidRPr="00CD51B6">
              <w:rPr>
                <w:rFonts w:eastAsia="標楷體"/>
              </w:rPr>
              <w:t>-</w:t>
            </w:r>
            <w:r w:rsidRPr="00CD51B6">
              <w:rPr>
                <w:rFonts w:eastAsia="標楷體"/>
              </w:rPr>
              <w:t>『奈米微粒』及『奈米微胞』，其中奈米微粒技轉自工研院所研發之氧化鐵奈米微粒</w:t>
            </w:r>
            <w:r w:rsidRPr="00CD51B6">
              <w:rPr>
                <w:rFonts w:eastAsia="標楷體"/>
              </w:rPr>
              <w:t>(IOP)</w:t>
            </w:r>
            <w:r w:rsidRPr="00CD51B6">
              <w:rPr>
                <w:rFonts w:eastAsia="標楷體"/>
              </w:rPr>
              <w:t>，</w:t>
            </w:r>
            <w:r w:rsidRPr="00CD51B6">
              <w:rPr>
                <w:rFonts w:eastAsia="標楷體" w:hint="eastAsia"/>
                <w:kern w:val="0"/>
              </w:rPr>
              <w:t>運用此二項技術平台</w:t>
            </w:r>
            <w:r w:rsidRPr="00CD51B6">
              <w:rPr>
                <w:rFonts w:ascii="新細明體" w:hAnsi="新細明體" w:hint="eastAsia"/>
                <w:kern w:val="0"/>
              </w:rPr>
              <w:t>，</w:t>
            </w:r>
            <w:r w:rsidRPr="00CD51B6">
              <w:rPr>
                <w:rFonts w:eastAsia="標楷體" w:hint="eastAsia"/>
                <w:kern w:val="0"/>
              </w:rPr>
              <w:t>已有兩項產品分別完成臨床二</w:t>
            </w:r>
            <w:r w:rsidRPr="00CD51B6">
              <w:rPr>
                <w:rFonts w:eastAsia="標楷體" w:hint="eastAsia"/>
                <w:kern w:val="0"/>
              </w:rPr>
              <w:t>a</w:t>
            </w:r>
            <w:r w:rsidRPr="00CD51B6">
              <w:rPr>
                <w:rFonts w:eastAsia="標楷體" w:hint="eastAsia"/>
                <w:kern w:val="0"/>
              </w:rPr>
              <w:t>期及臨床二期試驗收案</w:t>
            </w:r>
            <w:r w:rsidRPr="00CD51B6">
              <w:rPr>
                <w:rFonts w:ascii="新細明體" w:hAnsi="新細明體" w:hint="eastAsia"/>
                <w:kern w:val="0"/>
              </w:rPr>
              <w:t>，</w:t>
            </w:r>
            <w:r w:rsidRPr="00CD51B6">
              <w:rPr>
                <w:rFonts w:eastAsia="標楷體" w:hint="eastAsia"/>
                <w:kern w:val="0"/>
              </w:rPr>
              <w:t>其中前者</w:t>
            </w:r>
            <w:r w:rsidRPr="00CD51B6">
              <w:rPr>
                <w:rFonts w:eastAsia="標楷體" w:hint="eastAsia"/>
                <w:kern w:val="0"/>
              </w:rPr>
              <w:t>MPB-1514</w:t>
            </w:r>
            <w:r w:rsidRPr="00CD51B6">
              <w:rPr>
                <w:rFonts w:eastAsia="標楷體" w:hint="eastAsia"/>
                <w:kern w:val="0"/>
              </w:rPr>
              <w:t>缺鐵性貧血鐵劑補充劑是目前市面唯一非醣類製作的注射型鐵劑，並且在更低的劑量下即達到治療標的；後者</w:t>
            </w:r>
            <w:r w:rsidRPr="00CD51B6">
              <w:rPr>
                <w:rFonts w:eastAsia="標楷體" w:hint="eastAsia"/>
                <w:kern w:val="0"/>
              </w:rPr>
              <w:t>MPB-1523</w:t>
            </w:r>
            <w:r w:rsidRPr="00CD51B6">
              <w:rPr>
                <w:rFonts w:eastAsia="標楷體" w:hint="eastAsia"/>
                <w:kern w:val="0"/>
              </w:rPr>
              <w:t>非重金屬製成針對檢測肝細胞癌的</w:t>
            </w:r>
            <w:r w:rsidRPr="00CD51B6">
              <w:rPr>
                <w:rFonts w:eastAsia="標楷體" w:hint="eastAsia"/>
                <w:kern w:val="0"/>
              </w:rPr>
              <w:t>MRI</w:t>
            </w:r>
            <w:r w:rsidRPr="00CD51B6">
              <w:rPr>
                <w:rFonts w:eastAsia="標楷體" w:hint="eastAsia"/>
                <w:kern w:val="0"/>
              </w:rPr>
              <w:t>顯影劑，避免了</w:t>
            </w:r>
            <w:r w:rsidRPr="00CD51B6">
              <w:rPr>
                <w:rFonts w:eastAsia="標楷體"/>
                <w:kern w:val="0"/>
              </w:rPr>
              <w:t>Gd</w:t>
            </w:r>
            <w:r w:rsidRPr="00CD51B6">
              <w:rPr>
                <w:rFonts w:eastAsia="標楷體" w:hint="eastAsia"/>
                <w:kern w:val="0"/>
              </w:rPr>
              <w:t>重金屬沈積與引發腎病變的疑慮。</w:t>
            </w:r>
          </w:p>
          <w:p w14:paraId="1F7D2AF7" w14:textId="5C84700E" w:rsidR="00B32771" w:rsidRPr="001054EA" w:rsidRDefault="001A6992" w:rsidP="00B32771">
            <w:pPr>
              <w:ind w:leftChars="309" w:left="742" w:firstLineChars="236" w:firstLine="566"/>
              <w:jc w:val="both"/>
              <w:rPr>
                <w:rFonts w:eastAsia="標楷體"/>
              </w:rPr>
            </w:pPr>
            <w:r w:rsidRPr="001054EA">
              <w:rPr>
                <w:rFonts w:eastAsia="標楷體"/>
                <w:kern w:val="0"/>
              </w:rPr>
              <w:t>巨生</w:t>
            </w:r>
            <w:r w:rsidRPr="001054EA">
              <w:rPr>
                <w:rFonts w:eastAsia="標楷體" w:hint="eastAsia"/>
                <w:kern w:val="0"/>
              </w:rPr>
              <w:t>醫</w:t>
            </w:r>
            <w:r w:rsidRPr="001054EA">
              <w:rPr>
                <w:rFonts w:eastAsia="標楷體"/>
                <w:kern w:val="0"/>
              </w:rPr>
              <w:t>開發的</w:t>
            </w:r>
            <w:r w:rsidRPr="001054EA">
              <w:rPr>
                <w:rFonts w:eastAsia="標楷體"/>
              </w:rPr>
              <w:t>奈米微粒</w:t>
            </w:r>
            <w:r w:rsidRPr="001054EA">
              <w:rPr>
                <w:rFonts w:eastAsia="標楷體"/>
                <w:kern w:val="0"/>
              </w:rPr>
              <w:t>藥物關鍵技術有其門檻，</w:t>
            </w:r>
            <w:r w:rsidR="007E2084" w:rsidRPr="001054EA">
              <w:rPr>
                <w:rFonts w:eastAsia="標楷體" w:hint="eastAsia"/>
              </w:rPr>
              <w:t>並</w:t>
            </w:r>
            <w:r w:rsidRPr="001054EA">
              <w:rPr>
                <w:rFonts w:eastAsia="標楷體" w:hint="eastAsia"/>
              </w:rPr>
              <w:t>擁有超過</w:t>
            </w:r>
            <w:r w:rsidRPr="001054EA">
              <w:rPr>
                <w:rFonts w:eastAsia="標楷體"/>
              </w:rPr>
              <w:t>20</w:t>
            </w:r>
            <w:r w:rsidRPr="001054EA">
              <w:rPr>
                <w:rFonts w:eastAsia="標楷體" w:hint="eastAsia"/>
              </w:rPr>
              <w:t>件專利技術。另外</w:t>
            </w:r>
            <w:r w:rsidRPr="001054EA">
              <w:rPr>
                <w:rFonts w:eastAsia="標楷體"/>
              </w:rPr>
              <w:t>奈米微粒</w:t>
            </w:r>
            <w:r w:rsidRPr="001054EA">
              <w:rPr>
                <w:rFonts w:eastAsia="標楷體" w:hint="eastAsia"/>
              </w:rPr>
              <w:t>尚有</w:t>
            </w:r>
            <w:r w:rsidRPr="001054EA">
              <w:rPr>
                <w:rFonts w:eastAsia="標楷體"/>
              </w:rPr>
              <w:t>MRI</w:t>
            </w:r>
            <w:r w:rsidRPr="001054EA">
              <w:rPr>
                <w:rFonts w:eastAsia="標楷體"/>
              </w:rPr>
              <w:t>顯影劑</w:t>
            </w:r>
            <w:r w:rsidRPr="001054EA">
              <w:rPr>
                <w:rFonts w:eastAsia="標楷體"/>
              </w:rPr>
              <w:t>-</w:t>
            </w:r>
            <w:r w:rsidRPr="001054EA">
              <w:rPr>
                <w:rFonts w:eastAsia="標楷體" w:hint="eastAsia"/>
              </w:rPr>
              <w:t>淋巴結轉移診斷的臨床應用，正在規劃臨床二期試驗中，</w:t>
            </w:r>
            <w:r w:rsidRPr="001054EA">
              <w:rPr>
                <w:rFonts w:eastAsia="標楷體"/>
              </w:rPr>
              <w:t>MRI</w:t>
            </w:r>
            <w:r w:rsidRPr="001054EA">
              <w:rPr>
                <w:rFonts w:eastAsia="標楷體"/>
              </w:rPr>
              <w:t>顯影劑</w:t>
            </w:r>
            <w:r w:rsidRPr="001054EA">
              <w:rPr>
                <w:rFonts w:eastAsia="標楷體"/>
              </w:rPr>
              <w:t>-</w:t>
            </w:r>
            <w:r w:rsidRPr="001054EA">
              <w:rPr>
                <w:rFonts w:eastAsia="標楷體" w:hint="eastAsia"/>
              </w:rPr>
              <w:t>應用於幹細胞治療及免疫細胞治療的體內</w:t>
            </w:r>
            <w:r w:rsidRPr="001054EA">
              <w:rPr>
                <w:rFonts w:eastAsia="標楷體"/>
              </w:rPr>
              <w:t>追蹤</w:t>
            </w:r>
            <w:r w:rsidRPr="001054EA">
              <w:rPr>
                <w:rFonts w:eastAsia="標楷體" w:hint="eastAsia"/>
              </w:rPr>
              <w:t>正與美國史丹福</w:t>
            </w:r>
            <w:r w:rsidRPr="001054EA">
              <w:rPr>
                <w:rFonts w:eastAsia="標楷體" w:hint="eastAsia"/>
              </w:rPr>
              <w:lastRenderedPageBreak/>
              <w:t>大學合作開發中</w:t>
            </w:r>
            <w:r w:rsidRPr="001054EA">
              <w:rPr>
                <w:rFonts w:eastAsia="標楷體"/>
              </w:rPr>
              <w:t>，磁熱療法也正在與國內大學積極合作開發</w:t>
            </w:r>
            <w:r w:rsidRPr="001054EA">
              <w:rPr>
                <w:rFonts w:eastAsia="標楷體" w:hint="eastAsia"/>
              </w:rPr>
              <w:t>，</w:t>
            </w:r>
            <w:r w:rsidRPr="001054EA">
              <w:rPr>
                <w:rFonts w:eastAsia="標楷體"/>
              </w:rPr>
              <w:t>IOP</w:t>
            </w:r>
            <w:r w:rsidRPr="001054EA">
              <w:rPr>
                <w:rFonts w:eastAsia="標楷體"/>
              </w:rPr>
              <w:t>可望成為一藥多用的創新藥物</w:t>
            </w:r>
            <w:r w:rsidRPr="001054EA">
              <w:rPr>
                <w:rFonts w:eastAsia="標楷體" w:hint="eastAsia"/>
              </w:rPr>
              <w:t>。</w:t>
            </w:r>
            <w:r w:rsidR="00B32771" w:rsidRPr="001054EA">
              <w:rPr>
                <w:rFonts w:eastAsia="標楷體"/>
              </w:rPr>
              <w:t>由於生技醫療業具有高研發支出、高風險及產業價值鏈長之特性，且該公司研發之藥品仍需持續投入研發及臨床試驗等相關研發費用而產生營業虧損，致無法以本益比法依據公司獲利表現來預估股價之評價方式計算參考價格。</w:t>
            </w:r>
          </w:p>
          <w:p w14:paraId="1FE5FFCD" w14:textId="77777777" w:rsidR="00B32771" w:rsidRPr="001054EA" w:rsidRDefault="00B32771" w:rsidP="00B32771">
            <w:pPr>
              <w:ind w:leftChars="-5" w:left="-12" w:firstLineChars="255" w:firstLine="612"/>
              <w:jc w:val="both"/>
              <w:rPr>
                <w:rFonts w:eastAsia="標楷體"/>
              </w:rPr>
            </w:pPr>
            <w:r w:rsidRPr="001054EA">
              <w:rPr>
                <w:rFonts w:eastAsia="標楷體"/>
              </w:rPr>
              <w:t>2.</w:t>
            </w:r>
            <w:r w:rsidRPr="001054EA">
              <w:rPr>
                <w:rFonts w:eastAsia="標楷體"/>
              </w:rPr>
              <w:t>股價淨值比法</w:t>
            </w:r>
          </w:p>
          <w:p w14:paraId="55932C8B" w14:textId="731BFD97" w:rsidR="00B32771" w:rsidRPr="00712A14" w:rsidRDefault="00B32771" w:rsidP="00B32771">
            <w:pPr>
              <w:ind w:leftChars="300" w:left="720" w:firstLineChars="200" w:firstLine="480"/>
              <w:jc w:val="both"/>
              <w:rPr>
                <w:rFonts w:eastAsia="標楷體"/>
                <w:kern w:val="0"/>
              </w:rPr>
            </w:pPr>
            <w:r w:rsidRPr="00CD51B6">
              <w:rPr>
                <w:rFonts w:eastAsia="標楷體"/>
                <w:kern w:val="0"/>
              </w:rPr>
              <w:t>經參考國內已上市櫃之同業資料，國內並無與該公司之產品完全相同之同業，故選擇與該公司所營事業較為相近者。其中</w:t>
            </w:r>
            <w:r w:rsidR="001A6992" w:rsidRPr="00CD51B6">
              <w:rPr>
                <w:rFonts w:eastAsia="標楷體"/>
                <w:kern w:val="0"/>
              </w:rPr>
              <w:t>智擎</w:t>
            </w:r>
            <w:r w:rsidR="001A6992" w:rsidRPr="00CD51B6">
              <w:rPr>
                <w:rFonts w:eastAsia="標楷體"/>
                <w:kern w:val="0"/>
              </w:rPr>
              <w:t>(4162)</w:t>
            </w:r>
            <w:r w:rsidRPr="00CD51B6">
              <w:rPr>
                <w:rFonts w:eastAsia="標楷體"/>
                <w:kern w:val="0"/>
              </w:rPr>
              <w:t xml:space="preserve"> </w:t>
            </w:r>
            <w:r w:rsidR="001A6992" w:rsidRPr="00CD51B6">
              <w:rPr>
                <w:rFonts w:eastAsia="標楷體"/>
                <w:kern w:val="0"/>
              </w:rPr>
              <w:t>之主要營業項目係新藥開發，其用於胰腺癌治療之新藥目前已取得歐盟執行委員會上市銷售許可</w:t>
            </w:r>
            <w:r w:rsidRPr="00CD51B6">
              <w:rPr>
                <w:rFonts w:eastAsia="標楷體"/>
                <w:kern w:val="0"/>
              </w:rPr>
              <w:t>﹔</w:t>
            </w:r>
            <w:r w:rsidR="001A6992" w:rsidRPr="00CD51B6">
              <w:rPr>
                <w:rFonts w:eastAsia="標楷體" w:hint="eastAsia"/>
                <w:kern w:val="0"/>
              </w:rPr>
              <w:t>逸達</w:t>
            </w:r>
            <w:r w:rsidR="001A6992" w:rsidRPr="00CD51B6">
              <w:rPr>
                <w:rFonts w:eastAsia="標楷體" w:hint="eastAsia"/>
                <w:kern w:val="0"/>
              </w:rPr>
              <w:t>(</w:t>
            </w:r>
            <w:r w:rsidR="001A6992" w:rsidRPr="00CD51B6">
              <w:rPr>
                <w:rFonts w:eastAsia="標楷體"/>
                <w:kern w:val="0"/>
              </w:rPr>
              <w:t>6576</w:t>
            </w:r>
            <w:r w:rsidR="001A6992" w:rsidRPr="00CD51B6">
              <w:rPr>
                <w:rFonts w:eastAsia="標楷體" w:hint="eastAsia"/>
                <w:kern w:val="0"/>
              </w:rPr>
              <w:t>)</w:t>
            </w:r>
            <w:r w:rsidRPr="00CD51B6">
              <w:rPr>
                <w:rFonts w:eastAsia="標楷體"/>
                <w:kern w:val="0"/>
              </w:rPr>
              <w:t>之主要營業項目係新藥開發公司，</w:t>
            </w:r>
            <w:r w:rsidR="00010451" w:rsidRPr="00CD51B6">
              <w:rPr>
                <w:rFonts w:eastAsia="標楷體" w:hint="eastAsia"/>
                <w:kern w:val="0"/>
              </w:rPr>
              <w:t>主要以歐盟、美國和台灣等市場作為前列腺癌緩解治療新劑型新藥</w:t>
            </w:r>
            <w:r w:rsidR="00010451" w:rsidRPr="00CD51B6">
              <w:rPr>
                <w:rFonts w:eastAsia="標楷體" w:hint="eastAsia"/>
                <w:kern w:val="0"/>
              </w:rPr>
              <w:t>FP-0</w:t>
            </w:r>
            <w:r w:rsidR="00010451" w:rsidRPr="00CD51B6">
              <w:rPr>
                <w:rFonts w:eastAsia="標楷體"/>
                <w:kern w:val="0"/>
              </w:rPr>
              <w:t>01</w:t>
            </w:r>
            <w:r w:rsidR="00010451" w:rsidRPr="00CD51B6">
              <w:rPr>
                <w:rFonts w:eastAsia="標楷體" w:hint="eastAsia"/>
                <w:kern w:val="0"/>
              </w:rPr>
              <w:t xml:space="preserve"> 5</w:t>
            </w:r>
            <w:r w:rsidR="00010451" w:rsidRPr="00CD51B6">
              <w:rPr>
                <w:rFonts w:eastAsia="標楷體"/>
                <w:kern w:val="0"/>
              </w:rPr>
              <w:t>0</w:t>
            </w:r>
            <w:r w:rsidR="00010451" w:rsidRPr="00CD51B6">
              <w:rPr>
                <w:rFonts w:eastAsia="標楷體" w:hint="eastAsia"/>
                <w:kern w:val="0"/>
              </w:rPr>
              <w:t>毫克及</w:t>
            </w:r>
            <w:r w:rsidR="00010451" w:rsidRPr="00CD51B6">
              <w:rPr>
                <w:rFonts w:eastAsia="標楷體" w:hint="eastAsia"/>
                <w:kern w:val="0"/>
              </w:rPr>
              <w:t>25</w:t>
            </w:r>
            <w:r w:rsidR="00010451" w:rsidRPr="00CD51B6">
              <w:rPr>
                <w:rFonts w:eastAsia="標楷體" w:hint="eastAsia"/>
                <w:kern w:val="0"/>
              </w:rPr>
              <w:t>毫克柳菩林</w:t>
            </w:r>
            <w:r w:rsidR="00010451" w:rsidRPr="00CD51B6">
              <w:rPr>
                <w:rFonts w:eastAsia="標楷體" w:hint="eastAsia"/>
                <w:kern w:val="0"/>
              </w:rPr>
              <w:t>(L</w:t>
            </w:r>
            <w:r w:rsidR="00010451" w:rsidRPr="00CD51B6">
              <w:rPr>
                <w:rFonts w:eastAsia="標楷體"/>
                <w:kern w:val="0"/>
              </w:rPr>
              <w:t>euprolide</w:t>
            </w:r>
            <w:r w:rsidR="00010451" w:rsidRPr="00CD51B6">
              <w:rPr>
                <w:rFonts w:eastAsia="標楷體" w:hint="eastAsia"/>
                <w:kern w:val="0"/>
              </w:rPr>
              <w:t>)</w:t>
            </w:r>
            <w:r w:rsidR="00010451" w:rsidRPr="00CD51B6">
              <w:rPr>
                <w:rFonts w:eastAsia="標楷體" w:hint="eastAsia"/>
                <w:kern w:val="0"/>
              </w:rPr>
              <w:t>緩釋針劑之先期開發標的</w:t>
            </w:r>
            <w:r w:rsidR="000E54F9" w:rsidRPr="00CD51B6">
              <w:rPr>
                <w:rFonts w:eastAsia="標楷體" w:hint="eastAsia"/>
                <w:kern w:val="0"/>
              </w:rPr>
              <w:t>及</w:t>
            </w:r>
            <w:r w:rsidR="000E54F9" w:rsidRPr="00CD51B6">
              <w:rPr>
                <w:rFonts w:eastAsia="標楷體" w:hint="eastAsia"/>
                <w:kern w:val="0"/>
              </w:rPr>
              <w:t>FP-</w:t>
            </w:r>
            <w:r w:rsidR="000E54F9" w:rsidRPr="00CD51B6">
              <w:rPr>
                <w:rFonts w:eastAsia="標楷體"/>
                <w:kern w:val="0"/>
              </w:rPr>
              <w:t>025</w:t>
            </w:r>
            <w:r w:rsidR="000E54F9" w:rsidRPr="00CD51B6">
              <w:rPr>
                <w:rFonts w:eastAsia="標楷體" w:hint="eastAsia"/>
                <w:kern w:val="0"/>
              </w:rPr>
              <w:t>用於治療慢性氣喘</w:t>
            </w:r>
            <w:r w:rsidR="00010451" w:rsidRPr="00CD51B6">
              <w:rPr>
                <w:rFonts w:eastAsia="標楷體" w:hint="eastAsia"/>
                <w:kern w:val="0"/>
              </w:rPr>
              <w:t>，目前</w:t>
            </w:r>
            <w:r w:rsidR="000E54F9" w:rsidRPr="00CD51B6">
              <w:rPr>
                <w:rFonts w:eastAsia="標楷體" w:hint="eastAsia"/>
                <w:kern w:val="0"/>
              </w:rPr>
              <w:t>FP-001 50mg(</w:t>
            </w:r>
            <w:r w:rsidR="000E54F9" w:rsidRPr="00CD51B6">
              <w:rPr>
                <w:rFonts w:eastAsia="標楷體" w:hint="eastAsia"/>
                <w:kern w:val="0"/>
              </w:rPr>
              <w:t>六個月劑型</w:t>
            </w:r>
            <w:r w:rsidR="000E54F9" w:rsidRPr="00CD51B6">
              <w:rPr>
                <w:rFonts w:eastAsia="標楷體" w:hint="eastAsia"/>
                <w:kern w:val="0"/>
              </w:rPr>
              <w:t>)</w:t>
            </w:r>
            <w:r w:rsidR="000E54F9" w:rsidRPr="00CD51B6">
              <w:rPr>
                <w:rFonts w:eastAsia="標楷體" w:hint="eastAsia"/>
                <w:kern w:val="0"/>
              </w:rPr>
              <w:t>，已上市許可申請，正式進入審理流程，量產上市之準備；</w:t>
            </w:r>
            <w:r w:rsidR="000E54F9" w:rsidRPr="00CD51B6">
              <w:rPr>
                <w:rFonts w:eastAsia="標楷體" w:hint="eastAsia"/>
                <w:kern w:val="0"/>
              </w:rPr>
              <w:t>FP-</w:t>
            </w:r>
            <w:r w:rsidR="000E54F9" w:rsidRPr="00CD51B6">
              <w:rPr>
                <w:rFonts w:eastAsia="標楷體"/>
                <w:kern w:val="0"/>
              </w:rPr>
              <w:t>025</w:t>
            </w:r>
            <w:r w:rsidR="000E54F9" w:rsidRPr="00CD51B6">
              <w:rPr>
                <w:rFonts w:eastAsia="標楷體" w:hint="eastAsia"/>
                <w:kern w:val="0"/>
              </w:rPr>
              <w:t>用於治療</w:t>
            </w:r>
            <w:r w:rsidR="00DA472B" w:rsidRPr="00CD51B6">
              <w:rPr>
                <w:rFonts w:eastAsia="標楷體" w:hint="eastAsia"/>
                <w:kern w:val="0"/>
              </w:rPr>
              <w:t>COVID-</w:t>
            </w:r>
            <w:r w:rsidR="00DA472B" w:rsidRPr="00CD51B6">
              <w:rPr>
                <w:rFonts w:eastAsia="標楷體"/>
                <w:kern w:val="0"/>
              </w:rPr>
              <w:t>19</w:t>
            </w:r>
            <w:r w:rsidR="00DA472B" w:rsidRPr="00CD51B6">
              <w:rPr>
                <w:rFonts w:eastAsia="標楷體" w:hint="eastAsia"/>
                <w:kern w:val="0"/>
              </w:rPr>
              <w:t>引起的急性呼吸窘迫症候群之二</w:t>
            </w:r>
            <w:r w:rsidR="00DA472B" w:rsidRPr="00CD51B6">
              <w:rPr>
                <w:rFonts w:eastAsia="標楷體" w:hint="eastAsia"/>
                <w:kern w:val="0"/>
              </w:rPr>
              <w:t>/</w:t>
            </w:r>
            <w:r w:rsidR="00DA472B" w:rsidRPr="00CD51B6">
              <w:rPr>
                <w:rFonts w:eastAsia="標楷體" w:hint="eastAsia"/>
                <w:kern w:val="0"/>
              </w:rPr>
              <w:t>三期臨床試驗申請</w:t>
            </w:r>
            <w:r w:rsidR="001B0147" w:rsidRPr="00CD51B6">
              <w:rPr>
                <w:rFonts w:eastAsia="標楷體" w:hint="eastAsia"/>
                <w:kern w:val="0"/>
              </w:rPr>
              <w:t>；</w:t>
            </w:r>
            <w:r w:rsidR="001A6992" w:rsidRPr="00CD51B6">
              <w:rPr>
                <w:rFonts w:eastAsia="標楷體" w:hint="eastAsia"/>
                <w:kern w:val="0"/>
              </w:rPr>
              <w:t>藥華藥</w:t>
            </w:r>
            <w:r w:rsidR="001A6992" w:rsidRPr="00CD51B6">
              <w:rPr>
                <w:rFonts w:eastAsia="標楷體"/>
                <w:kern w:val="0"/>
              </w:rPr>
              <w:t>(6446)</w:t>
            </w:r>
            <w:r w:rsidRPr="00CD51B6">
              <w:rPr>
                <w:rFonts w:eastAsia="標楷體"/>
                <w:kern w:val="0"/>
              </w:rPr>
              <w:t>之主要營業項目係新藥開發，</w:t>
            </w:r>
            <w:r w:rsidR="001B0147" w:rsidRPr="00CD51B6">
              <w:rPr>
                <w:rFonts w:eastAsia="標楷體" w:hint="eastAsia"/>
                <w:kern w:val="0"/>
              </w:rPr>
              <w:t>自行研發長效型蛋白質藥物研發</w:t>
            </w:r>
            <w:r w:rsidR="001B0147" w:rsidRPr="00712A14">
              <w:rPr>
                <w:rFonts w:eastAsia="標楷體" w:hint="eastAsia"/>
                <w:kern w:val="0"/>
              </w:rPr>
              <w:t>PEG</w:t>
            </w:r>
            <w:r w:rsidR="001B0147" w:rsidRPr="00712A14">
              <w:rPr>
                <w:rFonts w:eastAsia="標楷體" w:hint="eastAsia"/>
                <w:kern w:val="0"/>
              </w:rPr>
              <w:t>技術平台及小分子合成藥物技術等為基礎進行研發及製造蛋白質新藥的公司，目前主要聚焦在血液、感染及腫瘤等疾病的領域，主要產品</w:t>
            </w:r>
            <w:r w:rsidR="001B0147" w:rsidRPr="00712A14">
              <w:rPr>
                <w:rFonts w:eastAsia="標楷體" w:hint="eastAsia"/>
                <w:kern w:val="0"/>
              </w:rPr>
              <w:t>P1101</w:t>
            </w:r>
            <w:r w:rsidR="008B22A8" w:rsidRPr="00712A14">
              <w:rPr>
                <w:rFonts w:eastAsia="標楷體" w:hint="eastAsia"/>
                <w:kern w:val="0"/>
              </w:rPr>
              <w:t>治療真性紅血球增多症</w:t>
            </w:r>
            <w:r w:rsidR="008B22A8" w:rsidRPr="00712A14">
              <w:rPr>
                <w:rFonts w:eastAsia="標楷體" w:hint="eastAsia"/>
                <w:kern w:val="0"/>
              </w:rPr>
              <w:t>(PV)</w:t>
            </w:r>
            <w:r w:rsidR="008B22A8" w:rsidRPr="00712A14">
              <w:rPr>
                <w:rFonts w:eastAsia="標楷體" w:hint="eastAsia"/>
                <w:kern w:val="0"/>
              </w:rPr>
              <w:t>、血小板增多症</w:t>
            </w:r>
            <w:r w:rsidR="008B22A8" w:rsidRPr="00712A14">
              <w:rPr>
                <w:rFonts w:eastAsia="標楷體" w:hint="eastAsia"/>
                <w:kern w:val="0"/>
              </w:rPr>
              <w:t>(ET)</w:t>
            </w:r>
            <w:r w:rsidR="008B22A8" w:rsidRPr="00712A14">
              <w:rPr>
                <w:rFonts w:eastAsia="標楷體" w:hint="eastAsia"/>
                <w:kern w:val="0"/>
              </w:rPr>
              <w:t>之新藥，</w:t>
            </w:r>
            <w:r w:rsidR="001B0147" w:rsidRPr="00712A14">
              <w:rPr>
                <w:rFonts w:eastAsia="標楷體" w:hint="eastAsia"/>
                <w:kern w:val="0"/>
              </w:rPr>
              <w:t>目前針對</w:t>
            </w:r>
            <w:r w:rsidR="001B0147" w:rsidRPr="00712A14">
              <w:rPr>
                <w:rFonts w:eastAsia="標楷體" w:hint="eastAsia"/>
                <w:kern w:val="0"/>
              </w:rPr>
              <w:t>PV</w:t>
            </w:r>
            <w:r w:rsidR="001B0147" w:rsidRPr="00712A14">
              <w:rPr>
                <w:rFonts w:eastAsia="標楷體" w:hint="eastAsia"/>
                <w:kern w:val="0"/>
              </w:rPr>
              <w:t>治療已完成歐洲三期臨床試驗且獲得歐盟人體用藥</w:t>
            </w:r>
            <w:r w:rsidR="004635BF" w:rsidRPr="00712A14">
              <w:rPr>
                <w:rFonts w:eastAsia="標楷體" w:hint="eastAsia"/>
                <w:kern w:val="0"/>
              </w:rPr>
              <w:t>、</w:t>
            </w:r>
            <w:r w:rsidR="004635BF" w:rsidRPr="00712A14">
              <w:rPr>
                <w:rFonts w:eastAsia="標楷體" w:hint="eastAsia"/>
                <w:kern w:val="0"/>
              </w:rPr>
              <w:t>ET</w:t>
            </w:r>
            <w:r w:rsidR="004635BF" w:rsidRPr="00712A14">
              <w:rPr>
                <w:rFonts w:eastAsia="標楷體" w:hint="eastAsia"/>
                <w:kern w:val="0"/>
              </w:rPr>
              <w:t>目前於第三期臨床試驗中</w:t>
            </w:r>
            <w:r w:rsidRPr="00712A14">
              <w:rPr>
                <w:rFonts w:eastAsia="標楷體"/>
                <w:kern w:val="0"/>
              </w:rPr>
              <w:t>。上述公司與該公司經營性質較為相近，因此茲就上述採樣同業最近三個月之股價淨值比列示說明如下：取得採樣同業與上市櫃生技醫療類股</w:t>
            </w:r>
            <w:r w:rsidRPr="00712A14">
              <w:rPr>
                <w:rFonts w:eastAsia="標楷體"/>
              </w:rPr>
              <w:t>110</w:t>
            </w:r>
            <w:r w:rsidRPr="00712A14">
              <w:rPr>
                <w:rFonts w:eastAsia="標楷體"/>
                <w:kern w:val="0"/>
              </w:rPr>
              <w:t>年</w:t>
            </w:r>
            <w:r w:rsidR="00BF31E3" w:rsidRPr="00712A14">
              <w:rPr>
                <w:rFonts w:eastAsia="標楷體"/>
                <w:kern w:val="0"/>
              </w:rPr>
              <w:t>6</w:t>
            </w:r>
            <w:r w:rsidRPr="00712A14">
              <w:rPr>
                <w:rFonts w:eastAsia="標楷體"/>
                <w:kern w:val="0"/>
              </w:rPr>
              <w:t>月至</w:t>
            </w:r>
            <w:r w:rsidRPr="00712A14">
              <w:rPr>
                <w:rFonts w:eastAsia="標楷體"/>
              </w:rPr>
              <w:t>110</w:t>
            </w:r>
            <w:r w:rsidRPr="00712A14">
              <w:rPr>
                <w:rFonts w:eastAsia="標楷體"/>
                <w:kern w:val="0"/>
              </w:rPr>
              <w:t>年</w:t>
            </w:r>
            <w:r w:rsidR="00BF31E3" w:rsidRPr="00712A14">
              <w:rPr>
                <w:rFonts w:eastAsia="標楷體"/>
                <w:kern w:val="0"/>
              </w:rPr>
              <w:t>8</w:t>
            </w:r>
            <w:r w:rsidRPr="00712A14">
              <w:rPr>
                <w:rFonts w:eastAsia="標楷體"/>
                <w:kern w:val="0"/>
              </w:rPr>
              <w:t>月之平均股價淨值比，得出採樣同業之股價淨值比區間，再按該公司</w:t>
            </w:r>
            <w:r w:rsidR="00AE291E" w:rsidRPr="00712A14">
              <w:rPr>
                <w:rFonts w:eastAsia="標楷體"/>
              </w:rPr>
              <w:t>110</w:t>
            </w:r>
            <w:r w:rsidR="00AE291E" w:rsidRPr="00712A14">
              <w:rPr>
                <w:rFonts w:eastAsia="標楷體"/>
              </w:rPr>
              <w:t>年</w:t>
            </w:r>
            <w:r w:rsidR="00AE291E" w:rsidRPr="00712A14">
              <w:rPr>
                <w:rFonts w:eastAsia="標楷體" w:hint="eastAsia"/>
              </w:rPr>
              <w:t>8</w:t>
            </w:r>
            <w:r w:rsidR="00AE291E" w:rsidRPr="00712A14">
              <w:rPr>
                <w:rFonts w:eastAsia="標楷體" w:hint="eastAsia"/>
              </w:rPr>
              <w:t>月自結報表</w:t>
            </w:r>
            <w:r w:rsidRPr="00712A14">
              <w:rPr>
                <w:rFonts w:eastAsia="標楷體"/>
                <w:kern w:val="0"/>
              </w:rPr>
              <w:t>每股淨值推算價格區間。採樣同業</w:t>
            </w:r>
            <w:r w:rsidRPr="00712A14">
              <w:rPr>
                <w:rFonts w:eastAsia="標楷體"/>
              </w:rPr>
              <w:t>110</w:t>
            </w:r>
            <w:r w:rsidRPr="00712A14">
              <w:rPr>
                <w:rFonts w:eastAsia="標楷體"/>
                <w:kern w:val="0"/>
              </w:rPr>
              <w:t>年</w:t>
            </w:r>
            <w:r w:rsidR="00BF31E3" w:rsidRPr="00712A14">
              <w:rPr>
                <w:rFonts w:eastAsia="標楷體"/>
                <w:kern w:val="0"/>
              </w:rPr>
              <w:t>6</w:t>
            </w:r>
            <w:r w:rsidRPr="00712A14">
              <w:rPr>
                <w:rFonts w:eastAsia="標楷體"/>
                <w:kern w:val="0"/>
              </w:rPr>
              <w:t>月至</w:t>
            </w:r>
            <w:r w:rsidRPr="00712A14">
              <w:rPr>
                <w:rFonts w:eastAsia="標楷體"/>
              </w:rPr>
              <w:t>110</w:t>
            </w:r>
            <w:r w:rsidRPr="00712A14">
              <w:rPr>
                <w:rFonts w:eastAsia="標楷體"/>
                <w:kern w:val="0"/>
              </w:rPr>
              <w:t>年</w:t>
            </w:r>
            <w:r w:rsidR="00BF31E3" w:rsidRPr="00712A14">
              <w:rPr>
                <w:rFonts w:eastAsia="標楷體"/>
                <w:kern w:val="0"/>
              </w:rPr>
              <w:t>8</w:t>
            </w:r>
            <w:r w:rsidRPr="00712A14">
              <w:rPr>
                <w:rFonts w:eastAsia="標楷體"/>
                <w:kern w:val="0"/>
              </w:rPr>
              <w:t>月股價淨值比資訊如下：</w:t>
            </w:r>
          </w:p>
          <w:p w14:paraId="0A20BEDE" w14:textId="77777777" w:rsidR="00B32771" w:rsidRPr="00CD51B6" w:rsidRDefault="00B32771" w:rsidP="00B32771">
            <w:pPr>
              <w:ind w:leftChars="300" w:left="720" w:rightChars="14" w:right="34" w:firstLineChars="200" w:firstLine="400"/>
              <w:jc w:val="right"/>
              <w:rPr>
                <w:rFonts w:eastAsia="標楷體"/>
                <w:kern w:val="0"/>
                <w:sz w:val="20"/>
              </w:rPr>
            </w:pPr>
            <w:r w:rsidRPr="00CD51B6">
              <w:rPr>
                <w:rFonts w:eastAsia="標楷體"/>
                <w:sz w:val="20"/>
              </w:rPr>
              <w:t>單位：倍</w:t>
            </w:r>
          </w:p>
          <w:tbl>
            <w:tblPr>
              <w:tblW w:w="7122" w:type="dxa"/>
              <w:jc w:val="right"/>
              <w:tblCellMar>
                <w:left w:w="28" w:type="dxa"/>
                <w:right w:w="28" w:type="dxa"/>
              </w:tblCellMar>
              <w:tblLook w:val="04A0" w:firstRow="1" w:lastRow="0" w:firstColumn="1" w:lastColumn="0" w:noHBand="0" w:noVBand="1"/>
            </w:tblPr>
            <w:tblGrid>
              <w:gridCol w:w="1853"/>
              <w:gridCol w:w="1276"/>
              <w:gridCol w:w="1417"/>
              <w:gridCol w:w="1276"/>
              <w:gridCol w:w="1300"/>
            </w:tblGrid>
            <w:tr w:rsidR="00B32771" w:rsidRPr="00CD51B6" w14:paraId="764D4BF7" w14:textId="77777777" w:rsidTr="004B5F74">
              <w:trPr>
                <w:trHeight w:val="345"/>
                <w:jc w:val="right"/>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47137B" w14:textId="77777777" w:rsidR="00B32771" w:rsidRPr="00CD51B6" w:rsidRDefault="00B32771" w:rsidP="00B32771">
                  <w:pPr>
                    <w:widowControl/>
                    <w:rPr>
                      <w:rFonts w:eastAsia="標楷體"/>
                      <w:kern w:val="0"/>
                    </w:rPr>
                  </w:pPr>
                  <w:r w:rsidRPr="00CD51B6">
                    <w:rPr>
                      <w:rFonts w:eastAsia="標楷體"/>
                      <w:kern w:val="0"/>
                    </w:rPr>
                    <w:t>證券名稱</w:t>
                  </w:r>
                </w:p>
              </w:tc>
              <w:tc>
                <w:tcPr>
                  <w:tcW w:w="1276" w:type="dxa"/>
                  <w:tcBorders>
                    <w:top w:val="single" w:sz="8" w:space="0" w:color="auto"/>
                    <w:left w:val="nil"/>
                    <w:bottom w:val="single" w:sz="8" w:space="0" w:color="auto"/>
                    <w:right w:val="single" w:sz="8" w:space="0" w:color="auto"/>
                  </w:tcBorders>
                  <w:shd w:val="clear" w:color="auto" w:fill="auto"/>
                  <w:vAlign w:val="center"/>
                </w:tcPr>
                <w:p w14:paraId="32C31E71" w14:textId="2EA526B7" w:rsidR="00B32771" w:rsidRPr="00CD51B6" w:rsidRDefault="004B5F74" w:rsidP="001A7238">
                  <w:pPr>
                    <w:widowControl/>
                    <w:jc w:val="center"/>
                    <w:rPr>
                      <w:rFonts w:eastAsia="標楷體"/>
                      <w:kern w:val="0"/>
                    </w:rPr>
                  </w:pPr>
                  <w:r w:rsidRPr="00CD51B6">
                    <w:rPr>
                      <w:rFonts w:eastAsia="標楷體"/>
                      <w:kern w:val="0"/>
                    </w:rPr>
                    <w:t>110</w:t>
                  </w:r>
                  <w:r w:rsidRPr="00CD51B6">
                    <w:rPr>
                      <w:rFonts w:eastAsia="標楷體"/>
                      <w:kern w:val="0"/>
                    </w:rPr>
                    <w:t>年</w:t>
                  </w:r>
                  <w:r w:rsidRPr="00CD51B6">
                    <w:rPr>
                      <w:rFonts w:eastAsia="標楷體"/>
                      <w:kern w:val="0"/>
                    </w:rPr>
                    <w:t>6</w:t>
                  </w:r>
                  <w:r w:rsidRPr="00CD51B6">
                    <w:rPr>
                      <w:rFonts w:eastAsia="標楷體"/>
                      <w:kern w:val="0"/>
                    </w:rPr>
                    <w:t>月</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27396D8" w14:textId="4F8C8364" w:rsidR="00B32771" w:rsidRPr="00CD51B6" w:rsidRDefault="004B5F74" w:rsidP="001A7238">
                  <w:pPr>
                    <w:widowControl/>
                    <w:jc w:val="center"/>
                    <w:rPr>
                      <w:rFonts w:eastAsia="標楷體"/>
                      <w:kern w:val="0"/>
                    </w:rPr>
                  </w:pPr>
                  <w:r w:rsidRPr="00CD51B6">
                    <w:rPr>
                      <w:rFonts w:eastAsia="標楷體"/>
                      <w:kern w:val="0"/>
                    </w:rPr>
                    <w:t>110</w:t>
                  </w:r>
                  <w:r w:rsidRPr="00CD51B6">
                    <w:rPr>
                      <w:rFonts w:eastAsia="標楷體"/>
                      <w:kern w:val="0"/>
                    </w:rPr>
                    <w:t>年</w:t>
                  </w:r>
                  <w:r w:rsidRPr="00CD51B6">
                    <w:rPr>
                      <w:rFonts w:eastAsia="標楷體"/>
                      <w:kern w:val="0"/>
                    </w:rPr>
                    <w:t>7</w:t>
                  </w:r>
                  <w:r w:rsidRPr="00CD51B6">
                    <w:rPr>
                      <w:rFonts w:eastAsia="標楷體"/>
                      <w:kern w:val="0"/>
                    </w:rPr>
                    <w:t>月</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76E7C04" w14:textId="6FB6228F" w:rsidR="00B32771" w:rsidRPr="00CD51B6" w:rsidRDefault="004B5F74" w:rsidP="001A7238">
                  <w:pPr>
                    <w:widowControl/>
                    <w:jc w:val="center"/>
                    <w:rPr>
                      <w:rFonts w:eastAsia="標楷體"/>
                      <w:kern w:val="0"/>
                    </w:rPr>
                  </w:pPr>
                  <w:r w:rsidRPr="00CD51B6">
                    <w:rPr>
                      <w:rFonts w:eastAsia="標楷體"/>
                      <w:kern w:val="0"/>
                    </w:rPr>
                    <w:t>110</w:t>
                  </w:r>
                  <w:r w:rsidRPr="00CD51B6">
                    <w:rPr>
                      <w:rFonts w:eastAsia="標楷體"/>
                      <w:kern w:val="0"/>
                    </w:rPr>
                    <w:t>年</w:t>
                  </w:r>
                  <w:r>
                    <w:rPr>
                      <w:rFonts w:eastAsia="標楷體" w:hint="eastAsia"/>
                      <w:kern w:val="0"/>
                    </w:rPr>
                    <w:t>8</w:t>
                  </w:r>
                  <w:r w:rsidRPr="00CD51B6">
                    <w:rPr>
                      <w:rFonts w:eastAsia="標楷體"/>
                      <w:kern w:val="0"/>
                    </w:rPr>
                    <w:t>月</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54986AFD" w14:textId="77777777" w:rsidR="00B32771" w:rsidRPr="00CD51B6" w:rsidRDefault="00B32771" w:rsidP="001A7238">
                  <w:pPr>
                    <w:widowControl/>
                    <w:jc w:val="center"/>
                    <w:rPr>
                      <w:rFonts w:eastAsia="標楷體"/>
                      <w:kern w:val="0"/>
                    </w:rPr>
                  </w:pPr>
                  <w:r w:rsidRPr="00CD51B6">
                    <w:rPr>
                      <w:rFonts w:eastAsia="標楷體"/>
                      <w:kern w:val="0"/>
                    </w:rPr>
                    <w:t>平均</w:t>
                  </w:r>
                </w:p>
              </w:tc>
            </w:tr>
            <w:tr w:rsidR="004B5F74" w:rsidRPr="00CD51B6" w14:paraId="2D25FC56" w14:textId="77777777" w:rsidTr="004B5F74">
              <w:trPr>
                <w:trHeight w:val="283"/>
                <w:jc w:val="right"/>
              </w:trPr>
              <w:tc>
                <w:tcPr>
                  <w:tcW w:w="1853" w:type="dxa"/>
                  <w:tcBorders>
                    <w:top w:val="nil"/>
                    <w:left w:val="single" w:sz="8" w:space="0" w:color="auto"/>
                    <w:bottom w:val="single" w:sz="8" w:space="0" w:color="auto"/>
                    <w:right w:val="single" w:sz="8" w:space="0" w:color="auto"/>
                  </w:tcBorders>
                  <w:shd w:val="clear" w:color="auto" w:fill="auto"/>
                  <w:vAlign w:val="center"/>
                  <w:hideMark/>
                </w:tcPr>
                <w:p w14:paraId="0E683DB1" w14:textId="40C9E9A5" w:rsidR="004B5F74" w:rsidRPr="00CD51B6" w:rsidRDefault="004B5F74" w:rsidP="004B5F74">
                  <w:pPr>
                    <w:widowControl/>
                    <w:rPr>
                      <w:rFonts w:eastAsia="標楷體"/>
                      <w:kern w:val="0"/>
                    </w:rPr>
                  </w:pPr>
                  <w:r w:rsidRPr="00CD51B6">
                    <w:rPr>
                      <w:rFonts w:eastAsia="標楷體"/>
                      <w:kern w:val="0"/>
                    </w:rPr>
                    <w:t>智擎</w:t>
                  </w:r>
                  <w:r w:rsidRPr="00CD51B6">
                    <w:rPr>
                      <w:rFonts w:eastAsia="標楷體"/>
                      <w:kern w:val="0"/>
                    </w:rPr>
                    <w:t>(4162)</w:t>
                  </w:r>
                </w:p>
              </w:tc>
              <w:tc>
                <w:tcPr>
                  <w:tcW w:w="1276" w:type="dxa"/>
                  <w:tcBorders>
                    <w:top w:val="nil"/>
                    <w:left w:val="nil"/>
                    <w:bottom w:val="single" w:sz="8" w:space="0" w:color="auto"/>
                    <w:right w:val="single" w:sz="8" w:space="0" w:color="auto"/>
                  </w:tcBorders>
                  <w:shd w:val="clear" w:color="auto" w:fill="auto"/>
                  <w:vAlign w:val="center"/>
                </w:tcPr>
                <w:p w14:paraId="501365A0" w14:textId="6150F6C3" w:rsidR="004B5F74" w:rsidRPr="00CD51B6" w:rsidRDefault="004B5F74" w:rsidP="004B5F74">
                  <w:pPr>
                    <w:widowControl/>
                    <w:jc w:val="center"/>
                    <w:rPr>
                      <w:rFonts w:eastAsia="標楷體"/>
                      <w:kern w:val="0"/>
                    </w:rPr>
                  </w:pPr>
                  <w:r w:rsidRPr="00CD51B6">
                    <w:rPr>
                      <w:rFonts w:eastAsia="標楷體" w:hint="eastAsia"/>
                      <w:kern w:val="0"/>
                    </w:rPr>
                    <w:t>2.32</w:t>
                  </w:r>
                </w:p>
              </w:tc>
              <w:tc>
                <w:tcPr>
                  <w:tcW w:w="1417" w:type="dxa"/>
                  <w:tcBorders>
                    <w:top w:val="nil"/>
                    <w:left w:val="nil"/>
                    <w:bottom w:val="single" w:sz="8" w:space="0" w:color="auto"/>
                    <w:right w:val="single" w:sz="8" w:space="0" w:color="auto"/>
                  </w:tcBorders>
                  <w:shd w:val="clear" w:color="auto" w:fill="auto"/>
                </w:tcPr>
                <w:p w14:paraId="132E790E" w14:textId="21B87741" w:rsidR="004B5F74" w:rsidRPr="00CD51B6" w:rsidRDefault="004B5F74" w:rsidP="004B5F74">
                  <w:pPr>
                    <w:widowControl/>
                    <w:jc w:val="center"/>
                    <w:rPr>
                      <w:rFonts w:eastAsia="標楷體"/>
                      <w:kern w:val="0"/>
                    </w:rPr>
                  </w:pPr>
                  <w:r w:rsidRPr="00CD51B6">
                    <w:rPr>
                      <w:rFonts w:eastAsia="標楷體" w:hint="eastAsia"/>
                    </w:rPr>
                    <w:t>2.28</w:t>
                  </w:r>
                </w:p>
              </w:tc>
              <w:tc>
                <w:tcPr>
                  <w:tcW w:w="1276" w:type="dxa"/>
                  <w:tcBorders>
                    <w:top w:val="nil"/>
                    <w:left w:val="nil"/>
                    <w:bottom w:val="single" w:sz="8" w:space="0" w:color="auto"/>
                    <w:right w:val="single" w:sz="8" w:space="0" w:color="auto"/>
                  </w:tcBorders>
                  <w:shd w:val="clear" w:color="auto" w:fill="auto"/>
                </w:tcPr>
                <w:p w14:paraId="78E6BDF6" w14:textId="66D5CAC2" w:rsidR="004B5F74" w:rsidRPr="00CD51B6" w:rsidRDefault="006E1246" w:rsidP="004B5F74">
                  <w:pPr>
                    <w:jc w:val="center"/>
                    <w:rPr>
                      <w:rFonts w:eastAsia="標楷體"/>
                    </w:rPr>
                  </w:pPr>
                  <w:r>
                    <w:rPr>
                      <w:rFonts w:eastAsia="標楷體" w:hint="eastAsia"/>
                    </w:rPr>
                    <w:t>2.14</w:t>
                  </w:r>
                </w:p>
              </w:tc>
              <w:tc>
                <w:tcPr>
                  <w:tcW w:w="1300" w:type="dxa"/>
                  <w:tcBorders>
                    <w:top w:val="nil"/>
                    <w:left w:val="nil"/>
                    <w:bottom w:val="single" w:sz="8" w:space="0" w:color="auto"/>
                    <w:right w:val="single" w:sz="8" w:space="0" w:color="auto"/>
                  </w:tcBorders>
                  <w:shd w:val="clear" w:color="auto" w:fill="auto"/>
                  <w:vAlign w:val="center"/>
                </w:tcPr>
                <w:p w14:paraId="47128931" w14:textId="77EB6960" w:rsidR="004B5F74" w:rsidRPr="00CD51B6" w:rsidRDefault="00E4567D" w:rsidP="004B5F74">
                  <w:pPr>
                    <w:jc w:val="center"/>
                    <w:rPr>
                      <w:rFonts w:eastAsia="標楷體"/>
                    </w:rPr>
                  </w:pPr>
                  <w:r>
                    <w:rPr>
                      <w:rFonts w:eastAsia="標楷體" w:hint="eastAsia"/>
                    </w:rPr>
                    <w:t>2</w:t>
                  </w:r>
                  <w:r>
                    <w:rPr>
                      <w:rFonts w:eastAsia="標楷體"/>
                    </w:rPr>
                    <w:t>.25</w:t>
                  </w:r>
                </w:p>
              </w:tc>
            </w:tr>
            <w:tr w:rsidR="004B5F74" w:rsidRPr="00CD51B6" w14:paraId="4A4A6A00" w14:textId="77777777" w:rsidTr="004B5F74">
              <w:trPr>
                <w:trHeight w:val="283"/>
                <w:jc w:val="right"/>
              </w:trPr>
              <w:tc>
                <w:tcPr>
                  <w:tcW w:w="1853" w:type="dxa"/>
                  <w:tcBorders>
                    <w:top w:val="nil"/>
                    <w:left w:val="single" w:sz="8" w:space="0" w:color="auto"/>
                    <w:bottom w:val="single" w:sz="8" w:space="0" w:color="auto"/>
                    <w:right w:val="single" w:sz="8" w:space="0" w:color="auto"/>
                  </w:tcBorders>
                  <w:shd w:val="clear" w:color="auto" w:fill="auto"/>
                  <w:vAlign w:val="center"/>
                </w:tcPr>
                <w:p w14:paraId="254E396C" w14:textId="6AB61AC5" w:rsidR="004B5F74" w:rsidRPr="00CD51B6" w:rsidRDefault="004B5F74" w:rsidP="004B5F74">
                  <w:pPr>
                    <w:widowControl/>
                    <w:rPr>
                      <w:rFonts w:eastAsia="標楷體"/>
                      <w:kern w:val="0"/>
                    </w:rPr>
                  </w:pPr>
                  <w:r w:rsidRPr="00CD51B6">
                    <w:rPr>
                      <w:rFonts w:eastAsia="標楷體" w:hint="eastAsia"/>
                      <w:kern w:val="0"/>
                    </w:rPr>
                    <w:t>逸達</w:t>
                  </w:r>
                  <w:r w:rsidRPr="00CD51B6">
                    <w:rPr>
                      <w:rFonts w:eastAsia="標楷體" w:hint="eastAsia"/>
                      <w:kern w:val="0"/>
                    </w:rPr>
                    <w:t>(</w:t>
                  </w:r>
                  <w:r w:rsidRPr="00CD51B6">
                    <w:rPr>
                      <w:rFonts w:eastAsia="標楷體"/>
                      <w:kern w:val="0"/>
                    </w:rPr>
                    <w:t>6576</w:t>
                  </w:r>
                  <w:r w:rsidRPr="00CD51B6">
                    <w:rPr>
                      <w:rFonts w:eastAsia="標楷體" w:hint="eastAsia"/>
                      <w:kern w:val="0"/>
                    </w:rPr>
                    <w:t>)</w:t>
                  </w:r>
                </w:p>
              </w:tc>
              <w:tc>
                <w:tcPr>
                  <w:tcW w:w="1276" w:type="dxa"/>
                  <w:tcBorders>
                    <w:top w:val="nil"/>
                    <w:left w:val="nil"/>
                    <w:bottom w:val="single" w:sz="8" w:space="0" w:color="auto"/>
                    <w:right w:val="single" w:sz="8" w:space="0" w:color="auto"/>
                  </w:tcBorders>
                  <w:shd w:val="clear" w:color="auto" w:fill="auto"/>
                  <w:vAlign w:val="center"/>
                </w:tcPr>
                <w:p w14:paraId="44FDB754" w14:textId="7A178A73" w:rsidR="004B5F74" w:rsidRPr="00CD51B6" w:rsidRDefault="004B5F74" w:rsidP="004B5F74">
                  <w:pPr>
                    <w:widowControl/>
                    <w:jc w:val="center"/>
                    <w:rPr>
                      <w:rFonts w:eastAsia="標楷體"/>
                      <w:kern w:val="0"/>
                    </w:rPr>
                  </w:pPr>
                  <w:r w:rsidRPr="00CD51B6">
                    <w:rPr>
                      <w:rFonts w:eastAsia="標楷體" w:hint="eastAsia"/>
                      <w:kern w:val="0"/>
                    </w:rPr>
                    <w:t>6.84</w:t>
                  </w:r>
                </w:p>
              </w:tc>
              <w:tc>
                <w:tcPr>
                  <w:tcW w:w="1417" w:type="dxa"/>
                  <w:tcBorders>
                    <w:top w:val="nil"/>
                    <w:left w:val="nil"/>
                    <w:bottom w:val="single" w:sz="8" w:space="0" w:color="auto"/>
                    <w:right w:val="single" w:sz="8" w:space="0" w:color="auto"/>
                  </w:tcBorders>
                  <w:shd w:val="clear" w:color="auto" w:fill="auto"/>
                </w:tcPr>
                <w:p w14:paraId="546EFC36" w14:textId="3CC3C9C3" w:rsidR="004B5F74" w:rsidRPr="00CD51B6" w:rsidRDefault="004B5F74" w:rsidP="004B5F74">
                  <w:pPr>
                    <w:widowControl/>
                    <w:jc w:val="center"/>
                    <w:rPr>
                      <w:rFonts w:eastAsia="標楷體"/>
                      <w:kern w:val="0"/>
                    </w:rPr>
                  </w:pPr>
                  <w:r w:rsidRPr="00CD51B6">
                    <w:rPr>
                      <w:rFonts w:eastAsia="標楷體" w:hint="eastAsia"/>
                    </w:rPr>
                    <w:t>6.22</w:t>
                  </w:r>
                </w:p>
              </w:tc>
              <w:tc>
                <w:tcPr>
                  <w:tcW w:w="1276" w:type="dxa"/>
                  <w:tcBorders>
                    <w:top w:val="nil"/>
                    <w:left w:val="nil"/>
                    <w:bottom w:val="single" w:sz="8" w:space="0" w:color="auto"/>
                    <w:right w:val="single" w:sz="8" w:space="0" w:color="auto"/>
                  </w:tcBorders>
                  <w:shd w:val="clear" w:color="auto" w:fill="auto"/>
                </w:tcPr>
                <w:p w14:paraId="40CE96A2" w14:textId="713AFAB9" w:rsidR="004B5F74" w:rsidRPr="00CD51B6" w:rsidRDefault="00BF31E3" w:rsidP="004B5F74">
                  <w:pPr>
                    <w:jc w:val="center"/>
                    <w:rPr>
                      <w:rFonts w:eastAsia="標楷體"/>
                    </w:rPr>
                  </w:pPr>
                  <w:r>
                    <w:rPr>
                      <w:rFonts w:eastAsia="標楷體" w:hint="eastAsia"/>
                    </w:rPr>
                    <w:t>5.90</w:t>
                  </w:r>
                </w:p>
              </w:tc>
              <w:tc>
                <w:tcPr>
                  <w:tcW w:w="1300" w:type="dxa"/>
                  <w:tcBorders>
                    <w:top w:val="nil"/>
                    <w:left w:val="nil"/>
                    <w:bottom w:val="single" w:sz="8" w:space="0" w:color="auto"/>
                    <w:right w:val="single" w:sz="8" w:space="0" w:color="auto"/>
                  </w:tcBorders>
                  <w:shd w:val="clear" w:color="auto" w:fill="auto"/>
                  <w:vAlign w:val="center"/>
                </w:tcPr>
                <w:p w14:paraId="507597B9" w14:textId="3252D776" w:rsidR="004B5F74" w:rsidRPr="00CD51B6" w:rsidRDefault="00E4567D" w:rsidP="004B5F74">
                  <w:pPr>
                    <w:jc w:val="center"/>
                    <w:rPr>
                      <w:rFonts w:eastAsia="標楷體"/>
                    </w:rPr>
                  </w:pPr>
                  <w:r>
                    <w:rPr>
                      <w:rFonts w:eastAsia="標楷體" w:hint="eastAsia"/>
                    </w:rPr>
                    <w:t>6.32</w:t>
                  </w:r>
                </w:p>
              </w:tc>
            </w:tr>
            <w:tr w:rsidR="004B5F74" w:rsidRPr="00CD51B6" w14:paraId="2C5D0A8B" w14:textId="77777777" w:rsidTr="004B5F74">
              <w:trPr>
                <w:trHeight w:val="283"/>
                <w:jc w:val="right"/>
              </w:trPr>
              <w:tc>
                <w:tcPr>
                  <w:tcW w:w="1853" w:type="dxa"/>
                  <w:tcBorders>
                    <w:top w:val="nil"/>
                    <w:left w:val="single" w:sz="8" w:space="0" w:color="auto"/>
                    <w:bottom w:val="single" w:sz="8" w:space="0" w:color="auto"/>
                    <w:right w:val="single" w:sz="8" w:space="0" w:color="auto"/>
                  </w:tcBorders>
                  <w:shd w:val="clear" w:color="auto" w:fill="auto"/>
                  <w:vAlign w:val="center"/>
                </w:tcPr>
                <w:p w14:paraId="23D15B04" w14:textId="2547323D" w:rsidR="004B5F74" w:rsidRPr="00CD51B6" w:rsidRDefault="004B5F74" w:rsidP="004B5F74">
                  <w:pPr>
                    <w:widowControl/>
                    <w:rPr>
                      <w:rFonts w:eastAsia="標楷體"/>
                      <w:kern w:val="0"/>
                    </w:rPr>
                  </w:pPr>
                  <w:r w:rsidRPr="00CD51B6">
                    <w:rPr>
                      <w:rFonts w:eastAsia="標楷體" w:hint="eastAsia"/>
                      <w:kern w:val="0"/>
                    </w:rPr>
                    <w:t>藥華藥</w:t>
                  </w:r>
                  <w:r w:rsidRPr="00CD51B6">
                    <w:rPr>
                      <w:rFonts w:eastAsia="標楷體"/>
                      <w:kern w:val="0"/>
                    </w:rPr>
                    <w:t>(6446)</w:t>
                  </w:r>
                </w:p>
              </w:tc>
              <w:tc>
                <w:tcPr>
                  <w:tcW w:w="1276" w:type="dxa"/>
                  <w:tcBorders>
                    <w:top w:val="nil"/>
                    <w:left w:val="nil"/>
                    <w:bottom w:val="single" w:sz="8" w:space="0" w:color="auto"/>
                    <w:right w:val="single" w:sz="8" w:space="0" w:color="auto"/>
                  </w:tcBorders>
                  <w:shd w:val="clear" w:color="auto" w:fill="auto"/>
                  <w:vAlign w:val="center"/>
                </w:tcPr>
                <w:p w14:paraId="319D7A33" w14:textId="74276864" w:rsidR="004B5F74" w:rsidRPr="00CD51B6" w:rsidRDefault="004B5F74" w:rsidP="004B5F74">
                  <w:pPr>
                    <w:widowControl/>
                    <w:jc w:val="center"/>
                    <w:rPr>
                      <w:rFonts w:eastAsia="標楷體"/>
                      <w:kern w:val="0"/>
                    </w:rPr>
                  </w:pPr>
                  <w:r w:rsidRPr="00CD51B6">
                    <w:rPr>
                      <w:rFonts w:eastAsia="標楷體" w:hint="eastAsia"/>
                      <w:kern w:val="0"/>
                    </w:rPr>
                    <w:t>7.15</w:t>
                  </w:r>
                </w:p>
              </w:tc>
              <w:tc>
                <w:tcPr>
                  <w:tcW w:w="1417" w:type="dxa"/>
                  <w:tcBorders>
                    <w:top w:val="nil"/>
                    <w:left w:val="nil"/>
                    <w:bottom w:val="single" w:sz="8" w:space="0" w:color="auto"/>
                    <w:right w:val="single" w:sz="8" w:space="0" w:color="auto"/>
                  </w:tcBorders>
                  <w:shd w:val="clear" w:color="auto" w:fill="auto"/>
                </w:tcPr>
                <w:p w14:paraId="0165D6E4" w14:textId="3E200CD1" w:rsidR="004B5F74" w:rsidRPr="00CD51B6" w:rsidRDefault="004B5F74" w:rsidP="004B5F74">
                  <w:pPr>
                    <w:widowControl/>
                    <w:jc w:val="center"/>
                    <w:rPr>
                      <w:rFonts w:eastAsia="標楷體"/>
                      <w:kern w:val="0"/>
                    </w:rPr>
                  </w:pPr>
                  <w:r w:rsidRPr="00CD51B6">
                    <w:rPr>
                      <w:rFonts w:eastAsia="標楷體" w:hint="eastAsia"/>
                    </w:rPr>
                    <w:t>7.41</w:t>
                  </w:r>
                </w:p>
              </w:tc>
              <w:tc>
                <w:tcPr>
                  <w:tcW w:w="1276" w:type="dxa"/>
                  <w:tcBorders>
                    <w:top w:val="nil"/>
                    <w:left w:val="nil"/>
                    <w:bottom w:val="single" w:sz="8" w:space="0" w:color="auto"/>
                    <w:right w:val="single" w:sz="8" w:space="0" w:color="auto"/>
                  </w:tcBorders>
                  <w:shd w:val="clear" w:color="auto" w:fill="auto"/>
                </w:tcPr>
                <w:p w14:paraId="3AF18C92" w14:textId="2F29F39C" w:rsidR="004B5F74" w:rsidRPr="00CD51B6" w:rsidRDefault="00BF31E3" w:rsidP="004B5F74">
                  <w:pPr>
                    <w:jc w:val="center"/>
                    <w:rPr>
                      <w:rFonts w:eastAsia="標楷體"/>
                    </w:rPr>
                  </w:pPr>
                  <w:r>
                    <w:rPr>
                      <w:rFonts w:eastAsia="標楷體" w:hint="eastAsia"/>
                    </w:rPr>
                    <w:t>8.79</w:t>
                  </w:r>
                </w:p>
              </w:tc>
              <w:tc>
                <w:tcPr>
                  <w:tcW w:w="1300" w:type="dxa"/>
                  <w:tcBorders>
                    <w:top w:val="nil"/>
                    <w:left w:val="nil"/>
                    <w:bottom w:val="single" w:sz="8" w:space="0" w:color="auto"/>
                    <w:right w:val="single" w:sz="8" w:space="0" w:color="auto"/>
                  </w:tcBorders>
                  <w:shd w:val="clear" w:color="auto" w:fill="auto"/>
                  <w:vAlign w:val="center"/>
                </w:tcPr>
                <w:p w14:paraId="5FAA892A" w14:textId="3B31BC34" w:rsidR="004B5F74" w:rsidRPr="00CD51B6" w:rsidRDefault="00E4567D" w:rsidP="004B5F74">
                  <w:pPr>
                    <w:jc w:val="center"/>
                    <w:rPr>
                      <w:rFonts w:eastAsia="標楷體"/>
                    </w:rPr>
                  </w:pPr>
                  <w:r>
                    <w:rPr>
                      <w:rFonts w:eastAsia="標楷體" w:hint="eastAsia"/>
                    </w:rPr>
                    <w:t>7.78</w:t>
                  </w:r>
                </w:p>
              </w:tc>
            </w:tr>
            <w:tr w:rsidR="004B5F74" w:rsidRPr="00CD51B6" w14:paraId="26798155" w14:textId="77777777" w:rsidTr="004B5F74">
              <w:trPr>
                <w:trHeight w:val="283"/>
                <w:jc w:val="right"/>
              </w:trPr>
              <w:tc>
                <w:tcPr>
                  <w:tcW w:w="1853" w:type="dxa"/>
                  <w:tcBorders>
                    <w:top w:val="nil"/>
                    <w:left w:val="single" w:sz="8" w:space="0" w:color="auto"/>
                    <w:bottom w:val="single" w:sz="8" w:space="0" w:color="auto"/>
                    <w:right w:val="single" w:sz="8" w:space="0" w:color="auto"/>
                  </w:tcBorders>
                  <w:shd w:val="clear" w:color="auto" w:fill="auto"/>
                </w:tcPr>
                <w:p w14:paraId="086A3AC2" w14:textId="77777777" w:rsidR="004B5F74" w:rsidRPr="00CD51B6" w:rsidRDefault="004B5F74" w:rsidP="004B5F74">
                  <w:pPr>
                    <w:spacing w:line="300" w:lineRule="exact"/>
                    <w:ind w:rightChars="-21" w:right="-50"/>
                    <w:rPr>
                      <w:rFonts w:eastAsia="標楷體"/>
                    </w:rPr>
                  </w:pPr>
                  <w:r w:rsidRPr="00CD51B6">
                    <w:rPr>
                      <w:rFonts w:eastAsia="標楷體"/>
                    </w:rPr>
                    <w:t>生技醫療類</w:t>
                  </w:r>
                  <w:r w:rsidRPr="00CD51B6">
                    <w:rPr>
                      <w:rFonts w:eastAsia="標楷體"/>
                    </w:rPr>
                    <w:t>-</w:t>
                  </w:r>
                  <w:r w:rsidRPr="00CD51B6">
                    <w:rPr>
                      <w:rFonts w:eastAsia="標楷體"/>
                    </w:rPr>
                    <w:t>上市</w:t>
                  </w:r>
                </w:p>
              </w:tc>
              <w:tc>
                <w:tcPr>
                  <w:tcW w:w="1276" w:type="dxa"/>
                  <w:tcBorders>
                    <w:top w:val="nil"/>
                    <w:left w:val="nil"/>
                    <w:bottom w:val="single" w:sz="8" w:space="0" w:color="auto"/>
                    <w:right w:val="single" w:sz="8" w:space="0" w:color="auto"/>
                  </w:tcBorders>
                  <w:shd w:val="clear" w:color="auto" w:fill="auto"/>
                  <w:vAlign w:val="center"/>
                </w:tcPr>
                <w:p w14:paraId="6E5CEA28" w14:textId="26DCC608" w:rsidR="004B5F74" w:rsidRPr="00CD51B6" w:rsidRDefault="004B5F74" w:rsidP="004B5F74">
                  <w:pPr>
                    <w:widowControl/>
                    <w:jc w:val="center"/>
                    <w:rPr>
                      <w:rFonts w:eastAsia="標楷體"/>
                      <w:kern w:val="0"/>
                    </w:rPr>
                  </w:pPr>
                  <w:r w:rsidRPr="00CD51B6">
                    <w:rPr>
                      <w:rFonts w:eastAsia="標楷體" w:hint="eastAsia"/>
                      <w:kern w:val="0"/>
                    </w:rPr>
                    <w:t>2.33</w:t>
                  </w:r>
                </w:p>
              </w:tc>
              <w:tc>
                <w:tcPr>
                  <w:tcW w:w="1417" w:type="dxa"/>
                  <w:tcBorders>
                    <w:top w:val="nil"/>
                    <w:left w:val="nil"/>
                    <w:bottom w:val="single" w:sz="8" w:space="0" w:color="auto"/>
                    <w:right w:val="single" w:sz="8" w:space="0" w:color="auto"/>
                  </w:tcBorders>
                  <w:shd w:val="clear" w:color="auto" w:fill="auto"/>
                </w:tcPr>
                <w:p w14:paraId="7D8FFDE2" w14:textId="6E9872A2" w:rsidR="004B5F74" w:rsidRPr="00CD51B6" w:rsidRDefault="004B5F74" w:rsidP="004B5F74">
                  <w:pPr>
                    <w:widowControl/>
                    <w:jc w:val="center"/>
                    <w:rPr>
                      <w:rFonts w:eastAsia="標楷體"/>
                      <w:kern w:val="0"/>
                    </w:rPr>
                  </w:pPr>
                  <w:r w:rsidRPr="00CD51B6">
                    <w:rPr>
                      <w:rFonts w:eastAsia="標楷體" w:hint="eastAsia"/>
                    </w:rPr>
                    <w:t>2.35</w:t>
                  </w:r>
                </w:p>
              </w:tc>
              <w:tc>
                <w:tcPr>
                  <w:tcW w:w="1276" w:type="dxa"/>
                  <w:tcBorders>
                    <w:top w:val="nil"/>
                    <w:left w:val="nil"/>
                    <w:bottom w:val="single" w:sz="8" w:space="0" w:color="auto"/>
                    <w:right w:val="single" w:sz="8" w:space="0" w:color="auto"/>
                  </w:tcBorders>
                  <w:shd w:val="clear" w:color="auto" w:fill="auto"/>
                </w:tcPr>
                <w:p w14:paraId="180BC2F6" w14:textId="09F68ADD" w:rsidR="004B5F74" w:rsidRPr="00CD51B6" w:rsidRDefault="00BF31E3" w:rsidP="004B5F74">
                  <w:pPr>
                    <w:jc w:val="center"/>
                    <w:rPr>
                      <w:rFonts w:eastAsia="標楷體"/>
                    </w:rPr>
                  </w:pPr>
                  <w:r>
                    <w:rPr>
                      <w:rFonts w:eastAsia="標楷體" w:hint="eastAsia"/>
                    </w:rPr>
                    <w:t>2.26</w:t>
                  </w:r>
                </w:p>
              </w:tc>
              <w:tc>
                <w:tcPr>
                  <w:tcW w:w="1300" w:type="dxa"/>
                  <w:tcBorders>
                    <w:top w:val="nil"/>
                    <w:left w:val="nil"/>
                    <w:bottom w:val="single" w:sz="8" w:space="0" w:color="auto"/>
                    <w:right w:val="single" w:sz="8" w:space="0" w:color="auto"/>
                  </w:tcBorders>
                  <w:shd w:val="clear" w:color="auto" w:fill="auto"/>
                  <w:vAlign w:val="center"/>
                </w:tcPr>
                <w:p w14:paraId="16431496" w14:textId="33AD3B11" w:rsidR="004B5F74" w:rsidRPr="00CD51B6" w:rsidRDefault="00E4567D" w:rsidP="004B5F74">
                  <w:pPr>
                    <w:jc w:val="center"/>
                    <w:rPr>
                      <w:rFonts w:eastAsia="標楷體"/>
                    </w:rPr>
                  </w:pPr>
                  <w:r>
                    <w:rPr>
                      <w:rFonts w:eastAsia="標楷體" w:hint="eastAsia"/>
                    </w:rPr>
                    <w:t>2.31</w:t>
                  </w:r>
                </w:p>
              </w:tc>
            </w:tr>
            <w:tr w:rsidR="004B5F74" w:rsidRPr="00CD51B6" w14:paraId="7FBE8920" w14:textId="77777777" w:rsidTr="004B5F74">
              <w:trPr>
                <w:trHeight w:val="283"/>
                <w:jc w:val="right"/>
              </w:trPr>
              <w:tc>
                <w:tcPr>
                  <w:tcW w:w="1853" w:type="dxa"/>
                  <w:tcBorders>
                    <w:top w:val="nil"/>
                    <w:left w:val="single" w:sz="8" w:space="0" w:color="auto"/>
                    <w:bottom w:val="single" w:sz="8" w:space="0" w:color="auto"/>
                    <w:right w:val="single" w:sz="8" w:space="0" w:color="auto"/>
                  </w:tcBorders>
                  <w:shd w:val="clear" w:color="auto" w:fill="auto"/>
                </w:tcPr>
                <w:p w14:paraId="1E634E42" w14:textId="77777777" w:rsidR="004B5F74" w:rsidRPr="00CD51B6" w:rsidRDefault="004B5F74" w:rsidP="004B5F74">
                  <w:pPr>
                    <w:spacing w:line="300" w:lineRule="exact"/>
                    <w:ind w:rightChars="-21" w:right="-50"/>
                    <w:rPr>
                      <w:rFonts w:eastAsia="標楷體"/>
                    </w:rPr>
                  </w:pPr>
                  <w:r w:rsidRPr="00CD51B6">
                    <w:rPr>
                      <w:rFonts w:eastAsia="標楷體"/>
                    </w:rPr>
                    <w:t>生技醫療類</w:t>
                  </w:r>
                  <w:r w:rsidRPr="00CD51B6">
                    <w:rPr>
                      <w:rFonts w:eastAsia="標楷體"/>
                    </w:rPr>
                    <w:t>-</w:t>
                  </w:r>
                  <w:r w:rsidRPr="00CD51B6">
                    <w:rPr>
                      <w:rFonts w:eastAsia="標楷體"/>
                    </w:rPr>
                    <w:t>上櫃</w:t>
                  </w:r>
                </w:p>
              </w:tc>
              <w:tc>
                <w:tcPr>
                  <w:tcW w:w="1276" w:type="dxa"/>
                  <w:tcBorders>
                    <w:top w:val="nil"/>
                    <w:left w:val="nil"/>
                    <w:bottom w:val="single" w:sz="8" w:space="0" w:color="auto"/>
                    <w:right w:val="single" w:sz="8" w:space="0" w:color="auto"/>
                  </w:tcBorders>
                  <w:shd w:val="clear" w:color="auto" w:fill="auto"/>
                  <w:vAlign w:val="center"/>
                </w:tcPr>
                <w:p w14:paraId="62BDEC2D" w14:textId="7EA5E490" w:rsidR="004B5F74" w:rsidRPr="00CD51B6" w:rsidRDefault="004B5F74" w:rsidP="004B5F74">
                  <w:pPr>
                    <w:widowControl/>
                    <w:jc w:val="center"/>
                    <w:rPr>
                      <w:rFonts w:eastAsia="標楷體"/>
                      <w:kern w:val="0"/>
                    </w:rPr>
                  </w:pPr>
                  <w:r w:rsidRPr="00CD51B6">
                    <w:rPr>
                      <w:rFonts w:eastAsia="標楷體"/>
                      <w:kern w:val="0"/>
                    </w:rPr>
                    <w:t>3.6</w:t>
                  </w:r>
                  <w:r w:rsidRPr="00CD51B6">
                    <w:rPr>
                      <w:rFonts w:eastAsia="標楷體" w:hint="eastAsia"/>
                      <w:kern w:val="0"/>
                    </w:rPr>
                    <w:t>2</w:t>
                  </w:r>
                </w:p>
              </w:tc>
              <w:tc>
                <w:tcPr>
                  <w:tcW w:w="1417" w:type="dxa"/>
                  <w:tcBorders>
                    <w:top w:val="nil"/>
                    <w:left w:val="nil"/>
                    <w:bottom w:val="single" w:sz="8" w:space="0" w:color="auto"/>
                    <w:right w:val="single" w:sz="8" w:space="0" w:color="auto"/>
                  </w:tcBorders>
                  <w:shd w:val="clear" w:color="auto" w:fill="auto"/>
                </w:tcPr>
                <w:p w14:paraId="2B1A6F03" w14:textId="6972A058" w:rsidR="004B5F74" w:rsidRPr="00CD51B6" w:rsidRDefault="004B5F74" w:rsidP="004B5F74">
                  <w:pPr>
                    <w:widowControl/>
                    <w:jc w:val="center"/>
                    <w:rPr>
                      <w:rFonts w:eastAsia="標楷體"/>
                      <w:kern w:val="0"/>
                    </w:rPr>
                  </w:pPr>
                  <w:r w:rsidRPr="00CD51B6">
                    <w:rPr>
                      <w:rFonts w:eastAsia="標楷體"/>
                    </w:rPr>
                    <w:t>3.49</w:t>
                  </w:r>
                </w:p>
              </w:tc>
              <w:tc>
                <w:tcPr>
                  <w:tcW w:w="1276" w:type="dxa"/>
                  <w:tcBorders>
                    <w:top w:val="nil"/>
                    <w:left w:val="nil"/>
                    <w:bottom w:val="single" w:sz="8" w:space="0" w:color="auto"/>
                    <w:right w:val="single" w:sz="8" w:space="0" w:color="auto"/>
                  </w:tcBorders>
                  <w:shd w:val="clear" w:color="auto" w:fill="auto"/>
                </w:tcPr>
                <w:p w14:paraId="302198D0" w14:textId="2B892FF3" w:rsidR="004B5F74" w:rsidRPr="00CD51B6" w:rsidRDefault="006E1246" w:rsidP="004B5F74">
                  <w:pPr>
                    <w:jc w:val="center"/>
                    <w:rPr>
                      <w:rFonts w:eastAsia="標楷體"/>
                    </w:rPr>
                  </w:pPr>
                  <w:r w:rsidRPr="006E1246">
                    <w:rPr>
                      <w:rFonts w:eastAsia="標楷體"/>
                    </w:rPr>
                    <w:t>3.37</w:t>
                  </w:r>
                </w:p>
              </w:tc>
              <w:tc>
                <w:tcPr>
                  <w:tcW w:w="1300" w:type="dxa"/>
                  <w:tcBorders>
                    <w:top w:val="nil"/>
                    <w:left w:val="nil"/>
                    <w:bottom w:val="single" w:sz="8" w:space="0" w:color="auto"/>
                    <w:right w:val="single" w:sz="8" w:space="0" w:color="auto"/>
                  </w:tcBorders>
                  <w:shd w:val="clear" w:color="auto" w:fill="auto"/>
                  <w:vAlign w:val="center"/>
                </w:tcPr>
                <w:p w14:paraId="13F02B6C" w14:textId="53B6D9DA" w:rsidR="004B5F74" w:rsidRPr="00CD51B6" w:rsidRDefault="00E4567D" w:rsidP="004B5F74">
                  <w:pPr>
                    <w:jc w:val="center"/>
                    <w:rPr>
                      <w:rFonts w:eastAsia="標楷體"/>
                    </w:rPr>
                  </w:pPr>
                  <w:r>
                    <w:rPr>
                      <w:rFonts w:eastAsia="標楷體" w:hint="eastAsia"/>
                    </w:rPr>
                    <w:t>3.49</w:t>
                  </w:r>
                </w:p>
              </w:tc>
            </w:tr>
          </w:tbl>
          <w:p w14:paraId="4B9F87FC" w14:textId="77777777" w:rsidR="00B32771" w:rsidRPr="00CD51B6" w:rsidRDefault="00B32771" w:rsidP="00B32771">
            <w:pPr>
              <w:adjustRightInd w:val="0"/>
              <w:snapToGrid w:val="0"/>
              <w:spacing w:line="240" w:lineRule="exact"/>
              <w:ind w:firstLineChars="60" w:firstLine="120"/>
              <w:jc w:val="both"/>
              <w:textAlignment w:val="baseline"/>
              <w:rPr>
                <w:rFonts w:eastAsia="標楷體"/>
                <w:sz w:val="20"/>
              </w:rPr>
            </w:pPr>
            <w:r w:rsidRPr="00CD51B6">
              <w:rPr>
                <w:rFonts w:eastAsia="標楷體"/>
                <w:sz w:val="20"/>
              </w:rPr>
              <w:t>資料來源：財團法人中華民國證券櫃檯買賣中心及台灣證券交易所網站</w:t>
            </w:r>
          </w:p>
          <w:p w14:paraId="05947C8C" w14:textId="3FE43025" w:rsidR="000E3F79" w:rsidRPr="00712A14" w:rsidRDefault="004C3DE1" w:rsidP="00AE291E">
            <w:pPr>
              <w:spacing w:line="340" w:lineRule="exact"/>
              <w:ind w:leftChars="309" w:left="742" w:firstLineChars="210" w:firstLine="504"/>
              <w:jc w:val="both"/>
              <w:rPr>
                <w:rFonts w:eastAsia="標楷體"/>
              </w:rPr>
            </w:pPr>
            <w:r w:rsidRPr="00712A14">
              <w:rPr>
                <w:rFonts w:eastAsia="標楷體"/>
                <w:kern w:val="0"/>
              </w:rPr>
              <w:t>採樣公司及上市櫃</w:t>
            </w:r>
            <w:r w:rsidRPr="00712A14">
              <w:rPr>
                <w:rFonts w:eastAsia="標楷體" w:hint="eastAsia"/>
                <w:kern w:val="0"/>
              </w:rPr>
              <w:t>生技醫療</w:t>
            </w:r>
            <w:r w:rsidRPr="00712A14">
              <w:rPr>
                <w:rFonts w:eastAsia="標楷體"/>
                <w:kern w:val="0"/>
              </w:rPr>
              <w:t>類股</w:t>
            </w:r>
            <w:r w:rsidRPr="00712A14">
              <w:rPr>
                <w:rFonts w:eastAsia="標楷體" w:hint="eastAsia"/>
                <w:kern w:val="0"/>
              </w:rPr>
              <w:t>1</w:t>
            </w:r>
            <w:r w:rsidRPr="00712A14">
              <w:rPr>
                <w:rFonts w:eastAsia="標楷體"/>
                <w:kern w:val="0"/>
              </w:rPr>
              <w:t>10</w:t>
            </w:r>
            <w:r w:rsidRPr="00712A14">
              <w:rPr>
                <w:rFonts w:eastAsia="標楷體"/>
                <w:kern w:val="0"/>
              </w:rPr>
              <w:t>年</w:t>
            </w:r>
            <w:r w:rsidR="00E4567D" w:rsidRPr="00712A14">
              <w:rPr>
                <w:rFonts w:eastAsia="標楷體"/>
                <w:kern w:val="0"/>
              </w:rPr>
              <w:t>6</w:t>
            </w:r>
            <w:r w:rsidRPr="00712A14">
              <w:rPr>
                <w:rFonts w:eastAsia="標楷體"/>
                <w:kern w:val="0"/>
              </w:rPr>
              <w:t>月至</w:t>
            </w:r>
            <w:r w:rsidR="00E4567D" w:rsidRPr="00712A14">
              <w:rPr>
                <w:rFonts w:eastAsia="標楷體"/>
                <w:kern w:val="0"/>
              </w:rPr>
              <w:t>8</w:t>
            </w:r>
            <w:r w:rsidRPr="00712A14">
              <w:rPr>
                <w:rFonts w:eastAsia="標楷體" w:hint="eastAsia"/>
                <w:kern w:val="0"/>
              </w:rPr>
              <w:t>月</w:t>
            </w:r>
            <w:r w:rsidRPr="00712A14">
              <w:rPr>
                <w:rFonts w:eastAsia="標楷體"/>
                <w:kern w:val="0"/>
              </w:rPr>
              <w:t>之平均股價淨值比</w:t>
            </w:r>
            <w:r w:rsidRPr="00712A14">
              <w:rPr>
                <w:rFonts w:eastAsia="標楷體" w:hint="eastAsia"/>
                <w:kern w:val="0"/>
              </w:rPr>
              <w:t>如上表，</w:t>
            </w:r>
            <w:r w:rsidRPr="00712A14">
              <w:rPr>
                <w:rFonts w:ascii="標楷體" w:eastAsia="標楷體" w:hAnsi="標楷體" w:hint="eastAsia"/>
              </w:rPr>
              <w:t>所採樣同業平均</w:t>
            </w:r>
            <w:r w:rsidRPr="00712A14">
              <w:rPr>
                <w:rFonts w:eastAsia="標楷體"/>
                <w:kern w:val="0"/>
              </w:rPr>
              <w:t>為</w:t>
            </w:r>
            <w:r w:rsidR="00E4567D" w:rsidRPr="00712A14">
              <w:rPr>
                <w:rFonts w:eastAsia="標楷體" w:hint="eastAsia"/>
              </w:rPr>
              <w:t>2</w:t>
            </w:r>
            <w:r w:rsidR="00E4567D" w:rsidRPr="00712A14">
              <w:rPr>
                <w:rFonts w:eastAsia="標楷體"/>
              </w:rPr>
              <w:t>.25</w:t>
            </w:r>
            <w:r w:rsidRPr="00712A14">
              <w:rPr>
                <w:rFonts w:eastAsia="標楷體" w:hint="eastAsia"/>
                <w:kern w:val="0"/>
              </w:rPr>
              <w:t>倍</w:t>
            </w:r>
            <w:r w:rsidRPr="00712A14">
              <w:rPr>
                <w:rFonts w:eastAsia="標楷體"/>
                <w:kern w:val="0"/>
              </w:rPr>
              <w:t>~</w:t>
            </w:r>
            <w:r w:rsidR="00E4567D" w:rsidRPr="00712A14">
              <w:rPr>
                <w:rFonts w:eastAsia="標楷體" w:hint="eastAsia"/>
              </w:rPr>
              <w:t>7.78</w:t>
            </w:r>
            <w:r w:rsidRPr="00712A14">
              <w:rPr>
                <w:rFonts w:eastAsia="標楷體" w:hint="eastAsia"/>
                <w:kern w:val="0"/>
              </w:rPr>
              <w:t>倍</w:t>
            </w:r>
            <w:r w:rsidRPr="00712A14">
              <w:rPr>
                <w:rFonts w:eastAsia="標楷體"/>
                <w:kern w:val="0"/>
              </w:rPr>
              <w:t>之間，</w:t>
            </w:r>
            <w:r w:rsidR="00AE291E" w:rsidRPr="00712A14">
              <w:rPr>
                <w:rFonts w:eastAsia="標楷體" w:hint="eastAsia"/>
              </w:rPr>
              <w:t>考量</w:t>
            </w:r>
            <w:r w:rsidR="000E3F79" w:rsidRPr="00712A14">
              <w:rPr>
                <w:rFonts w:eastAsia="標楷體"/>
              </w:rPr>
              <w:t>該公司</w:t>
            </w:r>
            <w:r w:rsidR="00AE291E" w:rsidRPr="00712A14">
              <w:rPr>
                <w:rFonts w:eastAsia="標楷體" w:hint="eastAsia"/>
              </w:rPr>
              <w:t>已於</w:t>
            </w:r>
            <w:r w:rsidR="00AE291E" w:rsidRPr="00712A14">
              <w:rPr>
                <w:rFonts w:eastAsia="標楷體"/>
              </w:rPr>
              <w:t>110</w:t>
            </w:r>
            <w:r w:rsidR="00AE291E" w:rsidRPr="00712A14">
              <w:rPr>
                <w:rFonts w:eastAsia="標楷體"/>
              </w:rPr>
              <w:t>年</w:t>
            </w:r>
            <w:r w:rsidR="000E3F79" w:rsidRPr="00712A14">
              <w:rPr>
                <w:rFonts w:eastAsia="標楷體"/>
              </w:rPr>
              <w:t>8</w:t>
            </w:r>
            <w:r w:rsidR="000E3F79" w:rsidRPr="00712A14">
              <w:rPr>
                <w:rFonts w:eastAsia="標楷體" w:hint="eastAsia"/>
              </w:rPr>
              <w:t>月份完成之現金增資，</w:t>
            </w:r>
            <w:r w:rsidR="00AE291E" w:rsidRPr="00712A14">
              <w:rPr>
                <w:rFonts w:eastAsia="標楷體" w:hint="eastAsia"/>
              </w:rPr>
              <w:t>依該公司</w:t>
            </w:r>
            <w:r w:rsidR="00AE291E" w:rsidRPr="00712A14">
              <w:rPr>
                <w:rFonts w:eastAsia="標楷體" w:hint="eastAsia"/>
              </w:rPr>
              <w:t>8</w:t>
            </w:r>
            <w:r w:rsidR="00AE291E" w:rsidRPr="00712A14">
              <w:rPr>
                <w:rFonts w:eastAsia="標楷體" w:hint="eastAsia"/>
              </w:rPr>
              <w:t>月</w:t>
            </w:r>
            <w:r w:rsidR="00AE291E" w:rsidRPr="00712A14">
              <w:rPr>
                <w:rFonts w:eastAsia="標楷體" w:hint="eastAsia"/>
              </w:rPr>
              <w:lastRenderedPageBreak/>
              <w:t>自結報表</w:t>
            </w:r>
            <w:r w:rsidR="000E3F79" w:rsidRPr="00712A14">
              <w:rPr>
                <w:rFonts w:eastAsia="標楷體" w:hint="eastAsia"/>
              </w:rPr>
              <w:t>設算</w:t>
            </w:r>
            <w:r w:rsidR="000E3F79" w:rsidRPr="00712A14">
              <w:rPr>
                <w:rFonts w:eastAsia="標楷體"/>
              </w:rPr>
              <w:t>每股淨值</w:t>
            </w:r>
            <w:r w:rsidR="000E3F79" w:rsidRPr="00712A14">
              <w:rPr>
                <w:rFonts w:eastAsia="標楷體"/>
              </w:rPr>
              <w:t>7.71</w:t>
            </w:r>
            <w:r w:rsidR="000E3F79" w:rsidRPr="00712A14">
              <w:rPr>
                <w:rFonts w:eastAsia="標楷體"/>
              </w:rPr>
              <w:t>元為基礎計算，</w:t>
            </w:r>
            <w:r w:rsidR="000E3F79" w:rsidRPr="00712A14">
              <w:rPr>
                <w:rFonts w:eastAsia="標楷體" w:hint="eastAsia"/>
              </w:rPr>
              <w:t>按上述同業公司平均股價淨值比，</w:t>
            </w:r>
            <w:r w:rsidR="000E3F79" w:rsidRPr="00712A14">
              <w:rPr>
                <w:rFonts w:eastAsia="標楷體"/>
              </w:rPr>
              <w:t>排除</w:t>
            </w:r>
            <w:r w:rsidR="000E3F79" w:rsidRPr="00712A14">
              <w:rPr>
                <w:rFonts w:eastAsia="標楷體" w:hint="eastAsia"/>
              </w:rPr>
              <w:t>前後</w:t>
            </w:r>
            <w:r w:rsidR="000E3F79" w:rsidRPr="00712A14">
              <w:rPr>
                <w:rFonts w:eastAsia="標楷體"/>
              </w:rPr>
              <w:t>極端值</w:t>
            </w:r>
            <w:r w:rsidR="000E3F79" w:rsidRPr="00712A14">
              <w:rPr>
                <w:rFonts w:eastAsia="標楷體" w:hint="eastAsia"/>
              </w:rPr>
              <w:t>，以區間</w:t>
            </w:r>
            <w:r w:rsidR="00E4567D" w:rsidRPr="00712A14">
              <w:rPr>
                <w:rFonts w:eastAsia="標楷體" w:hint="eastAsia"/>
              </w:rPr>
              <w:t>2.31</w:t>
            </w:r>
            <w:r w:rsidR="000E3F79" w:rsidRPr="00712A14">
              <w:rPr>
                <w:rFonts w:eastAsia="標楷體" w:hint="eastAsia"/>
              </w:rPr>
              <w:t>倍</w:t>
            </w:r>
            <w:r w:rsidR="000E3F79" w:rsidRPr="00712A14">
              <w:rPr>
                <w:rFonts w:eastAsia="標楷體" w:hint="eastAsia"/>
              </w:rPr>
              <w:t>~</w:t>
            </w:r>
            <w:r w:rsidR="00E4567D" w:rsidRPr="00712A14">
              <w:rPr>
                <w:rFonts w:eastAsia="標楷體" w:hint="eastAsia"/>
              </w:rPr>
              <w:t>6.32</w:t>
            </w:r>
            <w:r w:rsidR="000E3F79" w:rsidRPr="00712A14">
              <w:rPr>
                <w:rFonts w:eastAsia="標楷體" w:hint="eastAsia"/>
              </w:rPr>
              <w:t>倍設算，計</w:t>
            </w:r>
            <w:r w:rsidR="000E3F79" w:rsidRPr="00712A14">
              <w:rPr>
                <w:rFonts w:eastAsia="標楷體"/>
              </w:rPr>
              <w:t>算之參考價格區間為</w:t>
            </w:r>
            <w:r w:rsidR="000E3F79" w:rsidRPr="00712A14">
              <w:rPr>
                <w:rFonts w:eastAsia="標楷體" w:hint="eastAsia"/>
              </w:rPr>
              <w:t>17.8</w:t>
            </w:r>
            <w:r w:rsidR="0087625D" w:rsidRPr="00712A14">
              <w:rPr>
                <w:rFonts w:eastAsia="標楷體" w:hint="eastAsia"/>
              </w:rPr>
              <w:t>1</w:t>
            </w:r>
            <w:r w:rsidR="000E3F79" w:rsidRPr="00712A14">
              <w:rPr>
                <w:rFonts w:eastAsia="標楷體"/>
              </w:rPr>
              <w:t>元至</w:t>
            </w:r>
            <w:r w:rsidR="00E4567D" w:rsidRPr="00712A14">
              <w:rPr>
                <w:rFonts w:eastAsia="標楷體"/>
              </w:rPr>
              <w:t>48.7</w:t>
            </w:r>
            <w:r w:rsidR="0087625D" w:rsidRPr="00712A14">
              <w:rPr>
                <w:rFonts w:eastAsia="標楷體" w:hint="eastAsia"/>
              </w:rPr>
              <w:t>3</w:t>
            </w:r>
            <w:r w:rsidR="000E3F79" w:rsidRPr="00712A14">
              <w:rPr>
                <w:rFonts w:eastAsia="標楷體"/>
              </w:rPr>
              <w:t>元</w:t>
            </w:r>
            <w:r w:rsidR="000E3F79" w:rsidRPr="00712A14">
              <w:rPr>
                <w:rFonts w:eastAsia="標楷體" w:hint="eastAsia"/>
              </w:rPr>
              <w:t>。</w:t>
            </w:r>
          </w:p>
          <w:p w14:paraId="61C3D819" w14:textId="348B02A5" w:rsidR="00B32771" w:rsidRPr="00712A14" w:rsidRDefault="00B32771" w:rsidP="00B32771">
            <w:pPr>
              <w:ind w:firstLineChars="126" w:firstLine="302"/>
              <w:jc w:val="both"/>
              <w:rPr>
                <w:rFonts w:eastAsia="標楷體"/>
              </w:rPr>
            </w:pPr>
            <w:r w:rsidRPr="00712A14">
              <w:rPr>
                <w:rFonts w:eastAsia="標楷體"/>
              </w:rPr>
              <w:t>(</w:t>
            </w:r>
            <w:r w:rsidRPr="00712A14">
              <w:rPr>
                <w:rFonts w:eastAsia="標楷體"/>
              </w:rPr>
              <w:t>二</w:t>
            </w:r>
            <w:r w:rsidRPr="00712A14">
              <w:rPr>
                <w:rFonts w:eastAsia="標楷體"/>
              </w:rPr>
              <w:t>)</w:t>
            </w:r>
            <w:r w:rsidRPr="00712A14">
              <w:rPr>
                <w:rFonts w:eastAsia="標楷體"/>
              </w:rPr>
              <w:t>成本法</w:t>
            </w:r>
          </w:p>
          <w:p w14:paraId="314621B5" w14:textId="77777777" w:rsidR="00B32771" w:rsidRPr="00712A14" w:rsidRDefault="00B32771" w:rsidP="00B32771">
            <w:pPr>
              <w:spacing w:line="340" w:lineRule="exact"/>
              <w:ind w:leftChars="309" w:left="742" w:firstLineChars="210" w:firstLine="504"/>
              <w:jc w:val="both"/>
              <w:rPr>
                <w:rFonts w:eastAsia="標楷體"/>
              </w:rPr>
            </w:pPr>
            <w:r w:rsidRPr="00712A14">
              <w:rPr>
                <w:rFonts w:eastAsia="標楷體"/>
              </w:rPr>
              <w:t>成本法主要概念係認為公司之權益價值可以公平巿價重新評估資產價值，以資產淨額減除負債後的餘額估算，惟成本法係以歷史成本為計算之依據，將忽略通貨膨脹因素且無法表達資產實際經濟價值，並深受財務報表採行之會計原則及方法影響，將可能低估成長型公司之企業價值，因此實際上以成本法評價興櫃公司並不多見，故不予以採用。</w:t>
            </w:r>
          </w:p>
          <w:p w14:paraId="6A87E26F" w14:textId="77777777" w:rsidR="00B32771" w:rsidRPr="00712A14" w:rsidRDefault="00B32771" w:rsidP="00B32771">
            <w:pPr>
              <w:ind w:firstLineChars="132" w:firstLine="317"/>
              <w:jc w:val="both"/>
              <w:rPr>
                <w:rFonts w:eastAsia="標楷體"/>
              </w:rPr>
            </w:pPr>
            <w:r w:rsidRPr="00712A14">
              <w:rPr>
                <w:rFonts w:eastAsia="標楷體"/>
              </w:rPr>
              <w:t>(</w:t>
            </w:r>
            <w:r w:rsidRPr="00712A14">
              <w:rPr>
                <w:rFonts w:eastAsia="標楷體"/>
              </w:rPr>
              <w:t>三</w:t>
            </w:r>
            <w:r w:rsidRPr="00712A14">
              <w:rPr>
                <w:rFonts w:eastAsia="標楷體"/>
              </w:rPr>
              <w:t>)</w:t>
            </w:r>
            <w:r w:rsidRPr="00712A14">
              <w:rPr>
                <w:rFonts w:eastAsia="標楷體"/>
              </w:rPr>
              <w:t>現金流量折現法</w:t>
            </w:r>
          </w:p>
          <w:p w14:paraId="7A06B9AD" w14:textId="77777777" w:rsidR="00B32771" w:rsidRPr="00712A14" w:rsidRDefault="00B32771" w:rsidP="00B32771">
            <w:pPr>
              <w:spacing w:after="240"/>
              <w:ind w:leftChars="309" w:left="742" w:firstLineChars="200" w:firstLine="480"/>
              <w:jc w:val="both"/>
              <w:rPr>
                <w:rFonts w:eastAsia="標楷體"/>
              </w:rPr>
            </w:pPr>
            <w:r w:rsidRPr="00712A14">
              <w:rPr>
                <w:rFonts w:eastAsia="標楷體"/>
              </w:rPr>
              <w:t>在股價評價方法選擇上，考量現金流量折現法因需推估公司未來數年之盈餘及現金流量作為評價之基礎，然而預測期間長，推估營收資料之困難度提高，不確定性風險相對高，亦不能合理評估公司應有之價值，故不予以採用。</w:t>
            </w:r>
          </w:p>
          <w:p w14:paraId="6F0E1DA0" w14:textId="77777777" w:rsidR="00B32771" w:rsidRPr="00712A14" w:rsidRDefault="00B32771" w:rsidP="00B32771">
            <w:pPr>
              <w:jc w:val="both"/>
              <w:rPr>
                <w:rFonts w:eastAsia="標楷體"/>
              </w:rPr>
            </w:pPr>
            <w:r w:rsidRPr="00712A14">
              <w:rPr>
                <w:rFonts w:eastAsia="標楷體"/>
              </w:rPr>
              <w:t>三、推薦證券商與發行人共同議定承銷價格合理性之評估意見。</w:t>
            </w:r>
          </w:p>
          <w:p w14:paraId="5F20859B" w14:textId="68C71BAD" w:rsidR="00CD51B6" w:rsidRPr="00CD51B6" w:rsidRDefault="00B32771" w:rsidP="0066365D">
            <w:pPr>
              <w:ind w:leftChars="219" w:left="526" w:firstLineChars="177" w:firstLine="425"/>
              <w:jc w:val="both"/>
              <w:rPr>
                <w:rFonts w:ascii="新細明體" w:hAnsi="新細明體"/>
                <w:sz w:val="20"/>
                <w:szCs w:val="20"/>
              </w:rPr>
            </w:pPr>
            <w:r w:rsidRPr="00712A14">
              <w:rPr>
                <w:rFonts w:eastAsia="標楷體"/>
              </w:rPr>
              <w:t>經參考採樣同業之股價淨值比價格區間為每股</w:t>
            </w:r>
            <w:r w:rsidR="00775E68" w:rsidRPr="00712A14">
              <w:rPr>
                <w:rFonts w:eastAsia="標楷體" w:hint="eastAsia"/>
              </w:rPr>
              <w:t>17.8</w:t>
            </w:r>
            <w:r w:rsidR="00712A14" w:rsidRPr="00712A14">
              <w:rPr>
                <w:rFonts w:eastAsia="標楷體" w:hint="eastAsia"/>
              </w:rPr>
              <w:t>1</w:t>
            </w:r>
            <w:r w:rsidR="00775E68" w:rsidRPr="00712A14">
              <w:rPr>
                <w:rFonts w:eastAsia="標楷體" w:hint="eastAsia"/>
              </w:rPr>
              <w:t>元至</w:t>
            </w:r>
            <w:r w:rsidR="00775E68" w:rsidRPr="00712A14">
              <w:rPr>
                <w:rFonts w:eastAsia="標楷體" w:hint="eastAsia"/>
              </w:rPr>
              <w:t>48.7</w:t>
            </w:r>
            <w:r w:rsidR="00712A14" w:rsidRPr="00712A14">
              <w:rPr>
                <w:rFonts w:eastAsia="標楷體"/>
              </w:rPr>
              <w:t>3</w:t>
            </w:r>
            <w:r w:rsidR="00775E68" w:rsidRPr="00712A14">
              <w:rPr>
                <w:rFonts w:eastAsia="標楷體" w:hint="eastAsia"/>
              </w:rPr>
              <w:t>元</w:t>
            </w:r>
            <w:r w:rsidRPr="00712A14">
              <w:rPr>
                <w:rFonts w:eastAsia="標楷體"/>
              </w:rPr>
              <w:t>，又參酌該公司經營績效、所處市場環境、產業未來成長性及同業之市場狀況，並考量興櫃巿場流動性不足之風險後，本推薦證券商與發行公司共同議定興櫃認購價格為每股</w:t>
            </w:r>
            <w:r w:rsidRPr="00712A14">
              <w:rPr>
                <w:rFonts w:eastAsia="標楷體"/>
              </w:rPr>
              <w:t>3</w:t>
            </w:r>
            <w:r w:rsidR="001A6992" w:rsidRPr="00712A14">
              <w:rPr>
                <w:rFonts w:eastAsia="標楷體" w:hint="eastAsia"/>
              </w:rPr>
              <w:t>5</w:t>
            </w:r>
            <w:r w:rsidRPr="00712A14">
              <w:rPr>
                <w:rFonts w:eastAsia="標楷體"/>
              </w:rPr>
              <w:t>元</w:t>
            </w:r>
            <w:r w:rsidRPr="00CD51B6">
              <w:rPr>
                <w:rFonts w:eastAsia="標楷體"/>
              </w:rPr>
              <w:t>，應屬合理。</w:t>
            </w:r>
          </w:p>
        </w:tc>
      </w:tr>
      <w:bookmarkStart w:id="2" w:name="公司簡介"/>
      <w:bookmarkEnd w:id="2"/>
      <w:tr w:rsidR="00161123" w14:paraId="74C3168E" w14:textId="77777777" w:rsidTr="00A6106F">
        <w:tblPrEx>
          <w:tblCellMar>
            <w:left w:w="28" w:type="dxa"/>
            <w:right w:w="28" w:type="dxa"/>
          </w:tblCellMar>
          <w:tblLook w:val="0000" w:firstRow="0" w:lastRow="0" w:firstColumn="0" w:lastColumn="0" w:noHBand="0" w:noVBand="0"/>
        </w:tblPrEx>
        <w:trPr>
          <w:gridAfter w:val="1"/>
          <w:wAfter w:w="38" w:type="dxa"/>
          <w:trHeight w:val="768"/>
        </w:trPr>
        <w:tc>
          <w:tcPr>
            <w:tcW w:w="9568" w:type="dxa"/>
            <w:gridSpan w:val="4"/>
          </w:tcPr>
          <w:p w14:paraId="0C09F32F" w14:textId="27CC9424" w:rsidR="00161123" w:rsidRDefault="00041E13">
            <w:pPr>
              <w:spacing w:line="480" w:lineRule="auto"/>
              <w:jc w:val="center"/>
              <w:rPr>
                <w:rFonts w:ascii="新細明體" w:hAnsi="新細明體"/>
                <w:b/>
                <w:bCs/>
              </w:rPr>
            </w:pPr>
            <w:r w:rsidRPr="00D959C5">
              <w:rPr>
                <w:rFonts w:ascii="標楷體" w:eastAsia="標楷體" w:hAnsi="標楷體"/>
                <w:b/>
                <w:bCs/>
                <w:noProof/>
              </w:rPr>
              <w:lastRenderedPageBreak/>
              <mc:AlternateContent>
                <mc:Choice Requires="wps">
                  <w:drawing>
                    <wp:anchor distT="0" distB="0" distL="114300" distR="114300" simplePos="0" relativeHeight="251651584" behindDoc="1" locked="0" layoutInCell="1" allowOverlap="1" wp14:anchorId="1D5ED6E8" wp14:editId="5027F41B">
                      <wp:simplePos x="0" y="0"/>
                      <wp:positionH relativeFrom="column">
                        <wp:posOffset>-13970</wp:posOffset>
                      </wp:positionH>
                      <wp:positionV relativeFrom="paragraph">
                        <wp:posOffset>-6350</wp:posOffset>
                      </wp:positionV>
                      <wp:extent cx="6057900" cy="502285"/>
                      <wp:effectExtent l="1270" t="254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01761" w14:textId="77777777" w:rsidR="00575729" w:rsidRDefault="005757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D6E8" id="Text Box 53" o:spid="_x0000_s1028" type="#_x0000_t202" style="position:absolute;left:0;text-align:left;margin-left:-1.1pt;margin-top:-.5pt;width:477pt;height:3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" fillcolor="#ededed" stroked="f">
                      <v:fill rotate="t" focus="50%" type="gradient"/>
                      <v:textbox>
                        <w:txbxContent>
                          <w:p w14:paraId="4EF01761" w14:textId="77777777" w:rsidR="00575729" w:rsidRDefault="00575729"/>
                        </w:txbxContent>
                      </v:textbox>
                    </v:shape>
                  </w:pict>
                </mc:Fallback>
              </mc:AlternateContent>
            </w:r>
            <w:r w:rsidR="00161123" w:rsidRPr="00D959C5">
              <w:rPr>
                <w:rFonts w:ascii="標楷體" w:eastAsia="標楷體" w:hAnsi="標楷體"/>
                <w:b/>
                <w:bCs/>
              </w:rPr>
              <w:t>公司簡介(公司介紹、歷史沿革、經營理念、未來展望等)</w:t>
            </w:r>
          </w:p>
        </w:tc>
      </w:tr>
      <w:tr w:rsidR="00161123" w14:paraId="4AC2253A" w14:textId="77777777" w:rsidTr="00A6106F">
        <w:tblPrEx>
          <w:tblCellMar>
            <w:left w:w="28" w:type="dxa"/>
            <w:right w:w="28" w:type="dxa"/>
          </w:tblCellMar>
          <w:tblLook w:val="0000" w:firstRow="0" w:lastRow="0" w:firstColumn="0" w:lastColumn="0" w:noHBand="0" w:noVBand="0"/>
        </w:tblPrEx>
        <w:trPr>
          <w:gridAfter w:val="1"/>
          <w:wAfter w:w="38" w:type="dxa"/>
        </w:trPr>
        <w:tc>
          <w:tcPr>
            <w:tcW w:w="9568" w:type="dxa"/>
            <w:gridSpan w:val="4"/>
          </w:tcPr>
          <w:p w14:paraId="2EC2E3C2" w14:textId="77777777" w:rsidR="00541FDE" w:rsidRPr="00D959C5" w:rsidRDefault="00541FDE" w:rsidP="00541FDE">
            <w:pPr>
              <w:pStyle w:val="HTML"/>
              <w:spacing w:line="280" w:lineRule="exact"/>
              <w:rPr>
                <w:rStyle w:val="HTML1"/>
                <w:rFonts w:ascii="標楷體" w:eastAsia="標楷體" w:hAnsi="標楷體" w:cs="Times New Roman"/>
                <w:sz w:val="24"/>
                <w:szCs w:val="24"/>
              </w:rPr>
            </w:pPr>
            <w:r w:rsidRPr="00D959C5">
              <w:rPr>
                <w:rStyle w:val="HTML1"/>
                <w:rFonts w:ascii="標楷體" w:eastAsia="標楷體" w:hAnsi="標楷體" w:cs="Times New Roman" w:hint="eastAsia"/>
                <w:sz w:val="24"/>
                <w:szCs w:val="24"/>
              </w:rPr>
              <w:t>一、公司介紹</w:t>
            </w:r>
          </w:p>
          <w:p w14:paraId="05A857B5" w14:textId="5AFCC69F" w:rsidR="00541FDE" w:rsidRPr="00BF2E8D" w:rsidRDefault="009F6DA5" w:rsidP="00273660">
            <w:pPr>
              <w:pStyle w:val="af1"/>
              <w:ind w:leftChars="0" w:left="540" w:firstLineChars="177" w:firstLine="425"/>
              <w:jc w:val="both"/>
              <w:rPr>
                <w:rStyle w:val="HTML1"/>
                <w:rFonts w:ascii="Times New Roman" w:eastAsia="標楷體" w:hAnsi="Times New Roman" w:cs="Times New Roman"/>
                <w:color w:val="000000"/>
                <w:sz w:val="24"/>
                <w:szCs w:val="24"/>
              </w:rPr>
            </w:pPr>
            <w:r w:rsidRPr="00BF2E8D">
              <w:rPr>
                <w:rStyle w:val="HTML1"/>
                <w:rFonts w:ascii="Times New Roman" w:eastAsia="標楷體" w:hAnsi="Times New Roman" w:cs="Times New Roman"/>
                <w:color w:val="000000"/>
                <w:sz w:val="24"/>
                <w:szCs w:val="24"/>
              </w:rPr>
              <w:t>巨生生醫</w:t>
            </w:r>
            <w:r w:rsidR="00541FDE" w:rsidRPr="00BF2E8D">
              <w:rPr>
                <w:rStyle w:val="HTML1"/>
                <w:rFonts w:ascii="Times New Roman" w:eastAsia="標楷體" w:hAnsi="Times New Roman" w:cs="Times New Roman"/>
                <w:color w:val="000000"/>
                <w:sz w:val="24"/>
                <w:szCs w:val="24"/>
              </w:rPr>
              <w:t>股份有限公司</w:t>
            </w:r>
            <w:r w:rsidR="00541FDE" w:rsidRPr="00BF2E8D">
              <w:rPr>
                <w:rStyle w:val="HTML1"/>
                <w:rFonts w:ascii="Times New Roman" w:eastAsia="標楷體" w:hAnsi="Times New Roman" w:cs="Times New Roman"/>
                <w:color w:val="000000"/>
                <w:sz w:val="24"/>
                <w:szCs w:val="24"/>
              </w:rPr>
              <w:t xml:space="preserve"> (</w:t>
            </w:r>
            <w:r w:rsidR="00541FDE" w:rsidRPr="00BF2E8D">
              <w:rPr>
                <w:rStyle w:val="HTML1"/>
                <w:rFonts w:ascii="Times New Roman" w:eastAsia="標楷體" w:hAnsi="Times New Roman" w:cs="Times New Roman"/>
                <w:color w:val="000000"/>
                <w:sz w:val="24"/>
                <w:szCs w:val="24"/>
              </w:rPr>
              <w:t>簡稱</w:t>
            </w:r>
            <w:r w:rsidRPr="00BF2E8D">
              <w:rPr>
                <w:rStyle w:val="HTML1"/>
                <w:rFonts w:ascii="Times New Roman" w:eastAsia="標楷體" w:hAnsi="Times New Roman" w:cs="Times New Roman"/>
                <w:color w:val="000000"/>
                <w:sz w:val="24"/>
                <w:szCs w:val="24"/>
              </w:rPr>
              <w:t>巨生</w:t>
            </w:r>
            <w:r w:rsidR="00541FDE" w:rsidRPr="00BF2E8D">
              <w:rPr>
                <w:rStyle w:val="HTML1"/>
                <w:rFonts w:ascii="Times New Roman" w:eastAsia="標楷體" w:hAnsi="Times New Roman" w:cs="Times New Roman"/>
                <w:color w:val="000000"/>
                <w:sz w:val="24"/>
                <w:szCs w:val="24"/>
              </w:rPr>
              <w:t>醫或該公司</w:t>
            </w:r>
            <w:r w:rsidR="00541FDE" w:rsidRPr="00BF2E8D">
              <w:rPr>
                <w:rStyle w:val="HTML1"/>
                <w:rFonts w:ascii="Times New Roman" w:eastAsia="標楷體" w:hAnsi="Times New Roman" w:cs="Times New Roman"/>
                <w:color w:val="000000"/>
                <w:sz w:val="24"/>
                <w:szCs w:val="24"/>
              </w:rPr>
              <w:t xml:space="preserve">) </w:t>
            </w:r>
            <w:r w:rsidRPr="00BF2E8D">
              <w:rPr>
                <w:rFonts w:ascii="Times New Roman" w:eastAsia="標楷體" w:hAnsi="Times New Roman" w:cs="Times New Roman"/>
                <w:szCs w:val="24"/>
              </w:rPr>
              <w:t>專注奈米藥物與劑型開發的新創公司，已成功運用奈米藥物平臺開發新藥，完成多項臨床前期的開發，主要擁有兩個奈米技術平台</w:t>
            </w:r>
            <w:r w:rsidRPr="00BF2E8D">
              <w:rPr>
                <w:rFonts w:ascii="Times New Roman" w:eastAsia="標楷體" w:hAnsi="Times New Roman" w:cs="Times New Roman"/>
                <w:szCs w:val="24"/>
              </w:rPr>
              <w:t>-</w:t>
            </w:r>
            <w:r w:rsidRPr="00BF2E8D">
              <w:rPr>
                <w:rFonts w:ascii="Times New Roman" w:eastAsia="標楷體" w:hAnsi="Times New Roman" w:cs="Times New Roman"/>
                <w:szCs w:val="24"/>
              </w:rPr>
              <w:t>『奈米微粒』及『奈米微胞』，其中奈米微粒技轉自工研院所研發之氧化鐵奈米微粒</w:t>
            </w:r>
            <w:r w:rsidRPr="00BF2E8D">
              <w:rPr>
                <w:rFonts w:ascii="Times New Roman" w:eastAsia="標楷體" w:hAnsi="Times New Roman" w:cs="Times New Roman"/>
                <w:szCs w:val="24"/>
              </w:rPr>
              <w:t>(IOP)</w:t>
            </w:r>
            <w:r w:rsidRPr="00BF2E8D">
              <w:rPr>
                <w:rFonts w:ascii="Times New Roman" w:eastAsia="標楷體" w:hAnsi="Times New Roman" w:cs="Times New Roman"/>
                <w:szCs w:val="24"/>
              </w:rPr>
              <w:t>，運用此二項技術平台</w:t>
            </w:r>
            <w:r w:rsidRPr="00BF2E8D">
              <w:rPr>
                <w:rFonts w:ascii="Times New Roman" w:eastAsia="新細明體" w:hAnsi="Times New Roman" w:cs="Times New Roman"/>
                <w:szCs w:val="24"/>
              </w:rPr>
              <w:t>，</w:t>
            </w:r>
            <w:r w:rsidRPr="00BF2E8D">
              <w:rPr>
                <w:rFonts w:ascii="Times New Roman" w:eastAsia="標楷體" w:hAnsi="Times New Roman" w:cs="Times New Roman"/>
                <w:szCs w:val="24"/>
              </w:rPr>
              <w:t>已有兩項產品分別完成臨床二</w:t>
            </w:r>
            <w:r w:rsidRPr="00BF2E8D">
              <w:rPr>
                <w:rFonts w:ascii="Times New Roman" w:eastAsia="標楷體" w:hAnsi="Times New Roman" w:cs="Times New Roman"/>
                <w:szCs w:val="24"/>
              </w:rPr>
              <w:t>a</w:t>
            </w:r>
            <w:r w:rsidRPr="00BF2E8D">
              <w:rPr>
                <w:rFonts w:ascii="Times New Roman" w:eastAsia="標楷體" w:hAnsi="Times New Roman" w:cs="Times New Roman"/>
                <w:szCs w:val="24"/>
              </w:rPr>
              <w:t>期及臨床二期試驗收案</w:t>
            </w:r>
            <w:r w:rsidRPr="00BF2E8D">
              <w:rPr>
                <w:rFonts w:ascii="Times New Roman" w:eastAsia="新細明體" w:hAnsi="Times New Roman" w:cs="Times New Roman"/>
                <w:szCs w:val="24"/>
              </w:rPr>
              <w:t>，</w:t>
            </w:r>
            <w:r w:rsidRPr="00BF2E8D">
              <w:rPr>
                <w:rFonts w:ascii="Times New Roman" w:eastAsia="標楷體" w:hAnsi="Times New Roman" w:cs="Times New Roman"/>
                <w:szCs w:val="24"/>
              </w:rPr>
              <w:t>其中前者</w:t>
            </w:r>
            <w:r w:rsidRPr="00BF2E8D">
              <w:rPr>
                <w:rFonts w:ascii="Times New Roman" w:eastAsia="標楷體" w:hAnsi="Times New Roman" w:cs="Times New Roman"/>
                <w:szCs w:val="24"/>
              </w:rPr>
              <w:t>MPB-1514</w:t>
            </w:r>
            <w:r w:rsidRPr="00BF2E8D">
              <w:rPr>
                <w:rFonts w:ascii="Times New Roman" w:eastAsia="標楷體" w:hAnsi="Times New Roman" w:cs="Times New Roman"/>
                <w:szCs w:val="24"/>
              </w:rPr>
              <w:t>缺鐵性貧血鐵劑補充劑是目前市面唯一非醣類製作的注射型鐵劑，並且在更低的劑量下即達到治療標的</w:t>
            </w:r>
            <w:r w:rsidRPr="00BF2E8D">
              <w:rPr>
                <w:rFonts w:ascii="Times New Roman" w:eastAsia="標楷體" w:hAnsi="Times New Roman" w:cs="Times New Roman"/>
                <w:szCs w:val="24"/>
              </w:rPr>
              <w:t xml:space="preserve">; </w:t>
            </w:r>
            <w:r w:rsidRPr="00BF2E8D">
              <w:rPr>
                <w:rFonts w:ascii="Times New Roman" w:eastAsia="標楷體" w:hAnsi="Times New Roman" w:cs="Times New Roman"/>
                <w:szCs w:val="24"/>
              </w:rPr>
              <w:t>以及後者</w:t>
            </w:r>
            <w:r w:rsidRPr="00BF2E8D">
              <w:rPr>
                <w:rFonts w:ascii="Times New Roman" w:eastAsia="標楷體" w:hAnsi="Times New Roman" w:cs="Times New Roman"/>
                <w:szCs w:val="24"/>
              </w:rPr>
              <w:t>MPB-1523</w:t>
            </w:r>
            <w:r w:rsidRPr="00BF2E8D">
              <w:rPr>
                <w:rFonts w:ascii="Times New Roman" w:eastAsia="標楷體" w:hAnsi="Times New Roman" w:cs="Times New Roman"/>
                <w:szCs w:val="24"/>
              </w:rPr>
              <w:t>非重金屬製成針對檢測肝細胞癌的</w:t>
            </w:r>
            <w:r w:rsidRPr="00BF2E8D">
              <w:rPr>
                <w:rFonts w:ascii="Times New Roman" w:eastAsia="標楷體" w:hAnsi="Times New Roman" w:cs="Times New Roman"/>
                <w:szCs w:val="24"/>
              </w:rPr>
              <w:t>MRI</w:t>
            </w:r>
            <w:r w:rsidRPr="00BF2E8D">
              <w:rPr>
                <w:rFonts w:ascii="Times New Roman" w:eastAsia="標楷體" w:hAnsi="Times New Roman" w:cs="Times New Roman"/>
                <w:szCs w:val="24"/>
              </w:rPr>
              <w:t>顯影劑，避免了</w:t>
            </w:r>
            <w:r w:rsidRPr="00BF2E8D">
              <w:rPr>
                <w:rFonts w:ascii="Times New Roman" w:eastAsia="標楷體" w:hAnsi="Times New Roman" w:cs="Times New Roman"/>
                <w:szCs w:val="24"/>
              </w:rPr>
              <w:t>Gd</w:t>
            </w:r>
            <w:r w:rsidRPr="00BF2E8D">
              <w:rPr>
                <w:rFonts w:ascii="Times New Roman" w:eastAsia="標楷體" w:hAnsi="Times New Roman" w:cs="Times New Roman"/>
                <w:szCs w:val="24"/>
              </w:rPr>
              <w:t>重金屬沈積與引發腎病變的疑慮。</w:t>
            </w:r>
          </w:p>
          <w:p w14:paraId="289CE4C1" w14:textId="4ECBE35E" w:rsidR="00541FDE" w:rsidRPr="00BF2E8D" w:rsidRDefault="009F6DA5" w:rsidP="00273660">
            <w:pPr>
              <w:pStyle w:val="af1"/>
              <w:ind w:leftChars="0" w:left="540" w:firstLineChars="177" w:firstLine="425"/>
              <w:jc w:val="both"/>
              <w:rPr>
                <w:rFonts w:ascii="Times New Roman" w:hAnsi="Times New Roman" w:cs="Times New Roman"/>
                <w:szCs w:val="24"/>
                <w:highlight w:val="yellow"/>
              </w:rPr>
            </w:pPr>
            <w:r w:rsidRPr="00BF2E8D">
              <w:rPr>
                <w:rStyle w:val="HTML1"/>
                <w:rFonts w:ascii="Times New Roman" w:eastAsia="標楷體" w:hAnsi="Times New Roman" w:cs="Times New Roman"/>
                <w:color w:val="000000"/>
                <w:sz w:val="24"/>
                <w:szCs w:val="24"/>
              </w:rPr>
              <w:t>巨生醫為一個專注在利基型奈米藥物開發的公司，主要競爭優勢在擁有兩個奈米技術平台</w:t>
            </w:r>
            <w:r w:rsidRPr="00BF2E8D">
              <w:rPr>
                <w:rStyle w:val="HTML1"/>
                <w:rFonts w:ascii="Times New Roman" w:eastAsia="標楷體" w:hAnsi="Times New Roman" w:cs="Times New Roman"/>
                <w:color w:val="000000"/>
                <w:sz w:val="24"/>
                <w:szCs w:val="24"/>
              </w:rPr>
              <w:t>-</w:t>
            </w:r>
            <w:r w:rsidRPr="00BF2E8D">
              <w:rPr>
                <w:rStyle w:val="HTML1"/>
                <w:rFonts w:ascii="Times New Roman" w:eastAsia="標楷體" w:hAnsi="Times New Roman" w:cs="Times New Roman"/>
                <w:color w:val="000000"/>
                <w:sz w:val="24"/>
                <w:szCs w:val="24"/>
              </w:rPr>
              <w:t>『奈米微粒』及『奈米微胞』，目前已開發出</w:t>
            </w:r>
            <w:r w:rsidRPr="00BF2E8D">
              <w:rPr>
                <w:rStyle w:val="HTML1"/>
                <w:rFonts w:ascii="Times New Roman" w:eastAsia="標楷體" w:hAnsi="Times New Roman" w:cs="Times New Roman"/>
                <w:color w:val="000000"/>
                <w:sz w:val="24"/>
                <w:szCs w:val="24"/>
              </w:rPr>
              <w:t>MPB-1514</w:t>
            </w:r>
            <w:r w:rsidRPr="00BF2E8D">
              <w:rPr>
                <w:rStyle w:val="HTML1"/>
                <w:rFonts w:ascii="Times New Roman" w:eastAsia="標楷體" w:hAnsi="Times New Roman" w:cs="Times New Roman"/>
                <w:color w:val="000000"/>
                <w:sz w:val="24"/>
                <w:szCs w:val="24"/>
              </w:rPr>
              <w:t>、</w:t>
            </w:r>
            <w:r w:rsidRPr="00BF2E8D">
              <w:rPr>
                <w:rStyle w:val="HTML1"/>
                <w:rFonts w:ascii="Times New Roman" w:eastAsia="標楷體" w:hAnsi="Times New Roman" w:cs="Times New Roman"/>
                <w:color w:val="000000"/>
                <w:sz w:val="24"/>
                <w:szCs w:val="24"/>
              </w:rPr>
              <w:t>MPB-1523</w:t>
            </w:r>
            <w:r w:rsidRPr="00BF2E8D">
              <w:rPr>
                <w:rStyle w:val="HTML1"/>
                <w:rFonts w:ascii="Times New Roman" w:eastAsia="標楷體" w:hAnsi="Times New Roman" w:cs="Times New Roman"/>
                <w:color w:val="000000"/>
                <w:sz w:val="24"/>
                <w:szCs w:val="24"/>
              </w:rPr>
              <w:t>及</w:t>
            </w:r>
            <w:r w:rsidRPr="00BF2E8D">
              <w:rPr>
                <w:rStyle w:val="HTML1"/>
                <w:rFonts w:ascii="Times New Roman" w:eastAsia="標楷體" w:hAnsi="Times New Roman" w:cs="Times New Roman"/>
                <w:color w:val="000000"/>
                <w:sz w:val="24"/>
                <w:szCs w:val="24"/>
              </w:rPr>
              <w:t>MPB-1734</w:t>
            </w:r>
            <w:r w:rsidRPr="00BF2E8D">
              <w:rPr>
                <w:rStyle w:val="HTML1"/>
                <w:rFonts w:ascii="Times New Roman" w:eastAsia="標楷體" w:hAnsi="Times New Roman" w:cs="Times New Roman"/>
                <w:color w:val="000000"/>
                <w:sz w:val="24"/>
                <w:szCs w:val="24"/>
              </w:rPr>
              <w:t>，之後仍有淋巴結轉移診斷、幹細胞治療、免疫細胞治療的體內追蹤及磁熱療法等創新產品持續開發中，期許除了成為台灣奈米藥物研發的出海口外，並且引進具發展潛力之臨床前候選藥物，建立永續經營的公司。</w:t>
            </w:r>
          </w:p>
          <w:p w14:paraId="1FD094FB" w14:textId="77777777" w:rsidR="00541FDE" w:rsidRPr="00D959C5" w:rsidRDefault="00541FDE" w:rsidP="00541FDE">
            <w:pPr>
              <w:pStyle w:val="HTML"/>
              <w:spacing w:line="280" w:lineRule="exact"/>
              <w:rPr>
                <w:rStyle w:val="HTML1"/>
                <w:rFonts w:ascii="標楷體" w:eastAsia="標楷體" w:hAnsi="標楷體" w:cs="Times New Roman"/>
                <w:sz w:val="24"/>
                <w:szCs w:val="24"/>
              </w:rPr>
            </w:pPr>
            <w:r w:rsidRPr="00D959C5">
              <w:rPr>
                <w:rStyle w:val="HTML1"/>
                <w:rFonts w:ascii="標楷體" w:eastAsia="標楷體" w:hAnsi="標楷體" w:cs="Times New Roman" w:hint="eastAsia"/>
                <w:sz w:val="24"/>
                <w:szCs w:val="24"/>
              </w:rPr>
              <w:t>二、公司沿革</w:t>
            </w:r>
          </w:p>
          <w:tbl>
            <w:tblPr>
              <w:tblStyle w:val="ae"/>
              <w:tblW w:w="8927" w:type="dxa"/>
              <w:tblInd w:w="3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7368"/>
            </w:tblGrid>
            <w:tr w:rsidR="00541FDE" w:rsidRPr="00D959C5" w14:paraId="1EBB0D17" w14:textId="77777777" w:rsidTr="00BF2E8D">
              <w:trPr>
                <w:tblHeader/>
              </w:trPr>
              <w:tc>
                <w:tcPr>
                  <w:tcW w:w="1559" w:type="dxa"/>
                </w:tcPr>
                <w:p w14:paraId="6FE77B21" w14:textId="77777777" w:rsidR="00541FDE" w:rsidRPr="00D959C5" w:rsidRDefault="00541FDE" w:rsidP="00541FDE">
                  <w:pPr>
                    <w:tabs>
                      <w:tab w:val="left" w:pos="1050"/>
                    </w:tabs>
                    <w:kinsoku w:val="0"/>
                    <w:spacing w:line="280" w:lineRule="exact"/>
                    <w:ind w:right="-150"/>
                    <w:jc w:val="center"/>
                    <w:rPr>
                      <w:rFonts w:eastAsia="標楷體"/>
                    </w:rPr>
                  </w:pPr>
                  <w:r w:rsidRPr="00D959C5">
                    <w:rPr>
                      <w:rFonts w:eastAsia="標楷體"/>
                    </w:rPr>
                    <w:t>年度</w:t>
                  </w:r>
                </w:p>
              </w:tc>
              <w:tc>
                <w:tcPr>
                  <w:tcW w:w="7368" w:type="dxa"/>
                </w:tcPr>
                <w:p w14:paraId="1E6B8ADD" w14:textId="77777777" w:rsidR="00541FDE" w:rsidRPr="00D959C5" w:rsidRDefault="00541FDE" w:rsidP="00541FDE">
                  <w:pPr>
                    <w:tabs>
                      <w:tab w:val="left" w:pos="1050"/>
                    </w:tabs>
                    <w:kinsoku w:val="0"/>
                    <w:spacing w:line="280" w:lineRule="exact"/>
                    <w:ind w:right="240"/>
                    <w:jc w:val="center"/>
                    <w:rPr>
                      <w:rFonts w:eastAsia="標楷體"/>
                    </w:rPr>
                  </w:pPr>
                  <w:r w:rsidRPr="00D959C5">
                    <w:rPr>
                      <w:rFonts w:eastAsia="標楷體"/>
                    </w:rPr>
                    <w:t>重要記事</w:t>
                  </w:r>
                </w:p>
              </w:tc>
            </w:tr>
            <w:tr w:rsidR="00541FDE" w:rsidRPr="00D959C5" w14:paraId="66BF3AF1" w14:textId="77777777" w:rsidTr="00BF2E8D">
              <w:tc>
                <w:tcPr>
                  <w:tcW w:w="1559" w:type="dxa"/>
                </w:tcPr>
                <w:p w14:paraId="08F1E5CE"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103</w:t>
                  </w:r>
                  <w:r w:rsidRPr="00D959C5">
                    <w:rPr>
                      <w:rFonts w:eastAsia="標楷體"/>
                    </w:rPr>
                    <w:t>年</w:t>
                  </w:r>
                  <w:r w:rsidRPr="00D959C5">
                    <w:rPr>
                      <w:rFonts w:eastAsia="標楷體"/>
                    </w:rPr>
                    <w:t>11</w:t>
                  </w:r>
                  <w:r w:rsidRPr="00D959C5">
                    <w:rPr>
                      <w:rFonts w:eastAsia="標楷體"/>
                    </w:rPr>
                    <w:t>月</w:t>
                  </w:r>
                </w:p>
              </w:tc>
              <w:tc>
                <w:tcPr>
                  <w:tcW w:w="7368" w:type="dxa"/>
                </w:tcPr>
                <w:p w14:paraId="4309B706"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公司成立。</w:t>
                  </w:r>
                </w:p>
              </w:tc>
            </w:tr>
            <w:tr w:rsidR="00541FDE" w:rsidRPr="00D959C5" w14:paraId="1BD7FA7F" w14:textId="77777777" w:rsidTr="00BF2E8D">
              <w:tc>
                <w:tcPr>
                  <w:tcW w:w="1559" w:type="dxa"/>
                </w:tcPr>
                <w:p w14:paraId="5145209E"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104</w:t>
                  </w:r>
                  <w:r w:rsidRPr="00D959C5">
                    <w:rPr>
                      <w:rFonts w:eastAsia="標楷體"/>
                    </w:rPr>
                    <w:t>年</w:t>
                  </w:r>
                  <w:r w:rsidRPr="00D959C5">
                    <w:rPr>
                      <w:rFonts w:eastAsia="標楷體"/>
                    </w:rPr>
                    <w:t>01</w:t>
                  </w:r>
                  <w:r w:rsidRPr="00D959C5">
                    <w:rPr>
                      <w:rFonts w:eastAsia="標楷體"/>
                    </w:rPr>
                    <w:t>月</w:t>
                  </w:r>
                </w:p>
              </w:tc>
              <w:tc>
                <w:tcPr>
                  <w:tcW w:w="7368" w:type="dxa"/>
                </w:tcPr>
                <w:p w14:paraId="64012AE8"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公司團隊由工研院</w:t>
                  </w:r>
                  <w:r w:rsidRPr="00D959C5">
                    <w:rPr>
                      <w:rFonts w:eastAsia="標楷體"/>
                    </w:rPr>
                    <w:t>spin-off</w:t>
                  </w:r>
                  <w:r w:rsidRPr="00D959C5">
                    <w:rPr>
                      <w:rFonts w:eastAsia="標楷體"/>
                    </w:rPr>
                    <w:t>。</w:t>
                  </w:r>
                </w:p>
              </w:tc>
            </w:tr>
            <w:tr w:rsidR="00541FDE" w:rsidRPr="00D959C5" w14:paraId="3EF81B94" w14:textId="77777777" w:rsidTr="00BF2E8D">
              <w:tc>
                <w:tcPr>
                  <w:tcW w:w="1559" w:type="dxa"/>
                </w:tcPr>
                <w:p w14:paraId="47B1A969"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104</w:t>
                  </w:r>
                  <w:r w:rsidRPr="00D959C5">
                    <w:rPr>
                      <w:rFonts w:eastAsia="標楷體"/>
                    </w:rPr>
                    <w:t>年</w:t>
                  </w:r>
                  <w:r w:rsidRPr="00D959C5">
                    <w:rPr>
                      <w:rFonts w:eastAsia="標楷體"/>
                    </w:rPr>
                    <w:t>01</w:t>
                  </w:r>
                  <w:r w:rsidRPr="00D959C5">
                    <w:rPr>
                      <w:rFonts w:eastAsia="標楷體"/>
                    </w:rPr>
                    <w:t>月</w:t>
                  </w:r>
                </w:p>
              </w:tc>
              <w:tc>
                <w:tcPr>
                  <w:tcW w:w="7368" w:type="dxa"/>
                </w:tcPr>
                <w:p w14:paraId="05BD01BB"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完成</w:t>
                  </w:r>
                  <w:r w:rsidRPr="00D959C5">
                    <w:rPr>
                      <w:rFonts w:eastAsia="標楷體"/>
                    </w:rPr>
                    <w:t>A</w:t>
                  </w:r>
                  <w:r w:rsidRPr="00D959C5">
                    <w:rPr>
                      <w:rFonts w:eastAsia="標楷體"/>
                    </w:rPr>
                    <w:t>輪現金增資。</w:t>
                  </w:r>
                </w:p>
              </w:tc>
            </w:tr>
            <w:tr w:rsidR="00541FDE" w:rsidRPr="00D959C5" w14:paraId="2AA451A5" w14:textId="77777777" w:rsidTr="00BF2E8D">
              <w:tc>
                <w:tcPr>
                  <w:tcW w:w="1559" w:type="dxa"/>
                </w:tcPr>
                <w:p w14:paraId="4F46E2E4"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lastRenderedPageBreak/>
                    <w:t>104</w:t>
                  </w:r>
                  <w:r w:rsidRPr="00D959C5">
                    <w:rPr>
                      <w:rFonts w:eastAsia="標楷體"/>
                    </w:rPr>
                    <w:t>年</w:t>
                  </w:r>
                  <w:r w:rsidRPr="00D959C5">
                    <w:rPr>
                      <w:rFonts w:eastAsia="標楷體"/>
                    </w:rPr>
                    <w:t>08</w:t>
                  </w:r>
                  <w:r w:rsidRPr="00D959C5">
                    <w:rPr>
                      <w:rFonts w:eastAsia="標楷體"/>
                    </w:rPr>
                    <w:t>月</w:t>
                  </w:r>
                </w:p>
              </w:tc>
              <w:tc>
                <w:tcPr>
                  <w:tcW w:w="7368" w:type="dxa"/>
                </w:tcPr>
                <w:p w14:paraId="6D7B34C5"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入圍生醫農學選秀大賽潛力新秀獎。</w:t>
                  </w:r>
                </w:p>
              </w:tc>
            </w:tr>
            <w:tr w:rsidR="00541FDE" w:rsidRPr="00D959C5" w14:paraId="4FADBD0C" w14:textId="77777777" w:rsidTr="00BF2E8D">
              <w:tc>
                <w:tcPr>
                  <w:tcW w:w="1559" w:type="dxa"/>
                </w:tcPr>
                <w:p w14:paraId="7CDCE5F4"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104</w:t>
                  </w:r>
                  <w:r w:rsidRPr="00D959C5">
                    <w:rPr>
                      <w:rFonts w:eastAsia="標楷體"/>
                    </w:rPr>
                    <w:t>年</w:t>
                  </w:r>
                  <w:r w:rsidRPr="00D959C5">
                    <w:rPr>
                      <w:rFonts w:eastAsia="標楷體"/>
                    </w:rPr>
                    <w:t>08</w:t>
                  </w:r>
                  <w:r w:rsidRPr="00D959C5">
                    <w:rPr>
                      <w:rFonts w:eastAsia="標楷體"/>
                    </w:rPr>
                    <w:t>月</w:t>
                  </w:r>
                </w:p>
              </w:tc>
              <w:tc>
                <w:tcPr>
                  <w:tcW w:w="7368" w:type="dxa"/>
                </w:tcPr>
                <w:p w14:paraId="416EB8A1"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辦理公司所營事業變更</w:t>
                  </w:r>
                  <w:r w:rsidRPr="00D959C5">
                    <w:rPr>
                      <w:rFonts w:eastAsia="標楷體"/>
                    </w:rPr>
                    <w:t xml:space="preserve">, </w:t>
                  </w:r>
                  <w:r w:rsidRPr="00D959C5">
                    <w:rPr>
                      <w:rFonts w:eastAsia="標楷體"/>
                    </w:rPr>
                    <w:t>新增西藥批發業、西藥零售業、醫療器材批發業、醫療器材零售業、藥品檢驗業。</w:t>
                  </w:r>
                </w:p>
              </w:tc>
            </w:tr>
            <w:tr w:rsidR="00541FDE" w:rsidRPr="00D959C5" w14:paraId="5376FDA7" w14:textId="77777777" w:rsidTr="00BF2E8D">
              <w:tc>
                <w:tcPr>
                  <w:tcW w:w="1559" w:type="dxa"/>
                </w:tcPr>
                <w:p w14:paraId="573A56EA"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01</w:t>
                  </w:r>
                  <w:r w:rsidRPr="00D959C5">
                    <w:rPr>
                      <w:rFonts w:eastAsia="標楷體"/>
                    </w:rPr>
                    <w:t>月</w:t>
                  </w:r>
                </w:p>
              </w:tc>
              <w:tc>
                <w:tcPr>
                  <w:tcW w:w="7368" w:type="dxa"/>
                </w:tcPr>
                <w:p w14:paraId="74253BE0"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獲台灣醫藥品查驗中心</w:t>
                  </w:r>
                  <w:r w:rsidRPr="00D959C5">
                    <w:rPr>
                      <w:rFonts w:eastAsia="標楷體"/>
                    </w:rPr>
                    <w:t>(CDE)</w:t>
                  </w:r>
                  <w:r w:rsidRPr="00D959C5">
                    <w:rPr>
                      <w:rFonts w:eastAsia="標楷體"/>
                    </w:rPr>
                    <w:t>選定為指標案件。</w:t>
                  </w:r>
                </w:p>
              </w:tc>
            </w:tr>
            <w:tr w:rsidR="00541FDE" w:rsidRPr="00D959C5" w14:paraId="594FA695" w14:textId="77777777" w:rsidTr="00BF2E8D">
              <w:tc>
                <w:tcPr>
                  <w:tcW w:w="1559" w:type="dxa"/>
                </w:tcPr>
                <w:p w14:paraId="16EDE47C"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02</w:t>
                  </w:r>
                  <w:r w:rsidRPr="00D959C5">
                    <w:rPr>
                      <w:rFonts w:eastAsia="標楷體"/>
                    </w:rPr>
                    <w:t>月</w:t>
                  </w:r>
                </w:p>
              </w:tc>
              <w:tc>
                <w:tcPr>
                  <w:tcW w:w="7368" w:type="dxa"/>
                </w:tcPr>
                <w:p w14:paraId="3F632357"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獲經濟部審定為生技新藥公司。</w:t>
                  </w:r>
                </w:p>
              </w:tc>
            </w:tr>
            <w:tr w:rsidR="00541FDE" w:rsidRPr="00D959C5" w14:paraId="7A7D8DB1" w14:textId="77777777" w:rsidTr="00BF2E8D">
              <w:tc>
                <w:tcPr>
                  <w:tcW w:w="1559" w:type="dxa"/>
                </w:tcPr>
                <w:p w14:paraId="5FB68422"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03</w:t>
                  </w:r>
                  <w:r w:rsidRPr="00D959C5">
                    <w:rPr>
                      <w:rFonts w:eastAsia="標楷體"/>
                    </w:rPr>
                    <w:t>月</w:t>
                  </w:r>
                </w:p>
              </w:tc>
              <w:tc>
                <w:tcPr>
                  <w:tcW w:w="7368" w:type="dxa"/>
                </w:tcPr>
                <w:p w14:paraId="77F7FCAA"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MPB-1514</w:t>
                  </w:r>
                  <w:r w:rsidRPr="00D959C5">
                    <w:rPr>
                      <w:rFonts w:eastAsia="標楷體"/>
                    </w:rPr>
                    <w:t>及</w:t>
                  </w:r>
                  <w:r w:rsidRPr="00D959C5">
                    <w:rPr>
                      <w:rFonts w:eastAsia="標楷體"/>
                    </w:rPr>
                    <w:t>MPB-1523</w:t>
                  </w:r>
                  <w:r w:rsidRPr="00D959C5">
                    <w:rPr>
                      <w:rFonts w:eastAsia="標楷體"/>
                    </w:rPr>
                    <w:t>獲經濟部科技研究發展專案</w:t>
                  </w:r>
                  <w:r w:rsidRPr="00D959C5">
                    <w:rPr>
                      <w:rFonts w:eastAsia="標楷體"/>
                    </w:rPr>
                    <w:t xml:space="preserve"> A+ </w:t>
                  </w:r>
                  <w:r w:rsidRPr="00D959C5">
                    <w:rPr>
                      <w:rFonts w:eastAsia="標楷體"/>
                    </w:rPr>
                    <w:t>企業創新研發淬鍊計畫</w:t>
                  </w:r>
                  <w:r w:rsidRPr="00D959C5">
                    <w:rPr>
                      <w:rFonts w:eastAsia="標楷體"/>
                    </w:rPr>
                    <w:t>-</w:t>
                  </w:r>
                  <w:r w:rsidRPr="00D959C5">
                    <w:rPr>
                      <w:rFonts w:eastAsia="標楷體"/>
                    </w:rPr>
                    <w:t>快速審查臨床試驗計畫專案補助。</w:t>
                  </w:r>
                </w:p>
                <w:p w14:paraId="7FA510A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於台北榮民總醫院展開</w:t>
                  </w:r>
                  <w:r w:rsidRPr="00D959C5">
                    <w:rPr>
                      <w:rFonts w:eastAsia="標楷體"/>
                    </w:rPr>
                    <w:t>MPB-1514</w:t>
                  </w:r>
                  <w:r w:rsidRPr="00D959C5">
                    <w:rPr>
                      <w:rFonts w:eastAsia="標楷體"/>
                    </w:rPr>
                    <w:t>臨床一期試驗。</w:t>
                  </w:r>
                </w:p>
              </w:tc>
            </w:tr>
            <w:tr w:rsidR="00541FDE" w:rsidRPr="00D959C5" w14:paraId="2DEE5E78" w14:textId="77777777" w:rsidTr="00BF2E8D">
              <w:tc>
                <w:tcPr>
                  <w:tcW w:w="1559" w:type="dxa"/>
                </w:tcPr>
                <w:p w14:paraId="3DB1BF34"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10</w:t>
                  </w:r>
                  <w:r w:rsidRPr="00D959C5">
                    <w:rPr>
                      <w:rFonts w:eastAsia="標楷體"/>
                    </w:rPr>
                    <w:t>月</w:t>
                  </w:r>
                </w:p>
              </w:tc>
              <w:tc>
                <w:tcPr>
                  <w:tcW w:w="7368" w:type="dxa"/>
                </w:tcPr>
                <w:p w14:paraId="67010A20"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完成</w:t>
                  </w:r>
                  <w:r w:rsidRPr="00D959C5">
                    <w:rPr>
                      <w:rFonts w:eastAsia="標楷體"/>
                    </w:rPr>
                    <w:t>B</w:t>
                  </w:r>
                  <w:r w:rsidRPr="00D959C5">
                    <w:rPr>
                      <w:rFonts w:eastAsia="標楷體"/>
                    </w:rPr>
                    <w:t>輪現金增資。</w:t>
                  </w:r>
                </w:p>
              </w:tc>
            </w:tr>
            <w:tr w:rsidR="00541FDE" w:rsidRPr="00D959C5" w14:paraId="5342C72C" w14:textId="77777777" w:rsidTr="00BF2E8D">
              <w:tc>
                <w:tcPr>
                  <w:tcW w:w="1559" w:type="dxa"/>
                </w:tcPr>
                <w:p w14:paraId="2CAAEA33"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12</w:t>
                  </w:r>
                  <w:r w:rsidRPr="00D959C5">
                    <w:rPr>
                      <w:rFonts w:eastAsia="標楷體"/>
                    </w:rPr>
                    <w:t>月</w:t>
                  </w:r>
                </w:p>
              </w:tc>
              <w:tc>
                <w:tcPr>
                  <w:tcW w:w="7368" w:type="dxa"/>
                </w:tcPr>
                <w:p w14:paraId="33E780BE"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榮獲「第</w:t>
                  </w:r>
                  <w:r w:rsidRPr="00D959C5">
                    <w:rPr>
                      <w:rFonts w:eastAsia="標楷體"/>
                    </w:rPr>
                    <w:t>13</w:t>
                  </w:r>
                  <w:r w:rsidRPr="00D959C5">
                    <w:rPr>
                      <w:rFonts w:eastAsia="標楷體"/>
                    </w:rPr>
                    <w:t>屆國家新創獎</w:t>
                  </w:r>
                  <w:r w:rsidRPr="00D959C5">
                    <w:rPr>
                      <w:rFonts w:eastAsia="標楷體"/>
                    </w:rPr>
                    <w:t>-</w:t>
                  </w:r>
                  <w:r w:rsidRPr="00D959C5">
                    <w:rPr>
                      <w:rFonts w:eastAsia="標楷體"/>
                    </w:rPr>
                    <w:t>初創企業獎」。</w:t>
                  </w:r>
                </w:p>
              </w:tc>
            </w:tr>
            <w:tr w:rsidR="00541FDE" w:rsidRPr="00D959C5" w14:paraId="50DE2249" w14:textId="77777777" w:rsidTr="00BF2E8D">
              <w:tc>
                <w:tcPr>
                  <w:tcW w:w="1559" w:type="dxa"/>
                </w:tcPr>
                <w:p w14:paraId="43DFCE22"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105</w:t>
                  </w:r>
                  <w:r w:rsidRPr="00D959C5">
                    <w:rPr>
                      <w:rFonts w:eastAsia="標楷體"/>
                    </w:rPr>
                    <w:t>年</w:t>
                  </w:r>
                  <w:r w:rsidRPr="00D959C5">
                    <w:rPr>
                      <w:rFonts w:eastAsia="標楷體"/>
                    </w:rPr>
                    <w:t>12</w:t>
                  </w:r>
                  <w:r w:rsidRPr="00D959C5">
                    <w:rPr>
                      <w:rFonts w:eastAsia="標楷體"/>
                    </w:rPr>
                    <w:t>月</w:t>
                  </w:r>
                </w:p>
              </w:tc>
              <w:tc>
                <w:tcPr>
                  <w:tcW w:w="7368" w:type="dxa"/>
                </w:tcPr>
                <w:p w14:paraId="7BF3BE72"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於台北榮民總醫院完成</w:t>
                  </w:r>
                  <w:r w:rsidRPr="00D959C5">
                    <w:rPr>
                      <w:rFonts w:eastAsia="標楷體"/>
                    </w:rPr>
                    <w:t>MPB-1514</w:t>
                  </w:r>
                  <w:r w:rsidRPr="00D959C5">
                    <w:rPr>
                      <w:rFonts w:eastAsia="標楷體"/>
                    </w:rPr>
                    <w:t>臨床一期試驗。</w:t>
                  </w:r>
                </w:p>
              </w:tc>
            </w:tr>
            <w:tr w:rsidR="00541FDE" w:rsidRPr="00D959C5" w14:paraId="40D917E2" w14:textId="77777777" w:rsidTr="00BF2E8D">
              <w:tc>
                <w:tcPr>
                  <w:tcW w:w="1559" w:type="dxa"/>
                </w:tcPr>
                <w:p w14:paraId="74D6228F"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106</w:t>
                  </w:r>
                  <w:r w:rsidRPr="00D959C5">
                    <w:rPr>
                      <w:rFonts w:eastAsia="標楷體"/>
                    </w:rPr>
                    <w:t>年</w:t>
                  </w:r>
                  <w:r w:rsidRPr="00D959C5">
                    <w:rPr>
                      <w:rFonts w:eastAsia="標楷體"/>
                    </w:rPr>
                    <w:t>6</w:t>
                  </w:r>
                  <w:r w:rsidRPr="00D959C5">
                    <w:rPr>
                      <w:rFonts w:eastAsia="標楷體"/>
                    </w:rPr>
                    <w:t>月</w:t>
                  </w:r>
                </w:p>
              </w:tc>
              <w:tc>
                <w:tcPr>
                  <w:tcW w:w="7368" w:type="dxa"/>
                </w:tcPr>
                <w:p w14:paraId="55F8B232"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完成</w:t>
                  </w:r>
                  <w:r w:rsidRPr="00D959C5">
                    <w:rPr>
                      <w:rFonts w:eastAsia="標楷體"/>
                    </w:rPr>
                    <w:t>MPB-1514</w:t>
                  </w:r>
                  <w:r w:rsidRPr="00D959C5">
                    <w:rPr>
                      <w:rFonts w:eastAsia="標楷體"/>
                    </w:rPr>
                    <w:t>臨床一期</w:t>
                  </w:r>
                  <w:r w:rsidRPr="00D959C5">
                    <w:rPr>
                      <w:rFonts w:eastAsia="標楷體"/>
                    </w:rPr>
                    <w:t>CSR Report</w:t>
                  </w:r>
                  <w:r w:rsidRPr="00D959C5">
                    <w:rPr>
                      <w:rFonts w:eastAsia="標楷體"/>
                    </w:rPr>
                    <w:t>。</w:t>
                  </w:r>
                </w:p>
              </w:tc>
            </w:tr>
            <w:tr w:rsidR="00541FDE" w:rsidRPr="00D959C5" w14:paraId="19D988D5" w14:textId="77777777" w:rsidTr="00BF2E8D">
              <w:tc>
                <w:tcPr>
                  <w:tcW w:w="1559" w:type="dxa"/>
                </w:tcPr>
                <w:p w14:paraId="63760C45"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106</w:t>
                  </w:r>
                  <w:r w:rsidRPr="00D959C5">
                    <w:rPr>
                      <w:rFonts w:eastAsia="標楷體"/>
                    </w:rPr>
                    <w:t>年</w:t>
                  </w:r>
                  <w:r w:rsidRPr="00D959C5">
                    <w:rPr>
                      <w:rFonts w:eastAsia="標楷體"/>
                    </w:rPr>
                    <w:t>8</w:t>
                  </w:r>
                  <w:r w:rsidRPr="00D959C5">
                    <w:rPr>
                      <w:rFonts w:eastAsia="標楷體"/>
                    </w:rPr>
                    <w:t>月</w:t>
                  </w:r>
                </w:p>
              </w:tc>
              <w:tc>
                <w:tcPr>
                  <w:tcW w:w="7368" w:type="dxa"/>
                </w:tcPr>
                <w:p w14:paraId="42C1A4B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竹科管理局已核准本公司進駐科學園區，惟竹北生醫園區無適合本公司的空間，目前正在等待中。</w:t>
                  </w:r>
                </w:p>
              </w:tc>
            </w:tr>
            <w:tr w:rsidR="00541FDE" w:rsidRPr="00D959C5" w14:paraId="0CD53773" w14:textId="77777777" w:rsidTr="00BF2E8D">
              <w:tc>
                <w:tcPr>
                  <w:tcW w:w="1559" w:type="dxa"/>
                </w:tcPr>
                <w:p w14:paraId="49630043"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106</w:t>
                  </w:r>
                  <w:r w:rsidRPr="00D959C5">
                    <w:rPr>
                      <w:rFonts w:eastAsia="標楷體"/>
                    </w:rPr>
                    <w:t>年</w:t>
                  </w:r>
                  <w:r w:rsidRPr="00D959C5">
                    <w:rPr>
                      <w:rFonts w:eastAsia="標楷體"/>
                    </w:rPr>
                    <w:t>12</w:t>
                  </w:r>
                  <w:r w:rsidRPr="00D959C5">
                    <w:rPr>
                      <w:rFonts w:eastAsia="標楷體"/>
                    </w:rPr>
                    <w:t>月</w:t>
                  </w:r>
                </w:p>
              </w:tc>
              <w:tc>
                <w:tcPr>
                  <w:tcW w:w="7368" w:type="dxa"/>
                </w:tcPr>
                <w:p w14:paraId="760DDC9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研發中新藥</w:t>
                  </w:r>
                  <w:r w:rsidRPr="00D959C5">
                    <w:rPr>
                      <w:rFonts w:eastAsia="標楷體"/>
                    </w:rPr>
                    <w:t>MPB-1523</w:t>
                  </w:r>
                  <w:r w:rsidRPr="00D959C5">
                    <w:rPr>
                      <w:rFonts w:eastAsia="標楷體"/>
                    </w:rPr>
                    <w:t>獲台灣</w:t>
                  </w:r>
                  <w:r w:rsidRPr="00D959C5">
                    <w:rPr>
                      <w:rFonts w:eastAsia="標楷體"/>
                    </w:rPr>
                    <w:t>TFDA</w:t>
                  </w:r>
                  <w:r w:rsidRPr="00D959C5">
                    <w:rPr>
                      <w:rFonts w:eastAsia="標楷體"/>
                    </w:rPr>
                    <w:t>通知准予執行</w:t>
                  </w:r>
                  <w:r w:rsidRPr="00D959C5">
                    <w:rPr>
                      <w:rFonts w:eastAsia="標楷體"/>
                    </w:rPr>
                    <w:t>Ib</w:t>
                  </w:r>
                  <w:r w:rsidRPr="00D959C5">
                    <w:rPr>
                      <w:rFonts w:eastAsia="標楷體"/>
                    </w:rPr>
                    <w:t>臨床試驗案。</w:t>
                  </w:r>
                </w:p>
              </w:tc>
            </w:tr>
            <w:tr w:rsidR="00541FDE" w:rsidRPr="00D959C5" w14:paraId="560B8BE0" w14:textId="77777777" w:rsidTr="00BF2E8D">
              <w:tc>
                <w:tcPr>
                  <w:tcW w:w="1559" w:type="dxa"/>
                </w:tcPr>
                <w:p w14:paraId="6ABCE41B"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01</w:t>
                  </w:r>
                  <w:r w:rsidRPr="00D959C5">
                    <w:rPr>
                      <w:rFonts w:eastAsia="標楷體"/>
                    </w:rPr>
                    <w:t>月</w:t>
                  </w:r>
                </w:p>
              </w:tc>
              <w:tc>
                <w:tcPr>
                  <w:tcW w:w="7368" w:type="dxa"/>
                </w:tcPr>
                <w:p w14:paraId="6B87DBE3"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研發中新藥</w:t>
                  </w:r>
                  <w:r w:rsidRPr="00D959C5">
                    <w:rPr>
                      <w:rFonts w:eastAsia="標楷體"/>
                    </w:rPr>
                    <w:t>MPB-1523</w:t>
                  </w:r>
                  <w:r w:rsidRPr="00D959C5">
                    <w:rPr>
                      <w:rFonts w:eastAsia="標楷體"/>
                    </w:rPr>
                    <w:t>獲美國</w:t>
                  </w:r>
                  <w:r w:rsidRPr="00D959C5">
                    <w:rPr>
                      <w:rFonts w:eastAsia="標楷體"/>
                    </w:rPr>
                    <w:t>FDA</w:t>
                  </w:r>
                  <w:r w:rsidRPr="00D959C5">
                    <w:rPr>
                      <w:rFonts w:eastAsia="標楷體"/>
                    </w:rPr>
                    <w:t>通知准予執行二期臨床試驗案。</w:t>
                  </w:r>
                </w:p>
              </w:tc>
            </w:tr>
            <w:tr w:rsidR="00541FDE" w:rsidRPr="00D959C5" w14:paraId="60FB8ABE" w14:textId="77777777" w:rsidTr="00BF2E8D">
              <w:tc>
                <w:tcPr>
                  <w:tcW w:w="1559" w:type="dxa"/>
                </w:tcPr>
                <w:p w14:paraId="1401E652"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02</w:t>
                  </w:r>
                  <w:r w:rsidRPr="00D959C5">
                    <w:rPr>
                      <w:rFonts w:eastAsia="標楷體"/>
                    </w:rPr>
                    <w:t>月</w:t>
                  </w:r>
                </w:p>
              </w:tc>
              <w:tc>
                <w:tcPr>
                  <w:tcW w:w="7368" w:type="dxa"/>
                </w:tcPr>
                <w:p w14:paraId="27ED9861"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研發中新藥</w:t>
                  </w:r>
                  <w:r w:rsidRPr="00D959C5">
                    <w:rPr>
                      <w:rFonts w:eastAsia="標楷體"/>
                    </w:rPr>
                    <w:t>MPB-1523</w:t>
                  </w:r>
                  <w:r w:rsidRPr="00D959C5">
                    <w:rPr>
                      <w:rFonts w:eastAsia="標楷體"/>
                    </w:rPr>
                    <w:t>獲台灣</w:t>
                  </w:r>
                  <w:r w:rsidRPr="00D959C5">
                    <w:rPr>
                      <w:rFonts w:eastAsia="標楷體"/>
                    </w:rPr>
                    <w:t>TFDA</w:t>
                  </w:r>
                  <w:r w:rsidRPr="00D959C5">
                    <w:rPr>
                      <w:rFonts w:eastAsia="標楷體"/>
                    </w:rPr>
                    <w:t>通知准予執行二期臨床試驗案</w:t>
                  </w:r>
                </w:p>
              </w:tc>
            </w:tr>
            <w:tr w:rsidR="00541FDE" w:rsidRPr="00D959C5" w14:paraId="3EBE96CA" w14:textId="77777777" w:rsidTr="00BF2E8D">
              <w:tc>
                <w:tcPr>
                  <w:tcW w:w="1559" w:type="dxa"/>
                </w:tcPr>
                <w:p w14:paraId="2D067C22"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05</w:t>
                  </w:r>
                  <w:r w:rsidRPr="00D959C5">
                    <w:rPr>
                      <w:rFonts w:eastAsia="標楷體"/>
                    </w:rPr>
                    <w:t>月</w:t>
                  </w:r>
                </w:p>
              </w:tc>
              <w:tc>
                <w:tcPr>
                  <w:tcW w:w="7368" w:type="dxa"/>
                </w:tcPr>
                <w:p w14:paraId="6CD4E769"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研發中新藥</w:t>
                  </w:r>
                  <w:r w:rsidRPr="00D959C5">
                    <w:rPr>
                      <w:rFonts w:eastAsia="標楷體"/>
                    </w:rPr>
                    <w:t>MPB-1514</w:t>
                  </w:r>
                  <w:r w:rsidRPr="00D959C5">
                    <w:rPr>
                      <w:rFonts w:eastAsia="標楷體"/>
                    </w:rPr>
                    <w:t>獲美國</w:t>
                  </w:r>
                  <w:r w:rsidRPr="00D959C5">
                    <w:rPr>
                      <w:rFonts w:eastAsia="標楷體"/>
                    </w:rPr>
                    <w:t>FDA</w:t>
                  </w:r>
                  <w:r w:rsidRPr="00D959C5">
                    <w:rPr>
                      <w:rFonts w:eastAsia="標楷體"/>
                    </w:rPr>
                    <w:t>通知准予執行二期臨床試驗案。</w:t>
                  </w:r>
                </w:p>
              </w:tc>
            </w:tr>
            <w:tr w:rsidR="00541FDE" w:rsidRPr="00D959C5" w14:paraId="20AA9F50" w14:textId="77777777" w:rsidTr="00BF2E8D">
              <w:trPr>
                <w:trHeight w:val="93"/>
              </w:trPr>
              <w:tc>
                <w:tcPr>
                  <w:tcW w:w="1559" w:type="dxa"/>
                </w:tcPr>
                <w:p w14:paraId="30AB8FBC"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06</w:t>
                  </w:r>
                  <w:r w:rsidRPr="00D959C5">
                    <w:rPr>
                      <w:rFonts w:eastAsia="標楷體"/>
                    </w:rPr>
                    <w:t>月</w:t>
                  </w:r>
                </w:p>
              </w:tc>
              <w:tc>
                <w:tcPr>
                  <w:tcW w:w="7368" w:type="dxa"/>
                </w:tcPr>
                <w:p w14:paraId="40B5FCA8"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完成</w:t>
                  </w:r>
                  <w:r w:rsidRPr="00D959C5">
                    <w:rPr>
                      <w:rFonts w:eastAsia="標楷體"/>
                    </w:rPr>
                    <w:t>C</w:t>
                  </w:r>
                  <w:r w:rsidRPr="00D959C5">
                    <w:rPr>
                      <w:rFonts w:eastAsia="標楷體"/>
                    </w:rPr>
                    <w:t>輪現金增資。</w:t>
                  </w:r>
                </w:p>
              </w:tc>
            </w:tr>
            <w:tr w:rsidR="00541FDE" w:rsidRPr="00D959C5" w14:paraId="6189539D" w14:textId="77777777" w:rsidTr="00BF2E8D">
              <w:trPr>
                <w:trHeight w:val="93"/>
              </w:trPr>
              <w:tc>
                <w:tcPr>
                  <w:tcW w:w="1559" w:type="dxa"/>
                </w:tcPr>
                <w:p w14:paraId="4CAE7137"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07</w:t>
                  </w:r>
                  <w:r w:rsidRPr="00D959C5">
                    <w:rPr>
                      <w:rFonts w:eastAsia="標楷體"/>
                    </w:rPr>
                    <w:t>月</w:t>
                  </w:r>
                </w:p>
              </w:tc>
              <w:tc>
                <w:tcPr>
                  <w:tcW w:w="7368" w:type="dxa"/>
                </w:tcPr>
                <w:p w14:paraId="5B3A2AD0"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榮獲</w:t>
                  </w:r>
                  <w:r w:rsidRPr="00D959C5">
                    <w:rPr>
                      <w:rFonts w:eastAsia="標楷體"/>
                    </w:rPr>
                    <w:t>2018</w:t>
                  </w:r>
                  <w:r w:rsidRPr="00D959C5">
                    <w:rPr>
                      <w:rFonts w:eastAsia="標楷體"/>
                    </w:rPr>
                    <w:t>台北生技獎</w:t>
                  </w:r>
                  <w:r w:rsidRPr="00D959C5">
                    <w:rPr>
                      <w:rFonts w:eastAsia="標楷體"/>
                    </w:rPr>
                    <w:t>-</w:t>
                  </w:r>
                  <w:r w:rsidRPr="00D959C5">
                    <w:rPr>
                      <w:rFonts w:eastAsia="標楷體"/>
                    </w:rPr>
                    <w:t>新創技術獎</w:t>
                  </w:r>
                  <w:r w:rsidRPr="00D959C5">
                    <w:rPr>
                      <w:rFonts w:eastAsia="標楷體"/>
                    </w:rPr>
                    <w:t>/</w:t>
                  </w:r>
                  <w:r w:rsidRPr="00D959C5">
                    <w:rPr>
                      <w:rFonts w:eastAsia="標楷體"/>
                    </w:rPr>
                    <w:t>銀獎。</w:t>
                  </w:r>
                </w:p>
              </w:tc>
            </w:tr>
            <w:tr w:rsidR="00541FDE" w:rsidRPr="00D959C5" w14:paraId="452029AA" w14:textId="77777777" w:rsidTr="00BF2E8D">
              <w:trPr>
                <w:trHeight w:val="93"/>
              </w:trPr>
              <w:tc>
                <w:tcPr>
                  <w:tcW w:w="1559" w:type="dxa"/>
                </w:tcPr>
                <w:p w14:paraId="6C599702"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107</w:t>
                  </w:r>
                  <w:r w:rsidRPr="00D959C5">
                    <w:rPr>
                      <w:rFonts w:eastAsia="標楷體"/>
                    </w:rPr>
                    <w:t>年</w:t>
                  </w:r>
                  <w:r w:rsidRPr="00D959C5">
                    <w:rPr>
                      <w:rFonts w:eastAsia="標楷體"/>
                    </w:rPr>
                    <w:t>11</w:t>
                  </w:r>
                  <w:r w:rsidRPr="00D959C5">
                    <w:rPr>
                      <w:rFonts w:eastAsia="標楷體"/>
                    </w:rPr>
                    <w:t>月</w:t>
                  </w:r>
                </w:p>
              </w:tc>
              <w:tc>
                <w:tcPr>
                  <w:tcW w:w="7368" w:type="dxa"/>
                </w:tcPr>
                <w:p w14:paraId="440313E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榮獲「第</w:t>
                  </w:r>
                  <w:r w:rsidRPr="00D959C5">
                    <w:rPr>
                      <w:rFonts w:eastAsia="標楷體"/>
                    </w:rPr>
                    <w:t>15</w:t>
                  </w:r>
                  <w:r w:rsidRPr="00D959C5">
                    <w:rPr>
                      <w:rFonts w:eastAsia="標楷體"/>
                    </w:rPr>
                    <w:t>屆國家新創獎</w:t>
                  </w:r>
                  <w:r w:rsidRPr="00D959C5">
                    <w:rPr>
                      <w:rFonts w:eastAsia="標楷體"/>
                    </w:rPr>
                    <w:t>-</w:t>
                  </w:r>
                  <w:r w:rsidRPr="00D959C5">
                    <w:rPr>
                      <w:rFonts w:eastAsia="標楷體"/>
                    </w:rPr>
                    <w:t>企業新創獎」。</w:t>
                  </w:r>
                </w:p>
              </w:tc>
            </w:tr>
            <w:tr w:rsidR="00541FDE" w:rsidRPr="00D959C5" w14:paraId="46F80A8E" w14:textId="77777777" w:rsidTr="00BF2E8D">
              <w:trPr>
                <w:trHeight w:val="93"/>
              </w:trPr>
              <w:tc>
                <w:tcPr>
                  <w:tcW w:w="1559" w:type="dxa"/>
                </w:tcPr>
                <w:p w14:paraId="7DEB2BEE"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02</w:t>
                  </w:r>
                  <w:r w:rsidRPr="00D959C5">
                    <w:rPr>
                      <w:rFonts w:eastAsia="標楷體"/>
                    </w:rPr>
                    <w:t>月</w:t>
                  </w:r>
                </w:p>
              </w:tc>
              <w:tc>
                <w:tcPr>
                  <w:tcW w:w="7368" w:type="dxa"/>
                </w:tcPr>
                <w:p w14:paraId="42014D1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奈米氧化鐵結構專利取得歐洲專利局許可，並得到</w:t>
                  </w:r>
                  <w:r w:rsidRPr="00D959C5">
                    <w:rPr>
                      <w:rFonts w:eastAsia="標楷體"/>
                    </w:rPr>
                    <w:t>17</w:t>
                  </w:r>
                  <w:r w:rsidRPr="00D959C5">
                    <w:rPr>
                      <w:rFonts w:eastAsia="標楷體"/>
                    </w:rPr>
                    <w:t>國證書</w:t>
                  </w:r>
                </w:p>
              </w:tc>
            </w:tr>
            <w:tr w:rsidR="00541FDE" w:rsidRPr="00D959C5" w14:paraId="3677DBAA" w14:textId="77777777" w:rsidTr="00BF2E8D">
              <w:trPr>
                <w:trHeight w:val="93"/>
              </w:trPr>
              <w:tc>
                <w:tcPr>
                  <w:tcW w:w="1559" w:type="dxa"/>
                </w:tcPr>
                <w:p w14:paraId="34B9CC31"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05</w:t>
                  </w:r>
                  <w:r w:rsidRPr="00D959C5">
                    <w:rPr>
                      <w:rFonts w:eastAsia="標楷體"/>
                    </w:rPr>
                    <w:t>月</w:t>
                  </w:r>
                </w:p>
              </w:tc>
              <w:tc>
                <w:tcPr>
                  <w:tcW w:w="7368" w:type="dxa"/>
                </w:tcPr>
                <w:p w14:paraId="56DB4F23"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參加德國海德堡舉行兩年一度的</w:t>
                  </w:r>
                  <w:r w:rsidRPr="00D959C5">
                    <w:rPr>
                      <w:rFonts w:eastAsia="標楷體"/>
                    </w:rPr>
                    <w:t>Bio Iron</w:t>
                  </w:r>
                  <w:r w:rsidRPr="00D959C5">
                    <w:rPr>
                      <w:rFonts w:eastAsia="標楷體"/>
                    </w:rPr>
                    <w:t>研討會並發表論文</w:t>
                  </w:r>
                </w:p>
              </w:tc>
            </w:tr>
            <w:tr w:rsidR="00541FDE" w:rsidRPr="00D959C5" w14:paraId="30AC80F8" w14:textId="77777777" w:rsidTr="00BF2E8D">
              <w:trPr>
                <w:trHeight w:val="93"/>
              </w:trPr>
              <w:tc>
                <w:tcPr>
                  <w:tcW w:w="1559" w:type="dxa"/>
                </w:tcPr>
                <w:p w14:paraId="2F32DC74"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09</w:t>
                  </w:r>
                  <w:r w:rsidRPr="00D959C5">
                    <w:rPr>
                      <w:rFonts w:eastAsia="標楷體"/>
                    </w:rPr>
                    <w:t>月</w:t>
                  </w:r>
                </w:p>
              </w:tc>
              <w:tc>
                <w:tcPr>
                  <w:tcW w:w="7368" w:type="dxa"/>
                </w:tcPr>
                <w:p w14:paraId="4D4023DC"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MPB-1734</w:t>
                  </w:r>
                  <w:r w:rsidRPr="00D959C5">
                    <w:rPr>
                      <w:rFonts w:eastAsia="標楷體"/>
                    </w:rPr>
                    <w:t>劑型確認，並完成分析方法與</w:t>
                  </w:r>
                  <w:r w:rsidRPr="00D959C5">
                    <w:rPr>
                      <w:rFonts w:eastAsia="標楷體"/>
                    </w:rPr>
                    <w:t>CoA</w:t>
                  </w:r>
                  <w:r w:rsidRPr="00D959C5">
                    <w:rPr>
                      <w:rFonts w:eastAsia="標楷體"/>
                    </w:rPr>
                    <w:t>文件，做為向美國</w:t>
                  </w:r>
                  <w:r w:rsidRPr="00D959C5">
                    <w:rPr>
                      <w:rFonts w:eastAsia="標楷體"/>
                    </w:rPr>
                    <w:t>FDA</w:t>
                  </w:r>
                  <w:r w:rsidRPr="00D959C5">
                    <w:rPr>
                      <w:rFonts w:eastAsia="標楷體"/>
                    </w:rPr>
                    <w:t>申請</w:t>
                  </w:r>
                  <w:r w:rsidRPr="00D959C5">
                    <w:rPr>
                      <w:rFonts w:eastAsia="標楷體"/>
                    </w:rPr>
                    <w:t>pre-IND</w:t>
                  </w:r>
                  <w:r w:rsidRPr="00D959C5">
                    <w:rPr>
                      <w:rFonts w:eastAsia="標楷體"/>
                    </w:rPr>
                    <w:t>的資料。</w:t>
                  </w:r>
                </w:p>
              </w:tc>
            </w:tr>
            <w:tr w:rsidR="00541FDE" w:rsidRPr="00D959C5" w14:paraId="1A1CAA53" w14:textId="77777777" w:rsidTr="00BF2E8D">
              <w:trPr>
                <w:trHeight w:val="93"/>
              </w:trPr>
              <w:tc>
                <w:tcPr>
                  <w:tcW w:w="1559" w:type="dxa"/>
                </w:tcPr>
                <w:p w14:paraId="64DC7FF6"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10</w:t>
                  </w:r>
                  <w:r w:rsidRPr="00D959C5">
                    <w:rPr>
                      <w:rFonts w:eastAsia="標楷體"/>
                    </w:rPr>
                    <w:t>月</w:t>
                  </w:r>
                </w:p>
              </w:tc>
              <w:tc>
                <w:tcPr>
                  <w:tcW w:w="7368" w:type="dxa"/>
                </w:tcPr>
                <w:p w14:paraId="7A25E059"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 xml:space="preserve">MPB-1734 </w:t>
                  </w:r>
                  <w:r w:rsidRPr="00D959C5">
                    <w:rPr>
                      <w:rFonts w:eastAsia="標楷體"/>
                    </w:rPr>
                    <w:t>獲得美國</w:t>
                  </w:r>
                  <w:r w:rsidRPr="00D959C5">
                    <w:rPr>
                      <w:rFonts w:eastAsia="標楷體"/>
                    </w:rPr>
                    <w:t>FDA</w:t>
                  </w:r>
                  <w:r w:rsidRPr="00D959C5">
                    <w:rPr>
                      <w:rFonts w:eastAsia="標楷體"/>
                    </w:rPr>
                    <w:t>的</w:t>
                  </w:r>
                  <w:r w:rsidRPr="00D959C5">
                    <w:rPr>
                      <w:rFonts w:eastAsia="標楷體"/>
                    </w:rPr>
                    <w:t>pre-IND</w:t>
                  </w:r>
                  <w:r w:rsidRPr="00D959C5">
                    <w:rPr>
                      <w:rFonts w:eastAsia="標楷體"/>
                    </w:rPr>
                    <w:t>書面溝通回覆。</w:t>
                  </w:r>
                </w:p>
              </w:tc>
            </w:tr>
            <w:tr w:rsidR="00541FDE" w:rsidRPr="00D959C5" w14:paraId="0CABC33A" w14:textId="77777777" w:rsidTr="00BF2E8D">
              <w:trPr>
                <w:trHeight w:val="93"/>
              </w:trPr>
              <w:tc>
                <w:tcPr>
                  <w:tcW w:w="1559" w:type="dxa"/>
                </w:tcPr>
                <w:p w14:paraId="58BEEC85"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11</w:t>
                  </w:r>
                  <w:r w:rsidRPr="00D959C5">
                    <w:rPr>
                      <w:rFonts w:eastAsia="標楷體"/>
                    </w:rPr>
                    <w:t>月</w:t>
                  </w:r>
                </w:p>
              </w:tc>
              <w:tc>
                <w:tcPr>
                  <w:tcW w:w="7368" w:type="dxa"/>
                </w:tcPr>
                <w:p w14:paraId="2F849743"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參加</w:t>
                  </w:r>
                  <w:r w:rsidRPr="00D959C5">
                    <w:rPr>
                      <w:rFonts w:eastAsia="標楷體"/>
                    </w:rPr>
                    <w:t>CONTRAST MEDIA RESEARCH</w:t>
                  </w:r>
                  <w:r w:rsidRPr="00D959C5">
                    <w:rPr>
                      <w:rFonts w:eastAsia="標楷體"/>
                    </w:rPr>
                    <w:t>研討會，並且應邀演講</w:t>
                  </w:r>
                </w:p>
              </w:tc>
            </w:tr>
            <w:tr w:rsidR="00541FDE" w:rsidRPr="00D959C5" w14:paraId="2FE6D273" w14:textId="77777777" w:rsidTr="00BF2E8D">
              <w:trPr>
                <w:trHeight w:val="93"/>
              </w:trPr>
              <w:tc>
                <w:tcPr>
                  <w:tcW w:w="1559" w:type="dxa"/>
                </w:tcPr>
                <w:p w14:paraId="346D5266"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108</w:t>
                  </w:r>
                  <w:r w:rsidRPr="00D959C5">
                    <w:rPr>
                      <w:rFonts w:eastAsia="標楷體"/>
                    </w:rPr>
                    <w:t>年</w:t>
                  </w:r>
                  <w:r w:rsidRPr="00D959C5">
                    <w:rPr>
                      <w:rFonts w:eastAsia="標楷體"/>
                    </w:rPr>
                    <w:t>12</w:t>
                  </w:r>
                  <w:r w:rsidRPr="00D959C5">
                    <w:rPr>
                      <w:rFonts w:eastAsia="標楷體"/>
                    </w:rPr>
                    <w:t>月</w:t>
                  </w:r>
                </w:p>
              </w:tc>
              <w:tc>
                <w:tcPr>
                  <w:tcW w:w="7368" w:type="dxa"/>
                </w:tcPr>
                <w:p w14:paraId="60FEF416"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策略性投資夥伴</w:t>
                  </w:r>
                  <w:r w:rsidRPr="00D959C5">
                    <w:rPr>
                      <w:rFonts w:eastAsia="標楷體"/>
                    </w:rPr>
                    <w:t>-</w:t>
                  </w:r>
                  <w:r w:rsidRPr="00D959C5">
                    <w:rPr>
                      <w:rFonts w:eastAsia="標楷體"/>
                    </w:rPr>
                    <w:t>中化加入並且完成參與增資。</w:t>
                  </w:r>
                </w:p>
              </w:tc>
            </w:tr>
            <w:tr w:rsidR="00541FDE" w:rsidRPr="00D959C5" w14:paraId="65349C14" w14:textId="77777777" w:rsidTr="00BF2E8D">
              <w:trPr>
                <w:trHeight w:val="93"/>
              </w:trPr>
              <w:tc>
                <w:tcPr>
                  <w:tcW w:w="1559" w:type="dxa"/>
                </w:tcPr>
                <w:p w14:paraId="4524532E"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109</w:t>
                  </w:r>
                  <w:r w:rsidRPr="00D959C5">
                    <w:rPr>
                      <w:rFonts w:eastAsia="標楷體"/>
                    </w:rPr>
                    <w:t>年</w:t>
                  </w:r>
                  <w:r w:rsidRPr="00D959C5">
                    <w:rPr>
                      <w:rFonts w:eastAsia="標楷體"/>
                    </w:rPr>
                    <w:t>11</w:t>
                  </w:r>
                  <w:r w:rsidRPr="00D959C5">
                    <w:rPr>
                      <w:rFonts w:eastAsia="標楷體"/>
                    </w:rPr>
                    <w:t>月</w:t>
                  </w:r>
                </w:p>
              </w:tc>
              <w:tc>
                <w:tcPr>
                  <w:tcW w:w="7368" w:type="dxa"/>
                </w:tcPr>
                <w:p w14:paraId="1D97D78A"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MPB-1734</w:t>
                  </w:r>
                  <w:r w:rsidRPr="00D959C5">
                    <w:rPr>
                      <w:rFonts w:eastAsia="標楷體"/>
                    </w:rPr>
                    <w:t>新劑型抗癌藥物通過美國</w:t>
                  </w:r>
                  <w:r w:rsidRPr="00D959C5">
                    <w:rPr>
                      <w:rFonts w:eastAsia="標楷體"/>
                    </w:rPr>
                    <w:t>FDA</w:t>
                  </w:r>
                  <w:r w:rsidRPr="00D959C5">
                    <w:rPr>
                      <w:rFonts w:eastAsia="標楷體"/>
                    </w:rPr>
                    <w:t>臨床</w:t>
                  </w:r>
                  <w:r w:rsidRPr="00D959C5">
                    <w:rPr>
                      <w:rFonts w:eastAsia="標楷體"/>
                    </w:rPr>
                    <w:t>I/IIa IND</w:t>
                  </w:r>
                  <w:r w:rsidRPr="00D959C5">
                    <w:rPr>
                      <w:rFonts w:eastAsia="標楷體"/>
                    </w:rPr>
                    <w:t>申請。</w:t>
                  </w:r>
                </w:p>
              </w:tc>
            </w:tr>
            <w:tr w:rsidR="00541FDE" w:rsidRPr="00D959C5" w14:paraId="3F551FCF" w14:textId="77777777" w:rsidTr="00BF2E8D">
              <w:trPr>
                <w:trHeight w:val="93"/>
              </w:trPr>
              <w:tc>
                <w:tcPr>
                  <w:tcW w:w="1559" w:type="dxa"/>
                </w:tcPr>
                <w:p w14:paraId="2E548807"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109</w:t>
                  </w:r>
                  <w:r w:rsidRPr="00D959C5">
                    <w:rPr>
                      <w:rFonts w:eastAsia="標楷體"/>
                    </w:rPr>
                    <w:t>年</w:t>
                  </w:r>
                  <w:r w:rsidRPr="00D959C5">
                    <w:rPr>
                      <w:rFonts w:eastAsia="標楷體"/>
                    </w:rPr>
                    <w:t>12</w:t>
                  </w:r>
                  <w:r w:rsidRPr="00D959C5">
                    <w:rPr>
                      <w:rFonts w:eastAsia="標楷體"/>
                    </w:rPr>
                    <w:t>月</w:t>
                  </w:r>
                </w:p>
              </w:tc>
              <w:tc>
                <w:tcPr>
                  <w:tcW w:w="7368" w:type="dxa"/>
                </w:tcPr>
                <w:p w14:paraId="7BF3496F"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再次獲經濟部審定為生技新藥公司。</w:t>
                  </w:r>
                </w:p>
              </w:tc>
            </w:tr>
            <w:tr w:rsidR="00541FDE" w:rsidRPr="00D959C5" w14:paraId="2E49345A" w14:textId="77777777" w:rsidTr="00BF2E8D">
              <w:trPr>
                <w:trHeight w:val="93"/>
              </w:trPr>
              <w:tc>
                <w:tcPr>
                  <w:tcW w:w="1559" w:type="dxa"/>
                </w:tcPr>
                <w:p w14:paraId="3FB22509"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rPr>
                    <w:t>110</w:t>
                  </w:r>
                  <w:r w:rsidRPr="00D959C5">
                    <w:rPr>
                      <w:rFonts w:eastAsia="標楷體"/>
                    </w:rPr>
                    <w:t>年</w:t>
                  </w:r>
                  <w:r w:rsidRPr="00D959C5">
                    <w:rPr>
                      <w:rFonts w:eastAsia="標楷體"/>
                    </w:rPr>
                    <w:t>01</w:t>
                  </w:r>
                  <w:r w:rsidRPr="00D959C5">
                    <w:rPr>
                      <w:rFonts w:eastAsia="標楷體"/>
                    </w:rPr>
                    <w:t>月</w:t>
                  </w:r>
                </w:p>
              </w:tc>
              <w:tc>
                <w:tcPr>
                  <w:tcW w:w="7368" w:type="dxa"/>
                </w:tcPr>
                <w:p w14:paraId="3043A622"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110</w:t>
                  </w:r>
                  <w:r w:rsidRPr="00D959C5">
                    <w:rPr>
                      <w:rFonts w:eastAsia="標楷體"/>
                    </w:rPr>
                    <w:t>年</w:t>
                  </w:r>
                  <w:r w:rsidRPr="00D959C5">
                    <w:rPr>
                      <w:rFonts w:eastAsia="標楷體"/>
                    </w:rPr>
                    <w:t>1</w:t>
                  </w:r>
                  <w:r w:rsidRPr="00D959C5">
                    <w:rPr>
                      <w:rFonts w:eastAsia="標楷體"/>
                    </w:rPr>
                    <w:t>月</w:t>
                  </w:r>
                  <w:r w:rsidRPr="00D959C5">
                    <w:rPr>
                      <w:rFonts w:eastAsia="標楷體"/>
                    </w:rPr>
                    <w:t>26</w:t>
                  </w:r>
                  <w:r w:rsidRPr="00D959C5">
                    <w:rPr>
                      <w:rFonts w:eastAsia="標楷體"/>
                    </w:rPr>
                    <w:t>日成為公開發行公司</w:t>
                  </w:r>
                  <w:r w:rsidRPr="00D959C5">
                    <w:rPr>
                      <w:rFonts w:eastAsia="標楷體"/>
                    </w:rPr>
                    <w:t>(</w:t>
                  </w:r>
                  <w:r w:rsidRPr="00D959C5">
                    <w:rPr>
                      <w:rFonts w:eastAsia="標楷體"/>
                    </w:rPr>
                    <w:t>股票代號</w:t>
                  </w:r>
                  <w:r w:rsidRPr="00D959C5">
                    <w:rPr>
                      <w:rFonts w:eastAsia="標楷體" w:hint="eastAsia"/>
                    </w:rPr>
                    <w:t>:</w:t>
                  </w:r>
                  <w:r w:rsidRPr="00D959C5">
                    <w:rPr>
                      <w:rFonts w:eastAsia="標楷體"/>
                    </w:rPr>
                    <w:t>6827)</w:t>
                  </w:r>
                  <w:r w:rsidRPr="00D959C5">
                    <w:rPr>
                      <w:rFonts w:eastAsia="標楷體"/>
                    </w:rPr>
                    <w:t>。</w:t>
                  </w:r>
                </w:p>
              </w:tc>
            </w:tr>
            <w:tr w:rsidR="00541FDE" w:rsidRPr="00D959C5" w14:paraId="230B4486" w14:textId="77777777" w:rsidTr="00BF2E8D">
              <w:trPr>
                <w:trHeight w:val="93"/>
              </w:trPr>
              <w:tc>
                <w:tcPr>
                  <w:tcW w:w="1559" w:type="dxa"/>
                </w:tcPr>
                <w:p w14:paraId="496A3DE8"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hint="eastAsia"/>
                    </w:rPr>
                    <w:t>110</w:t>
                  </w:r>
                  <w:r w:rsidRPr="00D959C5">
                    <w:rPr>
                      <w:rFonts w:eastAsia="標楷體" w:hint="eastAsia"/>
                    </w:rPr>
                    <w:t>年</w:t>
                  </w:r>
                  <w:r w:rsidRPr="00D959C5">
                    <w:rPr>
                      <w:rFonts w:eastAsia="標楷體" w:hint="eastAsia"/>
                    </w:rPr>
                    <w:t>04</w:t>
                  </w:r>
                  <w:r w:rsidRPr="00D959C5">
                    <w:rPr>
                      <w:rFonts w:eastAsia="標楷體" w:hint="eastAsia"/>
                    </w:rPr>
                    <w:t>月</w:t>
                  </w:r>
                </w:p>
              </w:tc>
              <w:tc>
                <w:tcPr>
                  <w:tcW w:w="7368" w:type="dxa"/>
                </w:tcPr>
                <w:p w14:paraId="0BD5C5A0"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MPB-1734</w:t>
                  </w:r>
                  <w:r w:rsidRPr="00D959C5">
                    <w:rPr>
                      <w:rFonts w:eastAsia="標楷體"/>
                    </w:rPr>
                    <w:t>新劑型抗癌藥物通過</w:t>
                  </w:r>
                  <w:r w:rsidRPr="00D959C5">
                    <w:rPr>
                      <w:rFonts w:eastAsia="標楷體" w:hint="eastAsia"/>
                    </w:rPr>
                    <w:t>台灣</w:t>
                  </w:r>
                  <w:r w:rsidRPr="00D959C5">
                    <w:rPr>
                      <w:rFonts w:eastAsia="標楷體" w:hint="eastAsia"/>
                    </w:rPr>
                    <w:t>T</w:t>
                  </w:r>
                  <w:r w:rsidRPr="00D959C5">
                    <w:rPr>
                      <w:rFonts w:eastAsia="標楷體"/>
                    </w:rPr>
                    <w:t>FDA</w:t>
                  </w:r>
                  <w:r w:rsidRPr="00D959C5">
                    <w:rPr>
                      <w:rFonts w:eastAsia="標楷體"/>
                    </w:rPr>
                    <w:t>臨床</w:t>
                  </w:r>
                  <w:r w:rsidRPr="00D959C5">
                    <w:rPr>
                      <w:rFonts w:eastAsia="標楷體"/>
                    </w:rPr>
                    <w:t>I/IIa IND</w:t>
                  </w:r>
                  <w:r w:rsidRPr="00D959C5">
                    <w:rPr>
                      <w:rFonts w:eastAsia="標楷體"/>
                    </w:rPr>
                    <w:t>申請。</w:t>
                  </w:r>
                </w:p>
              </w:tc>
            </w:tr>
            <w:tr w:rsidR="00541FDE" w:rsidRPr="00D959C5" w14:paraId="23C884A2" w14:textId="77777777" w:rsidTr="00BF2E8D">
              <w:trPr>
                <w:trHeight w:val="93"/>
              </w:trPr>
              <w:tc>
                <w:tcPr>
                  <w:tcW w:w="1559" w:type="dxa"/>
                </w:tcPr>
                <w:p w14:paraId="02508168" w14:textId="77777777" w:rsidR="00541FDE" w:rsidRPr="00D959C5" w:rsidRDefault="00541FDE" w:rsidP="00541FDE">
                  <w:pPr>
                    <w:tabs>
                      <w:tab w:val="left" w:pos="1050"/>
                    </w:tabs>
                    <w:kinsoku w:val="0"/>
                    <w:spacing w:line="280" w:lineRule="exact"/>
                    <w:ind w:right="-150"/>
                    <w:rPr>
                      <w:rFonts w:eastAsia="標楷體"/>
                    </w:rPr>
                  </w:pPr>
                  <w:r w:rsidRPr="00D959C5">
                    <w:rPr>
                      <w:rFonts w:eastAsia="標楷體" w:hint="eastAsia"/>
                    </w:rPr>
                    <w:t>110</w:t>
                  </w:r>
                  <w:r w:rsidRPr="00D959C5">
                    <w:rPr>
                      <w:rFonts w:eastAsia="標楷體" w:hint="eastAsia"/>
                    </w:rPr>
                    <w:t>年</w:t>
                  </w:r>
                  <w:r w:rsidRPr="00D959C5">
                    <w:rPr>
                      <w:rFonts w:eastAsia="標楷體" w:hint="eastAsia"/>
                    </w:rPr>
                    <w:t>08</w:t>
                  </w:r>
                  <w:r w:rsidRPr="00D959C5">
                    <w:rPr>
                      <w:rFonts w:eastAsia="標楷體" w:hint="eastAsia"/>
                    </w:rPr>
                    <w:t>月</w:t>
                  </w:r>
                </w:p>
              </w:tc>
              <w:tc>
                <w:tcPr>
                  <w:tcW w:w="7368" w:type="dxa"/>
                </w:tcPr>
                <w:p w14:paraId="65811326" w14:textId="77777777" w:rsidR="00541FDE" w:rsidRPr="00D959C5" w:rsidRDefault="00541FDE" w:rsidP="00541FDE">
                  <w:pPr>
                    <w:tabs>
                      <w:tab w:val="left" w:pos="1050"/>
                    </w:tabs>
                    <w:kinsoku w:val="0"/>
                    <w:spacing w:line="280" w:lineRule="exact"/>
                    <w:ind w:right="240"/>
                    <w:jc w:val="both"/>
                    <w:rPr>
                      <w:rFonts w:eastAsia="標楷體"/>
                    </w:rPr>
                  </w:pPr>
                  <w:r w:rsidRPr="00D959C5">
                    <w:rPr>
                      <w:rFonts w:eastAsia="標楷體"/>
                    </w:rPr>
                    <w:t>完成</w:t>
                  </w:r>
                  <w:r w:rsidRPr="00D959C5">
                    <w:rPr>
                      <w:rFonts w:eastAsia="標楷體" w:hint="eastAsia"/>
                    </w:rPr>
                    <w:t>D</w:t>
                  </w:r>
                  <w:r w:rsidRPr="00D959C5">
                    <w:rPr>
                      <w:rFonts w:eastAsia="標楷體"/>
                    </w:rPr>
                    <w:t>輪現金增資。</w:t>
                  </w:r>
                </w:p>
              </w:tc>
            </w:tr>
          </w:tbl>
          <w:p w14:paraId="418B4081" w14:textId="77777777" w:rsidR="00541FDE" w:rsidRPr="00D959C5" w:rsidRDefault="00541FDE" w:rsidP="00541FDE">
            <w:pPr>
              <w:pStyle w:val="HTML"/>
              <w:rPr>
                <w:rStyle w:val="HTML1"/>
                <w:rFonts w:ascii="標楷體" w:eastAsia="標楷體" w:hAnsi="標楷體" w:cs="Times New Roman"/>
                <w:sz w:val="24"/>
                <w:szCs w:val="24"/>
              </w:rPr>
            </w:pPr>
            <w:r w:rsidRPr="00D959C5">
              <w:rPr>
                <w:rStyle w:val="HTML1"/>
                <w:rFonts w:ascii="標楷體" w:eastAsia="標楷體" w:hAnsi="標楷體" w:cs="Times New Roman" w:hint="eastAsia"/>
                <w:sz w:val="24"/>
                <w:szCs w:val="24"/>
              </w:rPr>
              <w:t>三、經營理念</w:t>
            </w:r>
          </w:p>
          <w:p w14:paraId="1A9143C8" w14:textId="7DBADF8F" w:rsidR="00541FDE" w:rsidRPr="00BF2E8D" w:rsidRDefault="009F6DA5" w:rsidP="00D959C5">
            <w:pPr>
              <w:pStyle w:val="af1"/>
              <w:ind w:leftChars="0" w:left="540" w:firstLineChars="177" w:firstLine="425"/>
              <w:rPr>
                <w:rStyle w:val="HTML1"/>
                <w:rFonts w:ascii="Times New Roman" w:eastAsia="標楷體" w:hAnsi="Times New Roman" w:cs="Times New Roman"/>
                <w:color w:val="000000"/>
                <w:sz w:val="24"/>
                <w:szCs w:val="24"/>
              </w:rPr>
            </w:pPr>
            <w:r w:rsidRPr="00BF2E8D">
              <w:rPr>
                <w:rStyle w:val="HTML1"/>
                <w:rFonts w:ascii="Times New Roman" w:eastAsia="標楷體" w:hAnsi="Times New Roman" w:cs="Times New Roman"/>
                <w:color w:val="000000"/>
                <w:sz w:val="24"/>
                <w:szCs w:val="24"/>
              </w:rPr>
              <w:t>巨生醫於產業鏈定位為開發前臨床試驗與早期人體臨床試驗階段的加值，藥物量產則委託專業原料藥與製劑</w:t>
            </w:r>
            <w:r w:rsidRPr="00BF2E8D">
              <w:rPr>
                <w:rStyle w:val="HTML1"/>
                <w:rFonts w:ascii="Times New Roman" w:eastAsia="標楷體" w:hAnsi="Times New Roman" w:cs="Times New Roman"/>
                <w:color w:val="000000"/>
                <w:sz w:val="24"/>
                <w:szCs w:val="24"/>
              </w:rPr>
              <w:t>GMP</w:t>
            </w:r>
            <w:r w:rsidRPr="00BF2E8D">
              <w:rPr>
                <w:rStyle w:val="HTML1"/>
                <w:rFonts w:ascii="Times New Roman" w:eastAsia="標楷體" w:hAnsi="Times New Roman" w:cs="Times New Roman"/>
                <w:color w:val="000000"/>
                <w:sz w:val="24"/>
                <w:szCs w:val="24"/>
              </w:rPr>
              <w:t>廠製造，提供臨床試驗實驗藥品來源，藉由臨床試驗證實藥物療效後，積極尋求國內或國際性藥廠共同開發或授權，因此是一個輕裝備的公司，產品在完成臨床工作後，與策略夥伴共同開發市場，以對外進行產品授權與技術開發為公司初期獲利模式。</w:t>
            </w:r>
          </w:p>
          <w:p w14:paraId="52C79221" w14:textId="5C2BA720" w:rsidR="009F6DA5" w:rsidRPr="00A6106F" w:rsidRDefault="009F6DA5" w:rsidP="00D959C5">
            <w:pPr>
              <w:pStyle w:val="af1"/>
              <w:ind w:leftChars="0" w:left="540" w:firstLineChars="177" w:firstLine="425"/>
              <w:rPr>
                <w:szCs w:val="24"/>
              </w:rPr>
            </w:pPr>
            <w:r w:rsidRPr="00BF2E8D">
              <w:rPr>
                <w:rStyle w:val="HTML1"/>
                <w:rFonts w:ascii="Times New Roman" w:eastAsia="標楷體" w:hAnsi="Times New Roman" w:cs="Times New Roman"/>
                <w:color w:val="000000"/>
                <w:sz w:val="24"/>
                <w:szCs w:val="24"/>
              </w:rPr>
              <w:t>巨生醫目前聚焦</w:t>
            </w:r>
            <w:r w:rsidRPr="00BF2E8D">
              <w:rPr>
                <w:rFonts w:ascii="Times New Roman" w:eastAsia="標楷體" w:hAnsi="Times New Roman" w:cs="Times New Roman"/>
                <w:szCs w:val="24"/>
              </w:rPr>
              <w:t>奈米氧化鐵新藥，已經成功開發出多項產品，並陸續進行臨床試驗中，由於人口老化伴隨相關疾病或是慢性病等問題，成為各大藥廠戮力開發的課題，各國政府也研擬健康長照政策以因應需求。此外癌症相關治療用藥更是逐年增加，因此巨生醫公司以奈米氧化鐵</w:t>
            </w:r>
            <w:r w:rsidRPr="00BF2E8D">
              <w:rPr>
                <w:rFonts w:ascii="Times New Roman" w:eastAsia="標楷體" w:hAnsi="Times New Roman" w:cs="Times New Roman"/>
                <w:szCs w:val="24"/>
              </w:rPr>
              <w:t>(IOP)</w:t>
            </w:r>
            <w:r w:rsidRPr="00BF2E8D">
              <w:rPr>
                <w:rFonts w:ascii="Times New Roman" w:eastAsia="標楷體" w:hAnsi="Times New Roman" w:cs="Times New Roman"/>
                <w:szCs w:val="24"/>
              </w:rPr>
              <w:t>產品的核心團隊為基礎，建立一個專注在利基型奈米藥物開發的公司，運用其奈米微粒及奈米微胞技術平台開發新藥，除了已經完</w:t>
            </w:r>
            <w:r w:rsidRPr="00BF2E8D">
              <w:rPr>
                <w:rFonts w:ascii="Times New Roman" w:eastAsia="標楷體" w:hAnsi="Times New Roman" w:cs="Times New Roman"/>
                <w:szCs w:val="24"/>
              </w:rPr>
              <w:lastRenderedPageBreak/>
              <w:t>成開發針對慢性腎</w:t>
            </w:r>
            <w:r w:rsidRPr="00A6106F">
              <w:rPr>
                <w:rFonts w:ascii="Times New Roman" w:eastAsia="標楷體" w:hAnsi="Times New Roman" w:cs="Times New Roman"/>
                <w:szCs w:val="24"/>
              </w:rPr>
              <w:t>病缺鐵性貧血、肝細胞癌診斷的產品，可能再切入淋巴結轉</w:t>
            </w:r>
            <w:r w:rsidRPr="00A6106F">
              <w:rPr>
                <w:rFonts w:ascii="Times New Roman" w:eastAsia="標楷體" w:hAnsi="Times New Roman" w:hint="eastAsia"/>
                <w:szCs w:val="24"/>
              </w:rPr>
              <w:t>移診斷及惡性腫瘤等適應症，</w:t>
            </w:r>
            <w:r w:rsidR="00321BEE" w:rsidRPr="00A6106F">
              <w:rPr>
                <w:rFonts w:ascii="Times New Roman" w:eastAsia="標楷體" w:hAnsi="Times New Roman" w:hint="eastAsia"/>
                <w:szCs w:val="24"/>
              </w:rPr>
              <w:t>提供</w:t>
            </w:r>
            <w:r w:rsidRPr="00A6106F">
              <w:rPr>
                <w:rFonts w:ascii="Times New Roman" w:eastAsia="標楷體" w:hAnsi="Times New Roman" w:hint="eastAsia"/>
                <w:szCs w:val="24"/>
              </w:rPr>
              <w:t>市場新的解決方案。</w:t>
            </w:r>
          </w:p>
          <w:p w14:paraId="51E20AC6" w14:textId="77777777" w:rsidR="00541FDE" w:rsidRPr="00D959C5" w:rsidRDefault="00541FDE" w:rsidP="00541FDE">
            <w:pPr>
              <w:pStyle w:val="HTML"/>
              <w:rPr>
                <w:rStyle w:val="HTML1"/>
                <w:rFonts w:ascii="標楷體" w:eastAsia="標楷體" w:hAnsi="標楷體" w:cs="Times New Roman"/>
                <w:sz w:val="24"/>
                <w:szCs w:val="24"/>
              </w:rPr>
            </w:pPr>
            <w:r w:rsidRPr="00D959C5">
              <w:rPr>
                <w:rStyle w:val="HTML1"/>
                <w:rFonts w:ascii="標楷體" w:eastAsia="標楷體" w:hAnsi="標楷體" w:cs="Times New Roman" w:hint="eastAsia"/>
                <w:sz w:val="24"/>
                <w:szCs w:val="24"/>
              </w:rPr>
              <w:t>四、未來展望</w:t>
            </w:r>
          </w:p>
          <w:p w14:paraId="09D851AE" w14:textId="1068AFB9" w:rsidR="00161123" w:rsidRPr="00541FDE" w:rsidRDefault="009F6DA5" w:rsidP="00D959C5">
            <w:pPr>
              <w:pStyle w:val="af1"/>
              <w:ind w:leftChars="0" w:left="540" w:firstLineChars="177" w:firstLine="425"/>
              <w:rPr>
                <w:rFonts w:ascii="新細明體" w:hAnsi="新細明體"/>
                <w:b/>
                <w:bCs/>
              </w:rPr>
            </w:pPr>
            <w:r w:rsidRPr="00D959C5">
              <w:rPr>
                <w:rStyle w:val="HTML1"/>
                <w:rFonts w:ascii="標楷體" w:eastAsia="標楷體" w:hAnsi="標楷體" w:hint="eastAsia"/>
                <w:color w:val="000000"/>
                <w:sz w:val="24"/>
                <w:szCs w:val="24"/>
              </w:rPr>
              <w:t>巨</w:t>
            </w:r>
            <w:r w:rsidR="00541FDE" w:rsidRPr="00D959C5">
              <w:rPr>
                <w:rStyle w:val="HTML1"/>
                <w:rFonts w:ascii="標楷體" w:eastAsia="標楷體" w:hAnsi="標楷體" w:hint="eastAsia"/>
                <w:color w:val="000000"/>
                <w:sz w:val="24"/>
                <w:szCs w:val="24"/>
              </w:rPr>
              <w:t>生醫</w:t>
            </w:r>
            <w:r w:rsidRPr="00D959C5">
              <w:rPr>
                <w:rStyle w:val="HTML1"/>
                <w:rFonts w:ascii="標楷體" w:eastAsia="標楷體" w:hAnsi="標楷體" w:cs="Times New Roman" w:hint="eastAsia"/>
                <w:color w:val="000000"/>
                <w:sz w:val="24"/>
                <w:szCs w:val="24"/>
              </w:rPr>
              <w:t>期許除了成為台灣奈米藥物研發的出海口外，並且引進具發展潛力之臨床前候選藥物，建立永續經營的公司</w:t>
            </w:r>
            <w:r w:rsidR="00541FDE" w:rsidRPr="00D959C5">
              <w:rPr>
                <w:rStyle w:val="HTML1"/>
                <w:rFonts w:ascii="標楷體" w:eastAsia="標楷體" w:hAnsi="標楷體" w:hint="eastAsia"/>
                <w:color w:val="000000"/>
                <w:sz w:val="24"/>
                <w:szCs w:val="24"/>
              </w:rPr>
              <w:t>。</w:t>
            </w:r>
          </w:p>
        </w:tc>
      </w:tr>
    </w:tbl>
    <w:p w14:paraId="151AF192" w14:textId="16C8FF44" w:rsidR="006B3623" w:rsidRDefault="006B3623">
      <w:pPr>
        <w:jc w:val="both"/>
        <w:rPr>
          <w:rFonts w:ascii="標楷體" w:eastAsia="標楷體" w:hAnsi="標楷體"/>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3623" w:rsidRPr="006F721A" w14:paraId="61E146E7" w14:textId="77777777" w:rsidTr="00AE364A">
        <w:tc>
          <w:tcPr>
            <w:tcW w:w="9628" w:type="dxa"/>
            <w:shd w:val="clear" w:color="auto" w:fill="D9D9D9"/>
          </w:tcPr>
          <w:p w14:paraId="45B23D2A" w14:textId="77777777" w:rsidR="006B3623" w:rsidRPr="00F42CC0" w:rsidRDefault="006B3623" w:rsidP="006F721A">
            <w:pPr>
              <w:jc w:val="center"/>
              <w:rPr>
                <w:rFonts w:ascii="標楷體" w:eastAsia="標楷體" w:hAnsi="標楷體"/>
                <w:u w:val="single"/>
              </w:rPr>
            </w:pPr>
            <w:r w:rsidRPr="00F42CC0">
              <w:rPr>
                <w:rFonts w:ascii="標楷體" w:eastAsia="標楷體" w:hAnsi="標楷體" w:hint="eastAsia"/>
                <w:u w:val="single"/>
              </w:rPr>
              <w:t>風險事項說明(登錄戰略新板公司適用)</w:t>
            </w:r>
          </w:p>
        </w:tc>
      </w:tr>
      <w:tr w:rsidR="006B3623" w:rsidRPr="006F721A" w14:paraId="37F08722" w14:textId="77777777" w:rsidTr="00AE364A">
        <w:tc>
          <w:tcPr>
            <w:tcW w:w="9628" w:type="dxa"/>
            <w:shd w:val="clear" w:color="auto" w:fill="auto"/>
          </w:tcPr>
          <w:p w14:paraId="5B005CAF" w14:textId="4FDFB980" w:rsidR="00990D3C" w:rsidRPr="00F42CC0" w:rsidRDefault="00541FDE" w:rsidP="00541FDE">
            <w:pPr>
              <w:jc w:val="both"/>
              <w:rPr>
                <w:rFonts w:ascii="標楷體" w:eastAsia="標楷體" w:hAnsi="標楷體"/>
              </w:rPr>
            </w:pPr>
            <w:r w:rsidRPr="00F42CC0">
              <w:rPr>
                <w:rFonts w:ascii="標楷體" w:eastAsia="標楷體" w:hAnsi="標楷體" w:hint="eastAsia"/>
                <w:u w:val="single"/>
              </w:rPr>
              <w:t>該公司非屬登錄戰略新板公司，故不適用</w:t>
            </w:r>
          </w:p>
        </w:tc>
      </w:tr>
    </w:tbl>
    <w:p w14:paraId="217CE9DC" w14:textId="4C63B367" w:rsidR="00161123" w:rsidRDefault="00041E13" w:rsidP="006B3623">
      <w:pPr>
        <w:jc w:val="right"/>
        <w:rPr>
          <w:rFonts w:ascii="新細明體" w:hAnsi="新細明體"/>
        </w:rPr>
      </w:pPr>
      <w:r>
        <w:rPr>
          <w:rFonts w:ascii="新細明體" w:hAnsi="新細明體" w:hint="eastAsia"/>
          <w:noProof/>
        </w:rPr>
        <w:drawing>
          <wp:inline distT="0" distB="0" distL="0" distR="0" wp14:anchorId="40CDD853" wp14:editId="08A5111B">
            <wp:extent cx="407035" cy="153670"/>
            <wp:effectExtent l="0" t="0" r="0" b="0"/>
            <wp:docPr id="3" name="圖片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35" cy="153670"/>
                    </a:xfrm>
                    <a:prstGeom prst="rect">
                      <a:avLst/>
                    </a:prstGeom>
                    <a:noFill/>
                    <a:ln>
                      <a:noFill/>
                    </a:ln>
                  </pic:spPr>
                </pic:pic>
              </a:graphicData>
            </a:graphic>
          </wp:inline>
        </w:drawing>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1418"/>
        <w:gridCol w:w="3118"/>
        <w:gridCol w:w="1276"/>
        <w:gridCol w:w="926"/>
      </w:tblGrid>
      <w:tr w:rsidR="00161123" w14:paraId="4BE6A13E" w14:textId="77777777" w:rsidTr="008D522D">
        <w:tc>
          <w:tcPr>
            <w:tcW w:w="9568" w:type="dxa"/>
            <w:gridSpan w:val="5"/>
          </w:tcPr>
          <w:bookmarkStart w:id="3" w:name="主要業務項目"/>
          <w:bookmarkEnd w:id="3"/>
          <w:p w14:paraId="217CCD8F" w14:textId="222EFB9D" w:rsidR="00161123" w:rsidRPr="00D959C5" w:rsidRDefault="00041E13" w:rsidP="00541FDE">
            <w:pPr>
              <w:spacing w:beforeLines="50" w:before="180"/>
              <w:rPr>
                <w:rFonts w:ascii="標楷體" w:eastAsia="標楷體" w:hAnsi="標楷體"/>
              </w:rPr>
            </w:pPr>
            <w:r w:rsidRPr="00D959C5">
              <w:rPr>
                <w:rFonts w:ascii="標楷體" w:eastAsia="標楷體" w:hAnsi="標楷體"/>
                <w:noProof/>
              </w:rPr>
              <mc:AlternateContent>
                <mc:Choice Requires="wps">
                  <w:drawing>
                    <wp:anchor distT="0" distB="0" distL="114300" distR="114300" simplePos="0" relativeHeight="251652608" behindDoc="1" locked="0" layoutInCell="1" allowOverlap="1" wp14:anchorId="5A673A7A" wp14:editId="2130ED5F">
                      <wp:simplePos x="0" y="0"/>
                      <wp:positionH relativeFrom="column">
                        <wp:posOffset>-13970</wp:posOffset>
                      </wp:positionH>
                      <wp:positionV relativeFrom="paragraph">
                        <wp:posOffset>-5715</wp:posOffset>
                      </wp:positionV>
                      <wp:extent cx="6057900" cy="564515"/>
                      <wp:effectExtent l="1270" t="0" r="0" b="1905"/>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23235" w14:textId="77777777" w:rsidR="00575729" w:rsidRDefault="005757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3A7A" id="Text Box 54" o:spid="_x0000_s1029" type="#_x0000_t202" style="position:absolute;margin-left:-1.1pt;margin-top:-.45pt;width:477pt;height:4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" fillcolor="#ededed" stroked="f">
                      <v:fill rotate="t" focus="50%" type="gradient"/>
                      <v:textbox>
                        <w:txbxContent>
                          <w:p w14:paraId="6C623235" w14:textId="77777777" w:rsidR="00575729" w:rsidRDefault="00575729"/>
                        </w:txbxContent>
                      </v:textbox>
                    </v:shape>
                  </w:pict>
                </mc:Fallback>
              </mc:AlternateContent>
            </w:r>
            <w:r w:rsidR="00161123" w:rsidRPr="00D959C5">
              <w:rPr>
                <w:rFonts w:ascii="標楷體" w:eastAsia="標楷體" w:hAnsi="標楷體" w:hint="eastAsia"/>
                <w:b/>
                <w:bCs/>
              </w:rPr>
              <w:t>主要</w:t>
            </w:r>
            <w:r w:rsidR="00161123" w:rsidRPr="00D959C5">
              <w:rPr>
                <w:rFonts w:ascii="標楷體" w:eastAsia="標楷體" w:hAnsi="標楷體"/>
                <w:b/>
                <w:bCs/>
              </w:rPr>
              <w:t>業務</w:t>
            </w:r>
            <w:r w:rsidR="00161123" w:rsidRPr="00D959C5">
              <w:rPr>
                <w:rFonts w:ascii="標楷體" w:eastAsia="標楷體" w:hAnsi="標楷體" w:hint="eastAsia"/>
                <w:b/>
                <w:bCs/>
              </w:rPr>
              <w:t>項目</w:t>
            </w:r>
            <w:r w:rsidR="00161123" w:rsidRPr="00D959C5">
              <w:rPr>
                <w:rFonts w:ascii="標楷體" w:eastAsia="標楷體" w:hAnsi="標楷體"/>
                <w:b/>
                <w:bCs/>
              </w:rPr>
              <w:t>：</w:t>
            </w:r>
            <w:r w:rsidR="008D522D" w:rsidRPr="00D959C5">
              <w:rPr>
                <w:rFonts w:ascii="標楷體" w:eastAsia="標楷體" w:hAnsi="標楷體" w:hint="eastAsia"/>
                <w:snapToGrid w:val="0"/>
              </w:rPr>
              <w:t>奈米微粒及奈米微胞技術平台相關新成分新藥/新劑型新藥開發</w:t>
            </w:r>
            <w:r w:rsidR="00161123" w:rsidRPr="00D959C5">
              <w:rPr>
                <w:rFonts w:ascii="標楷體" w:eastAsia="標楷體" w:hAnsi="標楷體"/>
                <w:snapToGrid w:val="0"/>
              </w:rPr>
              <w:t>。</w:t>
            </w:r>
            <w:r w:rsidR="00161123" w:rsidRPr="00D959C5">
              <w:rPr>
                <w:rFonts w:ascii="標楷體" w:eastAsia="標楷體" w:hAnsi="標楷體"/>
              </w:rPr>
              <w:t xml:space="preserve">                                          </w:t>
            </w:r>
          </w:p>
        </w:tc>
      </w:tr>
      <w:tr w:rsidR="00161123" w14:paraId="1797D339" w14:textId="77777777" w:rsidTr="008D522D">
        <w:tc>
          <w:tcPr>
            <w:tcW w:w="9568" w:type="dxa"/>
            <w:gridSpan w:val="5"/>
            <w:vAlign w:val="center"/>
          </w:tcPr>
          <w:p w14:paraId="69C4AD80" w14:textId="77777777" w:rsidR="00161123" w:rsidRPr="00D959C5" w:rsidRDefault="00161123">
            <w:pPr>
              <w:jc w:val="both"/>
              <w:rPr>
                <w:rFonts w:ascii="標楷體" w:eastAsia="標楷體" w:hAnsi="標楷體"/>
              </w:rPr>
            </w:pPr>
            <w:r w:rsidRPr="00D959C5">
              <w:rPr>
                <w:rFonts w:ascii="標楷體" w:eastAsia="標楷體" w:hAnsi="標楷體"/>
              </w:rPr>
              <w:t>公司所屬產業之上、中、下游結構圖：</w:t>
            </w:r>
          </w:p>
          <w:p w14:paraId="00A26C8F" w14:textId="77777777" w:rsidR="008D522D" w:rsidRPr="00D959C5" w:rsidRDefault="008D522D" w:rsidP="008D522D">
            <w:pPr>
              <w:pStyle w:val="af1"/>
              <w:numPr>
                <w:ilvl w:val="0"/>
                <w:numId w:val="4"/>
              </w:numPr>
              <w:ind w:leftChars="0" w:left="540" w:hanging="482"/>
              <w:rPr>
                <w:rFonts w:ascii="標楷體" w:eastAsia="標楷體" w:hAnsi="標楷體" w:cs="Times New Roman"/>
                <w:szCs w:val="24"/>
              </w:rPr>
            </w:pPr>
            <w:r w:rsidRPr="00D959C5">
              <w:rPr>
                <w:rFonts w:ascii="標楷體" w:eastAsia="標楷體" w:hAnsi="標楷體" w:cs="Times New Roman" w:hint="eastAsia"/>
                <w:szCs w:val="24"/>
              </w:rPr>
              <w:t>製藥產業鏈</w:t>
            </w:r>
          </w:p>
          <w:p w14:paraId="722B4CF0" w14:textId="77777777" w:rsidR="008D522D" w:rsidRPr="00D959C5" w:rsidRDefault="008D522D" w:rsidP="008D522D">
            <w:pPr>
              <w:pStyle w:val="af1"/>
              <w:ind w:leftChars="0" w:left="540"/>
              <w:rPr>
                <w:rFonts w:ascii="標楷體" w:eastAsia="標楷體" w:hAnsi="標楷體" w:cs="Times New Roman"/>
                <w:szCs w:val="24"/>
              </w:rPr>
            </w:pPr>
            <w:r w:rsidRPr="00D959C5">
              <w:rPr>
                <w:rFonts w:ascii="標楷體" w:eastAsia="標楷體" w:hAnsi="標楷體"/>
                <w:noProof/>
                <w:szCs w:val="24"/>
              </w:rPr>
              <w:drawing>
                <wp:inline distT="0" distB="0" distL="0" distR="0" wp14:anchorId="0EAA6C0D" wp14:editId="3AFFF635">
                  <wp:extent cx="4622800" cy="596900"/>
                  <wp:effectExtent l="19050" t="0" r="44450" b="12700"/>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2338CBA" w14:textId="77777777" w:rsidR="008D522D" w:rsidRPr="00D959C5" w:rsidRDefault="008D522D" w:rsidP="008D522D">
            <w:pPr>
              <w:pStyle w:val="af1"/>
              <w:ind w:leftChars="0" w:left="540" w:firstLineChars="177" w:firstLine="425"/>
              <w:rPr>
                <w:rFonts w:ascii="標楷體" w:eastAsia="標楷體" w:hAnsi="標楷體" w:cs="Times New Roman"/>
                <w:szCs w:val="24"/>
              </w:rPr>
            </w:pPr>
            <w:r w:rsidRPr="00D959C5">
              <w:rPr>
                <w:rFonts w:ascii="標楷體" w:eastAsia="標楷體" w:hAnsi="標楷體" w:cs="Times New Roman" w:hint="eastAsia"/>
                <w:szCs w:val="24"/>
              </w:rPr>
              <w:t>生技製藥產業鏈上游為原材料（如化學品、天然植物、礦物、微生物菌種及相關組織細胞等）之</w:t>
            </w:r>
            <w:r w:rsidRPr="00D959C5">
              <w:rPr>
                <w:rFonts w:ascii="標楷體" w:eastAsia="標楷體" w:hAnsi="標楷體" w:hint="eastAsia"/>
                <w:noProof/>
                <w:szCs w:val="24"/>
              </w:rPr>
              <w:t>製造</w:t>
            </w:r>
            <w:r w:rsidRPr="00D959C5">
              <w:rPr>
                <w:rFonts w:ascii="標楷體" w:eastAsia="標楷體" w:hAnsi="標楷體" w:cs="Times New Roman" w:hint="eastAsia"/>
                <w:szCs w:val="24"/>
              </w:rPr>
              <w:t>，中游為中西原料藥之加工（原料藥製程包括從天然物經發酵培養、萃取分離、純化，或從一般化學品經有機合成、分離純化），下游為中西藥製劑（製劑製程為原材料加上賦形劑、崩散劑、黏著劑等製劑輔料，再加工成方便使用的劑型）及藥品代理銷售與通路商。本公司位處中游中原料藥產業的前端，策略上是與原料藥廠共同合作，主要是負責推動及協調產品的開發進度，創造成果、分享利潤。</w:t>
            </w:r>
          </w:p>
          <w:p w14:paraId="368DD237" w14:textId="77777777" w:rsidR="008D522D" w:rsidRPr="00D959C5" w:rsidRDefault="008D522D" w:rsidP="008D522D">
            <w:pPr>
              <w:pStyle w:val="af1"/>
              <w:numPr>
                <w:ilvl w:val="0"/>
                <w:numId w:val="4"/>
              </w:numPr>
              <w:ind w:leftChars="0" w:left="540" w:hanging="482"/>
              <w:rPr>
                <w:rFonts w:ascii="標楷體" w:eastAsia="標楷體" w:hAnsi="標楷體" w:cs="Times New Roman"/>
                <w:szCs w:val="24"/>
              </w:rPr>
            </w:pPr>
            <w:r w:rsidRPr="00D959C5">
              <w:rPr>
                <w:rFonts w:ascii="標楷體" w:eastAsia="標楷體" w:hAnsi="標楷體" w:cs="Times New Roman" w:hint="eastAsia"/>
                <w:szCs w:val="24"/>
              </w:rPr>
              <w:t>生技新藥產業供應鏈</w:t>
            </w:r>
          </w:p>
          <w:p w14:paraId="79C64C63" w14:textId="77777777" w:rsidR="008D522D" w:rsidRPr="00D959C5" w:rsidRDefault="008D522D" w:rsidP="008D522D">
            <w:pPr>
              <w:pStyle w:val="af1"/>
              <w:ind w:leftChars="0" w:left="540"/>
              <w:rPr>
                <w:rFonts w:ascii="標楷體" w:eastAsia="標楷體" w:hAnsi="標楷體" w:cs="Times New Roman"/>
                <w:szCs w:val="24"/>
              </w:rPr>
            </w:pPr>
            <w:r w:rsidRPr="00D959C5">
              <w:rPr>
                <w:rFonts w:ascii="標楷體" w:eastAsia="標楷體" w:hAnsi="標楷體"/>
                <w:noProof/>
                <w:szCs w:val="24"/>
              </w:rPr>
              <w:drawing>
                <wp:inline distT="0" distB="0" distL="0" distR="0" wp14:anchorId="4BD31807" wp14:editId="31BC4F38">
                  <wp:extent cx="5438775" cy="3057525"/>
                  <wp:effectExtent l="76200" t="76200" r="142875" b="14287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8883" cy="30744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9D1FB05" w14:textId="5B36BA5A" w:rsidR="008D522D" w:rsidRPr="00D959C5" w:rsidRDefault="008D522D" w:rsidP="00F42CC0">
            <w:pPr>
              <w:pStyle w:val="af1"/>
              <w:ind w:leftChars="0" w:left="540" w:firstLineChars="177" w:firstLine="425"/>
              <w:rPr>
                <w:rFonts w:ascii="標楷體" w:eastAsia="標楷體" w:hAnsi="標楷體"/>
                <w:szCs w:val="24"/>
              </w:rPr>
            </w:pPr>
            <w:r w:rsidRPr="00D959C5">
              <w:rPr>
                <w:rFonts w:ascii="標楷體" w:eastAsia="標楷體" w:hAnsi="標楷體" w:cs="Times New Roman" w:hint="eastAsia"/>
                <w:szCs w:val="24"/>
              </w:rPr>
              <w:t>生技新藥產業開發領域中，新藥從研發實驗室開發到核准上市，通常一萬個才有一個能夠真正成功上市，研發時程平均長達</w:t>
            </w:r>
            <w:r w:rsidRPr="00D959C5">
              <w:rPr>
                <w:rFonts w:ascii="標楷體" w:eastAsia="標楷體" w:hAnsi="標楷體" w:cs="Times New Roman"/>
                <w:szCs w:val="24"/>
              </w:rPr>
              <w:t>10</w:t>
            </w:r>
            <w:r w:rsidRPr="00D959C5">
              <w:rPr>
                <w:rFonts w:ascii="標楷體" w:eastAsia="標楷體" w:hAnsi="標楷體" w:cs="Times New Roman" w:hint="eastAsia"/>
                <w:szCs w:val="24"/>
              </w:rPr>
              <w:t>～</w:t>
            </w:r>
            <w:r w:rsidRPr="00D959C5">
              <w:rPr>
                <w:rFonts w:ascii="標楷體" w:eastAsia="標楷體" w:hAnsi="標楷體" w:cs="Times New Roman"/>
                <w:szCs w:val="24"/>
              </w:rPr>
              <w:t xml:space="preserve">15 </w:t>
            </w:r>
            <w:r w:rsidRPr="00D959C5">
              <w:rPr>
                <w:rFonts w:ascii="標楷體" w:eastAsia="標楷體" w:hAnsi="標楷體" w:cs="Times New Roman" w:hint="eastAsia"/>
                <w:szCs w:val="24"/>
              </w:rPr>
              <w:t>年，所耗資金約達</w:t>
            </w:r>
            <w:r w:rsidRPr="00D959C5">
              <w:rPr>
                <w:rFonts w:ascii="標楷體" w:eastAsia="標楷體" w:hAnsi="標楷體" w:cs="Times New Roman"/>
                <w:szCs w:val="24"/>
              </w:rPr>
              <w:t xml:space="preserve">8.73 </w:t>
            </w:r>
            <w:r w:rsidRPr="00D959C5">
              <w:rPr>
                <w:rFonts w:ascii="標楷體" w:eastAsia="標楷體" w:hAnsi="標楷體" w:cs="Times New Roman" w:hint="eastAsia"/>
                <w:szCs w:val="24"/>
              </w:rPr>
              <w:t>億美</w:t>
            </w:r>
            <w:r w:rsidRPr="00D959C5">
              <w:rPr>
                <w:rFonts w:ascii="標楷體" w:eastAsia="標楷體" w:hAnsi="標楷體" w:cs="Times New Roman" w:hint="eastAsia"/>
                <w:szCs w:val="24"/>
              </w:rPr>
              <w:lastRenderedPageBreak/>
              <w:t>金。新藥開發由於開發時間冗長，所以不同開發階段皆有專門的學研單位、生技公司或大型製藥廠負責研究開發、技術提供、臨床試驗或是生產製造，其上中下游關聯性如下圖所示，每個過程都是新藥開發過程中重要之一環，因此整個產業鏈是各有所長且相互依存。本公司位處上游的新藥研發，產業鏈定位產品開發前臨床試驗與早期人體臨床試驗階段的加值，因此不打算建立生產工廠，藥物量產則委託專業原料藥與製劑</w:t>
            </w:r>
            <w:r w:rsidRPr="00D959C5">
              <w:rPr>
                <w:rFonts w:ascii="標楷體" w:eastAsia="標楷體" w:hAnsi="標楷體" w:cs="Times New Roman"/>
                <w:szCs w:val="24"/>
              </w:rPr>
              <w:t>GMP</w:t>
            </w:r>
            <w:r w:rsidRPr="00D959C5">
              <w:rPr>
                <w:rFonts w:ascii="標楷體" w:eastAsia="標楷體" w:hAnsi="標楷體" w:cs="Times New Roman" w:hint="eastAsia"/>
                <w:szCs w:val="24"/>
              </w:rPr>
              <w:t>廠製造，提供臨床試驗實驗藥品來源，藉由臨床試驗證實藥物療效後，積極尋求國內或國際性藥廠共同開發或授權，因此是一個輕裝備的公司，產品在完成臨床工作後，與策略夥伴共同開發市場，以對外進行產品授權與技術開發為公司初期獲利模式。</w:t>
            </w:r>
          </w:p>
        </w:tc>
      </w:tr>
      <w:tr w:rsidR="00161123" w14:paraId="17A6ADBE" w14:textId="77777777" w:rsidTr="00D959C5">
        <w:tc>
          <w:tcPr>
            <w:tcW w:w="2830" w:type="dxa"/>
            <w:shd w:val="clear" w:color="auto" w:fill="F9F9F9"/>
            <w:vAlign w:val="center"/>
          </w:tcPr>
          <w:p w14:paraId="368EF478" w14:textId="77777777" w:rsidR="00161123" w:rsidRPr="00D959C5" w:rsidRDefault="00161123">
            <w:pPr>
              <w:snapToGrid w:val="0"/>
              <w:spacing w:line="300" w:lineRule="exact"/>
              <w:jc w:val="distribute"/>
              <w:rPr>
                <w:rFonts w:eastAsia="標楷體"/>
              </w:rPr>
            </w:pPr>
            <w:r w:rsidRPr="00D959C5">
              <w:rPr>
                <w:rFonts w:eastAsia="標楷體"/>
              </w:rPr>
              <w:lastRenderedPageBreak/>
              <w:t>產品名稱</w:t>
            </w:r>
          </w:p>
        </w:tc>
        <w:tc>
          <w:tcPr>
            <w:tcW w:w="1418" w:type="dxa"/>
            <w:shd w:val="clear" w:color="auto" w:fill="F9F9F9"/>
            <w:vAlign w:val="center"/>
          </w:tcPr>
          <w:p w14:paraId="2545735E" w14:textId="77777777" w:rsidR="00161123" w:rsidRPr="00D959C5" w:rsidRDefault="00161123">
            <w:pPr>
              <w:pStyle w:val="a3"/>
              <w:spacing w:line="300" w:lineRule="exact"/>
              <w:rPr>
                <w:szCs w:val="24"/>
              </w:rPr>
            </w:pPr>
            <w:r w:rsidRPr="00D959C5">
              <w:rPr>
                <w:szCs w:val="24"/>
              </w:rPr>
              <w:t>產品圖示</w:t>
            </w:r>
          </w:p>
          <w:p w14:paraId="74679378" w14:textId="77777777" w:rsidR="00161123" w:rsidRPr="00D959C5" w:rsidRDefault="00161123">
            <w:pPr>
              <w:pStyle w:val="a3"/>
              <w:spacing w:line="300" w:lineRule="exact"/>
              <w:rPr>
                <w:szCs w:val="24"/>
              </w:rPr>
            </w:pPr>
            <w:r w:rsidRPr="00D959C5">
              <w:rPr>
                <w:szCs w:val="24"/>
              </w:rPr>
              <w:t>及介紹</w:t>
            </w:r>
          </w:p>
        </w:tc>
        <w:tc>
          <w:tcPr>
            <w:tcW w:w="3118" w:type="dxa"/>
            <w:shd w:val="clear" w:color="auto" w:fill="F9F9F9"/>
            <w:vAlign w:val="center"/>
          </w:tcPr>
          <w:p w14:paraId="449156E2" w14:textId="77777777" w:rsidR="00161123" w:rsidRPr="00D959C5" w:rsidRDefault="00161123">
            <w:pPr>
              <w:pStyle w:val="a3"/>
              <w:spacing w:line="300" w:lineRule="exact"/>
              <w:rPr>
                <w:szCs w:val="24"/>
              </w:rPr>
            </w:pPr>
            <w:r w:rsidRPr="00D959C5">
              <w:rPr>
                <w:szCs w:val="24"/>
              </w:rPr>
              <w:t>重要用途或功能</w:t>
            </w:r>
          </w:p>
        </w:tc>
        <w:tc>
          <w:tcPr>
            <w:tcW w:w="1276" w:type="dxa"/>
            <w:shd w:val="clear" w:color="auto" w:fill="F9F9F9"/>
          </w:tcPr>
          <w:p w14:paraId="16BEF259" w14:textId="77777777" w:rsidR="00161123" w:rsidRPr="00D959C5" w:rsidRDefault="00161123">
            <w:pPr>
              <w:jc w:val="center"/>
              <w:rPr>
                <w:rFonts w:eastAsia="標楷體"/>
              </w:rPr>
            </w:pPr>
            <w:r w:rsidRPr="00D959C5">
              <w:rPr>
                <w:rFonts w:eastAsia="標楷體"/>
              </w:rPr>
              <w:t>最近一年度</w:t>
            </w:r>
          </w:p>
          <w:p w14:paraId="3663F66E" w14:textId="77777777" w:rsidR="00161123" w:rsidRPr="00D959C5" w:rsidRDefault="00161123">
            <w:pPr>
              <w:jc w:val="center"/>
              <w:rPr>
                <w:rFonts w:eastAsia="標楷體"/>
              </w:rPr>
            </w:pPr>
            <w:r w:rsidRPr="00D959C5">
              <w:rPr>
                <w:rFonts w:eastAsia="標楷體"/>
              </w:rPr>
              <w:t>營收金額</w:t>
            </w:r>
            <w:r w:rsidRPr="00D959C5">
              <w:rPr>
                <w:rFonts w:eastAsia="標楷體"/>
              </w:rPr>
              <w:t>(</w:t>
            </w:r>
            <w:r w:rsidR="006B3623" w:rsidRPr="00D959C5">
              <w:rPr>
                <w:rFonts w:eastAsia="標楷體"/>
              </w:rPr>
              <w:t>千</w:t>
            </w:r>
            <w:r w:rsidRPr="00D959C5">
              <w:rPr>
                <w:rFonts w:eastAsia="標楷體"/>
              </w:rPr>
              <w:t>元</w:t>
            </w:r>
            <w:r w:rsidRPr="00D959C5">
              <w:rPr>
                <w:rFonts w:eastAsia="標楷體"/>
              </w:rPr>
              <w:t>)</w:t>
            </w:r>
          </w:p>
        </w:tc>
        <w:tc>
          <w:tcPr>
            <w:tcW w:w="926" w:type="dxa"/>
            <w:shd w:val="clear" w:color="auto" w:fill="F9F9F9"/>
          </w:tcPr>
          <w:p w14:paraId="5B604793" w14:textId="39B963C5" w:rsidR="00161123" w:rsidRPr="00D959C5" w:rsidRDefault="00161123" w:rsidP="00730D2B">
            <w:pPr>
              <w:jc w:val="center"/>
              <w:rPr>
                <w:rFonts w:eastAsia="標楷體"/>
              </w:rPr>
            </w:pPr>
            <w:r w:rsidRPr="00D959C5">
              <w:rPr>
                <w:rFonts w:eastAsia="標楷體"/>
              </w:rPr>
              <w:t>佔總營收比重</w:t>
            </w:r>
            <w:r w:rsidRPr="00D959C5">
              <w:rPr>
                <w:rFonts w:eastAsia="標楷體"/>
              </w:rPr>
              <w:t>(%)</w:t>
            </w:r>
          </w:p>
        </w:tc>
      </w:tr>
      <w:tr w:rsidR="00161123" w14:paraId="6C2D8DAA" w14:textId="77777777" w:rsidTr="00D959C5">
        <w:tc>
          <w:tcPr>
            <w:tcW w:w="2830" w:type="dxa"/>
            <w:vAlign w:val="center"/>
          </w:tcPr>
          <w:p w14:paraId="67CD3732" w14:textId="77777777" w:rsidR="00541FDE" w:rsidRPr="00D959C5" w:rsidRDefault="00541FDE" w:rsidP="00541FDE">
            <w:pPr>
              <w:rPr>
                <w:rFonts w:eastAsia="標楷體"/>
                <w:b/>
              </w:rPr>
            </w:pPr>
            <w:r w:rsidRPr="00D959C5">
              <w:rPr>
                <w:rFonts w:eastAsia="標楷體"/>
                <w:b/>
              </w:rPr>
              <w:t>MPB-1514</w:t>
            </w:r>
          </w:p>
          <w:p w14:paraId="7064159B" w14:textId="73B4AE59" w:rsidR="00161123" w:rsidRPr="00D959C5" w:rsidRDefault="00541FDE" w:rsidP="00541FDE">
            <w:pPr>
              <w:rPr>
                <w:rFonts w:eastAsia="標楷體"/>
              </w:rPr>
            </w:pPr>
            <w:r w:rsidRPr="00D959C5">
              <w:rPr>
                <w:rFonts w:eastAsia="標楷體"/>
              </w:rPr>
              <w:t>慢性腎病缺鐵性貧血鐵劑</w:t>
            </w:r>
            <w:r w:rsidRPr="00D959C5">
              <w:rPr>
                <w:rFonts w:eastAsia="標楷體"/>
              </w:rPr>
              <w:t>(</w:t>
            </w:r>
            <w:r w:rsidRPr="00D959C5">
              <w:rPr>
                <w:rFonts w:eastAsia="標楷體"/>
              </w:rPr>
              <w:t>新成分新藥</w:t>
            </w:r>
            <w:r w:rsidRPr="00D959C5">
              <w:rPr>
                <w:rFonts w:eastAsia="標楷體"/>
              </w:rPr>
              <w:t>)</w:t>
            </w:r>
          </w:p>
        </w:tc>
        <w:tc>
          <w:tcPr>
            <w:tcW w:w="1418" w:type="dxa"/>
            <w:vAlign w:val="center"/>
          </w:tcPr>
          <w:p w14:paraId="4A9DD55E" w14:textId="092C01BA" w:rsidR="00161123" w:rsidRPr="00730D2B" w:rsidRDefault="00541FDE">
            <w:pPr>
              <w:snapToGrid w:val="0"/>
              <w:spacing w:line="240" w:lineRule="atLeast"/>
              <w:jc w:val="center"/>
              <w:rPr>
                <w:rFonts w:eastAsia="標楷體"/>
                <w:b/>
                <w:bCs/>
              </w:rPr>
            </w:pPr>
            <w:r w:rsidRPr="00730D2B">
              <w:rPr>
                <w:rFonts w:eastAsia="標楷體"/>
                <w:b/>
                <w:bCs/>
              </w:rPr>
              <w:t>-</w:t>
            </w:r>
          </w:p>
        </w:tc>
        <w:tc>
          <w:tcPr>
            <w:tcW w:w="3118" w:type="dxa"/>
            <w:vAlign w:val="center"/>
          </w:tcPr>
          <w:p w14:paraId="240F4CF2" w14:textId="0566D9A7" w:rsidR="00161123" w:rsidRPr="00D959C5" w:rsidRDefault="00E2006D">
            <w:pPr>
              <w:snapToGrid w:val="0"/>
              <w:spacing w:line="240" w:lineRule="atLeast"/>
              <w:jc w:val="both"/>
              <w:rPr>
                <w:rFonts w:eastAsia="標楷體"/>
              </w:rPr>
            </w:pPr>
            <w:r w:rsidRPr="00D959C5">
              <w:rPr>
                <w:rFonts w:eastAsia="標楷體"/>
                <w:color w:val="000000" w:themeColor="text1"/>
              </w:rPr>
              <w:t>用</w:t>
            </w:r>
            <w:r w:rsidRPr="00D959C5">
              <w:rPr>
                <w:rFonts w:eastAsia="標楷體"/>
              </w:rPr>
              <w:t>於治療慢性腎病造成的缺鐵性貧血的針劑型鐵劑</w:t>
            </w:r>
          </w:p>
        </w:tc>
        <w:tc>
          <w:tcPr>
            <w:tcW w:w="1276" w:type="dxa"/>
            <w:vAlign w:val="center"/>
          </w:tcPr>
          <w:p w14:paraId="7A079290" w14:textId="16D96085" w:rsidR="00161123" w:rsidRPr="00D959C5" w:rsidRDefault="00541FDE">
            <w:pPr>
              <w:pStyle w:val="a4"/>
              <w:spacing w:line="300" w:lineRule="exact"/>
              <w:jc w:val="right"/>
              <w:rPr>
                <w:color w:val="auto"/>
                <w:sz w:val="24"/>
              </w:rPr>
            </w:pPr>
            <w:r w:rsidRPr="00D959C5">
              <w:rPr>
                <w:color w:val="auto"/>
                <w:sz w:val="24"/>
              </w:rPr>
              <w:t>-</w:t>
            </w:r>
          </w:p>
        </w:tc>
        <w:tc>
          <w:tcPr>
            <w:tcW w:w="926" w:type="dxa"/>
            <w:vAlign w:val="center"/>
          </w:tcPr>
          <w:p w14:paraId="0F8E966D" w14:textId="2C58846B" w:rsidR="00161123" w:rsidRPr="00D959C5" w:rsidRDefault="00541FDE">
            <w:pPr>
              <w:pStyle w:val="a4"/>
              <w:spacing w:line="300" w:lineRule="exact"/>
              <w:jc w:val="right"/>
              <w:rPr>
                <w:color w:val="auto"/>
                <w:sz w:val="24"/>
              </w:rPr>
            </w:pPr>
            <w:r w:rsidRPr="00D959C5">
              <w:rPr>
                <w:color w:val="auto"/>
                <w:sz w:val="24"/>
              </w:rPr>
              <w:t>-</w:t>
            </w:r>
          </w:p>
        </w:tc>
      </w:tr>
      <w:tr w:rsidR="00541FDE" w14:paraId="43D43936" w14:textId="77777777" w:rsidTr="00D959C5">
        <w:tc>
          <w:tcPr>
            <w:tcW w:w="2830" w:type="dxa"/>
          </w:tcPr>
          <w:p w14:paraId="2C254F66" w14:textId="77777777" w:rsidR="00541FDE" w:rsidRPr="00D959C5" w:rsidRDefault="00541FDE" w:rsidP="00541FDE">
            <w:pPr>
              <w:rPr>
                <w:rFonts w:eastAsia="標楷體"/>
                <w:b/>
              </w:rPr>
            </w:pPr>
            <w:r w:rsidRPr="00D959C5">
              <w:rPr>
                <w:rFonts w:eastAsia="標楷體"/>
                <w:b/>
              </w:rPr>
              <w:t>MPB-1523</w:t>
            </w:r>
          </w:p>
          <w:p w14:paraId="2AA0AA32" w14:textId="229F9DC0" w:rsidR="00541FDE" w:rsidRPr="00D959C5" w:rsidRDefault="00541FDE" w:rsidP="00541FDE">
            <w:pPr>
              <w:rPr>
                <w:rFonts w:eastAsia="標楷體"/>
              </w:rPr>
            </w:pPr>
            <w:r w:rsidRPr="00D959C5">
              <w:rPr>
                <w:rFonts w:eastAsia="標楷體"/>
              </w:rPr>
              <w:t>磁振造影診斷用顯影劑</w:t>
            </w:r>
            <w:r w:rsidRPr="00D959C5">
              <w:rPr>
                <w:rFonts w:eastAsia="標楷體"/>
              </w:rPr>
              <w:t>-</w:t>
            </w:r>
            <w:r w:rsidRPr="00D959C5">
              <w:rPr>
                <w:rFonts w:eastAsia="標楷體"/>
              </w:rPr>
              <w:t>肝癌</w:t>
            </w:r>
            <w:r w:rsidRPr="00D959C5">
              <w:rPr>
                <w:rFonts w:eastAsia="標楷體"/>
              </w:rPr>
              <w:t>(</w:t>
            </w:r>
            <w:r w:rsidRPr="00D959C5">
              <w:rPr>
                <w:rFonts w:eastAsia="標楷體"/>
              </w:rPr>
              <w:t>新成分新藥</w:t>
            </w:r>
            <w:r w:rsidRPr="00D959C5">
              <w:rPr>
                <w:rFonts w:eastAsia="標楷體"/>
              </w:rPr>
              <w:t>)</w:t>
            </w:r>
          </w:p>
        </w:tc>
        <w:tc>
          <w:tcPr>
            <w:tcW w:w="1418" w:type="dxa"/>
            <w:vAlign w:val="center"/>
          </w:tcPr>
          <w:p w14:paraId="70AE0851" w14:textId="784AE22E" w:rsidR="00541FDE" w:rsidRPr="00730D2B" w:rsidRDefault="00541FDE" w:rsidP="00541FDE">
            <w:pPr>
              <w:snapToGrid w:val="0"/>
              <w:spacing w:line="240" w:lineRule="atLeast"/>
              <w:jc w:val="center"/>
              <w:rPr>
                <w:rFonts w:eastAsia="標楷體"/>
                <w:b/>
                <w:bCs/>
              </w:rPr>
            </w:pPr>
            <w:r w:rsidRPr="00730D2B">
              <w:rPr>
                <w:rFonts w:eastAsia="標楷體"/>
                <w:b/>
                <w:bCs/>
              </w:rPr>
              <w:t>-</w:t>
            </w:r>
          </w:p>
        </w:tc>
        <w:tc>
          <w:tcPr>
            <w:tcW w:w="3118" w:type="dxa"/>
            <w:vAlign w:val="center"/>
          </w:tcPr>
          <w:p w14:paraId="5F82088E" w14:textId="087584B8" w:rsidR="00541FDE" w:rsidRPr="00D959C5" w:rsidRDefault="00E2006D" w:rsidP="00541FDE">
            <w:pPr>
              <w:snapToGrid w:val="0"/>
              <w:spacing w:line="240" w:lineRule="atLeast"/>
              <w:jc w:val="both"/>
              <w:rPr>
                <w:rFonts w:eastAsia="標楷體"/>
              </w:rPr>
            </w:pPr>
            <w:r w:rsidRPr="00D959C5">
              <w:rPr>
                <w:rFonts w:eastAsia="標楷體"/>
              </w:rPr>
              <w:t>用於診斷肝臟腫瘤細胞是否為惡性腫瘤</w:t>
            </w:r>
          </w:p>
        </w:tc>
        <w:tc>
          <w:tcPr>
            <w:tcW w:w="1276" w:type="dxa"/>
            <w:vAlign w:val="center"/>
          </w:tcPr>
          <w:p w14:paraId="1A8F169D" w14:textId="47A4C2FE" w:rsidR="00541FDE" w:rsidRPr="00D959C5" w:rsidRDefault="00541FDE" w:rsidP="00541FDE">
            <w:pPr>
              <w:pStyle w:val="a4"/>
              <w:spacing w:line="300" w:lineRule="exact"/>
              <w:jc w:val="right"/>
              <w:rPr>
                <w:color w:val="auto"/>
                <w:sz w:val="24"/>
              </w:rPr>
            </w:pPr>
            <w:r w:rsidRPr="00D959C5">
              <w:rPr>
                <w:color w:val="auto"/>
                <w:sz w:val="24"/>
              </w:rPr>
              <w:t>-</w:t>
            </w:r>
          </w:p>
        </w:tc>
        <w:tc>
          <w:tcPr>
            <w:tcW w:w="926" w:type="dxa"/>
            <w:vAlign w:val="center"/>
          </w:tcPr>
          <w:p w14:paraId="7E635581" w14:textId="5ADCB5E4" w:rsidR="00541FDE" w:rsidRPr="00D959C5" w:rsidRDefault="00541FDE" w:rsidP="00541FDE">
            <w:pPr>
              <w:pStyle w:val="a4"/>
              <w:spacing w:line="300" w:lineRule="exact"/>
              <w:jc w:val="right"/>
              <w:rPr>
                <w:color w:val="auto"/>
                <w:sz w:val="24"/>
              </w:rPr>
            </w:pPr>
            <w:r w:rsidRPr="00D959C5">
              <w:rPr>
                <w:color w:val="auto"/>
                <w:sz w:val="24"/>
              </w:rPr>
              <w:t>-</w:t>
            </w:r>
          </w:p>
        </w:tc>
      </w:tr>
      <w:tr w:rsidR="00541FDE" w14:paraId="1C794B9E" w14:textId="77777777" w:rsidTr="00D959C5">
        <w:tc>
          <w:tcPr>
            <w:tcW w:w="2830" w:type="dxa"/>
          </w:tcPr>
          <w:p w14:paraId="60E0B89B" w14:textId="77777777" w:rsidR="00541FDE" w:rsidRPr="00D959C5" w:rsidRDefault="00541FDE" w:rsidP="00541FDE">
            <w:pPr>
              <w:rPr>
                <w:rFonts w:eastAsia="標楷體"/>
                <w:b/>
              </w:rPr>
            </w:pPr>
            <w:r w:rsidRPr="00D959C5">
              <w:rPr>
                <w:rFonts w:eastAsia="標楷體"/>
                <w:b/>
              </w:rPr>
              <w:t>MPB-1734</w:t>
            </w:r>
          </w:p>
          <w:p w14:paraId="5ED45BAF" w14:textId="1C814395" w:rsidR="00541FDE" w:rsidRPr="00D959C5" w:rsidRDefault="00541FDE" w:rsidP="00541FDE">
            <w:pPr>
              <w:rPr>
                <w:rFonts w:eastAsia="標楷體"/>
              </w:rPr>
            </w:pPr>
            <w:r w:rsidRPr="00D959C5">
              <w:rPr>
                <w:rFonts w:eastAsia="標楷體"/>
              </w:rPr>
              <w:t>抗癌藥物新劑型</w:t>
            </w:r>
            <w:r w:rsidRPr="00D959C5">
              <w:rPr>
                <w:rFonts w:eastAsia="標楷體"/>
              </w:rPr>
              <w:t>(</w:t>
            </w:r>
            <w:r w:rsidRPr="00D959C5">
              <w:rPr>
                <w:rFonts w:eastAsia="標楷體"/>
              </w:rPr>
              <w:t>新劑型新藥</w:t>
            </w:r>
            <w:r w:rsidRPr="00D959C5">
              <w:rPr>
                <w:rFonts w:eastAsia="標楷體"/>
              </w:rPr>
              <w:t>)</w:t>
            </w:r>
          </w:p>
        </w:tc>
        <w:tc>
          <w:tcPr>
            <w:tcW w:w="1418" w:type="dxa"/>
            <w:vAlign w:val="center"/>
          </w:tcPr>
          <w:p w14:paraId="13CE3C44" w14:textId="6BD405F4" w:rsidR="00541FDE" w:rsidRPr="00730D2B" w:rsidRDefault="00541FDE" w:rsidP="00541FDE">
            <w:pPr>
              <w:snapToGrid w:val="0"/>
              <w:spacing w:line="240" w:lineRule="atLeast"/>
              <w:jc w:val="center"/>
              <w:rPr>
                <w:rFonts w:eastAsia="標楷體"/>
                <w:b/>
                <w:bCs/>
              </w:rPr>
            </w:pPr>
            <w:r w:rsidRPr="00730D2B">
              <w:rPr>
                <w:rFonts w:eastAsia="標楷體"/>
                <w:b/>
                <w:bCs/>
              </w:rPr>
              <w:t>-</w:t>
            </w:r>
          </w:p>
        </w:tc>
        <w:tc>
          <w:tcPr>
            <w:tcW w:w="3118" w:type="dxa"/>
            <w:vAlign w:val="center"/>
          </w:tcPr>
          <w:p w14:paraId="69EAC18F" w14:textId="450DC940" w:rsidR="00541FDE" w:rsidRPr="00D959C5" w:rsidRDefault="00E2006D" w:rsidP="00541FDE">
            <w:pPr>
              <w:snapToGrid w:val="0"/>
              <w:spacing w:line="240" w:lineRule="atLeast"/>
              <w:jc w:val="both"/>
              <w:rPr>
                <w:rFonts w:eastAsia="標楷體"/>
              </w:rPr>
            </w:pPr>
            <w:r w:rsidRPr="00D959C5">
              <w:rPr>
                <w:rFonts w:eastAsia="標楷體"/>
              </w:rPr>
              <w:t>用於治療復發後鉑金藥物無效的卵巢癌病患</w:t>
            </w:r>
          </w:p>
        </w:tc>
        <w:tc>
          <w:tcPr>
            <w:tcW w:w="1276" w:type="dxa"/>
            <w:vAlign w:val="center"/>
          </w:tcPr>
          <w:p w14:paraId="6E108860" w14:textId="603ACE6F" w:rsidR="00541FDE" w:rsidRPr="00D959C5" w:rsidRDefault="00541FDE" w:rsidP="00541FDE">
            <w:pPr>
              <w:pStyle w:val="a4"/>
              <w:spacing w:line="300" w:lineRule="exact"/>
              <w:jc w:val="right"/>
              <w:rPr>
                <w:color w:val="auto"/>
                <w:sz w:val="24"/>
              </w:rPr>
            </w:pPr>
            <w:r w:rsidRPr="00D959C5">
              <w:rPr>
                <w:color w:val="auto"/>
                <w:sz w:val="24"/>
              </w:rPr>
              <w:t>-</w:t>
            </w:r>
          </w:p>
        </w:tc>
        <w:tc>
          <w:tcPr>
            <w:tcW w:w="926" w:type="dxa"/>
            <w:vAlign w:val="center"/>
          </w:tcPr>
          <w:p w14:paraId="0B4CCDA1" w14:textId="4B0E53A9" w:rsidR="00541FDE" w:rsidRPr="00D959C5" w:rsidRDefault="00541FDE" w:rsidP="00541FDE">
            <w:pPr>
              <w:pStyle w:val="a4"/>
              <w:spacing w:line="300" w:lineRule="exact"/>
              <w:jc w:val="right"/>
              <w:rPr>
                <w:color w:val="auto"/>
                <w:sz w:val="24"/>
              </w:rPr>
            </w:pPr>
            <w:r w:rsidRPr="00D959C5">
              <w:rPr>
                <w:color w:val="auto"/>
                <w:sz w:val="24"/>
              </w:rPr>
              <w:t>-</w:t>
            </w:r>
          </w:p>
        </w:tc>
      </w:tr>
      <w:tr w:rsidR="00541FDE" w14:paraId="541CE94C" w14:textId="77777777" w:rsidTr="00D959C5">
        <w:tc>
          <w:tcPr>
            <w:tcW w:w="2830" w:type="dxa"/>
          </w:tcPr>
          <w:p w14:paraId="4600495A" w14:textId="77777777" w:rsidR="00541FDE" w:rsidRPr="00D959C5" w:rsidRDefault="00541FDE" w:rsidP="00541FDE">
            <w:pPr>
              <w:rPr>
                <w:rFonts w:eastAsia="標楷體"/>
                <w:b/>
              </w:rPr>
            </w:pPr>
            <w:r w:rsidRPr="00D959C5">
              <w:rPr>
                <w:rFonts w:eastAsia="標楷體"/>
                <w:b/>
              </w:rPr>
              <w:t>MPB-2043</w:t>
            </w:r>
          </w:p>
          <w:p w14:paraId="3FA3B67E" w14:textId="06C8964B" w:rsidR="00541FDE" w:rsidRPr="00D959C5" w:rsidRDefault="00541FDE" w:rsidP="00541FDE">
            <w:pPr>
              <w:rPr>
                <w:rFonts w:eastAsia="標楷體"/>
              </w:rPr>
            </w:pPr>
            <w:r w:rsidRPr="00D959C5">
              <w:rPr>
                <w:rFonts w:eastAsia="標楷體"/>
              </w:rPr>
              <w:t>磁振造影診斷用顯影劑</w:t>
            </w:r>
            <w:r w:rsidRPr="00D959C5">
              <w:rPr>
                <w:rFonts w:eastAsia="標楷體"/>
              </w:rPr>
              <w:t>-</w:t>
            </w:r>
            <w:r w:rsidRPr="00D959C5">
              <w:rPr>
                <w:rFonts w:eastAsia="標楷體"/>
              </w:rPr>
              <w:t>淋巴結</w:t>
            </w:r>
            <w:r w:rsidR="00E2006D" w:rsidRPr="00D959C5">
              <w:rPr>
                <w:rFonts w:eastAsia="標楷體"/>
              </w:rPr>
              <w:t>(</w:t>
            </w:r>
            <w:r w:rsidRPr="00D959C5">
              <w:rPr>
                <w:rFonts w:eastAsia="標楷體"/>
              </w:rPr>
              <w:t>新成分新藥</w:t>
            </w:r>
            <w:r w:rsidRPr="00D959C5">
              <w:rPr>
                <w:rFonts w:eastAsia="標楷體"/>
              </w:rPr>
              <w:t>)</w:t>
            </w:r>
          </w:p>
        </w:tc>
        <w:tc>
          <w:tcPr>
            <w:tcW w:w="1418" w:type="dxa"/>
            <w:vAlign w:val="center"/>
          </w:tcPr>
          <w:p w14:paraId="069CCC81" w14:textId="099323C4" w:rsidR="00541FDE" w:rsidRPr="00730D2B" w:rsidRDefault="00541FDE" w:rsidP="00541FDE">
            <w:pPr>
              <w:snapToGrid w:val="0"/>
              <w:spacing w:line="240" w:lineRule="atLeast"/>
              <w:jc w:val="center"/>
              <w:rPr>
                <w:rFonts w:eastAsia="標楷體"/>
                <w:b/>
                <w:bCs/>
              </w:rPr>
            </w:pPr>
            <w:r w:rsidRPr="00730D2B">
              <w:rPr>
                <w:rFonts w:eastAsia="標楷體"/>
                <w:b/>
                <w:bCs/>
              </w:rPr>
              <w:t>-</w:t>
            </w:r>
          </w:p>
        </w:tc>
        <w:tc>
          <w:tcPr>
            <w:tcW w:w="3118" w:type="dxa"/>
            <w:vAlign w:val="center"/>
          </w:tcPr>
          <w:p w14:paraId="485E2457" w14:textId="5FE726A1" w:rsidR="00541FDE" w:rsidRPr="00D959C5" w:rsidRDefault="00E2006D" w:rsidP="00541FDE">
            <w:pPr>
              <w:snapToGrid w:val="0"/>
              <w:spacing w:line="240" w:lineRule="atLeast"/>
              <w:jc w:val="both"/>
              <w:rPr>
                <w:rFonts w:eastAsia="標楷體"/>
              </w:rPr>
            </w:pPr>
            <w:r w:rsidRPr="00D959C5">
              <w:rPr>
                <w:rFonts w:eastAsia="標楷體"/>
              </w:rPr>
              <w:t>用於診斷淋巴結是否</w:t>
            </w:r>
            <w:r w:rsidRPr="00D959C5">
              <w:rPr>
                <w:rFonts w:eastAsia="標楷體"/>
                <w:color w:val="000000" w:themeColor="text1"/>
              </w:rPr>
              <w:t>被惡性腫瘤轉移</w:t>
            </w:r>
          </w:p>
        </w:tc>
        <w:tc>
          <w:tcPr>
            <w:tcW w:w="1276" w:type="dxa"/>
            <w:vAlign w:val="center"/>
          </w:tcPr>
          <w:p w14:paraId="5EA4EF47" w14:textId="7FAC6457" w:rsidR="00541FDE" w:rsidRPr="00D959C5" w:rsidRDefault="00541FDE" w:rsidP="00541FDE">
            <w:pPr>
              <w:pStyle w:val="a4"/>
              <w:spacing w:line="300" w:lineRule="exact"/>
              <w:jc w:val="right"/>
              <w:rPr>
                <w:color w:val="auto"/>
                <w:sz w:val="24"/>
              </w:rPr>
            </w:pPr>
            <w:r w:rsidRPr="00D959C5">
              <w:rPr>
                <w:color w:val="auto"/>
                <w:sz w:val="24"/>
              </w:rPr>
              <w:t>-</w:t>
            </w:r>
          </w:p>
        </w:tc>
        <w:tc>
          <w:tcPr>
            <w:tcW w:w="926" w:type="dxa"/>
            <w:vAlign w:val="center"/>
          </w:tcPr>
          <w:p w14:paraId="787C502E" w14:textId="139257AB" w:rsidR="00541FDE" w:rsidRPr="00D959C5" w:rsidRDefault="00541FDE" w:rsidP="00541FDE">
            <w:pPr>
              <w:pStyle w:val="a4"/>
              <w:spacing w:line="300" w:lineRule="exact"/>
              <w:jc w:val="right"/>
              <w:rPr>
                <w:color w:val="auto"/>
                <w:sz w:val="24"/>
              </w:rPr>
            </w:pPr>
            <w:r w:rsidRPr="00D959C5">
              <w:rPr>
                <w:color w:val="auto"/>
                <w:sz w:val="24"/>
              </w:rPr>
              <w:t>-</w:t>
            </w:r>
          </w:p>
        </w:tc>
      </w:tr>
      <w:tr w:rsidR="007B680F" w14:paraId="192E2F20" w14:textId="77777777" w:rsidTr="00D959C5">
        <w:tc>
          <w:tcPr>
            <w:tcW w:w="2830" w:type="dxa"/>
          </w:tcPr>
          <w:p w14:paraId="05133E1A" w14:textId="2278A65E" w:rsidR="007B680F" w:rsidRPr="00D959C5" w:rsidRDefault="007B680F" w:rsidP="007B680F">
            <w:pPr>
              <w:rPr>
                <w:rFonts w:eastAsia="標楷體"/>
                <w:b/>
              </w:rPr>
            </w:pPr>
            <w:r>
              <w:rPr>
                <w:rFonts w:eastAsia="標楷體" w:hint="eastAsia"/>
                <w:b/>
              </w:rPr>
              <w:t>其他</w:t>
            </w:r>
          </w:p>
        </w:tc>
        <w:tc>
          <w:tcPr>
            <w:tcW w:w="1418" w:type="dxa"/>
            <w:vAlign w:val="center"/>
          </w:tcPr>
          <w:p w14:paraId="4E420C30" w14:textId="6AFB65BF" w:rsidR="007B680F" w:rsidRPr="00730D2B" w:rsidRDefault="007B680F" w:rsidP="007B680F">
            <w:pPr>
              <w:snapToGrid w:val="0"/>
              <w:spacing w:line="240" w:lineRule="atLeast"/>
              <w:jc w:val="center"/>
              <w:rPr>
                <w:rFonts w:eastAsia="標楷體"/>
                <w:b/>
                <w:bCs/>
              </w:rPr>
            </w:pPr>
            <w:r w:rsidRPr="00730D2B">
              <w:rPr>
                <w:rFonts w:eastAsia="標楷體"/>
                <w:b/>
                <w:bCs/>
              </w:rPr>
              <w:t>-</w:t>
            </w:r>
          </w:p>
        </w:tc>
        <w:tc>
          <w:tcPr>
            <w:tcW w:w="3118" w:type="dxa"/>
            <w:vAlign w:val="center"/>
          </w:tcPr>
          <w:p w14:paraId="56DA75BD" w14:textId="14831252" w:rsidR="007B680F" w:rsidRPr="00D959C5" w:rsidRDefault="007B680F" w:rsidP="007B680F">
            <w:pPr>
              <w:snapToGrid w:val="0"/>
              <w:spacing w:line="240" w:lineRule="atLeast"/>
              <w:jc w:val="both"/>
              <w:rPr>
                <w:rFonts w:eastAsia="標楷體"/>
              </w:rPr>
            </w:pPr>
            <w:r>
              <w:rPr>
                <w:rFonts w:eastAsia="標楷體" w:hint="eastAsia"/>
              </w:rPr>
              <w:t>奈米微胞技術平台授權收入</w:t>
            </w:r>
          </w:p>
        </w:tc>
        <w:tc>
          <w:tcPr>
            <w:tcW w:w="1276" w:type="dxa"/>
            <w:vAlign w:val="center"/>
          </w:tcPr>
          <w:p w14:paraId="15E3A782" w14:textId="0D0A89AC" w:rsidR="007B680F" w:rsidRPr="00D959C5" w:rsidRDefault="007B680F" w:rsidP="007B680F">
            <w:pPr>
              <w:pStyle w:val="a4"/>
              <w:spacing w:line="300" w:lineRule="exact"/>
              <w:jc w:val="right"/>
              <w:rPr>
                <w:color w:val="auto"/>
                <w:sz w:val="24"/>
              </w:rPr>
            </w:pPr>
            <w:r>
              <w:rPr>
                <w:rFonts w:hint="eastAsia"/>
                <w:color w:val="auto"/>
                <w:sz w:val="24"/>
              </w:rPr>
              <w:t>7</w:t>
            </w:r>
            <w:r>
              <w:rPr>
                <w:color w:val="auto"/>
                <w:sz w:val="24"/>
              </w:rPr>
              <w:t>,429</w:t>
            </w:r>
          </w:p>
        </w:tc>
        <w:tc>
          <w:tcPr>
            <w:tcW w:w="926" w:type="dxa"/>
            <w:vAlign w:val="center"/>
          </w:tcPr>
          <w:p w14:paraId="599DE384" w14:textId="50C76801" w:rsidR="007B680F" w:rsidRPr="00D959C5" w:rsidRDefault="007B680F" w:rsidP="007B680F">
            <w:pPr>
              <w:pStyle w:val="a4"/>
              <w:spacing w:line="300" w:lineRule="exact"/>
              <w:jc w:val="right"/>
              <w:rPr>
                <w:color w:val="auto"/>
                <w:sz w:val="24"/>
              </w:rPr>
            </w:pPr>
            <w:r>
              <w:rPr>
                <w:rFonts w:hint="eastAsia"/>
                <w:color w:val="auto"/>
                <w:sz w:val="24"/>
              </w:rPr>
              <w:t>1</w:t>
            </w:r>
            <w:r>
              <w:rPr>
                <w:color w:val="auto"/>
                <w:sz w:val="24"/>
              </w:rPr>
              <w:t>00</w:t>
            </w:r>
          </w:p>
        </w:tc>
      </w:tr>
      <w:tr w:rsidR="007B680F" w14:paraId="7165C148" w14:textId="77777777" w:rsidTr="00D959C5">
        <w:tc>
          <w:tcPr>
            <w:tcW w:w="7366" w:type="dxa"/>
            <w:gridSpan w:val="3"/>
            <w:shd w:val="clear" w:color="auto" w:fill="F9F9F9"/>
          </w:tcPr>
          <w:p w14:paraId="742EFAB9" w14:textId="77777777" w:rsidR="007B680F" w:rsidRPr="00D959C5" w:rsidRDefault="007B680F" w:rsidP="007B680F">
            <w:pPr>
              <w:jc w:val="both"/>
              <w:rPr>
                <w:rFonts w:eastAsia="標楷體"/>
              </w:rPr>
            </w:pPr>
            <w:r w:rsidRPr="00D959C5">
              <w:rPr>
                <w:rFonts w:eastAsia="標楷體"/>
              </w:rPr>
              <w:t>合</w:t>
            </w:r>
            <w:r w:rsidRPr="00D959C5">
              <w:rPr>
                <w:rFonts w:eastAsia="標楷體"/>
              </w:rPr>
              <w:t xml:space="preserve">     </w:t>
            </w:r>
            <w:r w:rsidRPr="00D959C5">
              <w:rPr>
                <w:rFonts w:eastAsia="標楷體"/>
              </w:rPr>
              <w:t>計</w:t>
            </w:r>
          </w:p>
        </w:tc>
        <w:tc>
          <w:tcPr>
            <w:tcW w:w="1276" w:type="dxa"/>
            <w:vAlign w:val="center"/>
          </w:tcPr>
          <w:p w14:paraId="49557D8C" w14:textId="51BBFC27" w:rsidR="007B680F" w:rsidRPr="00D959C5" w:rsidRDefault="007B680F" w:rsidP="007B680F">
            <w:pPr>
              <w:pStyle w:val="a4"/>
              <w:spacing w:line="300" w:lineRule="exact"/>
              <w:jc w:val="right"/>
              <w:rPr>
                <w:color w:val="auto"/>
                <w:sz w:val="24"/>
              </w:rPr>
            </w:pPr>
            <w:r>
              <w:rPr>
                <w:rFonts w:hint="eastAsia"/>
                <w:color w:val="auto"/>
                <w:sz w:val="24"/>
              </w:rPr>
              <w:t>7</w:t>
            </w:r>
            <w:r>
              <w:rPr>
                <w:color w:val="auto"/>
                <w:sz w:val="24"/>
              </w:rPr>
              <w:t>,429</w:t>
            </w:r>
          </w:p>
        </w:tc>
        <w:tc>
          <w:tcPr>
            <w:tcW w:w="926" w:type="dxa"/>
            <w:vAlign w:val="center"/>
          </w:tcPr>
          <w:p w14:paraId="6FBE44E4" w14:textId="330DABB3" w:rsidR="007B680F" w:rsidRPr="00D959C5" w:rsidRDefault="007B680F" w:rsidP="007B680F">
            <w:pPr>
              <w:pStyle w:val="a4"/>
              <w:spacing w:line="300" w:lineRule="exact"/>
              <w:jc w:val="right"/>
              <w:rPr>
                <w:color w:val="auto"/>
                <w:sz w:val="24"/>
              </w:rPr>
            </w:pPr>
            <w:r>
              <w:rPr>
                <w:rFonts w:hint="eastAsia"/>
                <w:color w:val="auto"/>
                <w:sz w:val="24"/>
              </w:rPr>
              <w:t>1</w:t>
            </w:r>
            <w:r>
              <w:rPr>
                <w:color w:val="auto"/>
                <w:sz w:val="24"/>
              </w:rPr>
              <w:t>00</w:t>
            </w:r>
          </w:p>
        </w:tc>
      </w:tr>
    </w:tbl>
    <w:p w14:paraId="67B4DB11" w14:textId="40B66C3A" w:rsidR="00161123" w:rsidRDefault="00161123">
      <w:pPr>
        <w:jc w:val="both"/>
        <w:rPr>
          <w:rFonts w:ascii="新細明體" w:hAnsi="新細明體"/>
        </w:rPr>
      </w:pPr>
      <w:r>
        <w:rPr>
          <w:rFonts w:ascii="新細明體" w:hAnsi="新細明體" w:hint="eastAsia"/>
        </w:rPr>
        <w:t xml:space="preserve">                                                                          </w:t>
      </w:r>
      <w:r w:rsidR="00041E13">
        <w:rPr>
          <w:rFonts w:ascii="新細明體" w:hAnsi="新細明體" w:hint="eastAsia"/>
          <w:noProof/>
        </w:rPr>
        <w:drawing>
          <wp:inline distT="0" distB="0" distL="0" distR="0" wp14:anchorId="33F0C00C" wp14:editId="145FF7E9">
            <wp:extent cx="407035" cy="153670"/>
            <wp:effectExtent l="0" t="0" r="0" b="0"/>
            <wp:docPr id="4" name="圖片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35" cy="153670"/>
                    </a:xfrm>
                    <a:prstGeom prst="rect">
                      <a:avLst/>
                    </a:prstGeom>
                    <a:noFill/>
                    <a:ln>
                      <a:noFill/>
                    </a:ln>
                  </pic:spPr>
                </pic:pic>
              </a:graphicData>
            </a:graphic>
          </wp:inline>
        </w:drawing>
      </w:r>
    </w:p>
    <w:tbl>
      <w:tblPr>
        <w:tblW w:w="10468"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288"/>
        <w:gridCol w:w="1320"/>
        <w:gridCol w:w="1320"/>
        <w:gridCol w:w="1320"/>
        <w:gridCol w:w="1322"/>
        <w:gridCol w:w="1800"/>
      </w:tblGrid>
      <w:tr w:rsidR="00161123" w14:paraId="03ACA90A" w14:textId="77777777" w:rsidTr="00F42CC0">
        <w:trPr>
          <w:cantSplit/>
          <w:trHeight w:hRule="exact" w:val="1092"/>
        </w:trPr>
        <w:tc>
          <w:tcPr>
            <w:tcW w:w="10468" w:type="dxa"/>
            <w:gridSpan w:val="8"/>
            <w:tcBorders>
              <w:top w:val="single" w:sz="6" w:space="0" w:color="auto"/>
              <w:left w:val="single" w:sz="12" w:space="0" w:color="auto"/>
              <w:bottom w:val="single" w:sz="6" w:space="0" w:color="auto"/>
              <w:right w:val="single" w:sz="12" w:space="0" w:color="auto"/>
            </w:tcBorders>
            <w:vAlign w:val="center"/>
          </w:tcPr>
          <w:bookmarkStart w:id="4" w:name="最近五年度簡明損益表及申請年度截至最近月份止之自結損益表"/>
          <w:bookmarkEnd w:id="4"/>
          <w:p w14:paraId="20451B61" w14:textId="0AC0A6BA" w:rsidR="00161123" w:rsidRDefault="00041E13">
            <w:pPr>
              <w:ind w:firstLineChars="500" w:firstLine="1200"/>
              <w:rPr>
                <w:rFonts w:eastAsia="標楷體"/>
                <w:b/>
                <w:bCs/>
                <w:sz w:val="28"/>
              </w:rPr>
            </w:pPr>
            <w:r>
              <w:rPr>
                <w:rFonts w:ascii="新細明體" w:hAnsi="新細明體" w:hint="eastAsia"/>
                <w:noProof/>
              </w:rPr>
              <mc:AlternateContent>
                <mc:Choice Requires="wps">
                  <w:drawing>
                    <wp:anchor distT="0" distB="0" distL="114300" distR="114300" simplePos="0" relativeHeight="251657728" behindDoc="1" locked="0" layoutInCell="1" allowOverlap="1" wp14:anchorId="453B3D00" wp14:editId="7A61888E">
                      <wp:simplePos x="0" y="0"/>
                      <wp:positionH relativeFrom="column">
                        <wp:posOffset>0</wp:posOffset>
                      </wp:positionH>
                      <wp:positionV relativeFrom="paragraph">
                        <wp:posOffset>-6985</wp:posOffset>
                      </wp:positionV>
                      <wp:extent cx="6642100" cy="685165"/>
                      <wp:effectExtent l="0" t="0" r="63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C4B64" w14:textId="77777777" w:rsidR="00575729" w:rsidRDefault="005757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3D00" id="Text Box 94" o:spid="_x0000_s1030" type="#_x0000_t202" style="position:absolute;left:0;text-align:left;margin-left:0;margin-top:-.55pt;width:523pt;height:5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" fillcolor="#ededed" stroked="f">
                      <v:fill rotate="t" focus="50%" type="gradient"/>
                      <v:textbox>
                        <w:txbxContent>
                          <w:p w14:paraId="708C4B64" w14:textId="77777777" w:rsidR="00575729" w:rsidRDefault="00575729"/>
                        </w:txbxContent>
                      </v:textbox>
                    </v:shape>
                  </w:pict>
                </mc:Fallback>
              </mc:AlternateContent>
            </w:r>
            <w:r w:rsidR="00161123">
              <w:rPr>
                <w:rFonts w:eastAsia="標楷體" w:hAnsi="標楷體"/>
                <w:b/>
                <w:bCs/>
                <w:sz w:val="28"/>
              </w:rPr>
              <w:t>最近五年度簡明損益表及申請年度截至最近月份止之</w:t>
            </w:r>
            <w:r w:rsidR="00161123" w:rsidRPr="0020043D">
              <w:rPr>
                <w:rFonts w:eastAsia="標楷體" w:hAnsi="標楷體"/>
                <w:b/>
                <w:bCs/>
                <w:sz w:val="28"/>
                <w:u w:val="single"/>
              </w:rPr>
              <w:t>自結</w:t>
            </w:r>
            <w:r w:rsidR="00161123">
              <w:rPr>
                <w:rFonts w:eastAsia="標楷體" w:hAnsi="標楷體"/>
                <w:b/>
                <w:bCs/>
                <w:sz w:val="28"/>
              </w:rPr>
              <w:t>損益表</w:t>
            </w:r>
            <w:r w:rsidR="00161123">
              <w:rPr>
                <w:rFonts w:eastAsia="標楷體"/>
                <w:b/>
                <w:bCs/>
                <w:sz w:val="28"/>
              </w:rPr>
              <w:t xml:space="preserve">  </w:t>
            </w:r>
          </w:p>
          <w:p w14:paraId="163829EA" w14:textId="77777777" w:rsidR="00161123" w:rsidRDefault="00161123">
            <w:pPr>
              <w:ind w:firstLineChars="3500" w:firstLine="8400"/>
              <w:rPr>
                <w:rFonts w:eastAsia="標楷體"/>
              </w:rPr>
            </w:pPr>
            <w:r>
              <w:rPr>
                <w:rFonts w:eastAsia="標楷體" w:hAnsi="標楷體"/>
              </w:rPr>
              <w:t>單位：新</w:t>
            </w:r>
            <w:r w:rsidR="00070C0D">
              <w:rPr>
                <w:rFonts w:eastAsia="標楷體" w:hAnsi="標楷體" w:hint="eastAsia"/>
              </w:rPr>
              <w:t>臺</w:t>
            </w:r>
            <w:r>
              <w:rPr>
                <w:rFonts w:eastAsia="標楷體" w:hAnsi="標楷體"/>
              </w:rPr>
              <w:t>幣</w:t>
            </w:r>
            <w:r w:rsidR="00070C0D">
              <w:rPr>
                <w:rFonts w:eastAsia="標楷體" w:hAnsi="標楷體" w:hint="eastAsia"/>
              </w:rPr>
              <w:t>千</w:t>
            </w:r>
            <w:r>
              <w:rPr>
                <w:rFonts w:eastAsia="標楷體" w:hAnsi="標楷體"/>
              </w:rPr>
              <w:t>元</w:t>
            </w:r>
            <w:r>
              <w:rPr>
                <w:rFonts w:eastAsia="標楷體"/>
              </w:rPr>
              <w:t xml:space="preserve">                      </w:t>
            </w:r>
          </w:p>
        </w:tc>
      </w:tr>
      <w:tr w:rsidR="00E2006D" w14:paraId="475E3E07" w14:textId="77777777" w:rsidTr="00F42CC0">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11DD8C7F" w14:textId="77777777" w:rsidR="00E2006D" w:rsidRPr="00F42CC0" w:rsidRDefault="00E2006D" w:rsidP="00E2006D">
            <w:pPr>
              <w:ind w:left="57" w:right="57"/>
              <w:jc w:val="right"/>
              <w:rPr>
                <w:rFonts w:eastAsia="標楷體"/>
              </w:rPr>
            </w:pPr>
            <w:r w:rsidRPr="00F42CC0">
              <w:rPr>
                <w:rFonts w:eastAsia="標楷體"/>
              </w:rPr>
              <w:t>年度</w:t>
            </w:r>
          </w:p>
          <w:p w14:paraId="7B63AFE3" w14:textId="77777777" w:rsidR="00E2006D" w:rsidRPr="00F42CC0" w:rsidRDefault="00E2006D" w:rsidP="00E2006D">
            <w:pPr>
              <w:rPr>
                <w:rFonts w:eastAsia="標楷體"/>
              </w:rPr>
            </w:pPr>
            <w:r w:rsidRPr="00F42CC0">
              <w:rPr>
                <w:rFonts w:eastAsia="標楷體"/>
              </w:rPr>
              <w:t>項目</w:t>
            </w:r>
          </w:p>
        </w:tc>
        <w:tc>
          <w:tcPr>
            <w:tcW w:w="1288" w:type="dxa"/>
            <w:tcBorders>
              <w:top w:val="single" w:sz="6" w:space="0" w:color="auto"/>
              <w:left w:val="single" w:sz="6" w:space="0" w:color="auto"/>
              <w:bottom w:val="single" w:sz="6" w:space="0" w:color="auto"/>
              <w:right w:val="single" w:sz="6" w:space="0" w:color="auto"/>
            </w:tcBorders>
            <w:vAlign w:val="center"/>
          </w:tcPr>
          <w:p w14:paraId="3A5F89CE" w14:textId="49BAF6D8" w:rsidR="00E2006D" w:rsidRPr="00F42CC0" w:rsidRDefault="00E2006D" w:rsidP="00E2006D">
            <w:pPr>
              <w:jc w:val="center"/>
              <w:rPr>
                <w:rFonts w:eastAsia="標楷體"/>
              </w:rPr>
            </w:pPr>
            <w:r w:rsidRPr="00F42CC0">
              <w:rPr>
                <w:rFonts w:eastAsia="標楷體"/>
              </w:rPr>
              <w:t>105</w:t>
            </w:r>
            <w:r w:rsidRPr="00F42CC0">
              <w:rPr>
                <w:rFonts w:eastAsia="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7E3684DD" w14:textId="27CEB466" w:rsidR="00E2006D" w:rsidRPr="00F42CC0" w:rsidRDefault="00E2006D" w:rsidP="00E2006D">
            <w:pPr>
              <w:jc w:val="center"/>
              <w:rPr>
                <w:rFonts w:eastAsia="標楷體"/>
              </w:rPr>
            </w:pPr>
            <w:r w:rsidRPr="00F42CC0">
              <w:rPr>
                <w:rFonts w:eastAsia="標楷體"/>
              </w:rPr>
              <w:t>106</w:t>
            </w:r>
            <w:r w:rsidRPr="00F42CC0">
              <w:rPr>
                <w:rFonts w:eastAsia="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0C941B1C" w14:textId="44366F54" w:rsidR="00E2006D" w:rsidRPr="00F42CC0" w:rsidRDefault="00E2006D" w:rsidP="00E2006D">
            <w:pPr>
              <w:jc w:val="center"/>
              <w:rPr>
                <w:rFonts w:eastAsia="標楷體"/>
              </w:rPr>
            </w:pPr>
            <w:r w:rsidRPr="00F42CC0">
              <w:rPr>
                <w:rFonts w:eastAsia="標楷體"/>
              </w:rPr>
              <w:t>107</w:t>
            </w:r>
            <w:r w:rsidRPr="00F42CC0">
              <w:rPr>
                <w:rFonts w:eastAsia="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28E0A85C" w14:textId="48ED7423" w:rsidR="00E2006D" w:rsidRPr="00F42CC0" w:rsidRDefault="00E2006D" w:rsidP="00E2006D">
            <w:pPr>
              <w:jc w:val="center"/>
              <w:rPr>
                <w:rFonts w:eastAsia="標楷體"/>
              </w:rPr>
            </w:pPr>
            <w:r w:rsidRPr="00F42CC0">
              <w:rPr>
                <w:rFonts w:eastAsia="標楷體"/>
              </w:rPr>
              <w:t>108</w:t>
            </w:r>
            <w:r w:rsidRPr="00F42CC0">
              <w:rPr>
                <w:rFonts w:eastAsia="標楷體"/>
              </w:rPr>
              <w:t>年</w:t>
            </w:r>
          </w:p>
        </w:tc>
        <w:tc>
          <w:tcPr>
            <w:tcW w:w="1322" w:type="dxa"/>
            <w:tcBorders>
              <w:top w:val="single" w:sz="6" w:space="0" w:color="auto"/>
              <w:left w:val="single" w:sz="6" w:space="0" w:color="auto"/>
              <w:bottom w:val="single" w:sz="6" w:space="0" w:color="auto"/>
              <w:right w:val="single" w:sz="4" w:space="0" w:color="auto"/>
            </w:tcBorders>
            <w:vAlign w:val="center"/>
          </w:tcPr>
          <w:p w14:paraId="4DA7AB2F" w14:textId="3D30A712" w:rsidR="00E2006D" w:rsidRPr="00F42CC0" w:rsidRDefault="00E2006D" w:rsidP="00E2006D">
            <w:pPr>
              <w:jc w:val="center"/>
              <w:rPr>
                <w:rFonts w:eastAsia="標楷體"/>
              </w:rPr>
            </w:pPr>
            <w:r w:rsidRPr="00F42CC0">
              <w:rPr>
                <w:rFonts w:eastAsia="標楷體"/>
              </w:rPr>
              <w:t>109</w:t>
            </w:r>
            <w:r w:rsidRPr="00F42CC0">
              <w:rPr>
                <w:rFonts w:eastAsia="標楷體"/>
              </w:rPr>
              <w:t>年</w:t>
            </w:r>
          </w:p>
        </w:tc>
        <w:tc>
          <w:tcPr>
            <w:tcW w:w="1800" w:type="dxa"/>
            <w:tcBorders>
              <w:top w:val="single" w:sz="6" w:space="0" w:color="auto"/>
              <w:left w:val="single" w:sz="4" w:space="0" w:color="auto"/>
              <w:bottom w:val="single" w:sz="6" w:space="0" w:color="auto"/>
              <w:right w:val="single" w:sz="12" w:space="0" w:color="auto"/>
            </w:tcBorders>
            <w:vAlign w:val="center"/>
          </w:tcPr>
          <w:p w14:paraId="345F1B24" w14:textId="59901B36" w:rsidR="00E2006D" w:rsidRPr="00F42CC0" w:rsidRDefault="00E2006D" w:rsidP="00E2006D">
            <w:pPr>
              <w:jc w:val="center"/>
              <w:rPr>
                <w:rFonts w:eastAsia="標楷體"/>
              </w:rPr>
            </w:pPr>
            <w:r w:rsidRPr="00F42CC0">
              <w:rPr>
                <w:rFonts w:eastAsia="標楷體"/>
              </w:rPr>
              <w:t>110</w:t>
            </w:r>
            <w:r w:rsidRPr="00F42CC0">
              <w:rPr>
                <w:rFonts w:eastAsia="標楷體"/>
              </w:rPr>
              <w:t>年截</w:t>
            </w:r>
          </w:p>
          <w:p w14:paraId="3FA11197" w14:textId="26769FD9" w:rsidR="00E2006D" w:rsidRPr="00F42CC0" w:rsidRDefault="00E2006D" w:rsidP="00E2006D">
            <w:pPr>
              <w:jc w:val="center"/>
              <w:rPr>
                <w:rFonts w:eastAsia="標楷體"/>
              </w:rPr>
            </w:pPr>
            <w:r w:rsidRPr="00F42CC0">
              <w:rPr>
                <w:rFonts w:eastAsia="標楷體"/>
              </w:rPr>
              <w:t>至</w:t>
            </w:r>
            <w:r w:rsidRPr="00F42CC0">
              <w:rPr>
                <w:rFonts w:eastAsia="標楷體"/>
                <w:u w:val="single"/>
              </w:rPr>
              <w:t>8</w:t>
            </w:r>
            <w:r w:rsidRPr="00F42CC0">
              <w:rPr>
                <w:rFonts w:eastAsia="標楷體"/>
              </w:rPr>
              <w:t>月份止</w:t>
            </w:r>
          </w:p>
          <w:p w14:paraId="212C9BB5" w14:textId="77777777" w:rsidR="00E2006D" w:rsidRPr="00F42CC0" w:rsidRDefault="00E2006D" w:rsidP="00E2006D">
            <w:pPr>
              <w:jc w:val="center"/>
              <w:rPr>
                <w:rFonts w:eastAsia="標楷體"/>
                <w:b/>
                <w:u w:val="single"/>
              </w:rPr>
            </w:pPr>
            <w:r w:rsidRPr="00F42CC0">
              <w:rPr>
                <w:rFonts w:eastAsia="標楷體"/>
                <w:b/>
                <w:u w:val="single"/>
              </w:rPr>
              <w:t>(</w:t>
            </w:r>
            <w:r w:rsidRPr="00F42CC0">
              <w:rPr>
                <w:rFonts w:eastAsia="標楷體"/>
                <w:b/>
                <w:u w:val="single"/>
              </w:rPr>
              <w:t>自結數</w:t>
            </w:r>
            <w:r w:rsidRPr="00F42CC0">
              <w:rPr>
                <w:rFonts w:eastAsia="標楷體"/>
                <w:b/>
                <w:u w:val="single"/>
              </w:rPr>
              <w:t>)</w:t>
            </w:r>
            <w:r w:rsidRPr="00F42CC0">
              <w:rPr>
                <w:rFonts w:eastAsia="標楷體"/>
                <w:b/>
              </w:rPr>
              <w:t>(</w:t>
            </w:r>
            <w:r w:rsidRPr="00F42CC0">
              <w:rPr>
                <w:rFonts w:eastAsia="標楷體"/>
                <w:b/>
              </w:rPr>
              <w:t>註</w:t>
            </w:r>
            <w:r w:rsidRPr="00F42CC0">
              <w:rPr>
                <w:rFonts w:eastAsia="標楷體"/>
                <w:b/>
              </w:rPr>
              <w:t>)</w:t>
            </w:r>
          </w:p>
        </w:tc>
      </w:tr>
      <w:tr w:rsidR="00005478" w14:paraId="17441A87"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057E7321" w14:textId="77777777" w:rsidR="00005478" w:rsidRDefault="00005478" w:rsidP="00005478">
            <w:pPr>
              <w:jc w:val="distribute"/>
              <w:rPr>
                <w:rFonts w:eastAsia="標楷體"/>
              </w:rPr>
            </w:pPr>
            <w:r>
              <w:rPr>
                <w:rFonts w:eastAsia="標楷體" w:hAnsi="標楷體"/>
              </w:rPr>
              <w:t>營業收入</w:t>
            </w:r>
          </w:p>
        </w:tc>
        <w:tc>
          <w:tcPr>
            <w:tcW w:w="1288" w:type="dxa"/>
            <w:tcBorders>
              <w:top w:val="single" w:sz="6" w:space="0" w:color="auto"/>
              <w:left w:val="single" w:sz="6" w:space="0" w:color="auto"/>
              <w:bottom w:val="single" w:sz="6" w:space="0" w:color="auto"/>
              <w:right w:val="single" w:sz="6" w:space="0" w:color="auto"/>
            </w:tcBorders>
          </w:tcPr>
          <w:p w14:paraId="5F1371A2" w14:textId="5AF5EB29" w:rsidR="00005478" w:rsidRDefault="00005478" w:rsidP="00005478">
            <w:pPr>
              <w:ind w:right="113"/>
              <w:jc w:val="right"/>
              <w:rPr>
                <w:rFonts w:eastAsia="標楷體"/>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07FB39FC" w14:textId="274B6095" w:rsidR="00005478" w:rsidRDefault="00005478" w:rsidP="00005478">
            <w:pPr>
              <w:jc w:val="right"/>
              <w:rPr>
                <w:rFonts w:eastAsia="標楷體"/>
                <w:color w:val="000000"/>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4BEC1BC3" w14:textId="11C5020F" w:rsidR="00005478" w:rsidRDefault="00005478" w:rsidP="00005478">
            <w:pPr>
              <w:jc w:val="right"/>
              <w:rPr>
                <w:rFonts w:eastAsia="標楷體"/>
                <w:color w:val="000000"/>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3BF1EFEA" w14:textId="4DECA954" w:rsidR="00005478" w:rsidRDefault="00005478" w:rsidP="00005478">
            <w:pPr>
              <w:jc w:val="right"/>
              <w:rPr>
                <w:rFonts w:eastAsia="標楷體"/>
                <w:color w:val="000000"/>
              </w:rPr>
            </w:pPr>
            <w:r w:rsidRPr="00C64336">
              <w:t>-</w:t>
            </w:r>
          </w:p>
        </w:tc>
        <w:tc>
          <w:tcPr>
            <w:tcW w:w="1322" w:type="dxa"/>
            <w:tcBorders>
              <w:top w:val="single" w:sz="6" w:space="0" w:color="auto"/>
              <w:left w:val="single" w:sz="6" w:space="0" w:color="auto"/>
              <w:bottom w:val="single" w:sz="6" w:space="0" w:color="auto"/>
              <w:right w:val="single" w:sz="4" w:space="0" w:color="auto"/>
            </w:tcBorders>
            <w:vAlign w:val="center"/>
          </w:tcPr>
          <w:p w14:paraId="4B8DC94F" w14:textId="0B28D7FB" w:rsidR="00005478" w:rsidRDefault="00005478" w:rsidP="00005478">
            <w:pPr>
              <w:jc w:val="right"/>
              <w:rPr>
                <w:rFonts w:eastAsia="標楷體"/>
                <w:color w:val="000000"/>
              </w:rPr>
            </w:pPr>
            <w:r>
              <w:rPr>
                <w:rFonts w:hint="eastAsia"/>
              </w:rPr>
              <w:t>7</w:t>
            </w:r>
            <w:r>
              <w:t>,429</w:t>
            </w:r>
          </w:p>
        </w:tc>
        <w:tc>
          <w:tcPr>
            <w:tcW w:w="1800" w:type="dxa"/>
            <w:tcBorders>
              <w:top w:val="single" w:sz="6" w:space="0" w:color="auto"/>
              <w:left w:val="single" w:sz="4" w:space="0" w:color="auto"/>
              <w:bottom w:val="single" w:sz="6" w:space="0" w:color="auto"/>
              <w:right w:val="single" w:sz="12" w:space="0" w:color="auto"/>
            </w:tcBorders>
          </w:tcPr>
          <w:p w14:paraId="1970CBB8" w14:textId="47FAB7F5" w:rsidR="00005478" w:rsidRDefault="00005478" w:rsidP="00005478">
            <w:pPr>
              <w:ind w:right="57"/>
              <w:jc w:val="right"/>
              <w:rPr>
                <w:rFonts w:eastAsia="標楷體"/>
              </w:rPr>
            </w:pPr>
            <w:r w:rsidRPr="00C64336">
              <w:t>-</w:t>
            </w:r>
          </w:p>
        </w:tc>
      </w:tr>
      <w:tr w:rsidR="00005478" w14:paraId="2A8355C8"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2ABA67DD" w14:textId="77777777" w:rsidR="00005478" w:rsidRDefault="00005478" w:rsidP="00005478">
            <w:pPr>
              <w:jc w:val="distribute"/>
              <w:rPr>
                <w:rFonts w:eastAsia="標楷體"/>
              </w:rPr>
            </w:pPr>
            <w:r>
              <w:rPr>
                <w:rFonts w:eastAsia="標楷體" w:hAnsi="標楷體"/>
              </w:rPr>
              <w:t>營業毛利</w:t>
            </w:r>
          </w:p>
        </w:tc>
        <w:tc>
          <w:tcPr>
            <w:tcW w:w="1288" w:type="dxa"/>
            <w:tcBorders>
              <w:top w:val="single" w:sz="6" w:space="0" w:color="auto"/>
              <w:left w:val="single" w:sz="6" w:space="0" w:color="auto"/>
              <w:bottom w:val="single" w:sz="6" w:space="0" w:color="auto"/>
              <w:right w:val="single" w:sz="6" w:space="0" w:color="auto"/>
            </w:tcBorders>
          </w:tcPr>
          <w:p w14:paraId="4C2F5350" w14:textId="38F27134" w:rsidR="00005478" w:rsidRDefault="00005478" w:rsidP="00005478">
            <w:pPr>
              <w:ind w:right="113"/>
              <w:jc w:val="right"/>
              <w:rPr>
                <w:rFonts w:eastAsia="標楷體"/>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4E9C0F96" w14:textId="47EDBA7F" w:rsidR="00005478" w:rsidRDefault="00005478" w:rsidP="00005478">
            <w:pPr>
              <w:jc w:val="right"/>
              <w:rPr>
                <w:rFonts w:eastAsia="標楷體"/>
                <w:color w:val="000000"/>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540EBA11" w14:textId="0618757A" w:rsidR="00005478" w:rsidRDefault="00005478" w:rsidP="00005478">
            <w:pPr>
              <w:jc w:val="right"/>
              <w:rPr>
                <w:rFonts w:eastAsia="標楷體"/>
                <w:color w:val="000000"/>
              </w:rPr>
            </w:pPr>
            <w:r w:rsidRPr="00C64336">
              <w:t>-</w:t>
            </w:r>
          </w:p>
        </w:tc>
        <w:tc>
          <w:tcPr>
            <w:tcW w:w="1320" w:type="dxa"/>
            <w:tcBorders>
              <w:top w:val="single" w:sz="6" w:space="0" w:color="auto"/>
              <w:left w:val="single" w:sz="6" w:space="0" w:color="auto"/>
              <w:bottom w:val="single" w:sz="6" w:space="0" w:color="auto"/>
              <w:right w:val="single" w:sz="6" w:space="0" w:color="auto"/>
            </w:tcBorders>
          </w:tcPr>
          <w:p w14:paraId="54051071" w14:textId="735F8CE7" w:rsidR="00005478" w:rsidRDefault="00005478" w:rsidP="00005478">
            <w:pPr>
              <w:jc w:val="right"/>
              <w:rPr>
                <w:rFonts w:eastAsia="標楷體"/>
                <w:color w:val="000000"/>
              </w:rPr>
            </w:pPr>
            <w:r w:rsidRPr="00C64336">
              <w:t>-</w:t>
            </w:r>
          </w:p>
        </w:tc>
        <w:tc>
          <w:tcPr>
            <w:tcW w:w="1322" w:type="dxa"/>
            <w:tcBorders>
              <w:top w:val="single" w:sz="6" w:space="0" w:color="auto"/>
              <w:left w:val="single" w:sz="6" w:space="0" w:color="auto"/>
              <w:bottom w:val="single" w:sz="6" w:space="0" w:color="auto"/>
              <w:right w:val="single" w:sz="4" w:space="0" w:color="auto"/>
            </w:tcBorders>
            <w:vAlign w:val="center"/>
          </w:tcPr>
          <w:p w14:paraId="615498F7" w14:textId="33AD73FA" w:rsidR="00005478" w:rsidRDefault="00005478" w:rsidP="00005478">
            <w:pPr>
              <w:jc w:val="right"/>
              <w:rPr>
                <w:rFonts w:eastAsia="標楷體"/>
                <w:color w:val="000000"/>
              </w:rPr>
            </w:pPr>
            <w:r>
              <w:t>7,429</w:t>
            </w:r>
          </w:p>
        </w:tc>
        <w:tc>
          <w:tcPr>
            <w:tcW w:w="1800" w:type="dxa"/>
            <w:tcBorders>
              <w:top w:val="single" w:sz="6" w:space="0" w:color="auto"/>
              <w:left w:val="single" w:sz="4" w:space="0" w:color="auto"/>
              <w:bottom w:val="single" w:sz="6" w:space="0" w:color="auto"/>
              <w:right w:val="single" w:sz="12" w:space="0" w:color="auto"/>
            </w:tcBorders>
          </w:tcPr>
          <w:p w14:paraId="057D1460" w14:textId="78701AFA" w:rsidR="00005478" w:rsidRDefault="00005478" w:rsidP="00005478">
            <w:pPr>
              <w:ind w:right="57"/>
              <w:jc w:val="right"/>
              <w:rPr>
                <w:rFonts w:eastAsia="標楷體"/>
              </w:rPr>
            </w:pPr>
            <w:r w:rsidRPr="00C64336">
              <w:t>-</w:t>
            </w:r>
          </w:p>
        </w:tc>
      </w:tr>
      <w:tr w:rsidR="00005478" w14:paraId="037C3DA9"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0B7EA842" w14:textId="77777777" w:rsidR="00005478" w:rsidRDefault="00005478" w:rsidP="00005478">
            <w:pPr>
              <w:jc w:val="distribute"/>
              <w:rPr>
                <w:rFonts w:eastAsia="標楷體" w:hAnsi="標楷體"/>
              </w:rPr>
            </w:pPr>
            <w:r>
              <w:rPr>
                <w:rFonts w:eastAsia="標楷體" w:hAnsi="標楷體" w:hint="eastAsia"/>
              </w:rPr>
              <w:t>毛利率</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1509B436" w14:textId="1013BB72" w:rsidR="00005478" w:rsidRDefault="00005478" w:rsidP="00005478">
            <w:pPr>
              <w:ind w:right="113"/>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tcPr>
          <w:p w14:paraId="305332FE" w14:textId="600ACED1" w:rsidR="00005478" w:rsidRDefault="00005478" w:rsidP="00005478">
            <w:pPr>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tcPr>
          <w:p w14:paraId="02D7F6AB" w14:textId="19AD0FEE" w:rsidR="00005478" w:rsidRDefault="00005478" w:rsidP="00005478">
            <w:pPr>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tcPr>
          <w:p w14:paraId="321EC109" w14:textId="1F48D56F" w:rsidR="00005478" w:rsidRDefault="00005478" w:rsidP="00005478">
            <w:pPr>
              <w:jc w:val="right"/>
              <w:rPr>
                <w:rFonts w:eastAsia="標楷體"/>
              </w:rPr>
            </w:pPr>
            <w:r>
              <w:rPr>
                <w:rFonts w:eastAsia="標楷體" w:hint="eastAsia"/>
              </w:rPr>
              <w:t>-</w:t>
            </w:r>
          </w:p>
        </w:tc>
        <w:tc>
          <w:tcPr>
            <w:tcW w:w="1322" w:type="dxa"/>
            <w:tcBorders>
              <w:top w:val="single" w:sz="6" w:space="0" w:color="auto"/>
              <w:left w:val="single" w:sz="6" w:space="0" w:color="auto"/>
              <w:bottom w:val="single" w:sz="6" w:space="0" w:color="auto"/>
              <w:right w:val="single" w:sz="4" w:space="0" w:color="auto"/>
            </w:tcBorders>
          </w:tcPr>
          <w:p w14:paraId="60E0319D" w14:textId="11879C75" w:rsidR="00005478" w:rsidRDefault="00005478" w:rsidP="00005478">
            <w:pPr>
              <w:jc w:val="right"/>
              <w:rPr>
                <w:rFonts w:eastAsia="標楷體"/>
              </w:rPr>
            </w:pPr>
            <w:r>
              <w:rPr>
                <w:rFonts w:eastAsia="標楷體" w:hint="eastAsia"/>
              </w:rPr>
              <w:t>100</w:t>
            </w:r>
          </w:p>
        </w:tc>
        <w:tc>
          <w:tcPr>
            <w:tcW w:w="1800" w:type="dxa"/>
            <w:tcBorders>
              <w:top w:val="single" w:sz="6" w:space="0" w:color="auto"/>
              <w:left w:val="single" w:sz="4" w:space="0" w:color="auto"/>
              <w:bottom w:val="single" w:sz="6" w:space="0" w:color="auto"/>
              <w:right w:val="single" w:sz="12" w:space="0" w:color="auto"/>
            </w:tcBorders>
          </w:tcPr>
          <w:p w14:paraId="13DC3F7C" w14:textId="7FC7EC04" w:rsidR="00005478" w:rsidRDefault="00005478" w:rsidP="00005478">
            <w:pPr>
              <w:ind w:right="57"/>
              <w:jc w:val="right"/>
              <w:rPr>
                <w:rFonts w:eastAsia="標楷體"/>
              </w:rPr>
            </w:pPr>
            <w:r>
              <w:rPr>
                <w:rFonts w:eastAsia="標楷體" w:hint="eastAsia"/>
              </w:rPr>
              <w:t>-</w:t>
            </w:r>
          </w:p>
        </w:tc>
      </w:tr>
      <w:tr w:rsidR="00161123" w14:paraId="47426EC6"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5056260E" w14:textId="77777777" w:rsidR="00161123" w:rsidRDefault="00161123">
            <w:pPr>
              <w:jc w:val="distribute"/>
              <w:rPr>
                <w:rFonts w:eastAsia="標楷體"/>
              </w:rPr>
            </w:pPr>
            <w:r>
              <w:rPr>
                <w:rFonts w:eastAsia="標楷體" w:hAnsi="標楷體"/>
              </w:rPr>
              <w:t>營業外收入</w:t>
            </w:r>
          </w:p>
        </w:tc>
        <w:tc>
          <w:tcPr>
            <w:tcW w:w="1288" w:type="dxa"/>
            <w:tcBorders>
              <w:top w:val="single" w:sz="6" w:space="0" w:color="auto"/>
              <w:left w:val="single" w:sz="6" w:space="0" w:color="auto"/>
              <w:bottom w:val="single" w:sz="6" w:space="0" w:color="auto"/>
              <w:right w:val="single" w:sz="6" w:space="0" w:color="auto"/>
            </w:tcBorders>
            <w:vAlign w:val="center"/>
          </w:tcPr>
          <w:p w14:paraId="13FEC0A1" w14:textId="2D75C8BC" w:rsidR="00161123" w:rsidRDefault="00005478">
            <w:pPr>
              <w:ind w:right="113"/>
              <w:jc w:val="right"/>
              <w:rPr>
                <w:rFonts w:eastAsia="標楷體"/>
              </w:rPr>
            </w:pPr>
            <w:r>
              <w:rPr>
                <w:rFonts w:eastAsia="標楷體" w:hint="eastAsia"/>
              </w:rPr>
              <w:t>1</w:t>
            </w:r>
            <w:r>
              <w:rPr>
                <w:rFonts w:eastAsia="標楷體"/>
              </w:rPr>
              <w:t>1,140</w:t>
            </w:r>
          </w:p>
        </w:tc>
        <w:tc>
          <w:tcPr>
            <w:tcW w:w="1320" w:type="dxa"/>
            <w:tcBorders>
              <w:top w:val="single" w:sz="6" w:space="0" w:color="auto"/>
              <w:left w:val="single" w:sz="6" w:space="0" w:color="auto"/>
              <w:bottom w:val="single" w:sz="6" w:space="0" w:color="auto"/>
              <w:right w:val="single" w:sz="6" w:space="0" w:color="auto"/>
            </w:tcBorders>
          </w:tcPr>
          <w:p w14:paraId="2F30964A" w14:textId="7717DF71" w:rsidR="00161123" w:rsidRDefault="00005478">
            <w:pPr>
              <w:jc w:val="right"/>
              <w:rPr>
                <w:rFonts w:eastAsia="標楷體"/>
              </w:rPr>
            </w:pPr>
            <w:r>
              <w:rPr>
                <w:rFonts w:eastAsia="標楷體" w:hint="eastAsia"/>
              </w:rPr>
              <w:t>1</w:t>
            </w:r>
            <w:r>
              <w:rPr>
                <w:rFonts w:eastAsia="標楷體"/>
              </w:rPr>
              <w:t>0,474</w:t>
            </w:r>
          </w:p>
        </w:tc>
        <w:tc>
          <w:tcPr>
            <w:tcW w:w="1320" w:type="dxa"/>
            <w:tcBorders>
              <w:top w:val="single" w:sz="6" w:space="0" w:color="auto"/>
              <w:left w:val="single" w:sz="6" w:space="0" w:color="auto"/>
              <w:bottom w:val="single" w:sz="6" w:space="0" w:color="auto"/>
              <w:right w:val="single" w:sz="6" w:space="0" w:color="auto"/>
            </w:tcBorders>
          </w:tcPr>
          <w:p w14:paraId="76025864" w14:textId="3542D5D1" w:rsidR="00161123" w:rsidRDefault="00005478">
            <w:pPr>
              <w:jc w:val="right"/>
              <w:rPr>
                <w:rFonts w:eastAsia="標楷體"/>
              </w:rPr>
            </w:pPr>
            <w:r>
              <w:rPr>
                <w:rFonts w:eastAsia="標楷體" w:hint="eastAsia"/>
              </w:rPr>
              <w:t>8</w:t>
            </w:r>
            <w:r>
              <w:rPr>
                <w:rFonts w:eastAsia="標楷體"/>
              </w:rPr>
              <w:t>,079</w:t>
            </w:r>
          </w:p>
        </w:tc>
        <w:tc>
          <w:tcPr>
            <w:tcW w:w="1320" w:type="dxa"/>
            <w:tcBorders>
              <w:top w:val="single" w:sz="6" w:space="0" w:color="auto"/>
              <w:left w:val="single" w:sz="6" w:space="0" w:color="auto"/>
              <w:bottom w:val="single" w:sz="6" w:space="0" w:color="auto"/>
              <w:right w:val="single" w:sz="6" w:space="0" w:color="auto"/>
            </w:tcBorders>
          </w:tcPr>
          <w:p w14:paraId="5305E76B" w14:textId="60C11F52" w:rsidR="00161123" w:rsidRDefault="00005478">
            <w:pPr>
              <w:jc w:val="right"/>
              <w:rPr>
                <w:rFonts w:eastAsia="標楷體"/>
              </w:rPr>
            </w:pPr>
            <w:r>
              <w:rPr>
                <w:rFonts w:eastAsia="標楷體" w:hint="eastAsia"/>
              </w:rPr>
              <w:t>4</w:t>
            </w:r>
            <w:r>
              <w:rPr>
                <w:rFonts w:eastAsia="標楷體"/>
              </w:rPr>
              <w:t>,925</w:t>
            </w:r>
          </w:p>
        </w:tc>
        <w:tc>
          <w:tcPr>
            <w:tcW w:w="1322" w:type="dxa"/>
            <w:tcBorders>
              <w:top w:val="single" w:sz="6" w:space="0" w:color="auto"/>
              <w:left w:val="single" w:sz="6" w:space="0" w:color="auto"/>
              <w:bottom w:val="single" w:sz="6" w:space="0" w:color="auto"/>
              <w:right w:val="single" w:sz="4" w:space="0" w:color="auto"/>
            </w:tcBorders>
          </w:tcPr>
          <w:p w14:paraId="248BCDB6" w14:textId="262DA00C" w:rsidR="00161123" w:rsidRDefault="00005478">
            <w:pPr>
              <w:jc w:val="right"/>
              <w:rPr>
                <w:rFonts w:eastAsia="標楷體"/>
              </w:rPr>
            </w:pPr>
            <w:r>
              <w:rPr>
                <w:rFonts w:eastAsia="標楷體" w:hint="eastAsia"/>
              </w:rPr>
              <w:t>2</w:t>
            </w:r>
            <w:r>
              <w:rPr>
                <w:rFonts w:eastAsia="標楷體"/>
              </w:rPr>
              <w:t>,323</w:t>
            </w:r>
          </w:p>
        </w:tc>
        <w:tc>
          <w:tcPr>
            <w:tcW w:w="1800" w:type="dxa"/>
            <w:tcBorders>
              <w:top w:val="single" w:sz="6" w:space="0" w:color="auto"/>
              <w:left w:val="single" w:sz="4" w:space="0" w:color="auto"/>
              <w:bottom w:val="single" w:sz="6" w:space="0" w:color="auto"/>
              <w:right w:val="single" w:sz="12" w:space="0" w:color="auto"/>
            </w:tcBorders>
            <w:vAlign w:val="center"/>
          </w:tcPr>
          <w:p w14:paraId="225F90CB" w14:textId="471E9EEA" w:rsidR="00161123" w:rsidRDefault="00005478">
            <w:pPr>
              <w:ind w:right="57"/>
              <w:jc w:val="right"/>
              <w:rPr>
                <w:rFonts w:eastAsia="標楷體"/>
              </w:rPr>
            </w:pPr>
            <w:r>
              <w:rPr>
                <w:rFonts w:eastAsia="標楷體" w:hint="eastAsia"/>
              </w:rPr>
              <w:t>1,</w:t>
            </w:r>
            <w:r>
              <w:rPr>
                <w:rFonts w:eastAsia="標楷體"/>
              </w:rPr>
              <w:t>068</w:t>
            </w:r>
          </w:p>
        </w:tc>
      </w:tr>
      <w:tr w:rsidR="00161123" w14:paraId="4C514C6E"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5AA07027" w14:textId="77777777" w:rsidR="00161123" w:rsidRDefault="00161123">
            <w:pPr>
              <w:jc w:val="distribute"/>
              <w:rPr>
                <w:rFonts w:eastAsia="標楷體"/>
              </w:rPr>
            </w:pPr>
            <w:r>
              <w:rPr>
                <w:rFonts w:eastAsia="標楷體" w:hAnsi="標楷體"/>
              </w:rPr>
              <w:t>營業外支出</w:t>
            </w:r>
          </w:p>
        </w:tc>
        <w:tc>
          <w:tcPr>
            <w:tcW w:w="1288" w:type="dxa"/>
            <w:tcBorders>
              <w:top w:val="single" w:sz="6" w:space="0" w:color="auto"/>
              <w:left w:val="single" w:sz="6" w:space="0" w:color="auto"/>
              <w:bottom w:val="single" w:sz="6" w:space="0" w:color="auto"/>
              <w:right w:val="single" w:sz="6" w:space="0" w:color="auto"/>
            </w:tcBorders>
            <w:vAlign w:val="center"/>
          </w:tcPr>
          <w:p w14:paraId="57FB7A48" w14:textId="774B6FC1" w:rsidR="00161123" w:rsidRDefault="00005478">
            <w:pPr>
              <w:ind w:right="113"/>
              <w:jc w:val="right"/>
              <w:rPr>
                <w:rFonts w:eastAsia="標楷體"/>
              </w:rPr>
            </w:pPr>
            <w:r>
              <w:rPr>
                <w:rFonts w:eastAsia="標楷體" w:hint="eastAsia"/>
              </w:rPr>
              <w:t>(</w:t>
            </w:r>
            <w:r>
              <w:rPr>
                <w:rFonts w:eastAsia="標楷體"/>
              </w:rPr>
              <w:t>14)</w:t>
            </w:r>
          </w:p>
        </w:tc>
        <w:tc>
          <w:tcPr>
            <w:tcW w:w="1320" w:type="dxa"/>
            <w:tcBorders>
              <w:top w:val="single" w:sz="6" w:space="0" w:color="auto"/>
              <w:left w:val="single" w:sz="6" w:space="0" w:color="auto"/>
              <w:bottom w:val="single" w:sz="6" w:space="0" w:color="auto"/>
              <w:right w:val="single" w:sz="6" w:space="0" w:color="auto"/>
            </w:tcBorders>
          </w:tcPr>
          <w:p w14:paraId="658F0E7F" w14:textId="483A76CF" w:rsidR="00161123" w:rsidRDefault="00005478">
            <w:pPr>
              <w:jc w:val="right"/>
              <w:rPr>
                <w:rFonts w:eastAsia="標楷體"/>
              </w:rPr>
            </w:pPr>
            <w:r>
              <w:rPr>
                <w:rFonts w:eastAsia="標楷體"/>
              </w:rPr>
              <w:t>(2,352)</w:t>
            </w:r>
          </w:p>
        </w:tc>
        <w:tc>
          <w:tcPr>
            <w:tcW w:w="1320" w:type="dxa"/>
            <w:tcBorders>
              <w:top w:val="single" w:sz="6" w:space="0" w:color="auto"/>
              <w:left w:val="single" w:sz="6" w:space="0" w:color="auto"/>
              <w:bottom w:val="single" w:sz="6" w:space="0" w:color="auto"/>
              <w:right w:val="single" w:sz="6" w:space="0" w:color="auto"/>
            </w:tcBorders>
          </w:tcPr>
          <w:p w14:paraId="3C2BFF05" w14:textId="4C5AE2C1" w:rsidR="00161123" w:rsidRDefault="00005478">
            <w:pPr>
              <w:jc w:val="right"/>
              <w:rPr>
                <w:rFonts w:eastAsia="標楷體"/>
              </w:rPr>
            </w:pPr>
            <w:r>
              <w:rPr>
                <w:rFonts w:eastAsia="標楷體" w:hint="eastAsia"/>
              </w:rPr>
              <w:t>(</w:t>
            </w:r>
            <w:r>
              <w:rPr>
                <w:rFonts w:eastAsia="標楷體"/>
              </w:rPr>
              <w:t>2)</w:t>
            </w:r>
          </w:p>
        </w:tc>
        <w:tc>
          <w:tcPr>
            <w:tcW w:w="1320" w:type="dxa"/>
            <w:tcBorders>
              <w:top w:val="single" w:sz="6" w:space="0" w:color="auto"/>
              <w:left w:val="single" w:sz="6" w:space="0" w:color="auto"/>
              <w:bottom w:val="single" w:sz="6" w:space="0" w:color="auto"/>
              <w:right w:val="single" w:sz="6" w:space="0" w:color="auto"/>
            </w:tcBorders>
          </w:tcPr>
          <w:p w14:paraId="7EE33755" w14:textId="79B0FE72" w:rsidR="00161123" w:rsidRDefault="00005478">
            <w:pPr>
              <w:jc w:val="right"/>
              <w:rPr>
                <w:rFonts w:eastAsia="標楷體"/>
              </w:rPr>
            </w:pPr>
            <w:r>
              <w:rPr>
                <w:rFonts w:eastAsia="標楷體" w:hint="eastAsia"/>
              </w:rPr>
              <w:t>(</w:t>
            </w:r>
            <w:r>
              <w:rPr>
                <w:rFonts w:eastAsia="標楷體"/>
              </w:rPr>
              <w:t>1,329)</w:t>
            </w:r>
          </w:p>
        </w:tc>
        <w:tc>
          <w:tcPr>
            <w:tcW w:w="1322" w:type="dxa"/>
            <w:tcBorders>
              <w:top w:val="single" w:sz="6" w:space="0" w:color="auto"/>
              <w:left w:val="single" w:sz="6" w:space="0" w:color="auto"/>
              <w:bottom w:val="single" w:sz="6" w:space="0" w:color="auto"/>
              <w:right w:val="single" w:sz="4" w:space="0" w:color="auto"/>
            </w:tcBorders>
          </w:tcPr>
          <w:p w14:paraId="6DCEB3E2" w14:textId="22FF893D" w:rsidR="00161123" w:rsidRDefault="00005478">
            <w:pPr>
              <w:pStyle w:val="ab"/>
              <w:snapToGrid/>
              <w:jc w:val="right"/>
              <w:rPr>
                <w:rFonts w:ascii="Times New Roman" w:eastAsia="標楷體" w:hAnsi="Times New Roman"/>
              </w:rPr>
            </w:pPr>
            <w:r>
              <w:rPr>
                <w:rFonts w:ascii="Times New Roman" w:eastAsia="標楷體" w:hAnsi="Times New Roman" w:hint="eastAsia"/>
              </w:rPr>
              <w:t>(</w:t>
            </w:r>
            <w:r>
              <w:rPr>
                <w:rFonts w:ascii="Times New Roman" w:eastAsia="標楷體" w:hAnsi="Times New Roman"/>
              </w:rPr>
              <w:t>1,857)</w:t>
            </w:r>
          </w:p>
        </w:tc>
        <w:tc>
          <w:tcPr>
            <w:tcW w:w="1800" w:type="dxa"/>
            <w:tcBorders>
              <w:top w:val="single" w:sz="6" w:space="0" w:color="auto"/>
              <w:left w:val="single" w:sz="4" w:space="0" w:color="auto"/>
              <w:bottom w:val="single" w:sz="6" w:space="0" w:color="auto"/>
              <w:right w:val="single" w:sz="12" w:space="0" w:color="auto"/>
            </w:tcBorders>
            <w:vAlign w:val="center"/>
          </w:tcPr>
          <w:p w14:paraId="2DD7D69F" w14:textId="4469B4D6" w:rsidR="00161123" w:rsidRDefault="00005478">
            <w:pPr>
              <w:ind w:right="57"/>
              <w:jc w:val="right"/>
              <w:rPr>
                <w:rFonts w:eastAsia="標楷體"/>
              </w:rPr>
            </w:pPr>
            <w:r>
              <w:rPr>
                <w:rFonts w:eastAsia="標楷體" w:hint="eastAsia"/>
              </w:rPr>
              <w:t>(</w:t>
            </w:r>
            <w:r>
              <w:rPr>
                <w:rFonts w:eastAsia="標楷體"/>
              </w:rPr>
              <w:t>539)</w:t>
            </w:r>
          </w:p>
        </w:tc>
      </w:tr>
      <w:tr w:rsidR="00005478" w14:paraId="1AEA4496"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65EDFA6A" w14:textId="77777777" w:rsidR="00005478" w:rsidRDefault="00005478" w:rsidP="00005478">
            <w:pPr>
              <w:jc w:val="distribute"/>
              <w:rPr>
                <w:rFonts w:eastAsia="標楷體"/>
              </w:rPr>
            </w:pPr>
            <w:r>
              <w:rPr>
                <w:rFonts w:eastAsia="標楷體" w:hAnsi="標楷體"/>
              </w:rPr>
              <w:t>稅前損益</w:t>
            </w:r>
          </w:p>
        </w:tc>
        <w:tc>
          <w:tcPr>
            <w:tcW w:w="1288" w:type="dxa"/>
            <w:tcBorders>
              <w:top w:val="single" w:sz="6" w:space="0" w:color="auto"/>
              <w:left w:val="single" w:sz="6" w:space="0" w:color="auto"/>
              <w:bottom w:val="single" w:sz="6" w:space="0" w:color="auto"/>
              <w:right w:val="single" w:sz="6" w:space="0" w:color="auto"/>
            </w:tcBorders>
            <w:vAlign w:val="center"/>
          </w:tcPr>
          <w:p w14:paraId="75ACA845" w14:textId="09D825C0" w:rsidR="00005478" w:rsidRDefault="00005478" w:rsidP="00005478">
            <w:pPr>
              <w:ind w:right="113"/>
              <w:jc w:val="right"/>
              <w:rPr>
                <w:rFonts w:eastAsia="標楷體"/>
              </w:rPr>
            </w:pPr>
            <w:r w:rsidRPr="00C64336">
              <w:t>(46,089)</w:t>
            </w:r>
          </w:p>
        </w:tc>
        <w:tc>
          <w:tcPr>
            <w:tcW w:w="1320" w:type="dxa"/>
            <w:tcBorders>
              <w:top w:val="single" w:sz="6" w:space="0" w:color="auto"/>
              <w:left w:val="single" w:sz="6" w:space="0" w:color="auto"/>
              <w:bottom w:val="single" w:sz="6" w:space="0" w:color="auto"/>
              <w:right w:val="single" w:sz="6" w:space="0" w:color="auto"/>
            </w:tcBorders>
            <w:vAlign w:val="center"/>
          </w:tcPr>
          <w:p w14:paraId="7BC05141" w14:textId="442CEA13" w:rsidR="00005478" w:rsidRDefault="00005478" w:rsidP="00005478">
            <w:pPr>
              <w:snapToGrid w:val="0"/>
              <w:spacing w:line="240" w:lineRule="atLeast"/>
              <w:jc w:val="right"/>
              <w:rPr>
                <w:rFonts w:eastAsia="標楷體"/>
              </w:rPr>
            </w:pPr>
            <w:r w:rsidRPr="00C64336">
              <w:t>(66,079)</w:t>
            </w:r>
          </w:p>
        </w:tc>
        <w:tc>
          <w:tcPr>
            <w:tcW w:w="1320" w:type="dxa"/>
            <w:tcBorders>
              <w:top w:val="single" w:sz="6" w:space="0" w:color="auto"/>
              <w:left w:val="single" w:sz="6" w:space="0" w:color="auto"/>
              <w:bottom w:val="single" w:sz="6" w:space="0" w:color="auto"/>
              <w:right w:val="single" w:sz="6" w:space="0" w:color="auto"/>
            </w:tcBorders>
            <w:vAlign w:val="center"/>
          </w:tcPr>
          <w:p w14:paraId="1BFA23ED" w14:textId="0A1CC501" w:rsidR="00005478" w:rsidRDefault="00005478" w:rsidP="00005478">
            <w:pPr>
              <w:snapToGrid w:val="0"/>
              <w:spacing w:line="240" w:lineRule="atLeast"/>
              <w:jc w:val="right"/>
              <w:rPr>
                <w:rFonts w:eastAsia="標楷體"/>
              </w:rPr>
            </w:pPr>
            <w:r w:rsidRPr="00C64336">
              <w:t>(152,688)</w:t>
            </w:r>
          </w:p>
        </w:tc>
        <w:tc>
          <w:tcPr>
            <w:tcW w:w="1320" w:type="dxa"/>
            <w:tcBorders>
              <w:top w:val="single" w:sz="6" w:space="0" w:color="auto"/>
              <w:left w:val="single" w:sz="6" w:space="0" w:color="auto"/>
              <w:bottom w:val="single" w:sz="6" w:space="0" w:color="auto"/>
              <w:right w:val="single" w:sz="6" w:space="0" w:color="auto"/>
            </w:tcBorders>
            <w:vAlign w:val="center"/>
          </w:tcPr>
          <w:p w14:paraId="6640F192" w14:textId="0CBE72A3" w:rsidR="00005478" w:rsidRDefault="00005478" w:rsidP="00005478">
            <w:pPr>
              <w:snapToGrid w:val="0"/>
              <w:spacing w:line="240" w:lineRule="atLeast"/>
              <w:jc w:val="right"/>
              <w:rPr>
                <w:rFonts w:eastAsia="標楷體"/>
              </w:rPr>
            </w:pPr>
            <w:r w:rsidRPr="00C64336">
              <w:t>(174,740)</w:t>
            </w:r>
          </w:p>
        </w:tc>
        <w:tc>
          <w:tcPr>
            <w:tcW w:w="1322" w:type="dxa"/>
            <w:tcBorders>
              <w:top w:val="single" w:sz="6" w:space="0" w:color="auto"/>
              <w:left w:val="single" w:sz="6" w:space="0" w:color="auto"/>
              <w:bottom w:val="single" w:sz="6" w:space="0" w:color="auto"/>
              <w:right w:val="single" w:sz="4" w:space="0" w:color="auto"/>
            </w:tcBorders>
            <w:vAlign w:val="center"/>
          </w:tcPr>
          <w:p w14:paraId="648049E6" w14:textId="01407E55" w:rsidR="00005478" w:rsidRDefault="00005478" w:rsidP="00005478">
            <w:pPr>
              <w:snapToGrid w:val="0"/>
              <w:spacing w:line="240" w:lineRule="atLeast"/>
              <w:jc w:val="right"/>
              <w:rPr>
                <w:rFonts w:eastAsia="標楷體"/>
                <w:color w:val="000000"/>
              </w:rPr>
            </w:pPr>
            <w:r>
              <w:rPr>
                <w:rFonts w:hint="eastAsia"/>
              </w:rPr>
              <w:t>(</w:t>
            </w:r>
            <w:r>
              <w:t>148,863)</w:t>
            </w:r>
          </w:p>
        </w:tc>
        <w:tc>
          <w:tcPr>
            <w:tcW w:w="1800" w:type="dxa"/>
            <w:tcBorders>
              <w:top w:val="single" w:sz="6" w:space="0" w:color="auto"/>
              <w:left w:val="single" w:sz="4" w:space="0" w:color="auto"/>
              <w:bottom w:val="single" w:sz="6" w:space="0" w:color="auto"/>
              <w:right w:val="single" w:sz="12" w:space="0" w:color="auto"/>
            </w:tcBorders>
            <w:vAlign w:val="center"/>
          </w:tcPr>
          <w:p w14:paraId="289FF0EC" w14:textId="60A17DB6" w:rsidR="00005478" w:rsidRDefault="00005478" w:rsidP="00005478">
            <w:pPr>
              <w:ind w:right="57"/>
              <w:jc w:val="right"/>
              <w:rPr>
                <w:rFonts w:eastAsia="標楷體"/>
              </w:rPr>
            </w:pPr>
            <w:r>
              <w:rPr>
                <w:color w:val="FF0000"/>
              </w:rPr>
              <w:t>(66,111)</w:t>
            </w:r>
          </w:p>
        </w:tc>
      </w:tr>
      <w:tr w:rsidR="00005478" w14:paraId="7919AB4F"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2855E079" w14:textId="77777777" w:rsidR="00005478" w:rsidRDefault="00005478" w:rsidP="00005478">
            <w:pPr>
              <w:jc w:val="distribute"/>
              <w:rPr>
                <w:rFonts w:eastAsia="標楷體"/>
              </w:rPr>
            </w:pPr>
            <w:r>
              <w:rPr>
                <w:rFonts w:eastAsia="標楷體" w:hAnsi="標楷體"/>
              </w:rPr>
              <w:lastRenderedPageBreak/>
              <w:t>稅後損益</w:t>
            </w:r>
          </w:p>
        </w:tc>
        <w:tc>
          <w:tcPr>
            <w:tcW w:w="1288" w:type="dxa"/>
            <w:tcBorders>
              <w:top w:val="single" w:sz="6" w:space="0" w:color="auto"/>
              <w:left w:val="single" w:sz="6" w:space="0" w:color="auto"/>
              <w:bottom w:val="single" w:sz="6" w:space="0" w:color="auto"/>
              <w:right w:val="single" w:sz="6" w:space="0" w:color="auto"/>
            </w:tcBorders>
            <w:vAlign w:val="center"/>
          </w:tcPr>
          <w:p w14:paraId="01913B5B" w14:textId="73A05D49" w:rsidR="00005478" w:rsidRDefault="00005478" w:rsidP="00005478">
            <w:pPr>
              <w:ind w:right="113"/>
              <w:jc w:val="right"/>
              <w:rPr>
                <w:rFonts w:eastAsia="標楷體"/>
              </w:rPr>
            </w:pPr>
            <w:r w:rsidRPr="00C64336">
              <w:t>(46,108)</w:t>
            </w:r>
          </w:p>
        </w:tc>
        <w:tc>
          <w:tcPr>
            <w:tcW w:w="1320" w:type="dxa"/>
            <w:tcBorders>
              <w:top w:val="single" w:sz="6" w:space="0" w:color="auto"/>
              <w:left w:val="single" w:sz="6" w:space="0" w:color="auto"/>
              <w:bottom w:val="single" w:sz="6" w:space="0" w:color="auto"/>
              <w:right w:val="single" w:sz="6" w:space="0" w:color="auto"/>
            </w:tcBorders>
            <w:vAlign w:val="center"/>
          </w:tcPr>
          <w:p w14:paraId="3B9ECAC8" w14:textId="6A27BA78" w:rsidR="00005478" w:rsidRDefault="00005478" w:rsidP="00005478">
            <w:pPr>
              <w:jc w:val="right"/>
              <w:rPr>
                <w:rFonts w:eastAsia="標楷體"/>
                <w:color w:val="000000"/>
              </w:rPr>
            </w:pPr>
            <w:r w:rsidRPr="00C64336">
              <w:t>(65,632)</w:t>
            </w:r>
          </w:p>
        </w:tc>
        <w:tc>
          <w:tcPr>
            <w:tcW w:w="1320" w:type="dxa"/>
            <w:tcBorders>
              <w:top w:val="single" w:sz="6" w:space="0" w:color="auto"/>
              <w:left w:val="single" w:sz="6" w:space="0" w:color="auto"/>
              <w:bottom w:val="single" w:sz="6" w:space="0" w:color="auto"/>
              <w:right w:val="single" w:sz="6" w:space="0" w:color="auto"/>
            </w:tcBorders>
            <w:vAlign w:val="center"/>
          </w:tcPr>
          <w:p w14:paraId="55D62164" w14:textId="11297EAA" w:rsidR="00005478" w:rsidRDefault="00005478" w:rsidP="00005478">
            <w:pPr>
              <w:jc w:val="right"/>
              <w:rPr>
                <w:rFonts w:eastAsia="標楷體"/>
                <w:color w:val="000000"/>
              </w:rPr>
            </w:pPr>
            <w:r w:rsidRPr="00C64336">
              <w:t>(153,117)</w:t>
            </w:r>
          </w:p>
        </w:tc>
        <w:tc>
          <w:tcPr>
            <w:tcW w:w="1320" w:type="dxa"/>
            <w:tcBorders>
              <w:top w:val="single" w:sz="6" w:space="0" w:color="auto"/>
              <w:left w:val="single" w:sz="6" w:space="0" w:color="auto"/>
              <w:bottom w:val="single" w:sz="6" w:space="0" w:color="auto"/>
              <w:right w:val="single" w:sz="6" w:space="0" w:color="auto"/>
            </w:tcBorders>
            <w:vAlign w:val="center"/>
          </w:tcPr>
          <w:p w14:paraId="12CBCA41" w14:textId="7FECF6E7" w:rsidR="00005478" w:rsidRDefault="00005478" w:rsidP="00005478">
            <w:pPr>
              <w:jc w:val="right"/>
              <w:rPr>
                <w:rFonts w:eastAsia="標楷體"/>
                <w:color w:val="000000"/>
              </w:rPr>
            </w:pPr>
            <w:r w:rsidRPr="00C64336">
              <w:t>(174,299)</w:t>
            </w:r>
          </w:p>
        </w:tc>
        <w:tc>
          <w:tcPr>
            <w:tcW w:w="1322" w:type="dxa"/>
            <w:tcBorders>
              <w:top w:val="single" w:sz="6" w:space="0" w:color="auto"/>
              <w:left w:val="single" w:sz="6" w:space="0" w:color="auto"/>
              <w:bottom w:val="single" w:sz="6" w:space="0" w:color="auto"/>
              <w:right w:val="single" w:sz="4" w:space="0" w:color="auto"/>
            </w:tcBorders>
            <w:vAlign w:val="center"/>
          </w:tcPr>
          <w:p w14:paraId="2F1AD9AF" w14:textId="40C8F022" w:rsidR="00005478" w:rsidRDefault="00005478" w:rsidP="00005478">
            <w:pPr>
              <w:jc w:val="right"/>
              <w:rPr>
                <w:rFonts w:eastAsia="標楷體"/>
                <w:color w:val="000000"/>
              </w:rPr>
            </w:pPr>
            <w:r>
              <w:rPr>
                <w:rFonts w:hint="eastAsia"/>
              </w:rPr>
              <w:t>(</w:t>
            </w:r>
            <w:r>
              <w:t>148,863)</w:t>
            </w:r>
          </w:p>
        </w:tc>
        <w:tc>
          <w:tcPr>
            <w:tcW w:w="1800" w:type="dxa"/>
            <w:tcBorders>
              <w:top w:val="single" w:sz="6" w:space="0" w:color="auto"/>
              <w:left w:val="single" w:sz="4" w:space="0" w:color="auto"/>
              <w:bottom w:val="single" w:sz="6" w:space="0" w:color="auto"/>
              <w:right w:val="single" w:sz="12" w:space="0" w:color="auto"/>
            </w:tcBorders>
            <w:vAlign w:val="center"/>
          </w:tcPr>
          <w:p w14:paraId="341DDFA6" w14:textId="2E60A8CD" w:rsidR="00005478" w:rsidRDefault="00005478" w:rsidP="00005478">
            <w:pPr>
              <w:ind w:right="57"/>
              <w:jc w:val="right"/>
              <w:rPr>
                <w:rFonts w:eastAsia="標楷體"/>
              </w:rPr>
            </w:pPr>
            <w:r>
              <w:rPr>
                <w:color w:val="FF0000"/>
              </w:rPr>
              <w:t>(66,111)</w:t>
            </w:r>
          </w:p>
        </w:tc>
      </w:tr>
      <w:tr w:rsidR="00E2006D" w14:paraId="65514CCF"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68CDE4E4" w14:textId="77777777" w:rsidR="00E2006D" w:rsidRDefault="00E2006D" w:rsidP="00E2006D">
            <w:pPr>
              <w:jc w:val="distribute"/>
              <w:rPr>
                <w:rFonts w:eastAsia="標楷體"/>
              </w:rPr>
            </w:pPr>
            <w:r>
              <w:rPr>
                <w:rFonts w:eastAsia="標楷體" w:hAnsi="標楷體"/>
              </w:rPr>
              <w:t>每股盈餘（元）</w:t>
            </w:r>
          </w:p>
        </w:tc>
        <w:tc>
          <w:tcPr>
            <w:tcW w:w="1288" w:type="dxa"/>
            <w:tcBorders>
              <w:top w:val="single" w:sz="6" w:space="0" w:color="auto"/>
              <w:left w:val="single" w:sz="6" w:space="0" w:color="auto"/>
              <w:bottom w:val="single" w:sz="6" w:space="0" w:color="auto"/>
              <w:right w:val="single" w:sz="6" w:space="0" w:color="auto"/>
            </w:tcBorders>
            <w:vAlign w:val="center"/>
          </w:tcPr>
          <w:p w14:paraId="3DD2EDF2" w14:textId="47749486" w:rsidR="00E2006D" w:rsidRDefault="00E2006D" w:rsidP="00E2006D">
            <w:pPr>
              <w:ind w:right="113"/>
              <w:jc w:val="right"/>
              <w:rPr>
                <w:rFonts w:eastAsia="標楷體"/>
              </w:rPr>
            </w:pPr>
            <w:r w:rsidRPr="00C64336">
              <w:t>(2.02)</w:t>
            </w:r>
          </w:p>
        </w:tc>
        <w:tc>
          <w:tcPr>
            <w:tcW w:w="1320" w:type="dxa"/>
            <w:tcBorders>
              <w:top w:val="single" w:sz="6" w:space="0" w:color="auto"/>
              <w:left w:val="single" w:sz="6" w:space="0" w:color="auto"/>
              <w:bottom w:val="single" w:sz="6" w:space="0" w:color="auto"/>
              <w:right w:val="single" w:sz="6" w:space="0" w:color="auto"/>
            </w:tcBorders>
            <w:vAlign w:val="center"/>
          </w:tcPr>
          <w:p w14:paraId="5FFF4510" w14:textId="5E72AA6D" w:rsidR="00E2006D" w:rsidRDefault="00E2006D" w:rsidP="00E2006D">
            <w:pPr>
              <w:jc w:val="right"/>
              <w:rPr>
                <w:rFonts w:eastAsia="標楷體"/>
                <w:color w:val="000000"/>
              </w:rPr>
            </w:pPr>
            <w:r w:rsidRPr="00C64336">
              <w:t>(1.82)</w:t>
            </w:r>
          </w:p>
        </w:tc>
        <w:tc>
          <w:tcPr>
            <w:tcW w:w="1320" w:type="dxa"/>
            <w:tcBorders>
              <w:top w:val="single" w:sz="6" w:space="0" w:color="auto"/>
              <w:left w:val="single" w:sz="6" w:space="0" w:color="auto"/>
              <w:bottom w:val="single" w:sz="6" w:space="0" w:color="auto"/>
              <w:right w:val="single" w:sz="6" w:space="0" w:color="auto"/>
            </w:tcBorders>
            <w:vAlign w:val="center"/>
          </w:tcPr>
          <w:p w14:paraId="5F096315" w14:textId="7000F7F4" w:rsidR="00E2006D" w:rsidRDefault="00E2006D" w:rsidP="00E2006D">
            <w:pPr>
              <w:jc w:val="right"/>
              <w:rPr>
                <w:rFonts w:eastAsia="標楷體"/>
                <w:color w:val="000000"/>
              </w:rPr>
            </w:pPr>
            <w:r w:rsidRPr="00C64336">
              <w:t>(3.65)</w:t>
            </w:r>
          </w:p>
        </w:tc>
        <w:tc>
          <w:tcPr>
            <w:tcW w:w="1320" w:type="dxa"/>
            <w:tcBorders>
              <w:top w:val="single" w:sz="6" w:space="0" w:color="auto"/>
              <w:left w:val="single" w:sz="6" w:space="0" w:color="auto"/>
              <w:bottom w:val="single" w:sz="6" w:space="0" w:color="auto"/>
              <w:right w:val="single" w:sz="6" w:space="0" w:color="auto"/>
            </w:tcBorders>
            <w:vAlign w:val="center"/>
          </w:tcPr>
          <w:p w14:paraId="062B0888" w14:textId="70353C1B" w:rsidR="00E2006D" w:rsidRDefault="00E2006D" w:rsidP="00E2006D">
            <w:pPr>
              <w:jc w:val="right"/>
              <w:rPr>
                <w:rFonts w:eastAsia="標楷體"/>
                <w:color w:val="000000"/>
              </w:rPr>
            </w:pPr>
            <w:r w:rsidRPr="00C64336">
              <w:t>(3.79)</w:t>
            </w:r>
          </w:p>
        </w:tc>
        <w:tc>
          <w:tcPr>
            <w:tcW w:w="1322" w:type="dxa"/>
            <w:tcBorders>
              <w:top w:val="single" w:sz="6" w:space="0" w:color="auto"/>
              <w:left w:val="single" w:sz="6" w:space="0" w:color="auto"/>
              <w:bottom w:val="single" w:sz="6" w:space="0" w:color="auto"/>
              <w:right w:val="single" w:sz="4" w:space="0" w:color="auto"/>
            </w:tcBorders>
            <w:vAlign w:val="center"/>
          </w:tcPr>
          <w:p w14:paraId="3BF2EC19" w14:textId="454FCA60" w:rsidR="00E2006D" w:rsidRDefault="00E2006D" w:rsidP="00E2006D">
            <w:pPr>
              <w:tabs>
                <w:tab w:val="left" w:pos="1250"/>
              </w:tabs>
              <w:ind w:right="14"/>
              <w:jc w:val="right"/>
              <w:rPr>
                <w:rFonts w:eastAsia="標楷體"/>
                <w:color w:val="000000"/>
              </w:rPr>
            </w:pPr>
            <w:r>
              <w:rPr>
                <w:rFonts w:hint="eastAsia"/>
              </w:rPr>
              <w:t>(</w:t>
            </w:r>
            <w:r>
              <w:t>3.08)</w:t>
            </w:r>
          </w:p>
        </w:tc>
        <w:tc>
          <w:tcPr>
            <w:tcW w:w="1800" w:type="dxa"/>
            <w:tcBorders>
              <w:top w:val="single" w:sz="6" w:space="0" w:color="auto"/>
              <w:left w:val="single" w:sz="4" w:space="0" w:color="auto"/>
              <w:bottom w:val="single" w:sz="6" w:space="0" w:color="auto"/>
              <w:right w:val="single" w:sz="12" w:space="0" w:color="auto"/>
            </w:tcBorders>
            <w:vAlign w:val="center"/>
          </w:tcPr>
          <w:p w14:paraId="715858BD" w14:textId="46850997" w:rsidR="00E2006D" w:rsidRDefault="00005478" w:rsidP="00E2006D">
            <w:pPr>
              <w:ind w:right="57"/>
              <w:jc w:val="right"/>
              <w:rPr>
                <w:rFonts w:eastAsia="標楷體"/>
              </w:rPr>
            </w:pPr>
            <w:r>
              <w:rPr>
                <w:rFonts w:eastAsia="標楷體" w:hint="eastAsia"/>
              </w:rPr>
              <w:t>(1.30)</w:t>
            </w:r>
          </w:p>
        </w:tc>
      </w:tr>
      <w:tr w:rsidR="00E2006D" w14:paraId="3A31C4BF" w14:textId="77777777" w:rsidTr="00F42CC0">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14:paraId="7AFC8EAB" w14:textId="77777777" w:rsidR="00E2006D" w:rsidRDefault="00E2006D" w:rsidP="00E2006D">
            <w:pPr>
              <w:jc w:val="distribute"/>
              <w:rPr>
                <w:rFonts w:eastAsia="標楷體" w:hAnsi="標楷體"/>
              </w:rPr>
            </w:pPr>
            <w:r>
              <w:rPr>
                <w:rFonts w:eastAsia="標楷體" w:hAnsi="標楷體" w:hint="eastAsia"/>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14:paraId="45FA1E6C" w14:textId="77777777" w:rsidR="00E2006D" w:rsidRDefault="00E2006D" w:rsidP="00E2006D">
            <w:pPr>
              <w:jc w:val="distribute"/>
              <w:rPr>
                <w:rFonts w:eastAsia="標楷體" w:hAnsi="標楷體"/>
              </w:rPr>
            </w:pPr>
            <w:r>
              <w:rPr>
                <w:rFonts w:eastAsia="標楷體" w:hAnsi="標楷體" w:hint="eastAsia"/>
              </w:rPr>
              <w:t>現金股利</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276DE915" w14:textId="506C8CF9" w:rsidR="00E2006D" w:rsidRDefault="00E2006D" w:rsidP="00E2006D">
            <w:pPr>
              <w:ind w:right="113"/>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3E9387EC" w14:textId="795AAE20"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3CD2328A" w14:textId="12A9D4A1"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66E9AEBF" w14:textId="489D39F7" w:rsidR="00E2006D" w:rsidRDefault="00E2006D" w:rsidP="00E2006D">
            <w:pPr>
              <w:jc w:val="right"/>
              <w:rPr>
                <w:rFonts w:eastAsia="標楷體"/>
                <w:color w:val="000000"/>
              </w:rPr>
            </w:pPr>
            <w:r>
              <w:rPr>
                <w:rFonts w:eastAsia="標楷體" w:hint="eastAsia"/>
              </w:rPr>
              <w:t>-</w:t>
            </w:r>
          </w:p>
        </w:tc>
        <w:tc>
          <w:tcPr>
            <w:tcW w:w="1322" w:type="dxa"/>
            <w:tcBorders>
              <w:top w:val="single" w:sz="6" w:space="0" w:color="auto"/>
              <w:left w:val="single" w:sz="6" w:space="0" w:color="auto"/>
              <w:bottom w:val="single" w:sz="6" w:space="0" w:color="auto"/>
              <w:right w:val="single" w:sz="4" w:space="0" w:color="auto"/>
            </w:tcBorders>
            <w:vAlign w:val="center"/>
          </w:tcPr>
          <w:p w14:paraId="2DE1D4B1" w14:textId="2038143E" w:rsidR="00E2006D" w:rsidRDefault="00E2006D" w:rsidP="00E2006D">
            <w:pPr>
              <w:tabs>
                <w:tab w:val="left" w:pos="1250"/>
              </w:tabs>
              <w:ind w:right="14"/>
              <w:jc w:val="right"/>
              <w:rPr>
                <w:rFonts w:eastAsia="標楷體"/>
                <w:color w:val="000000"/>
              </w:rPr>
            </w:pPr>
            <w:r>
              <w:rPr>
                <w:rFonts w:eastAsia="標楷體" w:hint="eastAsia"/>
              </w:rPr>
              <w:t>-</w:t>
            </w:r>
          </w:p>
        </w:tc>
        <w:tc>
          <w:tcPr>
            <w:tcW w:w="1800" w:type="dxa"/>
            <w:tcBorders>
              <w:top w:val="single" w:sz="6" w:space="0" w:color="auto"/>
              <w:left w:val="single" w:sz="4" w:space="0" w:color="auto"/>
              <w:bottom w:val="single" w:sz="6" w:space="0" w:color="auto"/>
              <w:right w:val="single" w:sz="12" w:space="0" w:color="auto"/>
            </w:tcBorders>
            <w:vAlign w:val="center"/>
          </w:tcPr>
          <w:p w14:paraId="4BA95514" w14:textId="374F3CAE" w:rsidR="00E2006D" w:rsidRDefault="00E2006D" w:rsidP="00E2006D">
            <w:pPr>
              <w:ind w:right="57"/>
              <w:jc w:val="right"/>
              <w:rPr>
                <w:rFonts w:eastAsia="標楷體"/>
              </w:rPr>
            </w:pPr>
            <w:r>
              <w:rPr>
                <w:rFonts w:eastAsia="標楷體" w:hint="eastAsia"/>
              </w:rPr>
              <w:t>-</w:t>
            </w:r>
          </w:p>
        </w:tc>
      </w:tr>
      <w:tr w:rsidR="00E2006D" w14:paraId="193AA772" w14:textId="77777777" w:rsidTr="00F42CC0">
        <w:trPr>
          <w:cantSplit/>
        </w:trPr>
        <w:tc>
          <w:tcPr>
            <w:tcW w:w="568" w:type="dxa"/>
            <w:vMerge/>
            <w:tcBorders>
              <w:left w:val="single" w:sz="12" w:space="0" w:color="auto"/>
              <w:bottom w:val="single" w:sz="6" w:space="0" w:color="auto"/>
              <w:right w:val="single" w:sz="4" w:space="0" w:color="auto"/>
            </w:tcBorders>
            <w:vAlign w:val="center"/>
          </w:tcPr>
          <w:p w14:paraId="22559D1E" w14:textId="77777777" w:rsidR="00E2006D" w:rsidRDefault="00E2006D" w:rsidP="00E2006D">
            <w:pPr>
              <w:jc w:val="distribute"/>
              <w:rPr>
                <w:rFonts w:eastAsia="標楷體" w:hAnsi="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4979578C" w14:textId="77777777" w:rsidR="00E2006D" w:rsidRDefault="00E2006D" w:rsidP="00E2006D">
            <w:pPr>
              <w:jc w:val="both"/>
              <w:rPr>
                <w:rFonts w:eastAsia="標楷體" w:hAnsi="標楷體"/>
              </w:rPr>
            </w:pPr>
            <w:r>
              <w:rPr>
                <w:rFonts w:eastAsia="標楷體" w:hAnsi="標楷體" w:hint="eastAsia"/>
              </w:rPr>
              <w:t>股票股利</w:t>
            </w:r>
            <w:r>
              <w:rPr>
                <w:rFonts w:eastAsia="標楷體" w:hAnsi="標楷體" w:hint="eastAsia"/>
              </w:rPr>
              <w:t>(</w:t>
            </w:r>
            <w:r>
              <w:rPr>
                <w:rFonts w:eastAsia="標楷體" w:hAnsi="標楷體" w:hint="eastAsia"/>
              </w:rPr>
              <w:t>資本公積轉增資</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4F2072EB" w14:textId="6F691128" w:rsidR="00E2006D" w:rsidRDefault="00E2006D" w:rsidP="00E2006D">
            <w:pPr>
              <w:ind w:right="113"/>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2AE59224" w14:textId="26D6EE59"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442430B7" w14:textId="184ED9EA"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3B6DBAD1" w14:textId="52C590B2" w:rsidR="00E2006D" w:rsidRDefault="00E2006D" w:rsidP="00E2006D">
            <w:pPr>
              <w:jc w:val="right"/>
              <w:rPr>
                <w:rFonts w:eastAsia="標楷體"/>
                <w:color w:val="000000"/>
              </w:rPr>
            </w:pPr>
            <w:r>
              <w:rPr>
                <w:rFonts w:eastAsia="標楷體" w:hint="eastAsia"/>
              </w:rPr>
              <w:t>-</w:t>
            </w:r>
          </w:p>
        </w:tc>
        <w:tc>
          <w:tcPr>
            <w:tcW w:w="1322" w:type="dxa"/>
            <w:tcBorders>
              <w:top w:val="single" w:sz="6" w:space="0" w:color="auto"/>
              <w:left w:val="single" w:sz="6" w:space="0" w:color="auto"/>
              <w:bottom w:val="single" w:sz="6" w:space="0" w:color="auto"/>
              <w:right w:val="single" w:sz="4" w:space="0" w:color="auto"/>
            </w:tcBorders>
            <w:vAlign w:val="center"/>
          </w:tcPr>
          <w:p w14:paraId="7BA4B1B3" w14:textId="226D5363" w:rsidR="00E2006D" w:rsidRDefault="00E2006D" w:rsidP="00E2006D">
            <w:pPr>
              <w:tabs>
                <w:tab w:val="left" w:pos="1250"/>
              </w:tabs>
              <w:ind w:right="14"/>
              <w:jc w:val="right"/>
              <w:rPr>
                <w:rFonts w:eastAsia="標楷體"/>
                <w:color w:val="000000"/>
              </w:rPr>
            </w:pPr>
            <w:r>
              <w:rPr>
                <w:rFonts w:eastAsia="標楷體" w:hint="eastAsia"/>
              </w:rPr>
              <w:t>-</w:t>
            </w:r>
          </w:p>
        </w:tc>
        <w:tc>
          <w:tcPr>
            <w:tcW w:w="1800" w:type="dxa"/>
            <w:tcBorders>
              <w:top w:val="single" w:sz="6" w:space="0" w:color="auto"/>
              <w:left w:val="single" w:sz="4" w:space="0" w:color="auto"/>
              <w:bottom w:val="single" w:sz="6" w:space="0" w:color="auto"/>
              <w:right w:val="single" w:sz="12" w:space="0" w:color="auto"/>
            </w:tcBorders>
            <w:vAlign w:val="center"/>
          </w:tcPr>
          <w:p w14:paraId="78420EB1" w14:textId="75D79FA5" w:rsidR="00E2006D" w:rsidRDefault="00E2006D" w:rsidP="00E2006D">
            <w:pPr>
              <w:ind w:right="57"/>
              <w:jc w:val="right"/>
              <w:rPr>
                <w:rFonts w:eastAsia="標楷體"/>
              </w:rPr>
            </w:pPr>
            <w:r>
              <w:rPr>
                <w:rFonts w:eastAsia="標楷體" w:hint="eastAsia"/>
              </w:rPr>
              <w:t>-</w:t>
            </w:r>
          </w:p>
        </w:tc>
      </w:tr>
      <w:tr w:rsidR="00E2006D" w14:paraId="775E860A" w14:textId="77777777" w:rsidTr="00F42CC0">
        <w:trPr>
          <w:cantSplit/>
        </w:trPr>
        <w:tc>
          <w:tcPr>
            <w:tcW w:w="568" w:type="dxa"/>
            <w:vMerge/>
            <w:tcBorders>
              <w:left w:val="single" w:sz="12" w:space="0" w:color="auto"/>
              <w:bottom w:val="single" w:sz="6" w:space="0" w:color="auto"/>
              <w:right w:val="single" w:sz="4" w:space="0" w:color="auto"/>
            </w:tcBorders>
            <w:vAlign w:val="center"/>
          </w:tcPr>
          <w:p w14:paraId="7A367FBA" w14:textId="77777777" w:rsidR="00E2006D" w:rsidRDefault="00E2006D" w:rsidP="00E2006D">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17CEEF12" w14:textId="77777777" w:rsidR="00E2006D" w:rsidRDefault="00E2006D" w:rsidP="00E2006D">
            <w:pPr>
              <w:jc w:val="both"/>
              <w:rPr>
                <w:rFonts w:eastAsia="標楷體"/>
              </w:rPr>
            </w:pPr>
            <w:r>
              <w:rPr>
                <w:rFonts w:eastAsia="標楷體" w:hAnsi="標楷體" w:hint="eastAsia"/>
              </w:rPr>
              <w:t>股票股利</w:t>
            </w:r>
            <w:r>
              <w:rPr>
                <w:rFonts w:eastAsia="標楷體" w:hAnsi="標楷體" w:hint="eastAsia"/>
              </w:rPr>
              <w:t>(</w:t>
            </w:r>
            <w:r>
              <w:rPr>
                <w:rFonts w:eastAsia="標楷體" w:hAnsi="標楷體" w:hint="eastAsia"/>
              </w:rPr>
              <w:t>盈餘轉增資</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78B6399C" w14:textId="2CC43088" w:rsidR="00E2006D" w:rsidRDefault="00E2006D" w:rsidP="00E2006D">
            <w:pPr>
              <w:ind w:right="113"/>
              <w:jc w:val="right"/>
              <w:rPr>
                <w:rFonts w:eastAsia="標楷體"/>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01CD1F18" w14:textId="1E829564"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352E944A" w14:textId="240AAD0B" w:rsidR="00E2006D" w:rsidRDefault="00E2006D" w:rsidP="00E2006D">
            <w:pPr>
              <w:jc w:val="right"/>
              <w:rPr>
                <w:rFonts w:eastAsia="標楷體"/>
                <w:color w:val="000000"/>
              </w:rPr>
            </w:pPr>
            <w:r>
              <w:rPr>
                <w:rFonts w:eastAsia="標楷體" w:hint="eastAsia"/>
              </w:rPr>
              <w:t>-</w:t>
            </w:r>
          </w:p>
        </w:tc>
        <w:tc>
          <w:tcPr>
            <w:tcW w:w="1320" w:type="dxa"/>
            <w:tcBorders>
              <w:top w:val="single" w:sz="6" w:space="0" w:color="auto"/>
              <w:left w:val="single" w:sz="6" w:space="0" w:color="auto"/>
              <w:bottom w:val="single" w:sz="6" w:space="0" w:color="auto"/>
              <w:right w:val="single" w:sz="6" w:space="0" w:color="auto"/>
            </w:tcBorders>
            <w:vAlign w:val="center"/>
          </w:tcPr>
          <w:p w14:paraId="56FBBA0B" w14:textId="004CDFF3" w:rsidR="00E2006D" w:rsidRDefault="00E2006D" w:rsidP="00E2006D">
            <w:pPr>
              <w:jc w:val="right"/>
              <w:rPr>
                <w:rFonts w:eastAsia="標楷體"/>
                <w:color w:val="000000"/>
              </w:rPr>
            </w:pPr>
            <w:r>
              <w:rPr>
                <w:rFonts w:eastAsia="標楷體" w:hint="eastAsia"/>
              </w:rPr>
              <w:t>-</w:t>
            </w:r>
          </w:p>
        </w:tc>
        <w:tc>
          <w:tcPr>
            <w:tcW w:w="1322" w:type="dxa"/>
            <w:tcBorders>
              <w:top w:val="single" w:sz="6" w:space="0" w:color="auto"/>
              <w:left w:val="single" w:sz="6" w:space="0" w:color="auto"/>
              <w:bottom w:val="single" w:sz="6" w:space="0" w:color="auto"/>
              <w:right w:val="single" w:sz="4" w:space="0" w:color="auto"/>
            </w:tcBorders>
            <w:vAlign w:val="center"/>
          </w:tcPr>
          <w:p w14:paraId="121D1CB4" w14:textId="5724BC0E" w:rsidR="00E2006D" w:rsidRDefault="00E2006D" w:rsidP="00E2006D">
            <w:pPr>
              <w:tabs>
                <w:tab w:val="left" w:pos="1250"/>
              </w:tabs>
              <w:ind w:right="14"/>
              <w:jc w:val="right"/>
              <w:rPr>
                <w:rFonts w:eastAsia="標楷體"/>
                <w:color w:val="000000"/>
              </w:rPr>
            </w:pPr>
            <w:r>
              <w:rPr>
                <w:rFonts w:eastAsia="標楷體" w:hint="eastAsia"/>
              </w:rPr>
              <w:t>-</w:t>
            </w:r>
          </w:p>
        </w:tc>
        <w:tc>
          <w:tcPr>
            <w:tcW w:w="1800" w:type="dxa"/>
            <w:tcBorders>
              <w:top w:val="single" w:sz="6" w:space="0" w:color="auto"/>
              <w:left w:val="single" w:sz="4" w:space="0" w:color="auto"/>
              <w:bottom w:val="single" w:sz="6" w:space="0" w:color="auto"/>
              <w:right w:val="single" w:sz="12" w:space="0" w:color="auto"/>
            </w:tcBorders>
            <w:vAlign w:val="center"/>
          </w:tcPr>
          <w:p w14:paraId="01E2DDAA" w14:textId="6C14853C" w:rsidR="00E2006D" w:rsidRDefault="00E2006D" w:rsidP="00E2006D">
            <w:pPr>
              <w:ind w:right="57"/>
              <w:jc w:val="right"/>
              <w:rPr>
                <w:rFonts w:eastAsia="標楷體"/>
              </w:rPr>
            </w:pPr>
            <w:r>
              <w:rPr>
                <w:rFonts w:eastAsia="標楷體" w:hint="eastAsia"/>
              </w:rPr>
              <w:t>-</w:t>
            </w:r>
          </w:p>
        </w:tc>
      </w:tr>
    </w:tbl>
    <w:p w14:paraId="00493230" w14:textId="77777777" w:rsidR="00161123" w:rsidRPr="00990D3C" w:rsidRDefault="0020043D" w:rsidP="0020043D">
      <w:pPr>
        <w:pStyle w:val="Web"/>
        <w:widowControl w:val="0"/>
        <w:spacing w:before="0" w:beforeAutospacing="0" w:after="0" w:afterAutospacing="0"/>
        <w:ind w:left="472" w:hangingChars="236" w:hanging="472"/>
        <w:rPr>
          <w:rFonts w:ascii="Times New Roman" w:eastAsia="新細明體" w:hAnsi="Times New Roman" w:cs="Times New Roman"/>
          <w:kern w:val="2"/>
          <w:sz w:val="20"/>
          <w:szCs w:val="20"/>
        </w:rPr>
      </w:pPr>
      <w:r w:rsidRPr="00990D3C">
        <w:rPr>
          <w:rFonts w:ascii="標楷體" w:eastAsia="標楷體" w:hAnsi="標楷體" w:hint="eastAsia"/>
          <w:b/>
          <w:sz w:val="20"/>
          <w:szCs w:val="20"/>
        </w:rPr>
        <w:t>(註)係自結數字，未經會計師查核簽證，因此可能與會計師查核結果存有差異，請投資人於參考時審慎評估。</w:t>
      </w:r>
    </w:p>
    <w:tbl>
      <w:tblPr>
        <w:tblW w:w="10468"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668"/>
        <w:gridCol w:w="1736"/>
        <w:gridCol w:w="1665"/>
        <w:gridCol w:w="1610"/>
        <w:gridCol w:w="1691"/>
      </w:tblGrid>
      <w:tr w:rsidR="00161123" w14:paraId="7C348FF5" w14:textId="77777777" w:rsidTr="00F42CC0">
        <w:trPr>
          <w:cantSplit/>
          <w:trHeight w:hRule="exact" w:val="1124"/>
        </w:trPr>
        <w:tc>
          <w:tcPr>
            <w:tcW w:w="10468" w:type="dxa"/>
            <w:gridSpan w:val="7"/>
            <w:tcBorders>
              <w:top w:val="single" w:sz="6" w:space="0" w:color="auto"/>
              <w:left w:val="single" w:sz="12" w:space="0" w:color="auto"/>
              <w:bottom w:val="single" w:sz="6" w:space="0" w:color="auto"/>
              <w:right w:val="single" w:sz="12" w:space="0" w:color="auto"/>
            </w:tcBorders>
            <w:vAlign w:val="center"/>
          </w:tcPr>
          <w:bookmarkStart w:id="5" w:name="最近五年度簡明資產負債表"/>
          <w:bookmarkEnd w:id="5"/>
          <w:p w14:paraId="13170BEB" w14:textId="3CBD9B7F" w:rsidR="00161123" w:rsidRDefault="00041E13">
            <w:pPr>
              <w:ind w:firstLineChars="1200" w:firstLine="3363"/>
              <w:rPr>
                <w:rFonts w:eastAsia="標楷體" w:hAnsi="標楷體"/>
                <w:b/>
                <w:bCs/>
                <w:sz w:val="28"/>
              </w:rPr>
            </w:pPr>
            <w:r>
              <w:rPr>
                <w:rFonts w:eastAsia="標楷體" w:hAnsi="標楷體"/>
                <w:b/>
                <w:bCs/>
                <w:noProof/>
                <w:sz w:val="28"/>
              </w:rPr>
              <mc:AlternateContent>
                <mc:Choice Requires="wps">
                  <w:drawing>
                    <wp:anchor distT="0" distB="0" distL="114300" distR="114300" simplePos="0" relativeHeight="251660800" behindDoc="1" locked="0" layoutInCell="1" allowOverlap="1" wp14:anchorId="0CA00B4F" wp14:editId="4585E561">
                      <wp:simplePos x="0" y="0"/>
                      <wp:positionH relativeFrom="column">
                        <wp:posOffset>0</wp:posOffset>
                      </wp:positionH>
                      <wp:positionV relativeFrom="paragraph">
                        <wp:posOffset>8255</wp:posOffset>
                      </wp:positionV>
                      <wp:extent cx="6642100" cy="685165"/>
                      <wp:effectExtent l="0" t="0" r="635" b="1270"/>
                      <wp:wrapNone/>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4E164" w14:textId="77777777" w:rsidR="00575729" w:rsidRDefault="005757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00B4F" id="Text Box 97" o:spid="_x0000_s1031" type="#_x0000_t202" style="position:absolute;left:0;text-align:left;margin-left:0;margin-top:.65pt;width:523pt;height:5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" fillcolor="#ededed" stroked="f">
                      <v:fill rotate="t" focus="50%" type="gradient"/>
                      <v:textbox>
                        <w:txbxContent>
                          <w:p w14:paraId="7F84E164" w14:textId="77777777" w:rsidR="00575729" w:rsidRDefault="00575729"/>
                        </w:txbxContent>
                      </v:textbox>
                    </v:shape>
                  </w:pict>
                </mc:Fallback>
              </mc:AlternateContent>
            </w:r>
            <w:r w:rsidR="00161123">
              <w:rPr>
                <w:rFonts w:eastAsia="標楷體" w:hAnsi="標楷體"/>
                <w:b/>
                <w:bCs/>
                <w:sz w:val="28"/>
              </w:rPr>
              <w:t>最近五年度簡明資產負債表</w:t>
            </w:r>
          </w:p>
          <w:p w14:paraId="7630FDDA" w14:textId="77777777" w:rsidR="00161123" w:rsidRDefault="00161123">
            <w:pPr>
              <w:ind w:firstLineChars="2518" w:firstLine="7057"/>
              <w:rPr>
                <w:rFonts w:eastAsia="標楷體"/>
                <w:b/>
                <w:bCs/>
                <w:sz w:val="28"/>
              </w:rPr>
            </w:pPr>
            <w:r>
              <w:rPr>
                <w:rFonts w:eastAsia="標楷體"/>
                <w:b/>
                <w:bCs/>
                <w:sz w:val="28"/>
              </w:rPr>
              <w:t xml:space="preserve">  </w:t>
            </w:r>
            <w:r>
              <w:rPr>
                <w:rFonts w:eastAsia="標楷體" w:hint="eastAsia"/>
                <w:b/>
                <w:bCs/>
                <w:sz w:val="28"/>
              </w:rPr>
              <w:t xml:space="preserve">       </w:t>
            </w:r>
            <w:r>
              <w:rPr>
                <w:rFonts w:eastAsia="標楷體" w:hAnsi="標楷體"/>
              </w:rPr>
              <w:t>單位：新</w:t>
            </w:r>
            <w:r w:rsidR="00070C0D">
              <w:rPr>
                <w:rFonts w:eastAsia="標楷體" w:hAnsi="標楷體" w:hint="eastAsia"/>
              </w:rPr>
              <w:t>臺</w:t>
            </w:r>
            <w:r w:rsidR="00070C0D">
              <w:rPr>
                <w:rFonts w:eastAsia="標楷體" w:hAnsi="標楷體"/>
              </w:rPr>
              <w:t>幣</w:t>
            </w:r>
            <w:r w:rsidR="00070C0D">
              <w:rPr>
                <w:rFonts w:eastAsia="標楷體" w:hAnsi="標楷體" w:hint="eastAsia"/>
              </w:rPr>
              <w:t>千</w:t>
            </w:r>
            <w:r>
              <w:rPr>
                <w:rFonts w:eastAsia="標楷體" w:hAnsi="標楷體"/>
              </w:rPr>
              <w:t>元</w:t>
            </w:r>
          </w:p>
          <w:p w14:paraId="50878757" w14:textId="77777777" w:rsidR="00161123" w:rsidRDefault="00161123">
            <w:pPr>
              <w:ind w:firstLineChars="1200" w:firstLine="3363"/>
              <w:rPr>
                <w:rFonts w:eastAsia="標楷體"/>
                <w:b/>
                <w:bCs/>
                <w:sz w:val="28"/>
              </w:rPr>
            </w:pPr>
          </w:p>
          <w:p w14:paraId="7A5FFD47" w14:textId="77777777" w:rsidR="00161123" w:rsidRDefault="00161123">
            <w:pPr>
              <w:ind w:firstLineChars="1200" w:firstLine="3363"/>
              <w:rPr>
                <w:rFonts w:eastAsia="標楷體"/>
                <w:b/>
                <w:bCs/>
                <w:sz w:val="28"/>
              </w:rPr>
            </w:pPr>
          </w:p>
          <w:p w14:paraId="4F84837B" w14:textId="77777777" w:rsidR="00161123" w:rsidRDefault="00161123">
            <w:pPr>
              <w:ind w:firstLineChars="1500" w:firstLine="3600"/>
              <w:rPr>
                <w:rFonts w:eastAsia="標楷體"/>
              </w:rPr>
            </w:pPr>
          </w:p>
          <w:p w14:paraId="29B4D4BC" w14:textId="77777777" w:rsidR="00161123" w:rsidRDefault="00161123">
            <w:pPr>
              <w:ind w:firstLineChars="1500" w:firstLine="3600"/>
              <w:rPr>
                <w:rFonts w:eastAsia="標楷體"/>
              </w:rPr>
            </w:pPr>
          </w:p>
          <w:p w14:paraId="1951FBFA" w14:textId="77777777" w:rsidR="00161123" w:rsidRDefault="00161123">
            <w:pPr>
              <w:ind w:firstLineChars="1500" w:firstLine="3600"/>
              <w:rPr>
                <w:rFonts w:eastAsia="標楷體"/>
              </w:rPr>
            </w:pPr>
          </w:p>
          <w:p w14:paraId="793C6AD3" w14:textId="77777777" w:rsidR="00161123" w:rsidRDefault="00161123">
            <w:pPr>
              <w:ind w:firstLineChars="1500" w:firstLine="3600"/>
              <w:rPr>
                <w:rFonts w:eastAsia="標楷體"/>
              </w:rPr>
            </w:pPr>
            <w:r>
              <w:rPr>
                <w:rFonts w:eastAsia="標楷體"/>
              </w:rPr>
              <w:t xml:space="preserve">         </w:t>
            </w:r>
          </w:p>
          <w:p w14:paraId="1DDB2C05" w14:textId="77777777" w:rsidR="00161123" w:rsidRDefault="00161123">
            <w:pPr>
              <w:ind w:firstLineChars="900" w:firstLine="2160"/>
              <w:rPr>
                <w:rFonts w:eastAsia="標楷體"/>
              </w:rPr>
            </w:pPr>
            <w:r>
              <w:rPr>
                <w:rFonts w:eastAsia="標楷體"/>
              </w:rPr>
              <w:t xml:space="preserve">                    </w:t>
            </w:r>
            <w:r>
              <w:rPr>
                <w:rFonts w:eastAsia="標楷體" w:hAnsi="標楷體"/>
              </w:rPr>
              <w:t>單位：新台幣仟元</w:t>
            </w:r>
          </w:p>
        </w:tc>
      </w:tr>
      <w:tr w:rsidR="00005478" w14:paraId="035FEAC2" w14:textId="77777777" w:rsidTr="00F42CC0">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0783A989" w14:textId="77777777" w:rsidR="00005478" w:rsidRPr="00CE1CF1" w:rsidRDefault="00005478" w:rsidP="00005478">
            <w:pPr>
              <w:ind w:left="57" w:right="57"/>
              <w:jc w:val="right"/>
              <w:rPr>
                <w:rFonts w:eastAsia="標楷體"/>
              </w:rPr>
            </w:pPr>
            <w:r w:rsidRPr="00CE1CF1">
              <w:rPr>
                <w:rFonts w:eastAsia="標楷體"/>
              </w:rPr>
              <w:t>年度</w:t>
            </w:r>
          </w:p>
          <w:p w14:paraId="610BA63D" w14:textId="77777777" w:rsidR="00005478" w:rsidRPr="00CE1CF1" w:rsidRDefault="00005478" w:rsidP="00005478">
            <w:pPr>
              <w:rPr>
                <w:rFonts w:eastAsia="標楷體"/>
              </w:rPr>
            </w:pPr>
            <w:r w:rsidRPr="00CE1CF1">
              <w:rPr>
                <w:rFonts w:eastAsia="標楷體"/>
              </w:rPr>
              <w:t>項目</w:t>
            </w:r>
          </w:p>
        </w:tc>
        <w:tc>
          <w:tcPr>
            <w:tcW w:w="1668" w:type="dxa"/>
            <w:tcBorders>
              <w:top w:val="single" w:sz="6" w:space="0" w:color="auto"/>
              <w:left w:val="single" w:sz="6" w:space="0" w:color="auto"/>
              <w:bottom w:val="single" w:sz="6" w:space="0" w:color="auto"/>
              <w:right w:val="single" w:sz="6" w:space="0" w:color="auto"/>
            </w:tcBorders>
            <w:vAlign w:val="center"/>
          </w:tcPr>
          <w:p w14:paraId="16F55837" w14:textId="7040C090" w:rsidR="00005478" w:rsidRPr="00CE1CF1" w:rsidRDefault="00005478" w:rsidP="00005478">
            <w:pPr>
              <w:jc w:val="center"/>
              <w:rPr>
                <w:rFonts w:eastAsia="標楷體"/>
              </w:rPr>
            </w:pPr>
            <w:r w:rsidRPr="00CE1CF1">
              <w:rPr>
                <w:rFonts w:eastAsia="標楷體"/>
              </w:rPr>
              <w:t>105</w:t>
            </w:r>
            <w:r w:rsidRPr="00CE1CF1">
              <w:rPr>
                <w:rFonts w:eastAsia="標楷體"/>
              </w:rPr>
              <w:t>年</w:t>
            </w:r>
          </w:p>
        </w:tc>
        <w:tc>
          <w:tcPr>
            <w:tcW w:w="1736" w:type="dxa"/>
            <w:tcBorders>
              <w:top w:val="single" w:sz="6" w:space="0" w:color="auto"/>
              <w:left w:val="single" w:sz="6" w:space="0" w:color="auto"/>
              <w:bottom w:val="single" w:sz="6" w:space="0" w:color="auto"/>
              <w:right w:val="single" w:sz="6" w:space="0" w:color="auto"/>
            </w:tcBorders>
            <w:vAlign w:val="center"/>
          </w:tcPr>
          <w:p w14:paraId="5D45F897" w14:textId="47E06D7A" w:rsidR="00005478" w:rsidRPr="00CE1CF1" w:rsidRDefault="00005478" w:rsidP="00005478">
            <w:pPr>
              <w:jc w:val="center"/>
              <w:rPr>
                <w:rFonts w:eastAsia="標楷體"/>
              </w:rPr>
            </w:pPr>
            <w:r w:rsidRPr="00CE1CF1">
              <w:rPr>
                <w:rFonts w:eastAsia="標楷體"/>
              </w:rPr>
              <w:t>106</w:t>
            </w:r>
            <w:r w:rsidRPr="00CE1CF1">
              <w:rPr>
                <w:rFonts w:eastAsia="標楷體"/>
              </w:rPr>
              <w:t>年</w:t>
            </w:r>
          </w:p>
        </w:tc>
        <w:tc>
          <w:tcPr>
            <w:tcW w:w="1665" w:type="dxa"/>
            <w:tcBorders>
              <w:top w:val="single" w:sz="6" w:space="0" w:color="auto"/>
              <w:left w:val="single" w:sz="6" w:space="0" w:color="auto"/>
              <w:bottom w:val="single" w:sz="6" w:space="0" w:color="auto"/>
              <w:right w:val="single" w:sz="6" w:space="0" w:color="auto"/>
            </w:tcBorders>
            <w:vAlign w:val="center"/>
          </w:tcPr>
          <w:p w14:paraId="605EA50D" w14:textId="08B51335" w:rsidR="00005478" w:rsidRPr="00CE1CF1" w:rsidRDefault="00005478" w:rsidP="00005478">
            <w:pPr>
              <w:jc w:val="center"/>
              <w:rPr>
                <w:rFonts w:eastAsia="標楷體"/>
              </w:rPr>
            </w:pPr>
            <w:r w:rsidRPr="00CE1CF1">
              <w:rPr>
                <w:rFonts w:eastAsia="標楷體"/>
              </w:rPr>
              <w:t>107</w:t>
            </w:r>
            <w:r w:rsidRPr="00CE1CF1">
              <w:rPr>
                <w:rFonts w:eastAsia="標楷體"/>
              </w:rPr>
              <w:t>年</w:t>
            </w:r>
          </w:p>
        </w:tc>
        <w:tc>
          <w:tcPr>
            <w:tcW w:w="1610" w:type="dxa"/>
            <w:tcBorders>
              <w:top w:val="single" w:sz="6" w:space="0" w:color="auto"/>
              <w:left w:val="single" w:sz="6" w:space="0" w:color="auto"/>
              <w:bottom w:val="single" w:sz="6" w:space="0" w:color="auto"/>
              <w:right w:val="single" w:sz="6" w:space="0" w:color="auto"/>
            </w:tcBorders>
            <w:vAlign w:val="center"/>
          </w:tcPr>
          <w:p w14:paraId="29EEC8A7" w14:textId="32AC6832" w:rsidR="00005478" w:rsidRPr="00CE1CF1" w:rsidRDefault="00005478" w:rsidP="00005478">
            <w:pPr>
              <w:jc w:val="center"/>
              <w:rPr>
                <w:rFonts w:eastAsia="標楷體"/>
              </w:rPr>
            </w:pPr>
            <w:r w:rsidRPr="00CE1CF1">
              <w:rPr>
                <w:rFonts w:eastAsia="標楷體"/>
              </w:rPr>
              <w:t>108</w:t>
            </w:r>
            <w:r w:rsidRPr="00CE1CF1">
              <w:rPr>
                <w:rFonts w:eastAsia="標楷體"/>
              </w:rPr>
              <w:t>年</w:t>
            </w:r>
          </w:p>
        </w:tc>
        <w:tc>
          <w:tcPr>
            <w:tcW w:w="1691" w:type="dxa"/>
            <w:tcBorders>
              <w:top w:val="single" w:sz="6" w:space="0" w:color="auto"/>
              <w:left w:val="single" w:sz="4" w:space="0" w:color="auto"/>
              <w:bottom w:val="single" w:sz="6" w:space="0" w:color="auto"/>
              <w:right w:val="single" w:sz="12" w:space="0" w:color="auto"/>
            </w:tcBorders>
            <w:vAlign w:val="center"/>
          </w:tcPr>
          <w:p w14:paraId="48947BD8" w14:textId="1E5672AE" w:rsidR="00005478" w:rsidRPr="00CE1CF1" w:rsidRDefault="00005478" w:rsidP="00005478">
            <w:pPr>
              <w:jc w:val="center"/>
              <w:rPr>
                <w:rFonts w:eastAsia="標楷體"/>
              </w:rPr>
            </w:pPr>
            <w:r w:rsidRPr="00CE1CF1">
              <w:rPr>
                <w:rFonts w:eastAsia="標楷體"/>
              </w:rPr>
              <w:t>109</w:t>
            </w:r>
            <w:r w:rsidRPr="00CE1CF1">
              <w:rPr>
                <w:rFonts w:eastAsia="標楷體"/>
              </w:rPr>
              <w:t>年</w:t>
            </w:r>
          </w:p>
        </w:tc>
      </w:tr>
      <w:tr w:rsidR="00005478" w14:paraId="04809A5A"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11BDCD6D" w14:textId="77777777" w:rsidR="00005478" w:rsidRDefault="00005478" w:rsidP="00005478">
            <w:pPr>
              <w:jc w:val="distribute"/>
              <w:rPr>
                <w:rFonts w:eastAsia="標楷體"/>
              </w:rPr>
            </w:pPr>
            <w:r>
              <w:rPr>
                <w:rFonts w:eastAsia="標楷體" w:hAnsi="標楷體"/>
              </w:rPr>
              <w:t>流動資產</w:t>
            </w:r>
          </w:p>
        </w:tc>
        <w:tc>
          <w:tcPr>
            <w:tcW w:w="1668" w:type="dxa"/>
            <w:tcBorders>
              <w:top w:val="single" w:sz="6" w:space="0" w:color="auto"/>
              <w:left w:val="single" w:sz="6" w:space="0" w:color="auto"/>
              <w:bottom w:val="single" w:sz="6" w:space="0" w:color="auto"/>
              <w:right w:val="single" w:sz="6" w:space="0" w:color="auto"/>
            </w:tcBorders>
            <w:vAlign w:val="center"/>
          </w:tcPr>
          <w:p w14:paraId="397E83DF" w14:textId="72B26A6D" w:rsidR="00005478" w:rsidRDefault="00005478" w:rsidP="00005478">
            <w:pPr>
              <w:ind w:right="57"/>
              <w:jc w:val="right"/>
              <w:rPr>
                <w:rFonts w:eastAsia="標楷體"/>
              </w:rPr>
            </w:pPr>
            <w:r w:rsidRPr="00C64336">
              <w:t>356,227</w:t>
            </w:r>
          </w:p>
        </w:tc>
        <w:tc>
          <w:tcPr>
            <w:tcW w:w="1736" w:type="dxa"/>
            <w:tcBorders>
              <w:top w:val="single" w:sz="6" w:space="0" w:color="auto"/>
              <w:left w:val="single" w:sz="6" w:space="0" w:color="auto"/>
              <w:bottom w:val="single" w:sz="6" w:space="0" w:color="auto"/>
              <w:right w:val="single" w:sz="6" w:space="0" w:color="auto"/>
            </w:tcBorders>
            <w:vAlign w:val="center"/>
          </w:tcPr>
          <w:p w14:paraId="4595E178" w14:textId="41A9D9C0" w:rsidR="00005478" w:rsidRDefault="00005478" w:rsidP="00005478">
            <w:pPr>
              <w:jc w:val="right"/>
              <w:rPr>
                <w:rFonts w:eastAsia="標楷體"/>
              </w:rPr>
            </w:pPr>
            <w:r w:rsidRPr="00C64336">
              <w:t>326,342</w:t>
            </w:r>
          </w:p>
        </w:tc>
        <w:tc>
          <w:tcPr>
            <w:tcW w:w="1665" w:type="dxa"/>
            <w:tcBorders>
              <w:top w:val="single" w:sz="6" w:space="0" w:color="auto"/>
              <w:left w:val="single" w:sz="6" w:space="0" w:color="auto"/>
              <w:bottom w:val="single" w:sz="6" w:space="0" w:color="auto"/>
              <w:right w:val="single" w:sz="6" w:space="0" w:color="auto"/>
            </w:tcBorders>
            <w:vAlign w:val="center"/>
          </w:tcPr>
          <w:p w14:paraId="21F7A22B" w14:textId="2C1361DC" w:rsidR="00005478" w:rsidRDefault="00005478" w:rsidP="00005478">
            <w:pPr>
              <w:jc w:val="right"/>
              <w:rPr>
                <w:rFonts w:eastAsia="標楷體"/>
              </w:rPr>
            </w:pPr>
            <w:r w:rsidRPr="00C64336">
              <w:t>473,748</w:t>
            </w:r>
          </w:p>
        </w:tc>
        <w:tc>
          <w:tcPr>
            <w:tcW w:w="1610" w:type="dxa"/>
            <w:tcBorders>
              <w:top w:val="single" w:sz="6" w:space="0" w:color="auto"/>
              <w:left w:val="single" w:sz="6" w:space="0" w:color="auto"/>
              <w:bottom w:val="single" w:sz="6" w:space="0" w:color="auto"/>
              <w:right w:val="single" w:sz="6" w:space="0" w:color="auto"/>
            </w:tcBorders>
            <w:vAlign w:val="center"/>
          </w:tcPr>
          <w:p w14:paraId="341522D7" w14:textId="7E9DF6DB" w:rsidR="00005478" w:rsidRDefault="00005478" w:rsidP="00005478">
            <w:pPr>
              <w:jc w:val="right"/>
              <w:rPr>
                <w:rFonts w:eastAsia="標楷體"/>
              </w:rPr>
            </w:pPr>
            <w:r w:rsidRPr="00C64336">
              <w:t>385,925</w:t>
            </w:r>
          </w:p>
        </w:tc>
        <w:tc>
          <w:tcPr>
            <w:tcW w:w="1691" w:type="dxa"/>
            <w:tcBorders>
              <w:top w:val="single" w:sz="6" w:space="0" w:color="auto"/>
              <w:left w:val="single" w:sz="4" w:space="0" w:color="auto"/>
              <w:bottom w:val="single" w:sz="6" w:space="0" w:color="auto"/>
              <w:right w:val="single" w:sz="12" w:space="0" w:color="auto"/>
            </w:tcBorders>
            <w:vAlign w:val="center"/>
          </w:tcPr>
          <w:p w14:paraId="29E65611" w14:textId="0D1429C5" w:rsidR="00005478" w:rsidRDefault="00005478" w:rsidP="00005478">
            <w:pPr>
              <w:jc w:val="right"/>
              <w:rPr>
                <w:rFonts w:eastAsia="標楷體"/>
              </w:rPr>
            </w:pPr>
            <w:r>
              <w:rPr>
                <w:rFonts w:hint="eastAsia"/>
              </w:rPr>
              <w:t>2</w:t>
            </w:r>
            <w:r>
              <w:t>66,580</w:t>
            </w:r>
          </w:p>
        </w:tc>
      </w:tr>
      <w:tr w:rsidR="00161123" w14:paraId="3E34BAA7"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54AE2FCF" w14:textId="77777777" w:rsidR="00161123" w:rsidRDefault="00161123">
            <w:pPr>
              <w:jc w:val="distribute"/>
              <w:rPr>
                <w:rFonts w:eastAsia="標楷體"/>
              </w:rPr>
            </w:pPr>
            <w:r>
              <w:rPr>
                <w:rFonts w:eastAsia="標楷體" w:hAnsi="標楷體"/>
              </w:rPr>
              <w:t>基金及長期投資</w:t>
            </w:r>
          </w:p>
        </w:tc>
        <w:tc>
          <w:tcPr>
            <w:tcW w:w="1668" w:type="dxa"/>
            <w:tcBorders>
              <w:top w:val="single" w:sz="6" w:space="0" w:color="auto"/>
              <w:left w:val="single" w:sz="6" w:space="0" w:color="auto"/>
              <w:bottom w:val="single" w:sz="6" w:space="0" w:color="auto"/>
              <w:right w:val="single" w:sz="6" w:space="0" w:color="auto"/>
            </w:tcBorders>
            <w:vAlign w:val="center"/>
          </w:tcPr>
          <w:p w14:paraId="396CEC1F" w14:textId="2C7A15BB" w:rsidR="00161123" w:rsidRDefault="00005478">
            <w:pPr>
              <w:ind w:right="57"/>
              <w:jc w:val="right"/>
              <w:rPr>
                <w:rFonts w:eastAsia="標楷體"/>
              </w:rPr>
            </w:pPr>
            <w:r>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tcPr>
          <w:p w14:paraId="22AB2586" w14:textId="62A06E6A" w:rsidR="00161123" w:rsidRDefault="00005478">
            <w:pPr>
              <w:jc w:val="right"/>
              <w:rPr>
                <w:rFonts w:eastAsia="標楷體"/>
              </w:rPr>
            </w:pPr>
            <w:r>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tcPr>
          <w:p w14:paraId="1ACB4B5E" w14:textId="3FB8BD49" w:rsidR="00161123" w:rsidRDefault="00005478">
            <w:pPr>
              <w:jc w:val="right"/>
              <w:rPr>
                <w:rFonts w:eastAsia="標楷體"/>
              </w:rPr>
            </w:pPr>
            <w:r>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tcPr>
          <w:p w14:paraId="041705C8" w14:textId="2D427F20" w:rsidR="00161123" w:rsidRDefault="00005478">
            <w:pPr>
              <w:jc w:val="right"/>
              <w:rPr>
                <w:rFonts w:eastAsia="標楷體"/>
              </w:rPr>
            </w:pPr>
            <w:r>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tcPr>
          <w:p w14:paraId="024578B7" w14:textId="6B13ADCA" w:rsidR="00161123" w:rsidRDefault="00005478">
            <w:pPr>
              <w:jc w:val="right"/>
              <w:rPr>
                <w:rFonts w:eastAsia="標楷體"/>
              </w:rPr>
            </w:pPr>
            <w:r>
              <w:rPr>
                <w:rFonts w:eastAsia="標楷體" w:hint="eastAsia"/>
              </w:rPr>
              <w:t>-</w:t>
            </w:r>
          </w:p>
        </w:tc>
      </w:tr>
      <w:tr w:rsidR="00005478" w14:paraId="515E6D03"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07E97F07" w14:textId="77777777" w:rsidR="00005478" w:rsidRDefault="00005478" w:rsidP="00005478">
            <w:pPr>
              <w:jc w:val="distribute"/>
              <w:rPr>
                <w:rFonts w:eastAsia="標楷體"/>
              </w:rPr>
            </w:pPr>
            <w:r>
              <w:rPr>
                <w:rFonts w:eastAsia="標楷體" w:hAnsi="標楷體"/>
              </w:rPr>
              <w:t>固定資產</w:t>
            </w:r>
          </w:p>
        </w:tc>
        <w:tc>
          <w:tcPr>
            <w:tcW w:w="1668" w:type="dxa"/>
            <w:tcBorders>
              <w:top w:val="single" w:sz="6" w:space="0" w:color="auto"/>
              <w:left w:val="single" w:sz="6" w:space="0" w:color="auto"/>
              <w:bottom w:val="single" w:sz="6" w:space="0" w:color="auto"/>
              <w:right w:val="single" w:sz="6" w:space="0" w:color="auto"/>
            </w:tcBorders>
            <w:vAlign w:val="center"/>
          </w:tcPr>
          <w:p w14:paraId="23BAD84E" w14:textId="45EF09F5" w:rsidR="00005478" w:rsidRPr="00005478" w:rsidRDefault="00005478" w:rsidP="00005478">
            <w:pPr>
              <w:ind w:right="57"/>
              <w:jc w:val="right"/>
            </w:pPr>
            <w:r w:rsidRPr="00C64336">
              <w:t>3,527</w:t>
            </w:r>
          </w:p>
        </w:tc>
        <w:tc>
          <w:tcPr>
            <w:tcW w:w="1736" w:type="dxa"/>
            <w:tcBorders>
              <w:top w:val="single" w:sz="6" w:space="0" w:color="auto"/>
              <w:left w:val="single" w:sz="6" w:space="0" w:color="auto"/>
              <w:bottom w:val="single" w:sz="6" w:space="0" w:color="auto"/>
              <w:right w:val="single" w:sz="6" w:space="0" w:color="auto"/>
            </w:tcBorders>
            <w:vAlign w:val="center"/>
          </w:tcPr>
          <w:p w14:paraId="5208FAFB" w14:textId="7E5DC415" w:rsidR="00005478" w:rsidRPr="00005478" w:rsidRDefault="00005478" w:rsidP="00005478">
            <w:pPr>
              <w:jc w:val="right"/>
            </w:pPr>
            <w:r w:rsidRPr="00C64336">
              <w:t>3,510</w:t>
            </w:r>
          </w:p>
        </w:tc>
        <w:tc>
          <w:tcPr>
            <w:tcW w:w="1665" w:type="dxa"/>
            <w:tcBorders>
              <w:top w:val="single" w:sz="6" w:space="0" w:color="auto"/>
              <w:left w:val="single" w:sz="6" w:space="0" w:color="auto"/>
              <w:bottom w:val="single" w:sz="6" w:space="0" w:color="auto"/>
              <w:right w:val="single" w:sz="6" w:space="0" w:color="auto"/>
            </w:tcBorders>
            <w:vAlign w:val="center"/>
          </w:tcPr>
          <w:p w14:paraId="3D91566F" w14:textId="6E384FCA" w:rsidR="00005478" w:rsidRPr="00005478" w:rsidRDefault="00005478" w:rsidP="00005478">
            <w:pPr>
              <w:jc w:val="right"/>
            </w:pPr>
            <w:r w:rsidRPr="00C64336">
              <w:t>5,766</w:t>
            </w:r>
          </w:p>
        </w:tc>
        <w:tc>
          <w:tcPr>
            <w:tcW w:w="1610" w:type="dxa"/>
            <w:tcBorders>
              <w:top w:val="single" w:sz="6" w:space="0" w:color="auto"/>
              <w:left w:val="single" w:sz="6" w:space="0" w:color="auto"/>
              <w:bottom w:val="single" w:sz="6" w:space="0" w:color="auto"/>
              <w:right w:val="single" w:sz="6" w:space="0" w:color="auto"/>
            </w:tcBorders>
            <w:vAlign w:val="center"/>
          </w:tcPr>
          <w:p w14:paraId="0BADC5B5" w14:textId="0159E376" w:rsidR="00005478" w:rsidRPr="00005478" w:rsidRDefault="00005478" w:rsidP="00005478">
            <w:pPr>
              <w:jc w:val="right"/>
            </w:pPr>
            <w:r w:rsidRPr="00C64336">
              <w:t>4,332</w:t>
            </w:r>
          </w:p>
        </w:tc>
        <w:tc>
          <w:tcPr>
            <w:tcW w:w="1691" w:type="dxa"/>
            <w:tcBorders>
              <w:top w:val="single" w:sz="6" w:space="0" w:color="auto"/>
              <w:left w:val="single" w:sz="4" w:space="0" w:color="auto"/>
              <w:bottom w:val="single" w:sz="6" w:space="0" w:color="auto"/>
              <w:right w:val="single" w:sz="12" w:space="0" w:color="auto"/>
            </w:tcBorders>
            <w:vAlign w:val="center"/>
          </w:tcPr>
          <w:p w14:paraId="24865B04" w14:textId="7077C8B5" w:rsidR="00005478" w:rsidRPr="00005478" w:rsidRDefault="00005478" w:rsidP="00005478">
            <w:pPr>
              <w:jc w:val="right"/>
            </w:pPr>
            <w:r>
              <w:rPr>
                <w:rFonts w:hint="eastAsia"/>
              </w:rPr>
              <w:t>3</w:t>
            </w:r>
            <w:r>
              <w:t>,961</w:t>
            </w:r>
          </w:p>
        </w:tc>
      </w:tr>
      <w:tr w:rsidR="00005478" w14:paraId="1774A4B2"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2E88EDA6" w14:textId="77777777" w:rsidR="00005478" w:rsidRDefault="00005478" w:rsidP="00005478">
            <w:pPr>
              <w:jc w:val="distribute"/>
              <w:rPr>
                <w:rFonts w:eastAsia="標楷體"/>
              </w:rPr>
            </w:pPr>
            <w:r>
              <w:rPr>
                <w:rFonts w:eastAsia="標楷體" w:hAnsi="標楷體"/>
              </w:rPr>
              <w:t>無形資產</w:t>
            </w:r>
          </w:p>
        </w:tc>
        <w:tc>
          <w:tcPr>
            <w:tcW w:w="1668" w:type="dxa"/>
            <w:tcBorders>
              <w:top w:val="single" w:sz="6" w:space="0" w:color="auto"/>
              <w:left w:val="single" w:sz="6" w:space="0" w:color="auto"/>
              <w:bottom w:val="single" w:sz="6" w:space="0" w:color="auto"/>
              <w:right w:val="single" w:sz="6" w:space="0" w:color="auto"/>
            </w:tcBorders>
            <w:vAlign w:val="center"/>
          </w:tcPr>
          <w:p w14:paraId="5611BFD0" w14:textId="602E04A0" w:rsidR="00005478" w:rsidRPr="00005478" w:rsidRDefault="00005478" w:rsidP="00005478">
            <w:pPr>
              <w:ind w:right="57"/>
              <w:jc w:val="right"/>
            </w:pPr>
            <w:r w:rsidRPr="00C64336">
              <w:t>30,246</w:t>
            </w:r>
          </w:p>
        </w:tc>
        <w:tc>
          <w:tcPr>
            <w:tcW w:w="1736" w:type="dxa"/>
            <w:tcBorders>
              <w:top w:val="single" w:sz="6" w:space="0" w:color="auto"/>
              <w:left w:val="single" w:sz="6" w:space="0" w:color="auto"/>
              <w:bottom w:val="single" w:sz="6" w:space="0" w:color="auto"/>
              <w:right w:val="single" w:sz="6" w:space="0" w:color="auto"/>
            </w:tcBorders>
            <w:vAlign w:val="center"/>
          </w:tcPr>
          <w:p w14:paraId="01F8657C" w14:textId="6074608A" w:rsidR="00005478" w:rsidRPr="00005478" w:rsidRDefault="00005478" w:rsidP="00005478">
            <w:pPr>
              <w:jc w:val="right"/>
            </w:pPr>
            <w:r w:rsidRPr="00C64336">
              <w:t>33,479</w:t>
            </w:r>
          </w:p>
        </w:tc>
        <w:tc>
          <w:tcPr>
            <w:tcW w:w="1665" w:type="dxa"/>
            <w:tcBorders>
              <w:top w:val="single" w:sz="6" w:space="0" w:color="auto"/>
              <w:left w:val="single" w:sz="6" w:space="0" w:color="auto"/>
              <w:bottom w:val="single" w:sz="6" w:space="0" w:color="auto"/>
              <w:right w:val="single" w:sz="6" w:space="0" w:color="auto"/>
            </w:tcBorders>
            <w:vAlign w:val="center"/>
          </w:tcPr>
          <w:p w14:paraId="3159EE22" w14:textId="6BA875FB" w:rsidR="00005478" w:rsidRPr="00005478" w:rsidRDefault="00005478" w:rsidP="00005478">
            <w:pPr>
              <w:jc w:val="right"/>
            </w:pPr>
            <w:r w:rsidRPr="00C64336">
              <w:t>29,792</w:t>
            </w:r>
          </w:p>
        </w:tc>
        <w:tc>
          <w:tcPr>
            <w:tcW w:w="1610" w:type="dxa"/>
            <w:tcBorders>
              <w:top w:val="single" w:sz="6" w:space="0" w:color="auto"/>
              <w:left w:val="single" w:sz="6" w:space="0" w:color="auto"/>
              <w:bottom w:val="single" w:sz="6" w:space="0" w:color="auto"/>
              <w:right w:val="single" w:sz="6" w:space="0" w:color="auto"/>
            </w:tcBorders>
            <w:vAlign w:val="center"/>
          </w:tcPr>
          <w:p w14:paraId="62116F02" w14:textId="38C314F2" w:rsidR="00005478" w:rsidRPr="00005478" w:rsidRDefault="00005478" w:rsidP="00005478">
            <w:pPr>
              <w:jc w:val="right"/>
            </w:pPr>
            <w:r w:rsidRPr="00C64336">
              <w:t>26,253</w:t>
            </w:r>
          </w:p>
        </w:tc>
        <w:tc>
          <w:tcPr>
            <w:tcW w:w="1691" w:type="dxa"/>
            <w:tcBorders>
              <w:top w:val="single" w:sz="6" w:space="0" w:color="auto"/>
              <w:left w:val="single" w:sz="4" w:space="0" w:color="auto"/>
              <w:bottom w:val="single" w:sz="6" w:space="0" w:color="auto"/>
              <w:right w:val="single" w:sz="12" w:space="0" w:color="auto"/>
            </w:tcBorders>
            <w:vAlign w:val="center"/>
          </w:tcPr>
          <w:p w14:paraId="51DC9CB5" w14:textId="2F075E02" w:rsidR="00005478" w:rsidRPr="00005478" w:rsidRDefault="00005478" w:rsidP="00005478">
            <w:pPr>
              <w:jc w:val="right"/>
            </w:pPr>
            <w:r>
              <w:rPr>
                <w:rFonts w:hint="eastAsia"/>
              </w:rPr>
              <w:t>3</w:t>
            </w:r>
            <w:r>
              <w:t>0,294</w:t>
            </w:r>
          </w:p>
        </w:tc>
      </w:tr>
      <w:tr w:rsidR="00005478" w14:paraId="6B806750"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70DF0B71" w14:textId="77777777" w:rsidR="00005478" w:rsidRDefault="00005478" w:rsidP="00005478">
            <w:pPr>
              <w:jc w:val="distribute"/>
              <w:rPr>
                <w:rFonts w:eastAsia="標楷體"/>
              </w:rPr>
            </w:pPr>
            <w:r>
              <w:rPr>
                <w:rFonts w:eastAsia="標楷體" w:hAnsi="標楷體"/>
              </w:rPr>
              <w:t>其他資產</w:t>
            </w:r>
          </w:p>
        </w:tc>
        <w:tc>
          <w:tcPr>
            <w:tcW w:w="1668" w:type="dxa"/>
            <w:tcBorders>
              <w:top w:val="single" w:sz="6" w:space="0" w:color="auto"/>
              <w:left w:val="single" w:sz="6" w:space="0" w:color="auto"/>
              <w:bottom w:val="single" w:sz="6" w:space="0" w:color="auto"/>
              <w:right w:val="single" w:sz="6" w:space="0" w:color="auto"/>
            </w:tcBorders>
            <w:vAlign w:val="center"/>
          </w:tcPr>
          <w:p w14:paraId="37C6D288" w14:textId="48AE4140" w:rsidR="00005478" w:rsidRPr="00005478" w:rsidRDefault="00005478" w:rsidP="00005478">
            <w:pPr>
              <w:ind w:right="57"/>
              <w:jc w:val="right"/>
            </w:pPr>
            <w:r w:rsidRPr="00C64336">
              <w:t>15,298</w:t>
            </w:r>
          </w:p>
        </w:tc>
        <w:tc>
          <w:tcPr>
            <w:tcW w:w="1736" w:type="dxa"/>
            <w:tcBorders>
              <w:top w:val="single" w:sz="6" w:space="0" w:color="auto"/>
              <w:left w:val="single" w:sz="6" w:space="0" w:color="auto"/>
              <w:bottom w:val="single" w:sz="6" w:space="0" w:color="auto"/>
              <w:right w:val="single" w:sz="6" w:space="0" w:color="auto"/>
            </w:tcBorders>
            <w:vAlign w:val="center"/>
          </w:tcPr>
          <w:p w14:paraId="61877535" w14:textId="600A1BE0" w:rsidR="00005478" w:rsidRPr="00005478" w:rsidRDefault="00005478" w:rsidP="00005478">
            <w:pPr>
              <w:jc w:val="right"/>
            </w:pPr>
            <w:r w:rsidRPr="00C64336">
              <w:t>2,464</w:t>
            </w:r>
          </w:p>
        </w:tc>
        <w:tc>
          <w:tcPr>
            <w:tcW w:w="1665" w:type="dxa"/>
            <w:tcBorders>
              <w:top w:val="single" w:sz="6" w:space="0" w:color="auto"/>
              <w:left w:val="single" w:sz="6" w:space="0" w:color="auto"/>
              <w:bottom w:val="single" w:sz="6" w:space="0" w:color="auto"/>
              <w:right w:val="single" w:sz="6" w:space="0" w:color="auto"/>
            </w:tcBorders>
            <w:vAlign w:val="center"/>
          </w:tcPr>
          <w:p w14:paraId="24A86F3C" w14:textId="7EDC423A" w:rsidR="00005478" w:rsidRPr="00005478" w:rsidRDefault="00005478" w:rsidP="00005478">
            <w:pPr>
              <w:jc w:val="right"/>
            </w:pPr>
            <w:r w:rsidRPr="00C64336">
              <w:t>2,109</w:t>
            </w:r>
          </w:p>
        </w:tc>
        <w:tc>
          <w:tcPr>
            <w:tcW w:w="1610" w:type="dxa"/>
            <w:tcBorders>
              <w:top w:val="single" w:sz="6" w:space="0" w:color="auto"/>
              <w:left w:val="single" w:sz="6" w:space="0" w:color="auto"/>
              <w:bottom w:val="single" w:sz="6" w:space="0" w:color="auto"/>
              <w:right w:val="single" w:sz="6" w:space="0" w:color="auto"/>
            </w:tcBorders>
            <w:vAlign w:val="center"/>
          </w:tcPr>
          <w:p w14:paraId="6CC029BC" w14:textId="62E5B3D0" w:rsidR="00005478" w:rsidRPr="00005478" w:rsidRDefault="00005478" w:rsidP="00005478">
            <w:pPr>
              <w:jc w:val="right"/>
            </w:pPr>
            <w:r w:rsidRPr="00C64336">
              <w:t>2,571</w:t>
            </w:r>
          </w:p>
        </w:tc>
        <w:tc>
          <w:tcPr>
            <w:tcW w:w="1691" w:type="dxa"/>
            <w:tcBorders>
              <w:top w:val="single" w:sz="6" w:space="0" w:color="auto"/>
              <w:left w:val="single" w:sz="4" w:space="0" w:color="auto"/>
              <w:bottom w:val="single" w:sz="6" w:space="0" w:color="auto"/>
              <w:right w:val="single" w:sz="12" w:space="0" w:color="auto"/>
            </w:tcBorders>
            <w:vAlign w:val="center"/>
          </w:tcPr>
          <w:p w14:paraId="230E0271" w14:textId="21301F6F" w:rsidR="00005478" w:rsidRPr="00005478" w:rsidRDefault="00005478" w:rsidP="00005478">
            <w:pPr>
              <w:jc w:val="right"/>
            </w:pPr>
            <w:r>
              <w:rPr>
                <w:rFonts w:hint="eastAsia"/>
              </w:rPr>
              <w:t>4</w:t>
            </w:r>
            <w:r>
              <w:t>,306</w:t>
            </w:r>
          </w:p>
        </w:tc>
      </w:tr>
      <w:tr w:rsidR="00005478" w14:paraId="74233838"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38086618" w14:textId="77777777" w:rsidR="00005478" w:rsidRDefault="00005478" w:rsidP="00005478">
            <w:pPr>
              <w:jc w:val="distribute"/>
              <w:rPr>
                <w:rFonts w:eastAsia="標楷體"/>
              </w:rPr>
            </w:pPr>
            <w:r>
              <w:rPr>
                <w:rFonts w:eastAsia="標楷體" w:hAnsi="標楷體"/>
              </w:rPr>
              <w:t>資產總額</w:t>
            </w:r>
          </w:p>
        </w:tc>
        <w:tc>
          <w:tcPr>
            <w:tcW w:w="1668" w:type="dxa"/>
            <w:tcBorders>
              <w:top w:val="single" w:sz="6" w:space="0" w:color="auto"/>
              <w:left w:val="single" w:sz="6" w:space="0" w:color="auto"/>
              <w:bottom w:val="single" w:sz="6" w:space="0" w:color="auto"/>
              <w:right w:val="single" w:sz="6" w:space="0" w:color="auto"/>
            </w:tcBorders>
            <w:vAlign w:val="center"/>
          </w:tcPr>
          <w:p w14:paraId="35416E47" w14:textId="4E32BC3E" w:rsidR="00005478" w:rsidRPr="00005478" w:rsidRDefault="00005478" w:rsidP="00005478">
            <w:pPr>
              <w:ind w:right="57"/>
              <w:jc w:val="right"/>
            </w:pPr>
            <w:r w:rsidRPr="00C64336">
              <w:t>405,298</w:t>
            </w:r>
          </w:p>
        </w:tc>
        <w:tc>
          <w:tcPr>
            <w:tcW w:w="1736" w:type="dxa"/>
            <w:tcBorders>
              <w:top w:val="single" w:sz="6" w:space="0" w:color="auto"/>
              <w:left w:val="single" w:sz="6" w:space="0" w:color="auto"/>
              <w:bottom w:val="single" w:sz="6" w:space="0" w:color="auto"/>
              <w:right w:val="single" w:sz="6" w:space="0" w:color="auto"/>
            </w:tcBorders>
            <w:vAlign w:val="center"/>
          </w:tcPr>
          <w:p w14:paraId="2A305F2E" w14:textId="0B6C64FA" w:rsidR="00005478" w:rsidRPr="00005478" w:rsidRDefault="00005478" w:rsidP="00005478">
            <w:pPr>
              <w:jc w:val="right"/>
            </w:pPr>
            <w:r w:rsidRPr="00C64336">
              <w:t>365,795</w:t>
            </w:r>
          </w:p>
        </w:tc>
        <w:tc>
          <w:tcPr>
            <w:tcW w:w="1665" w:type="dxa"/>
            <w:tcBorders>
              <w:top w:val="single" w:sz="6" w:space="0" w:color="auto"/>
              <w:left w:val="single" w:sz="6" w:space="0" w:color="auto"/>
              <w:bottom w:val="single" w:sz="6" w:space="0" w:color="auto"/>
              <w:right w:val="single" w:sz="6" w:space="0" w:color="auto"/>
            </w:tcBorders>
            <w:vAlign w:val="center"/>
          </w:tcPr>
          <w:p w14:paraId="1CC022D5" w14:textId="586A851D" w:rsidR="00005478" w:rsidRPr="00005478" w:rsidRDefault="00005478" w:rsidP="00005478">
            <w:pPr>
              <w:jc w:val="right"/>
            </w:pPr>
            <w:r w:rsidRPr="00C64336">
              <w:t>511,415</w:t>
            </w:r>
          </w:p>
        </w:tc>
        <w:tc>
          <w:tcPr>
            <w:tcW w:w="1610" w:type="dxa"/>
            <w:tcBorders>
              <w:top w:val="single" w:sz="6" w:space="0" w:color="auto"/>
              <w:left w:val="single" w:sz="6" w:space="0" w:color="auto"/>
              <w:bottom w:val="single" w:sz="6" w:space="0" w:color="auto"/>
              <w:right w:val="single" w:sz="6" w:space="0" w:color="auto"/>
            </w:tcBorders>
            <w:vAlign w:val="center"/>
          </w:tcPr>
          <w:p w14:paraId="120504EC" w14:textId="09818F84" w:rsidR="00005478" w:rsidRPr="00005478" w:rsidRDefault="00005478" w:rsidP="00005478">
            <w:pPr>
              <w:jc w:val="right"/>
            </w:pPr>
            <w:r w:rsidRPr="00C64336">
              <w:t>419,081</w:t>
            </w:r>
          </w:p>
        </w:tc>
        <w:tc>
          <w:tcPr>
            <w:tcW w:w="1691" w:type="dxa"/>
            <w:tcBorders>
              <w:top w:val="single" w:sz="6" w:space="0" w:color="auto"/>
              <w:left w:val="single" w:sz="4" w:space="0" w:color="auto"/>
              <w:bottom w:val="single" w:sz="6" w:space="0" w:color="auto"/>
              <w:right w:val="single" w:sz="12" w:space="0" w:color="auto"/>
            </w:tcBorders>
            <w:vAlign w:val="center"/>
          </w:tcPr>
          <w:p w14:paraId="659A8668" w14:textId="4A6B7699" w:rsidR="00005478" w:rsidRPr="00005478" w:rsidRDefault="00005478" w:rsidP="00005478">
            <w:pPr>
              <w:jc w:val="right"/>
            </w:pPr>
            <w:r>
              <w:rPr>
                <w:rFonts w:hint="eastAsia"/>
              </w:rPr>
              <w:t>2</w:t>
            </w:r>
            <w:r>
              <w:t>65,141</w:t>
            </w:r>
          </w:p>
        </w:tc>
      </w:tr>
      <w:tr w:rsidR="00005478" w14:paraId="2C6C4460" w14:textId="77777777" w:rsidTr="00F42CC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0630A087" w14:textId="77777777" w:rsidR="00005478" w:rsidRDefault="00005478" w:rsidP="00005478">
            <w:pPr>
              <w:jc w:val="distribute"/>
              <w:rPr>
                <w:rFonts w:eastAsia="標楷體"/>
              </w:rPr>
            </w:pPr>
            <w:r>
              <w:rPr>
                <w:rFonts w:eastAsia="標楷體" w:hAnsi="標楷體"/>
              </w:rPr>
              <w:t>流動</w:t>
            </w:r>
          </w:p>
          <w:p w14:paraId="128B08FA" w14:textId="77777777" w:rsidR="00005478" w:rsidRDefault="00005478" w:rsidP="00005478">
            <w:pPr>
              <w:jc w:val="distribute"/>
              <w:rPr>
                <w:rFonts w:eastAsia="標楷體"/>
              </w:rPr>
            </w:pPr>
            <w:r>
              <w:rPr>
                <w:rFonts w:eastAsia="標楷體" w:hAnsi="標楷體"/>
              </w:rPr>
              <w:t>負債</w:t>
            </w:r>
          </w:p>
        </w:tc>
        <w:tc>
          <w:tcPr>
            <w:tcW w:w="1077" w:type="dxa"/>
            <w:tcBorders>
              <w:top w:val="single" w:sz="6" w:space="0" w:color="auto"/>
              <w:left w:val="single" w:sz="6" w:space="0" w:color="auto"/>
              <w:bottom w:val="single" w:sz="6" w:space="0" w:color="auto"/>
              <w:right w:val="single" w:sz="6" w:space="0" w:color="auto"/>
            </w:tcBorders>
          </w:tcPr>
          <w:p w14:paraId="7AE41F8E" w14:textId="77777777" w:rsidR="00005478" w:rsidRDefault="00005478" w:rsidP="00005478">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1C9B8865" w14:textId="0F726A89" w:rsidR="00005478" w:rsidRDefault="00005478" w:rsidP="00005478">
            <w:pPr>
              <w:ind w:right="57"/>
              <w:jc w:val="right"/>
              <w:rPr>
                <w:rFonts w:eastAsia="標楷體"/>
              </w:rPr>
            </w:pPr>
            <w:r w:rsidRPr="00C64336">
              <w:t>5,748</w:t>
            </w:r>
          </w:p>
        </w:tc>
        <w:tc>
          <w:tcPr>
            <w:tcW w:w="1736" w:type="dxa"/>
            <w:tcBorders>
              <w:top w:val="single" w:sz="6" w:space="0" w:color="auto"/>
              <w:left w:val="single" w:sz="6" w:space="0" w:color="auto"/>
              <w:bottom w:val="single" w:sz="6" w:space="0" w:color="auto"/>
              <w:right w:val="single" w:sz="6" w:space="0" w:color="auto"/>
            </w:tcBorders>
            <w:vAlign w:val="center"/>
          </w:tcPr>
          <w:p w14:paraId="15CC3D45" w14:textId="336DC125" w:rsidR="00005478" w:rsidRDefault="00005478" w:rsidP="00005478">
            <w:pPr>
              <w:jc w:val="right"/>
              <w:rPr>
                <w:rFonts w:eastAsia="標楷體"/>
              </w:rPr>
            </w:pPr>
            <w:r w:rsidRPr="00C64336">
              <w:t>16,165</w:t>
            </w:r>
          </w:p>
        </w:tc>
        <w:tc>
          <w:tcPr>
            <w:tcW w:w="1665" w:type="dxa"/>
            <w:tcBorders>
              <w:top w:val="single" w:sz="6" w:space="0" w:color="auto"/>
              <w:left w:val="single" w:sz="6" w:space="0" w:color="auto"/>
              <w:bottom w:val="single" w:sz="6" w:space="0" w:color="auto"/>
              <w:right w:val="single" w:sz="6" w:space="0" w:color="auto"/>
            </w:tcBorders>
            <w:vAlign w:val="center"/>
          </w:tcPr>
          <w:p w14:paraId="57574AD8" w14:textId="149764D6" w:rsidR="00005478" w:rsidRDefault="00005478" w:rsidP="00005478">
            <w:pPr>
              <w:jc w:val="right"/>
              <w:rPr>
                <w:rFonts w:eastAsia="標楷體"/>
              </w:rPr>
            </w:pPr>
            <w:r w:rsidRPr="00C64336">
              <w:t>24,835</w:t>
            </w:r>
          </w:p>
        </w:tc>
        <w:tc>
          <w:tcPr>
            <w:tcW w:w="1610" w:type="dxa"/>
            <w:tcBorders>
              <w:top w:val="single" w:sz="6" w:space="0" w:color="auto"/>
              <w:left w:val="single" w:sz="6" w:space="0" w:color="auto"/>
              <w:bottom w:val="single" w:sz="6" w:space="0" w:color="auto"/>
              <w:right w:val="single" w:sz="6" w:space="0" w:color="auto"/>
            </w:tcBorders>
            <w:vAlign w:val="center"/>
          </w:tcPr>
          <w:p w14:paraId="4ADF24F2" w14:textId="0F0428A8" w:rsidR="00005478" w:rsidRDefault="00005478" w:rsidP="00005478">
            <w:pPr>
              <w:pStyle w:val="ac"/>
              <w:rPr>
                <w:szCs w:val="24"/>
              </w:rPr>
            </w:pPr>
            <w:r w:rsidRPr="00C64336">
              <w:rPr>
                <w:rFonts w:eastAsia="新細明體"/>
                <w:szCs w:val="24"/>
              </w:rPr>
              <w:t>23,674</w:t>
            </w:r>
          </w:p>
        </w:tc>
        <w:tc>
          <w:tcPr>
            <w:tcW w:w="1691" w:type="dxa"/>
            <w:tcBorders>
              <w:top w:val="single" w:sz="6" w:space="0" w:color="auto"/>
              <w:left w:val="single" w:sz="4" w:space="0" w:color="auto"/>
              <w:bottom w:val="single" w:sz="6" w:space="0" w:color="auto"/>
              <w:right w:val="single" w:sz="12" w:space="0" w:color="auto"/>
            </w:tcBorders>
            <w:vAlign w:val="center"/>
          </w:tcPr>
          <w:p w14:paraId="6D994801" w14:textId="2D987060" w:rsidR="00005478" w:rsidRDefault="00005478" w:rsidP="00005478">
            <w:pPr>
              <w:pStyle w:val="ac"/>
              <w:rPr>
                <w:szCs w:val="24"/>
              </w:rPr>
            </w:pPr>
            <w:r>
              <w:rPr>
                <w:rFonts w:eastAsia="新細明體" w:hint="eastAsia"/>
                <w:szCs w:val="24"/>
              </w:rPr>
              <w:t>1</w:t>
            </w:r>
            <w:r>
              <w:rPr>
                <w:rFonts w:eastAsia="新細明體"/>
                <w:szCs w:val="24"/>
              </w:rPr>
              <w:t>8,597</w:t>
            </w:r>
          </w:p>
        </w:tc>
      </w:tr>
      <w:tr w:rsidR="00005478" w14:paraId="79911E08" w14:textId="77777777" w:rsidTr="00F42CC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5087F403" w14:textId="77777777" w:rsidR="00005478" w:rsidRDefault="00005478" w:rsidP="0000547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0AA8E877" w14:textId="77777777" w:rsidR="00005478" w:rsidRDefault="00005478" w:rsidP="00005478">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0CEADAC0" w14:textId="4C1BE752" w:rsidR="00005478" w:rsidRDefault="00005478" w:rsidP="00005478">
            <w:pPr>
              <w:ind w:right="57"/>
              <w:jc w:val="right"/>
              <w:rPr>
                <w:rFonts w:eastAsia="標楷體"/>
              </w:rPr>
            </w:pPr>
            <w:r w:rsidRPr="00C64336">
              <w:t>5,748</w:t>
            </w:r>
          </w:p>
        </w:tc>
        <w:tc>
          <w:tcPr>
            <w:tcW w:w="1736" w:type="dxa"/>
            <w:tcBorders>
              <w:top w:val="single" w:sz="6" w:space="0" w:color="auto"/>
              <w:left w:val="single" w:sz="6" w:space="0" w:color="auto"/>
              <w:bottom w:val="single" w:sz="6" w:space="0" w:color="auto"/>
              <w:right w:val="single" w:sz="6" w:space="0" w:color="auto"/>
            </w:tcBorders>
            <w:vAlign w:val="center"/>
          </w:tcPr>
          <w:p w14:paraId="28D6B019" w14:textId="65860376" w:rsidR="00005478" w:rsidRDefault="00005478" w:rsidP="00005478">
            <w:pPr>
              <w:pStyle w:val="ac"/>
              <w:adjustRightInd/>
              <w:snapToGrid/>
              <w:spacing w:line="240" w:lineRule="auto"/>
              <w:textAlignment w:val="auto"/>
              <w:rPr>
                <w:kern w:val="2"/>
                <w:szCs w:val="24"/>
              </w:rPr>
            </w:pPr>
            <w:r w:rsidRPr="00C64336">
              <w:rPr>
                <w:rFonts w:eastAsia="新細明體"/>
                <w:szCs w:val="24"/>
              </w:rPr>
              <w:t>16,165</w:t>
            </w:r>
          </w:p>
        </w:tc>
        <w:tc>
          <w:tcPr>
            <w:tcW w:w="1665" w:type="dxa"/>
            <w:tcBorders>
              <w:top w:val="single" w:sz="6" w:space="0" w:color="auto"/>
              <w:left w:val="single" w:sz="6" w:space="0" w:color="auto"/>
              <w:bottom w:val="single" w:sz="6" w:space="0" w:color="auto"/>
              <w:right w:val="single" w:sz="6" w:space="0" w:color="auto"/>
            </w:tcBorders>
            <w:vAlign w:val="center"/>
          </w:tcPr>
          <w:p w14:paraId="4F2E7956" w14:textId="613FBB6E" w:rsidR="00005478" w:rsidRDefault="00005478" w:rsidP="00005478">
            <w:pPr>
              <w:pStyle w:val="ac"/>
              <w:adjustRightInd/>
              <w:snapToGrid/>
              <w:spacing w:line="240" w:lineRule="auto"/>
              <w:textAlignment w:val="auto"/>
              <w:rPr>
                <w:kern w:val="2"/>
                <w:szCs w:val="24"/>
              </w:rPr>
            </w:pPr>
            <w:r w:rsidRPr="00C64336">
              <w:rPr>
                <w:rFonts w:eastAsia="新細明體"/>
                <w:szCs w:val="24"/>
              </w:rPr>
              <w:t>24,835</w:t>
            </w:r>
          </w:p>
        </w:tc>
        <w:tc>
          <w:tcPr>
            <w:tcW w:w="1610" w:type="dxa"/>
            <w:tcBorders>
              <w:top w:val="single" w:sz="6" w:space="0" w:color="auto"/>
              <w:left w:val="single" w:sz="6" w:space="0" w:color="auto"/>
              <w:bottom w:val="single" w:sz="6" w:space="0" w:color="auto"/>
              <w:right w:val="single" w:sz="6" w:space="0" w:color="auto"/>
            </w:tcBorders>
            <w:vAlign w:val="center"/>
          </w:tcPr>
          <w:p w14:paraId="44F1B24E" w14:textId="65064493" w:rsidR="00005478" w:rsidRDefault="00005478" w:rsidP="00005478">
            <w:pPr>
              <w:pStyle w:val="ac"/>
              <w:adjustRightInd/>
              <w:snapToGrid/>
              <w:spacing w:line="240" w:lineRule="auto"/>
              <w:textAlignment w:val="auto"/>
              <w:rPr>
                <w:kern w:val="2"/>
                <w:szCs w:val="24"/>
              </w:rPr>
            </w:pPr>
            <w:r w:rsidRPr="00C64336">
              <w:rPr>
                <w:rFonts w:eastAsia="新細明體"/>
                <w:szCs w:val="24"/>
              </w:rPr>
              <w:t>23,674</w:t>
            </w:r>
          </w:p>
        </w:tc>
        <w:tc>
          <w:tcPr>
            <w:tcW w:w="1691" w:type="dxa"/>
            <w:tcBorders>
              <w:top w:val="single" w:sz="6" w:space="0" w:color="auto"/>
              <w:left w:val="single" w:sz="4" w:space="0" w:color="auto"/>
              <w:bottom w:val="single" w:sz="6" w:space="0" w:color="auto"/>
              <w:right w:val="single" w:sz="12" w:space="0" w:color="auto"/>
            </w:tcBorders>
            <w:vAlign w:val="center"/>
          </w:tcPr>
          <w:p w14:paraId="075240EB" w14:textId="3C819E88" w:rsidR="00005478" w:rsidRDefault="00005478" w:rsidP="00005478">
            <w:pPr>
              <w:pStyle w:val="ac"/>
              <w:adjustRightInd/>
              <w:snapToGrid/>
              <w:spacing w:line="240" w:lineRule="auto"/>
              <w:textAlignment w:val="auto"/>
              <w:rPr>
                <w:kern w:val="2"/>
                <w:szCs w:val="24"/>
              </w:rPr>
            </w:pPr>
            <w:r>
              <w:rPr>
                <w:rFonts w:eastAsia="新細明體" w:hint="eastAsia"/>
                <w:szCs w:val="24"/>
              </w:rPr>
              <w:t>1</w:t>
            </w:r>
            <w:r>
              <w:rPr>
                <w:rFonts w:eastAsia="新細明體"/>
                <w:szCs w:val="24"/>
              </w:rPr>
              <w:t>8,597</w:t>
            </w:r>
          </w:p>
        </w:tc>
      </w:tr>
      <w:tr w:rsidR="00005478" w14:paraId="5994B288"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4F3A0E9E" w14:textId="77777777" w:rsidR="00005478" w:rsidRDefault="00005478" w:rsidP="00005478">
            <w:pPr>
              <w:jc w:val="distribute"/>
              <w:rPr>
                <w:rFonts w:eastAsia="標楷體"/>
              </w:rPr>
            </w:pPr>
            <w:r>
              <w:rPr>
                <w:rFonts w:eastAsia="標楷體" w:hAnsi="標楷體"/>
              </w:rPr>
              <w:t>長期負債</w:t>
            </w:r>
          </w:p>
        </w:tc>
        <w:tc>
          <w:tcPr>
            <w:tcW w:w="1668" w:type="dxa"/>
            <w:tcBorders>
              <w:top w:val="single" w:sz="6" w:space="0" w:color="auto"/>
              <w:left w:val="single" w:sz="6" w:space="0" w:color="auto"/>
              <w:bottom w:val="single" w:sz="6" w:space="0" w:color="auto"/>
              <w:right w:val="single" w:sz="6" w:space="0" w:color="auto"/>
            </w:tcBorders>
            <w:vAlign w:val="center"/>
          </w:tcPr>
          <w:p w14:paraId="014FAB07" w14:textId="164EBE3E" w:rsidR="00005478" w:rsidRDefault="00005478" w:rsidP="00005478">
            <w:pPr>
              <w:ind w:right="57"/>
              <w:jc w:val="right"/>
              <w:rPr>
                <w:rFonts w:eastAsia="標楷體"/>
              </w:rPr>
            </w:pPr>
            <w:r>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tcPr>
          <w:p w14:paraId="6860E709" w14:textId="65E50CC4" w:rsidR="00005478" w:rsidRDefault="00005478" w:rsidP="00005478">
            <w:pPr>
              <w:jc w:val="right"/>
              <w:rPr>
                <w:rFonts w:eastAsia="標楷體"/>
              </w:rPr>
            </w:pPr>
            <w:r>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tcPr>
          <w:p w14:paraId="688C26A6" w14:textId="1F27968B" w:rsidR="00005478" w:rsidRDefault="00005478" w:rsidP="00005478">
            <w:pPr>
              <w:jc w:val="right"/>
              <w:rPr>
                <w:rFonts w:eastAsia="標楷體"/>
              </w:rPr>
            </w:pPr>
            <w:r>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tcPr>
          <w:p w14:paraId="63B3A690" w14:textId="4CC71615" w:rsidR="00005478" w:rsidRDefault="00005478" w:rsidP="00005478">
            <w:pPr>
              <w:jc w:val="right"/>
              <w:rPr>
                <w:rFonts w:eastAsia="標楷體"/>
              </w:rPr>
            </w:pPr>
            <w:r>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tcPr>
          <w:p w14:paraId="7E09D09A" w14:textId="0CA6F754" w:rsidR="00005478" w:rsidRDefault="00005478" w:rsidP="00005478">
            <w:pPr>
              <w:jc w:val="right"/>
              <w:rPr>
                <w:rFonts w:eastAsia="標楷體"/>
              </w:rPr>
            </w:pPr>
            <w:r>
              <w:rPr>
                <w:rFonts w:eastAsia="標楷體" w:hint="eastAsia"/>
              </w:rPr>
              <w:t>-</w:t>
            </w:r>
          </w:p>
        </w:tc>
      </w:tr>
      <w:tr w:rsidR="00005478" w14:paraId="019FD011"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3891FEB9" w14:textId="77777777" w:rsidR="00005478" w:rsidRDefault="00005478" w:rsidP="00005478">
            <w:pPr>
              <w:jc w:val="distribute"/>
              <w:rPr>
                <w:rFonts w:eastAsia="標楷體"/>
              </w:rPr>
            </w:pPr>
            <w:r>
              <w:rPr>
                <w:rFonts w:eastAsia="標楷體" w:hAnsi="標楷體"/>
              </w:rPr>
              <w:t>其他負債</w:t>
            </w:r>
          </w:p>
        </w:tc>
        <w:tc>
          <w:tcPr>
            <w:tcW w:w="1668" w:type="dxa"/>
            <w:tcBorders>
              <w:top w:val="single" w:sz="6" w:space="0" w:color="auto"/>
              <w:left w:val="single" w:sz="6" w:space="0" w:color="auto"/>
              <w:bottom w:val="single" w:sz="6" w:space="0" w:color="auto"/>
              <w:right w:val="single" w:sz="6" w:space="0" w:color="auto"/>
            </w:tcBorders>
            <w:vAlign w:val="center"/>
          </w:tcPr>
          <w:p w14:paraId="53E5C796" w14:textId="2D861B13" w:rsidR="00005478" w:rsidRDefault="00005478" w:rsidP="00712A14">
            <w:pPr>
              <w:ind w:right="113"/>
              <w:jc w:val="right"/>
              <w:rPr>
                <w:rFonts w:eastAsia="標楷體"/>
              </w:rPr>
            </w:pPr>
            <w:r w:rsidRPr="00C64336">
              <w:t>266</w:t>
            </w:r>
          </w:p>
        </w:tc>
        <w:tc>
          <w:tcPr>
            <w:tcW w:w="1736" w:type="dxa"/>
            <w:tcBorders>
              <w:top w:val="single" w:sz="6" w:space="0" w:color="auto"/>
              <w:left w:val="single" w:sz="6" w:space="0" w:color="auto"/>
              <w:bottom w:val="single" w:sz="6" w:space="0" w:color="auto"/>
              <w:right w:val="single" w:sz="6" w:space="0" w:color="auto"/>
            </w:tcBorders>
            <w:vAlign w:val="center"/>
          </w:tcPr>
          <w:p w14:paraId="3126B12A" w14:textId="0CC96293" w:rsidR="00005478" w:rsidRDefault="00005478" w:rsidP="00712A14">
            <w:pPr>
              <w:jc w:val="right"/>
              <w:rPr>
                <w:rFonts w:eastAsia="標楷體"/>
              </w:rPr>
            </w:pPr>
            <w:r w:rsidRPr="00C64336">
              <w:t>178</w:t>
            </w:r>
          </w:p>
        </w:tc>
        <w:tc>
          <w:tcPr>
            <w:tcW w:w="1665" w:type="dxa"/>
            <w:tcBorders>
              <w:top w:val="single" w:sz="6" w:space="0" w:color="auto"/>
              <w:left w:val="single" w:sz="6" w:space="0" w:color="auto"/>
              <w:bottom w:val="single" w:sz="6" w:space="0" w:color="auto"/>
              <w:right w:val="single" w:sz="6" w:space="0" w:color="auto"/>
            </w:tcBorders>
            <w:vAlign w:val="center"/>
          </w:tcPr>
          <w:p w14:paraId="346772C6" w14:textId="24D75D7F" w:rsidR="00005478" w:rsidRDefault="00005478" w:rsidP="00712A14">
            <w:pPr>
              <w:jc w:val="right"/>
              <w:rPr>
                <w:rFonts w:eastAsia="標楷體"/>
              </w:rPr>
            </w:pPr>
            <w:r w:rsidRPr="00C64336">
              <w:t>252</w:t>
            </w:r>
          </w:p>
        </w:tc>
        <w:tc>
          <w:tcPr>
            <w:tcW w:w="1610" w:type="dxa"/>
            <w:tcBorders>
              <w:top w:val="single" w:sz="6" w:space="0" w:color="auto"/>
              <w:left w:val="single" w:sz="6" w:space="0" w:color="auto"/>
              <w:bottom w:val="single" w:sz="6" w:space="0" w:color="auto"/>
              <w:right w:val="single" w:sz="6" w:space="0" w:color="auto"/>
            </w:tcBorders>
            <w:vAlign w:val="center"/>
          </w:tcPr>
          <w:p w14:paraId="7FAAD996" w14:textId="752A9E89" w:rsidR="00005478" w:rsidRDefault="00005478" w:rsidP="00712A14">
            <w:pPr>
              <w:jc w:val="right"/>
              <w:rPr>
                <w:rFonts w:eastAsia="標楷體"/>
              </w:rPr>
            </w:pPr>
            <w:r w:rsidRPr="00C64336">
              <w:t>178</w:t>
            </w:r>
          </w:p>
        </w:tc>
        <w:tc>
          <w:tcPr>
            <w:tcW w:w="1691" w:type="dxa"/>
            <w:tcBorders>
              <w:top w:val="single" w:sz="6" w:space="0" w:color="auto"/>
              <w:left w:val="single" w:sz="4" w:space="0" w:color="auto"/>
              <w:bottom w:val="single" w:sz="6" w:space="0" w:color="auto"/>
              <w:right w:val="single" w:sz="12" w:space="0" w:color="auto"/>
            </w:tcBorders>
            <w:vAlign w:val="center"/>
          </w:tcPr>
          <w:p w14:paraId="586A5084" w14:textId="7F10DFF5" w:rsidR="00005478" w:rsidRDefault="00005478" w:rsidP="00712A14">
            <w:pPr>
              <w:jc w:val="right"/>
              <w:rPr>
                <w:rFonts w:eastAsia="標楷體"/>
              </w:rPr>
            </w:pPr>
            <w:r>
              <w:rPr>
                <w:rFonts w:hint="eastAsia"/>
              </w:rPr>
              <w:t>1</w:t>
            </w:r>
            <w:r>
              <w:t>78</w:t>
            </w:r>
          </w:p>
        </w:tc>
      </w:tr>
      <w:tr w:rsidR="00005478" w14:paraId="161394AD" w14:textId="77777777" w:rsidTr="00F42CC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6AFDD62B" w14:textId="77777777" w:rsidR="00005478" w:rsidRDefault="00005478" w:rsidP="00005478">
            <w:pPr>
              <w:jc w:val="distribute"/>
              <w:rPr>
                <w:rFonts w:eastAsia="標楷體"/>
              </w:rPr>
            </w:pPr>
            <w:r>
              <w:rPr>
                <w:rFonts w:eastAsia="標楷體" w:hAnsi="標楷體"/>
              </w:rPr>
              <w:t>負債</w:t>
            </w:r>
          </w:p>
          <w:p w14:paraId="270E2017" w14:textId="77777777" w:rsidR="00005478" w:rsidRDefault="00005478" w:rsidP="00005478">
            <w:pPr>
              <w:jc w:val="distribute"/>
              <w:rPr>
                <w:rFonts w:eastAsia="標楷體"/>
              </w:rPr>
            </w:pPr>
            <w:r>
              <w:rPr>
                <w:rFonts w:eastAsia="標楷體" w:hAnsi="標楷體"/>
              </w:rPr>
              <w:t>總額</w:t>
            </w:r>
          </w:p>
        </w:tc>
        <w:tc>
          <w:tcPr>
            <w:tcW w:w="1077" w:type="dxa"/>
            <w:tcBorders>
              <w:top w:val="single" w:sz="6" w:space="0" w:color="auto"/>
              <w:left w:val="single" w:sz="6" w:space="0" w:color="auto"/>
              <w:bottom w:val="single" w:sz="6" w:space="0" w:color="auto"/>
              <w:right w:val="single" w:sz="6" w:space="0" w:color="auto"/>
            </w:tcBorders>
          </w:tcPr>
          <w:p w14:paraId="63F1EA18" w14:textId="77777777" w:rsidR="00005478" w:rsidRDefault="00005478" w:rsidP="00005478">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52AE8F75" w14:textId="5846D7EF" w:rsidR="00005478" w:rsidRDefault="00005478" w:rsidP="00005478">
            <w:pPr>
              <w:ind w:right="57"/>
              <w:jc w:val="right"/>
              <w:rPr>
                <w:rFonts w:eastAsia="標楷體"/>
              </w:rPr>
            </w:pPr>
            <w:r w:rsidRPr="00C64336">
              <w:t>6,014</w:t>
            </w:r>
          </w:p>
        </w:tc>
        <w:tc>
          <w:tcPr>
            <w:tcW w:w="1736" w:type="dxa"/>
            <w:tcBorders>
              <w:top w:val="single" w:sz="6" w:space="0" w:color="auto"/>
              <w:left w:val="single" w:sz="6" w:space="0" w:color="auto"/>
              <w:bottom w:val="single" w:sz="6" w:space="0" w:color="auto"/>
              <w:right w:val="single" w:sz="6" w:space="0" w:color="auto"/>
            </w:tcBorders>
            <w:vAlign w:val="center"/>
          </w:tcPr>
          <w:p w14:paraId="0DC25532" w14:textId="30D6D506" w:rsidR="00005478" w:rsidRDefault="00005478" w:rsidP="00005478">
            <w:pPr>
              <w:jc w:val="right"/>
              <w:rPr>
                <w:rFonts w:eastAsia="標楷體"/>
              </w:rPr>
            </w:pPr>
            <w:r w:rsidRPr="00C64336">
              <w:t>16,343</w:t>
            </w:r>
          </w:p>
        </w:tc>
        <w:tc>
          <w:tcPr>
            <w:tcW w:w="1665" w:type="dxa"/>
            <w:tcBorders>
              <w:top w:val="single" w:sz="6" w:space="0" w:color="auto"/>
              <w:left w:val="single" w:sz="6" w:space="0" w:color="auto"/>
              <w:bottom w:val="single" w:sz="6" w:space="0" w:color="auto"/>
              <w:right w:val="single" w:sz="6" w:space="0" w:color="auto"/>
            </w:tcBorders>
            <w:vAlign w:val="center"/>
          </w:tcPr>
          <w:p w14:paraId="734B22E5" w14:textId="3CB721EB" w:rsidR="00005478" w:rsidRDefault="00005478" w:rsidP="00005478">
            <w:pPr>
              <w:jc w:val="right"/>
              <w:rPr>
                <w:rFonts w:eastAsia="標楷體"/>
              </w:rPr>
            </w:pPr>
            <w:r w:rsidRPr="00C64336">
              <w:t>25,087</w:t>
            </w:r>
          </w:p>
        </w:tc>
        <w:tc>
          <w:tcPr>
            <w:tcW w:w="1610" w:type="dxa"/>
            <w:tcBorders>
              <w:top w:val="single" w:sz="6" w:space="0" w:color="auto"/>
              <w:left w:val="single" w:sz="6" w:space="0" w:color="auto"/>
              <w:bottom w:val="single" w:sz="6" w:space="0" w:color="auto"/>
              <w:right w:val="single" w:sz="6" w:space="0" w:color="auto"/>
            </w:tcBorders>
            <w:vAlign w:val="center"/>
          </w:tcPr>
          <w:p w14:paraId="2486B330" w14:textId="589D0CEF" w:rsidR="00005478" w:rsidRDefault="00005478" w:rsidP="00005478">
            <w:pPr>
              <w:pStyle w:val="ac"/>
              <w:rPr>
                <w:szCs w:val="24"/>
              </w:rPr>
            </w:pPr>
            <w:r w:rsidRPr="00C64336">
              <w:rPr>
                <w:rFonts w:eastAsia="新細明體"/>
                <w:szCs w:val="24"/>
              </w:rPr>
              <w:t>23,852</w:t>
            </w:r>
          </w:p>
        </w:tc>
        <w:tc>
          <w:tcPr>
            <w:tcW w:w="1691" w:type="dxa"/>
            <w:tcBorders>
              <w:top w:val="single" w:sz="6" w:space="0" w:color="auto"/>
              <w:left w:val="single" w:sz="4" w:space="0" w:color="auto"/>
              <w:bottom w:val="single" w:sz="6" w:space="0" w:color="auto"/>
              <w:right w:val="single" w:sz="12" w:space="0" w:color="auto"/>
            </w:tcBorders>
            <w:vAlign w:val="center"/>
          </w:tcPr>
          <w:p w14:paraId="5E9505FD" w14:textId="1C06217D" w:rsidR="00005478" w:rsidRDefault="00005478" w:rsidP="00005478">
            <w:pPr>
              <w:pStyle w:val="ac"/>
              <w:rPr>
                <w:szCs w:val="24"/>
              </w:rPr>
            </w:pPr>
            <w:r>
              <w:rPr>
                <w:rFonts w:eastAsia="新細明體"/>
                <w:szCs w:val="24"/>
              </w:rPr>
              <w:t>18,775</w:t>
            </w:r>
          </w:p>
        </w:tc>
      </w:tr>
      <w:tr w:rsidR="00005478" w14:paraId="176E16AE" w14:textId="77777777" w:rsidTr="00F42CC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083B7B8E" w14:textId="77777777" w:rsidR="00005478" w:rsidRDefault="00005478" w:rsidP="0000547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6CFFADBB" w14:textId="77777777" w:rsidR="00005478" w:rsidRDefault="00005478" w:rsidP="00005478">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27B8D326" w14:textId="323F8B22" w:rsidR="00005478" w:rsidRDefault="00005478" w:rsidP="00005478">
            <w:pPr>
              <w:ind w:right="57"/>
              <w:jc w:val="right"/>
              <w:rPr>
                <w:rFonts w:eastAsia="標楷體"/>
              </w:rPr>
            </w:pPr>
            <w:r w:rsidRPr="00C64336">
              <w:t>6,014</w:t>
            </w:r>
          </w:p>
        </w:tc>
        <w:tc>
          <w:tcPr>
            <w:tcW w:w="1736" w:type="dxa"/>
            <w:tcBorders>
              <w:top w:val="single" w:sz="6" w:space="0" w:color="auto"/>
              <w:left w:val="single" w:sz="6" w:space="0" w:color="auto"/>
              <w:bottom w:val="single" w:sz="6" w:space="0" w:color="auto"/>
              <w:right w:val="single" w:sz="6" w:space="0" w:color="auto"/>
            </w:tcBorders>
            <w:vAlign w:val="center"/>
          </w:tcPr>
          <w:p w14:paraId="78892827" w14:textId="4AC95F35" w:rsidR="00005478" w:rsidRDefault="00005478" w:rsidP="00005478">
            <w:pPr>
              <w:jc w:val="right"/>
              <w:rPr>
                <w:rFonts w:eastAsia="標楷體"/>
              </w:rPr>
            </w:pPr>
            <w:r w:rsidRPr="00C64336">
              <w:t>16,343</w:t>
            </w:r>
          </w:p>
        </w:tc>
        <w:tc>
          <w:tcPr>
            <w:tcW w:w="1665" w:type="dxa"/>
            <w:tcBorders>
              <w:top w:val="single" w:sz="6" w:space="0" w:color="auto"/>
              <w:left w:val="single" w:sz="6" w:space="0" w:color="auto"/>
              <w:bottom w:val="single" w:sz="6" w:space="0" w:color="auto"/>
              <w:right w:val="single" w:sz="6" w:space="0" w:color="auto"/>
            </w:tcBorders>
            <w:vAlign w:val="center"/>
          </w:tcPr>
          <w:p w14:paraId="40D647B8" w14:textId="2A565583" w:rsidR="00005478" w:rsidRDefault="00005478" w:rsidP="00005478">
            <w:pPr>
              <w:jc w:val="right"/>
              <w:rPr>
                <w:rFonts w:eastAsia="標楷體"/>
              </w:rPr>
            </w:pPr>
            <w:r w:rsidRPr="00C64336">
              <w:t>25,087</w:t>
            </w:r>
          </w:p>
        </w:tc>
        <w:tc>
          <w:tcPr>
            <w:tcW w:w="1610" w:type="dxa"/>
            <w:tcBorders>
              <w:top w:val="single" w:sz="6" w:space="0" w:color="auto"/>
              <w:left w:val="single" w:sz="6" w:space="0" w:color="auto"/>
              <w:bottom w:val="single" w:sz="6" w:space="0" w:color="auto"/>
              <w:right w:val="single" w:sz="6" w:space="0" w:color="auto"/>
            </w:tcBorders>
            <w:vAlign w:val="center"/>
          </w:tcPr>
          <w:p w14:paraId="778A38E1" w14:textId="4D1B5396" w:rsidR="00005478" w:rsidRDefault="00005478" w:rsidP="00005478">
            <w:pPr>
              <w:jc w:val="right"/>
              <w:rPr>
                <w:rFonts w:eastAsia="標楷體"/>
              </w:rPr>
            </w:pPr>
            <w:r w:rsidRPr="00C64336">
              <w:t>23,852</w:t>
            </w:r>
          </w:p>
        </w:tc>
        <w:tc>
          <w:tcPr>
            <w:tcW w:w="1691" w:type="dxa"/>
            <w:tcBorders>
              <w:top w:val="single" w:sz="6" w:space="0" w:color="auto"/>
              <w:left w:val="single" w:sz="4" w:space="0" w:color="auto"/>
              <w:bottom w:val="single" w:sz="6" w:space="0" w:color="auto"/>
              <w:right w:val="single" w:sz="12" w:space="0" w:color="auto"/>
            </w:tcBorders>
            <w:vAlign w:val="center"/>
          </w:tcPr>
          <w:p w14:paraId="0CB5042E" w14:textId="2C6288E5" w:rsidR="00005478" w:rsidRDefault="00005478" w:rsidP="00005478">
            <w:pPr>
              <w:jc w:val="right"/>
              <w:rPr>
                <w:rFonts w:eastAsia="標楷體"/>
              </w:rPr>
            </w:pPr>
            <w:r>
              <w:rPr>
                <w:rFonts w:hint="eastAsia"/>
              </w:rPr>
              <w:t>1</w:t>
            </w:r>
            <w:r>
              <w:t>8,775</w:t>
            </w:r>
          </w:p>
        </w:tc>
      </w:tr>
      <w:tr w:rsidR="00005478" w14:paraId="16ED65F3"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7568CD00" w14:textId="77777777" w:rsidR="00005478" w:rsidRDefault="00005478" w:rsidP="00005478">
            <w:pPr>
              <w:jc w:val="distribute"/>
              <w:rPr>
                <w:rFonts w:eastAsia="標楷體"/>
              </w:rPr>
            </w:pPr>
            <w:r>
              <w:rPr>
                <w:rFonts w:eastAsia="標楷體" w:hAnsi="標楷體"/>
              </w:rPr>
              <w:t>股本</w:t>
            </w:r>
          </w:p>
        </w:tc>
        <w:tc>
          <w:tcPr>
            <w:tcW w:w="1668" w:type="dxa"/>
            <w:tcBorders>
              <w:top w:val="single" w:sz="6" w:space="0" w:color="auto"/>
              <w:left w:val="single" w:sz="6" w:space="0" w:color="auto"/>
              <w:bottom w:val="single" w:sz="6" w:space="0" w:color="auto"/>
              <w:right w:val="single" w:sz="6" w:space="0" w:color="auto"/>
            </w:tcBorders>
            <w:vAlign w:val="center"/>
          </w:tcPr>
          <w:p w14:paraId="508D7741" w14:textId="5AF9E435" w:rsidR="00005478" w:rsidRDefault="00005478" w:rsidP="00005478">
            <w:pPr>
              <w:ind w:right="57"/>
              <w:jc w:val="right"/>
              <w:rPr>
                <w:rFonts w:eastAsia="標楷體"/>
              </w:rPr>
            </w:pPr>
            <w:r w:rsidRPr="00C64336">
              <w:t>351,539</w:t>
            </w:r>
          </w:p>
        </w:tc>
        <w:tc>
          <w:tcPr>
            <w:tcW w:w="1736" w:type="dxa"/>
            <w:tcBorders>
              <w:top w:val="single" w:sz="6" w:space="0" w:color="auto"/>
              <w:left w:val="single" w:sz="6" w:space="0" w:color="auto"/>
              <w:bottom w:val="single" w:sz="6" w:space="0" w:color="auto"/>
              <w:right w:val="single" w:sz="6" w:space="0" w:color="auto"/>
            </w:tcBorders>
            <w:vAlign w:val="center"/>
          </w:tcPr>
          <w:p w14:paraId="5E24D500" w14:textId="3FB4B067" w:rsidR="00005478" w:rsidRDefault="00005478" w:rsidP="00005478">
            <w:pPr>
              <w:jc w:val="right"/>
              <w:rPr>
                <w:rFonts w:eastAsia="標楷體"/>
              </w:rPr>
            </w:pPr>
            <w:r w:rsidRPr="00C64336">
              <w:t>367,339</w:t>
            </w:r>
          </w:p>
        </w:tc>
        <w:tc>
          <w:tcPr>
            <w:tcW w:w="1665" w:type="dxa"/>
            <w:tcBorders>
              <w:top w:val="single" w:sz="6" w:space="0" w:color="auto"/>
              <w:left w:val="single" w:sz="6" w:space="0" w:color="auto"/>
              <w:bottom w:val="single" w:sz="6" w:space="0" w:color="auto"/>
              <w:right w:val="single" w:sz="6" w:space="0" w:color="auto"/>
            </w:tcBorders>
            <w:vAlign w:val="center"/>
          </w:tcPr>
          <w:p w14:paraId="460C396A" w14:textId="11E02F85" w:rsidR="00005478" w:rsidRDefault="00005478" w:rsidP="00005478">
            <w:pPr>
              <w:jc w:val="right"/>
              <w:rPr>
                <w:rFonts w:eastAsia="標楷體"/>
              </w:rPr>
            </w:pPr>
            <w:r w:rsidRPr="00C64336">
              <w:t>457,959</w:t>
            </w:r>
          </w:p>
        </w:tc>
        <w:tc>
          <w:tcPr>
            <w:tcW w:w="1610" w:type="dxa"/>
            <w:tcBorders>
              <w:top w:val="single" w:sz="6" w:space="0" w:color="auto"/>
              <w:left w:val="single" w:sz="6" w:space="0" w:color="auto"/>
              <w:bottom w:val="single" w:sz="6" w:space="0" w:color="auto"/>
              <w:right w:val="single" w:sz="6" w:space="0" w:color="auto"/>
            </w:tcBorders>
            <w:vAlign w:val="center"/>
          </w:tcPr>
          <w:p w14:paraId="5E037E3C" w14:textId="608BBB76" w:rsidR="00005478" w:rsidRDefault="00005478" w:rsidP="00005478">
            <w:pPr>
              <w:jc w:val="right"/>
              <w:rPr>
                <w:rFonts w:eastAsia="標楷體"/>
              </w:rPr>
            </w:pPr>
            <w:r w:rsidRPr="00C64336">
              <w:t>483,959</w:t>
            </w:r>
          </w:p>
        </w:tc>
        <w:tc>
          <w:tcPr>
            <w:tcW w:w="1691" w:type="dxa"/>
            <w:tcBorders>
              <w:top w:val="single" w:sz="6" w:space="0" w:color="auto"/>
              <w:left w:val="single" w:sz="4" w:space="0" w:color="auto"/>
              <w:bottom w:val="single" w:sz="6" w:space="0" w:color="auto"/>
              <w:right w:val="single" w:sz="12" w:space="0" w:color="auto"/>
            </w:tcBorders>
            <w:vAlign w:val="center"/>
          </w:tcPr>
          <w:p w14:paraId="470E9EC2" w14:textId="6BA375E8" w:rsidR="00005478" w:rsidRDefault="00005478" w:rsidP="00005478">
            <w:pPr>
              <w:jc w:val="right"/>
              <w:rPr>
                <w:rFonts w:eastAsia="標楷體"/>
              </w:rPr>
            </w:pPr>
            <w:r>
              <w:rPr>
                <w:rFonts w:hint="eastAsia"/>
              </w:rPr>
              <w:t>4</w:t>
            </w:r>
            <w:r>
              <w:t>83,959</w:t>
            </w:r>
          </w:p>
        </w:tc>
      </w:tr>
      <w:tr w:rsidR="00005478" w14:paraId="6B59E6FA"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2C6CDD37" w14:textId="77777777" w:rsidR="00005478" w:rsidRDefault="00005478" w:rsidP="00005478">
            <w:pPr>
              <w:jc w:val="distribute"/>
              <w:rPr>
                <w:rFonts w:eastAsia="標楷體"/>
              </w:rPr>
            </w:pPr>
            <w:r>
              <w:rPr>
                <w:rFonts w:eastAsia="標楷體" w:hAnsi="標楷體"/>
              </w:rPr>
              <w:t>資本公積</w:t>
            </w:r>
          </w:p>
        </w:tc>
        <w:tc>
          <w:tcPr>
            <w:tcW w:w="1668" w:type="dxa"/>
            <w:tcBorders>
              <w:top w:val="single" w:sz="6" w:space="0" w:color="auto"/>
              <w:left w:val="single" w:sz="6" w:space="0" w:color="auto"/>
              <w:bottom w:val="single" w:sz="6" w:space="0" w:color="auto"/>
              <w:right w:val="single" w:sz="6" w:space="0" w:color="auto"/>
            </w:tcBorders>
            <w:vAlign w:val="center"/>
          </w:tcPr>
          <w:p w14:paraId="676F5AD3" w14:textId="78EF2F87" w:rsidR="00005478" w:rsidRDefault="00005478" w:rsidP="00005478">
            <w:pPr>
              <w:jc w:val="right"/>
              <w:rPr>
                <w:rFonts w:eastAsia="標楷體"/>
              </w:rPr>
            </w:pPr>
            <w:r w:rsidRPr="00C64336">
              <w:t>93,894</w:t>
            </w:r>
          </w:p>
        </w:tc>
        <w:tc>
          <w:tcPr>
            <w:tcW w:w="1736" w:type="dxa"/>
            <w:tcBorders>
              <w:top w:val="single" w:sz="6" w:space="0" w:color="auto"/>
              <w:left w:val="single" w:sz="6" w:space="0" w:color="auto"/>
              <w:bottom w:val="single" w:sz="6" w:space="0" w:color="auto"/>
              <w:right w:val="single" w:sz="6" w:space="0" w:color="auto"/>
            </w:tcBorders>
            <w:vAlign w:val="center"/>
          </w:tcPr>
          <w:p w14:paraId="35FC344F" w14:textId="0AFF3DC4" w:rsidR="00005478" w:rsidRDefault="00005478" w:rsidP="00005478">
            <w:pPr>
              <w:jc w:val="right"/>
              <w:rPr>
                <w:rFonts w:eastAsia="標楷體"/>
              </w:rPr>
            </w:pPr>
            <w:r w:rsidRPr="00C64336">
              <w:t>47,745</w:t>
            </w:r>
          </w:p>
        </w:tc>
        <w:tc>
          <w:tcPr>
            <w:tcW w:w="1665" w:type="dxa"/>
            <w:tcBorders>
              <w:top w:val="single" w:sz="6" w:space="0" w:color="auto"/>
              <w:left w:val="single" w:sz="6" w:space="0" w:color="auto"/>
              <w:bottom w:val="single" w:sz="6" w:space="0" w:color="auto"/>
              <w:right w:val="single" w:sz="6" w:space="0" w:color="auto"/>
            </w:tcBorders>
            <w:vAlign w:val="center"/>
          </w:tcPr>
          <w:p w14:paraId="276F8481" w14:textId="7CF13515" w:rsidR="00005478" w:rsidRDefault="00005478" w:rsidP="00005478">
            <w:pPr>
              <w:jc w:val="right"/>
              <w:rPr>
                <w:rFonts w:eastAsia="標楷體"/>
              </w:rPr>
            </w:pPr>
            <w:r w:rsidRPr="00C64336">
              <w:t>199,517</w:t>
            </w:r>
          </w:p>
        </w:tc>
        <w:tc>
          <w:tcPr>
            <w:tcW w:w="1610" w:type="dxa"/>
            <w:tcBorders>
              <w:top w:val="single" w:sz="6" w:space="0" w:color="auto"/>
              <w:left w:val="single" w:sz="6" w:space="0" w:color="auto"/>
              <w:bottom w:val="single" w:sz="6" w:space="0" w:color="auto"/>
              <w:right w:val="single" w:sz="6" w:space="0" w:color="auto"/>
            </w:tcBorders>
            <w:vAlign w:val="center"/>
          </w:tcPr>
          <w:p w14:paraId="7C3B1F7A" w14:textId="4C8E5F43" w:rsidR="00005478" w:rsidRDefault="00005478" w:rsidP="00005478">
            <w:pPr>
              <w:jc w:val="right"/>
              <w:rPr>
                <w:rFonts w:eastAsia="標楷體"/>
              </w:rPr>
            </w:pPr>
            <w:r w:rsidRPr="00C64336">
              <w:t>85,569</w:t>
            </w:r>
          </w:p>
        </w:tc>
        <w:tc>
          <w:tcPr>
            <w:tcW w:w="1691" w:type="dxa"/>
            <w:tcBorders>
              <w:top w:val="single" w:sz="6" w:space="0" w:color="auto"/>
              <w:left w:val="single" w:sz="4" w:space="0" w:color="auto"/>
              <w:bottom w:val="single" w:sz="6" w:space="0" w:color="auto"/>
              <w:right w:val="single" w:sz="12" w:space="0" w:color="auto"/>
            </w:tcBorders>
            <w:vAlign w:val="center"/>
          </w:tcPr>
          <w:p w14:paraId="03338AA1" w14:textId="0CE97844" w:rsidR="00005478" w:rsidRDefault="00005478" w:rsidP="00005478">
            <w:pPr>
              <w:jc w:val="right"/>
              <w:rPr>
                <w:rFonts w:eastAsia="標楷體"/>
              </w:rPr>
            </w:pPr>
            <w:r>
              <w:rPr>
                <w:rFonts w:hint="eastAsia"/>
              </w:rPr>
              <w:t>1</w:t>
            </w:r>
            <w:r>
              <w:t>8</w:t>
            </w:r>
          </w:p>
        </w:tc>
      </w:tr>
      <w:tr w:rsidR="00005478" w14:paraId="532C23AB" w14:textId="77777777" w:rsidTr="00F42CC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72FEF044" w14:textId="77777777" w:rsidR="00005478" w:rsidRDefault="00005478" w:rsidP="00005478">
            <w:pPr>
              <w:jc w:val="distribute"/>
              <w:rPr>
                <w:rFonts w:eastAsia="標楷體"/>
              </w:rPr>
            </w:pPr>
            <w:r>
              <w:rPr>
                <w:rFonts w:eastAsia="標楷體" w:hAnsi="標楷體"/>
              </w:rPr>
              <w:t>保留</w:t>
            </w:r>
          </w:p>
          <w:p w14:paraId="395463C1" w14:textId="77777777" w:rsidR="00005478" w:rsidRDefault="00005478" w:rsidP="00005478">
            <w:pPr>
              <w:jc w:val="distribute"/>
              <w:rPr>
                <w:rFonts w:eastAsia="標楷體"/>
              </w:rPr>
            </w:pPr>
            <w:r>
              <w:rPr>
                <w:rFonts w:eastAsia="標楷體" w:hAnsi="標楷體"/>
              </w:rPr>
              <w:t>盈餘</w:t>
            </w:r>
          </w:p>
        </w:tc>
        <w:tc>
          <w:tcPr>
            <w:tcW w:w="1077" w:type="dxa"/>
            <w:tcBorders>
              <w:top w:val="single" w:sz="6" w:space="0" w:color="auto"/>
              <w:left w:val="single" w:sz="6" w:space="0" w:color="auto"/>
              <w:bottom w:val="single" w:sz="6" w:space="0" w:color="auto"/>
              <w:right w:val="single" w:sz="6" w:space="0" w:color="auto"/>
            </w:tcBorders>
          </w:tcPr>
          <w:p w14:paraId="7583B11C" w14:textId="77777777" w:rsidR="00005478" w:rsidRDefault="00005478" w:rsidP="00005478">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582E82BF" w14:textId="07ECFC88" w:rsidR="00005478" w:rsidRDefault="00005478" w:rsidP="00005478">
            <w:pPr>
              <w:ind w:right="57"/>
              <w:jc w:val="right"/>
              <w:rPr>
                <w:rFonts w:eastAsia="標楷體"/>
              </w:rPr>
            </w:pPr>
            <w:r w:rsidRPr="00C64336">
              <w:t>(46,149)</w:t>
            </w:r>
          </w:p>
        </w:tc>
        <w:tc>
          <w:tcPr>
            <w:tcW w:w="1736" w:type="dxa"/>
            <w:tcBorders>
              <w:top w:val="single" w:sz="6" w:space="0" w:color="auto"/>
              <w:left w:val="single" w:sz="6" w:space="0" w:color="auto"/>
              <w:bottom w:val="single" w:sz="6" w:space="0" w:color="auto"/>
              <w:right w:val="single" w:sz="6" w:space="0" w:color="auto"/>
            </w:tcBorders>
            <w:vAlign w:val="center"/>
          </w:tcPr>
          <w:p w14:paraId="0B5AB1BB" w14:textId="29A0B425" w:rsidR="00005478" w:rsidRDefault="00005478" w:rsidP="00005478">
            <w:pPr>
              <w:jc w:val="right"/>
              <w:rPr>
                <w:rFonts w:eastAsia="標楷體"/>
              </w:rPr>
            </w:pPr>
            <w:r w:rsidRPr="00C64336">
              <w:t>(65,632)</w:t>
            </w:r>
          </w:p>
        </w:tc>
        <w:tc>
          <w:tcPr>
            <w:tcW w:w="1665" w:type="dxa"/>
            <w:tcBorders>
              <w:top w:val="single" w:sz="6" w:space="0" w:color="auto"/>
              <w:left w:val="single" w:sz="6" w:space="0" w:color="auto"/>
              <w:bottom w:val="single" w:sz="6" w:space="0" w:color="auto"/>
              <w:right w:val="single" w:sz="6" w:space="0" w:color="auto"/>
            </w:tcBorders>
            <w:vAlign w:val="center"/>
          </w:tcPr>
          <w:p w14:paraId="31610C54" w14:textId="152BA589" w:rsidR="00005478" w:rsidRDefault="00005478" w:rsidP="00005478">
            <w:pPr>
              <w:jc w:val="right"/>
              <w:rPr>
                <w:rFonts w:eastAsia="標楷體"/>
              </w:rPr>
            </w:pPr>
            <w:r w:rsidRPr="00C64336">
              <w:t>(171,148)</w:t>
            </w:r>
          </w:p>
        </w:tc>
        <w:tc>
          <w:tcPr>
            <w:tcW w:w="1610" w:type="dxa"/>
            <w:tcBorders>
              <w:top w:val="single" w:sz="6" w:space="0" w:color="auto"/>
              <w:left w:val="single" w:sz="6" w:space="0" w:color="auto"/>
              <w:bottom w:val="single" w:sz="6" w:space="0" w:color="auto"/>
              <w:right w:val="single" w:sz="6" w:space="0" w:color="auto"/>
            </w:tcBorders>
            <w:vAlign w:val="center"/>
          </w:tcPr>
          <w:p w14:paraId="7322D199" w14:textId="467A228B" w:rsidR="00005478" w:rsidRDefault="00005478" w:rsidP="00005478">
            <w:pPr>
              <w:pStyle w:val="ac"/>
              <w:rPr>
                <w:szCs w:val="24"/>
              </w:rPr>
            </w:pPr>
            <w:r w:rsidRPr="00C64336">
              <w:rPr>
                <w:rFonts w:eastAsia="新細明體"/>
                <w:szCs w:val="24"/>
              </w:rPr>
              <w:t>(174,299)</w:t>
            </w:r>
          </w:p>
        </w:tc>
        <w:tc>
          <w:tcPr>
            <w:tcW w:w="1691" w:type="dxa"/>
            <w:tcBorders>
              <w:top w:val="single" w:sz="6" w:space="0" w:color="auto"/>
              <w:left w:val="single" w:sz="4" w:space="0" w:color="auto"/>
              <w:bottom w:val="single" w:sz="6" w:space="0" w:color="auto"/>
              <w:right w:val="single" w:sz="12" w:space="0" w:color="auto"/>
            </w:tcBorders>
            <w:vAlign w:val="center"/>
          </w:tcPr>
          <w:p w14:paraId="19CFC7AE" w14:textId="568BFF4E" w:rsidR="00005478" w:rsidRDefault="00005478" w:rsidP="00005478">
            <w:pPr>
              <w:pStyle w:val="ac"/>
              <w:rPr>
                <w:szCs w:val="24"/>
              </w:rPr>
            </w:pPr>
            <w:r>
              <w:rPr>
                <w:rFonts w:eastAsia="新細明體" w:hint="eastAsia"/>
                <w:szCs w:val="24"/>
              </w:rPr>
              <w:t>(</w:t>
            </w:r>
            <w:r>
              <w:rPr>
                <w:rFonts w:eastAsia="新細明體"/>
                <w:szCs w:val="24"/>
              </w:rPr>
              <w:t>237,611)</w:t>
            </w:r>
          </w:p>
        </w:tc>
      </w:tr>
      <w:tr w:rsidR="00005478" w14:paraId="38F5D397" w14:textId="77777777" w:rsidTr="00F42CC0">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5F613F92" w14:textId="77777777" w:rsidR="00005478" w:rsidRDefault="00005478" w:rsidP="0000547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30D0A5D2" w14:textId="77777777" w:rsidR="00005478" w:rsidRDefault="00005478" w:rsidP="00005478">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4F7644B3" w14:textId="53CE3C89" w:rsidR="00005478" w:rsidRDefault="00005478" w:rsidP="00005478">
            <w:pPr>
              <w:ind w:right="57"/>
              <w:jc w:val="right"/>
              <w:rPr>
                <w:rFonts w:eastAsia="標楷體"/>
              </w:rPr>
            </w:pPr>
            <w:r w:rsidRPr="00C64336">
              <w:t>(46,149)</w:t>
            </w:r>
          </w:p>
        </w:tc>
        <w:tc>
          <w:tcPr>
            <w:tcW w:w="1736" w:type="dxa"/>
            <w:tcBorders>
              <w:top w:val="single" w:sz="6" w:space="0" w:color="auto"/>
              <w:left w:val="single" w:sz="6" w:space="0" w:color="auto"/>
              <w:bottom w:val="single" w:sz="6" w:space="0" w:color="auto"/>
              <w:right w:val="single" w:sz="6" w:space="0" w:color="auto"/>
            </w:tcBorders>
            <w:vAlign w:val="center"/>
          </w:tcPr>
          <w:p w14:paraId="073677F3" w14:textId="29F52E82" w:rsidR="00005478" w:rsidRDefault="00005478" w:rsidP="00005478">
            <w:pPr>
              <w:jc w:val="right"/>
              <w:rPr>
                <w:rFonts w:eastAsia="標楷體"/>
              </w:rPr>
            </w:pPr>
            <w:r w:rsidRPr="00C64336">
              <w:t>(65,632)</w:t>
            </w:r>
          </w:p>
        </w:tc>
        <w:tc>
          <w:tcPr>
            <w:tcW w:w="1665" w:type="dxa"/>
            <w:tcBorders>
              <w:top w:val="single" w:sz="6" w:space="0" w:color="auto"/>
              <w:left w:val="single" w:sz="6" w:space="0" w:color="auto"/>
              <w:bottom w:val="single" w:sz="6" w:space="0" w:color="auto"/>
              <w:right w:val="single" w:sz="6" w:space="0" w:color="auto"/>
            </w:tcBorders>
            <w:vAlign w:val="center"/>
          </w:tcPr>
          <w:p w14:paraId="4FA44E7D" w14:textId="3E0609CB" w:rsidR="00005478" w:rsidRDefault="00005478" w:rsidP="00005478">
            <w:pPr>
              <w:jc w:val="right"/>
              <w:rPr>
                <w:rFonts w:eastAsia="標楷體"/>
              </w:rPr>
            </w:pPr>
            <w:r w:rsidRPr="00C64336">
              <w:t>(171,148)</w:t>
            </w:r>
          </w:p>
        </w:tc>
        <w:tc>
          <w:tcPr>
            <w:tcW w:w="1610" w:type="dxa"/>
            <w:tcBorders>
              <w:top w:val="single" w:sz="6" w:space="0" w:color="auto"/>
              <w:left w:val="single" w:sz="6" w:space="0" w:color="auto"/>
              <w:bottom w:val="single" w:sz="6" w:space="0" w:color="auto"/>
              <w:right w:val="single" w:sz="6" w:space="0" w:color="auto"/>
            </w:tcBorders>
            <w:vAlign w:val="center"/>
          </w:tcPr>
          <w:p w14:paraId="6D63E780" w14:textId="08B27F0D" w:rsidR="00005478" w:rsidRDefault="00005478" w:rsidP="00005478">
            <w:pPr>
              <w:jc w:val="right"/>
              <w:rPr>
                <w:rFonts w:eastAsia="標楷體"/>
              </w:rPr>
            </w:pPr>
            <w:r w:rsidRPr="00C64336">
              <w:t>(174,299)</w:t>
            </w:r>
          </w:p>
        </w:tc>
        <w:tc>
          <w:tcPr>
            <w:tcW w:w="1691" w:type="dxa"/>
            <w:tcBorders>
              <w:top w:val="single" w:sz="6" w:space="0" w:color="auto"/>
              <w:left w:val="single" w:sz="4" w:space="0" w:color="auto"/>
              <w:bottom w:val="single" w:sz="6" w:space="0" w:color="auto"/>
              <w:right w:val="single" w:sz="12" w:space="0" w:color="auto"/>
            </w:tcBorders>
            <w:vAlign w:val="center"/>
          </w:tcPr>
          <w:p w14:paraId="2CB50E64" w14:textId="42C0C215" w:rsidR="00005478" w:rsidRDefault="00005478" w:rsidP="00005478">
            <w:pPr>
              <w:jc w:val="right"/>
              <w:rPr>
                <w:rFonts w:eastAsia="標楷體"/>
              </w:rPr>
            </w:pPr>
            <w:r>
              <w:rPr>
                <w:rFonts w:hint="eastAsia"/>
              </w:rPr>
              <w:t>(</w:t>
            </w:r>
            <w:r>
              <w:t>237,621)</w:t>
            </w:r>
          </w:p>
        </w:tc>
      </w:tr>
      <w:tr w:rsidR="00005478" w14:paraId="58E525C7"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49C329B6" w14:textId="77777777" w:rsidR="00005478" w:rsidRDefault="00005478" w:rsidP="00005478">
            <w:pPr>
              <w:jc w:val="distribute"/>
              <w:rPr>
                <w:rFonts w:eastAsia="標楷體"/>
              </w:rPr>
            </w:pPr>
            <w:r>
              <w:rPr>
                <w:rFonts w:eastAsia="標楷體" w:hAnsi="標楷體"/>
              </w:rPr>
              <w:t>長期股權投資</w:t>
            </w:r>
          </w:p>
          <w:p w14:paraId="5F240D7F" w14:textId="77777777" w:rsidR="00005478" w:rsidRDefault="00005478" w:rsidP="00005478">
            <w:pPr>
              <w:jc w:val="distribute"/>
              <w:rPr>
                <w:rFonts w:eastAsia="標楷體"/>
              </w:rPr>
            </w:pPr>
            <w:r>
              <w:rPr>
                <w:rFonts w:eastAsia="標楷體" w:hAnsi="標楷體"/>
              </w:rPr>
              <w:t>未實現跌價損失</w:t>
            </w:r>
          </w:p>
        </w:tc>
        <w:tc>
          <w:tcPr>
            <w:tcW w:w="1668" w:type="dxa"/>
            <w:tcBorders>
              <w:top w:val="single" w:sz="6" w:space="0" w:color="auto"/>
              <w:left w:val="single" w:sz="6" w:space="0" w:color="auto"/>
              <w:bottom w:val="single" w:sz="6" w:space="0" w:color="auto"/>
              <w:right w:val="single" w:sz="6" w:space="0" w:color="auto"/>
            </w:tcBorders>
            <w:vAlign w:val="center"/>
          </w:tcPr>
          <w:p w14:paraId="0526ADF0" w14:textId="3ADDAA60" w:rsidR="00005478" w:rsidRDefault="00005478" w:rsidP="00005478">
            <w:pPr>
              <w:jc w:val="right"/>
              <w:rPr>
                <w:rFonts w:eastAsia="標楷體"/>
              </w:rPr>
            </w:pPr>
            <w:r>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14:paraId="37EB79C6" w14:textId="64DDF2E0" w:rsidR="00005478" w:rsidRDefault="00005478" w:rsidP="00005478">
            <w:pPr>
              <w:jc w:val="right"/>
              <w:rPr>
                <w:rFonts w:eastAsia="標楷體"/>
              </w:rPr>
            </w:pPr>
            <w:r>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vAlign w:val="center"/>
          </w:tcPr>
          <w:p w14:paraId="5FAB7380" w14:textId="31BB5896" w:rsidR="00005478" w:rsidRDefault="00005478" w:rsidP="00005478">
            <w:pPr>
              <w:jc w:val="right"/>
              <w:rPr>
                <w:rFonts w:eastAsia="標楷體"/>
              </w:rPr>
            </w:pPr>
            <w:r>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vAlign w:val="center"/>
          </w:tcPr>
          <w:p w14:paraId="4F7AD5C8" w14:textId="7B424AD4" w:rsidR="00005478" w:rsidRDefault="00005478" w:rsidP="00005478">
            <w:pPr>
              <w:jc w:val="right"/>
              <w:rPr>
                <w:rFonts w:eastAsia="標楷體"/>
              </w:rPr>
            </w:pPr>
            <w:r>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vAlign w:val="center"/>
          </w:tcPr>
          <w:p w14:paraId="36684328" w14:textId="393DAD23" w:rsidR="00005478" w:rsidRDefault="00005478" w:rsidP="00005478">
            <w:pPr>
              <w:jc w:val="right"/>
              <w:rPr>
                <w:rFonts w:eastAsia="標楷體"/>
              </w:rPr>
            </w:pPr>
            <w:r>
              <w:rPr>
                <w:rFonts w:eastAsia="標楷體" w:hint="eastAsia"/>
              </w:rPr>
              <w:t>-</w:t>
            </w:r>
          </w:p>
        </w:tc>
      </w:tr>
      <w:tr w:rsidR="00005478" w14:paraId="2B4B54EF" w14:textId="77777777" w:rsidTr="00F42CC0">
        <w:tc>
          <w:tcPr>
            <w:tcW w:w="2098" w:type="dxa"/>
            <w:gridSpan w:val="2"/>
            <w:tcBorders>
              <w:top w:val="single" w:sz="6" w:space="0" w:color="auto"/>
              <w:left w:val="single" w:sz="12" w:space="0" w:color="auto"/>
              <w:bottom w:val="single" w:sz="6" w:space="0" w:color="auto"/>
              <w:right w:val="single" w:sz="6" w:space="0" w:color="auto"/>
            </w:tcBorders>
            <w:vAlign w:val="center"/>
          </w:tcPr>
          <w:p w14:paraId="69E731BC" w14:textId="77777777" w:rsidR="00005478" w:rsidRDefault="00005478" w:rsidP="00005478">
            <w:pPr>
              <w:jc w:val="distribute"/>
              <w:rPr>
                <w:rFonts w:eastAsia="標楷體"/>
              </w:rPr>
            </w:pPr>
            <w:r>
              <w:rPr>
                <w:rFonts w:eastAsia="標楷體" w:hAnsi="標楷體"/>
              </w:rPr>
              <w:t>累積換算調整數</w:t>
            </w:r>
          </w:p>
        </w:tc>
        <w:tc>
          <w:tcPr>
            <w:tcW w:w="1668" w:type="dxa"/>
            <w:tcBorders>
              <w:top w:val="single" w:sz="6" w:space="0" w:color="auto"/>
              <w:left w:val="single" w:sz="6" w:space="0" w:color="auto"/>
              <w:bottom w:val="single" w:sz="6" w:space="0" w:color="auto"/>
              <w:right w:val="single" w:sz="6" w:space="0" w:color="auto"/>
            </w:tcBorders>
            <w:vAlign w:val="center"/>
          </w:tcPr>
          <w:p w14:paraId="656BEF75" w14:textId="0E27F6F4" w:rsidR="00005478" w:rsidRDefault="00005478" w:rsidP="00005478">
            <w:pPr>
              <w:jc w:val="right"/>
              <w:rPr>
                <w:rFonts w:eastAsia="標楷體"/>
              </w:rPr>
            </w:pPr>
            <w:r>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14:paraId="78CE4680" w14:textId="2E399CF3" w:rsidR="00005478" w:rsidRDefault="00005478" w:rsidP="00005478">
            <w:pPr>
              <w:jc w:val="right"/>
              <w:rPr>
                <w:rFonts w:eastAsia="標楷體"/>
              </w:rPr>
            </w:pPr>
            <w:r>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vAlign w:val="center"/>
          </w:tcPr>
          <w:p w14:paraId="1C738507" w14:textId="7346D37E" w:rsidR="00005478" w:rsidRDefault="00005478" w:rsidP="00005478">
            <w:pPr>
              <w:jc w:val="right"/>
              <w:rPr>
                <w:rFonts w:eastAsia="標楷體"/>
              </w:rPr>
            </w:pPr>
            <w:r>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vAlign w:val="center"/>
          </w:tcPr>
          <w:p w14:paraId="16C32002" w14:textId="7F2C71F8" w:rsidR="00005478" w:rsidRDefault="00005478" w:rsidP="00005478">
            <w:pPr>
              <w:pStyle w:val="ac"/>
              <w:rPr>
                <w:szCs w:val="24"/>
              </w:rPr>
            </w:pPr>
            <w:r>
              <w:rPr>
                <w:rFonts w:hint="eastAsia"/>
              </w:rPr>
              <w:t>-</w:t>
            </w:r>
          </w:p>
        </w:tc>
        <w:tc>
          <w:tcPr>
            <w:tcW w:w="1691" w:type="dxa"/>
            <w:tcBorders>
              <w:top w:val="single" w:sz="6" w:space="0" w:color="auto"/>
              <w:left w:val="single" w:sz="4" w:space="0" w:color="auto"/>
              <w:bottom w:val="single" w:sz="6" w:space="0" w:color="auto"/>
              <w:right w:val="single" w:sz="12" w:space="0" w:color="auto"/>
            </w:tcBorders>
            <w:vAlign w:val="center"/>
          </w:tcPr>
          <w:p w14:paraId="56AFA49F" w14:textId="671D3831" w:rsidR="00005478" w:rsidRDefault="00005478" w:rsidP="00005478">
            <w:pPr>
              <w:jc w:val="right"/>
              <w:rPr>
                <w:rFonts w:eastAsia="標楷體"/>
              </w:rPr>
            </w:pPr>
            <w:r>
              <w:rPr>
                <w:rFonts w:eastAsia="標楷體" w:hint="eastAsia"/>
              </w:rPr>
              <w:t>-</w:t>
            </w:r>
          </w:p>
        </w:tc>
      </w:tr>
      <w:tr w:rsidR="00005478" w14:paraId="37243CDB" w14:textId="77777777" w:rsidTr="00F42CC0">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04062141" w14:textId="77777777" w:rsidR="00005478" w:rsidRDefault="00005478" w:rsidP="00005478">
            <w:pPr>
              <w:jc w:val="distribute"/>
              <w:rPr>
                <w:rFonts w:eastAsia="標楷體"/>
              </w:rPr>
            </w:pPr>
            <w:r>
              <w:rPr>
                <w:rFonts w:eastAsia="標楷體" w:hAnsi="標楷體"/>
              </w:rPr>
              <w:t>股東權益總額</w:t>
            </w:r>
          </w:p>
        </w:tc>
        <w:tc>
          <w:tcPr>
            <w:tcW w:w="1077" w:type="dxa"/>
            <w:tcBorders>
              <w:top w:val="single" w:sz="6" w:space="0" w:color="auto"/>
              <w:left w:val="single" w:sz="6" w:space="0" w:color="auto"/>
              <w:bottom w:val="single" w:sz="6" w:space="0" w:color="auto"/>
              <w:right w:val="single" w:sz="6" w:space="0" w:color="auto"/>
            </w:tcBorders>
          </w:tcPr>
          <w:p w14:paraId="7A367893" w14:textId="77777777" w:rsidR="00005478" w:rsidRDefault="00005478" w:rsidP="00005478">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16BCA7ED" w14:textId="1EC7596F" w:rsidR="00005478" w:rsidRDefault="00005478" w:rsidP="00005478">
            <w:pPr>
              <w:ind w:right="57"/>
              <w:jc w:val="right"/>
              <w:rPr>
                <w:rFonts w:eastAsia="標楷體"/>
              </w:rPr>
            </w:pPr>
            <w:r w:rsidRPr="00C64336">
              <w:t>399,284</w:t>
            </w:r>
          </w:p>
        </w:tc>
        <w:tc>
          <w:tcPr>
            <w:tcW w:w="1736" w:type="dxa"/>
            <w:tcBorders>
              <w:top w:val="single" w:sz="6" w:space="0" w:color="auto"/>
              <w:left w:val="single" w:sz="6" w:space="0" w:color="auto"/>
              <w:bottom w:val="single" w:sz="6" w:space="0" w:color="auto"/>
              <w:right w:val="single" w:sz="6" w:space="0" w:color="auto"/>
            </w:tcBorders>
            <w:vAlign w:val="center"/>
          </w:tcPr>
          <w:p w14:paraId="5E82E0C6" w14:textId="60BECBEB" w:rsidR="00005478" w:rsidRDefault="00005478" w:rsidP="00005478">
            <w:pPr>
              <w:jc w:val="right"/>
              <w:rPr>
                <w:rFonts w:eastAsia="標楷體"/>
              </w:rPr>
            </w:pPr>
            <w:r w:rsidRPr="00C64336">
              <w:t>349,452</w:t>
            </w:r>
          </w:p>
        </w:tc>
        <w:tc>
          <w:tcPr>
            <w:tcW w:w="1665" w:type="dxa"/>
            <w:tcBorders>
              <w:top w:val="single" w:sz="6" w:space="0" w:color="auto"/>
              <w:left w:val="single" w:sz="6" w:space="0" w:color="auto"/>
              <w:bottom w:val="single" w:sz="6" w:space="0" w:color="auto"/>
              <w:right w:val="single" w:sz="6" w:space="0" w:color="auto"/>
            </w:tcBorders>
            <w:vAlign w:val="center"/>
          </w:tcPr>
          <w:p w14:paraId="5DF5F62D" w14:textId="12A1D2FC" w:rsidR="00005478" w:rsidRDefault="00005478" w:rsidP="00005478">
            <w:pPr>
              <w:jc w:val="right"/>
              <w:rPr>
                <w:rFonts w:eastAsia="標楷體"/>
              </w:rPr>
            </w:pPr>
            <w:r w:rsidRPr="00C64336">
              <w:t>486,328</w:t>
            </w:r>
          </w:p>
        </w:tc>
        <w:tc>
          <w:tcPr>
            <w:tcW w:w="1610" w:type="dxa"/>
            <w:tcBorders>
              <w:top w:val="single" w:sz="6" w:space="0" w:color="auto"/>
              <w:left w:val="single" w:sz="6" w:space="0" w:color="auto"/>
              <w:bottom w:val="single" w:sz="6" w:space="0" w:color="auto"/>
              <w:right w:val="single" w:sz="6" w:space="0" w:color="auto"/>
            </w:tcBorders>
            <w:vAlign w:val="center"/>
          </w:tcPr>
          <w:p w14:paraId="3FF20BEB" w14:textId="6527D481" w:rsidR="00005478" w:rsidRDefault="00005478" w:rsidP="00005478">
            <w:pPr>
              <w:jc w:val="right"/>
              <w:rPr>
                <w:rFonts w:eastAsia="標楷體"/>
              </w:rPr>
            </w:pPr>
            <w:r w:rsidRPr="00C64336">
              <w:t>395,229</w:t>
            </w:r>
          </w:p>
        </w:tc>
        <w:tc>
          <w:tcPr>
            <w:tcW w:w="1691" w:type="dxa"/>
            <w:tcBorders>
              <w:top w:val="single" w:sz="6" w:space="0" w:color="auto"/>
              <w:left w:val="single" w:sz="4" w:space="0" w:color="auto"/>
              <w:bottom w:val="single" w:sz="6" w:space="0" w:color="auto"/>
              <w:right w:val="single" w:sz="12" w:space="0" w:color="auto"/>
            </w:tcBorders>
            <w:vAlign w:val="center"/>
          </w:tcPr>
          <w:p w14:paraId="43BFFB9B" w14:textId="4410333A" w:rsidR="00005478" w:rsidRDefault="00005478" w:rsidP="00005478">
            <w:pPr>
              <w:jc w:val="right"/>
              <w:rPr>
                <w:rFonts w:eastAsia="標楷體"/>
              </w:rPr>
            </w:pPr>
            <w:r>
              <w:rPr>
                <w:rFonts w:hint="eastAsia"/>
              </w:rPr>
              <w:t>2</w:t>
            </w:r>
            <w:r>
              <w:t>46,366</w:t>
            </w:r>
          </w:p>
        </w:tc>
      </w:tr>
      <w:tr w:rsidR="00005478" w14:paraId="283BA84F" w14:textId="77777777" w:rsidTr="00F42CC0">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14:paraId="043F6558" w14:textId="77777777" w:rsidR="00005478" w:rsidRDefault="00005478" w:rsidP="00005478">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14:paraId="0F1F94E6" w14:textId="77777777" w:rsidR="00005478" w:rsidRDefault="00005478" w:rsidP="00005478">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12" w:space="0" w:color="auto"/>
              <w:right w:val="single" w:sz="6" w:space="0" w:color="auto"/>
            </w:tcBorders>
            <w:vAlign w:val="center"/>
          </w:tcPr>
          <w:p w14:paraId="499FEA4F" w14:textId="6DB29520" w:rsidR="00005478" w:rsidRDefault="00005478" w:rsidP="00005478">
            <w:pPr>
              <w:ind w:right="57"/>
              <w:jc w:val="right"/>
              <w:rPr>
                <w:rFonts w:eastAsia="標楷體"/>
              </w:rPr>
            </w:pPr>
            <w:r w:rsidRPr="00C64336">
              <w:t>399,284</w:t>
            </w:r>
          </w:p>
        </w:tc>
        <w:tc>
          <w:tcPr>
            <w:tcW w:w="1736" w:type="dxa"/>
            <w:tcBorders>
              <w:top w:val="single" w:sz="6" w:space="0" w:color="auto"/>
              <w:left w:val="single" w:sz="6" w:space="0" w:color="auto"/>
              <w:bottom w:val="single" w:sz="12" w:space="0" w:color="auto"/>
              <w:right w:val="single" w:sz="6" w:space="0" w:color="auto"/>
            </w:tcBorders>
            <w:vAlign w:val="center"/>
          </w:tcPr>
          <w:p w14:paraId="16ECBFBA" w14:textId="770FD4D9" w:rsidR="00005478" w:rsidRDefault="00005478" w:rsidP="00005478">
            <w:pPr>
              <w:jc w:val="right"/>
              <w:rPr>
                <w:rFonts w:eastAsia="標楷體"/>
              </w:rPr>
            </w:pPr>
            <w:r w:rsidRPr="00C64336">
              <w:t>349,452</w:t>
            </w:r>
          </w:p>
        </w:tc>
        <w:tc>
          <w:tcPr>
            <w:tcW w:w="1665" w:type="dxa"/>
            <w:tcBorders>
              <w:top w:val="single" w:sz="6" w:space="0" w:color="auto"/>
              <w:left w:val="single" w:sz="6" w:space="0" w:color="auto"/>
              <w:bottom w:val="single" w:sz="12" w:space="0" w:color="auto"/>
              <w:right w:val="single" w:sz="6" w:space="0" w:color="auto"/>
            </w:tcBorders>
            <w:vAlign w:val="center"/>
          </w:tcPr>
          <w:p w14:paraId="1384130C" w14:textId="35657C26" w:rsidR="00005478" w:rsidRDefault="00005478" w:rsidP="00005478">
            <w:pPr>
              <w:jc w:val="right"/>
              <w:rPr>
                <w:rFonts w:eastAsia="標楷體"/>
              </w:rPr>
            </w:pPr>
            <w:r w:rsidRPr="00C64336">
              <w:t>486,328</w:t>
            </w:r>
          </w:p>
        </w:tc>
        <w:tc>
          <w:tcPr>
            <w:tcW w:w="1610" w:type="dxa"/>
            <w:tcBorders>
              <w:top w:val="single" w:sz="6" w:space="0" w:color="auto"/>
              <w:left w:val="single" w:sz="6" w:space="0" w:color="auto"/>
              <w:bottom w:val="single" w:sz="12" w:space="0" w:color="auto"/>
              <w:right w:val="single" w:sz="6" w:space="0" w:color="auto"/>
            </w:tcBorders>
            <w:vAlign w:val="center"/>
          </w:tcPr>
          <w:p w14:paraId="4CDB69FB" w14:textId="11588643" w:rsidR="00005478" w:rsidRDefault="00005478" w:rsidP="00005478">
            <w:pPr>
              <w:jc w:val="right"/>
              <w:rPr>
                <w:rFonts w:eastAsia="標楷體"/>
              </w:rPr>
            </w:pPr>
            <w:r w:rsidRPr="00C64336">
              <w:t>395,229</w:t>
            </w:r>
          </w:p>
        </w:tc>
        <w:tc>
          <w:tcPr>
            <w:tcW w:w="1691" w:type="dxa"/>
            <w:tcBorders>
              <w:top w:val="single" w:sz="6" w:space="0" w:color="auto"/>
              <w:left w:val="single" w:sz="4" w:space="0" w:color="auto"/>
              <w:bottom w:val="single" w:sz="12" w:space="0" w:color="auto"/>
              <w:right w:val="single" w:sz="12" w:space="0" w:color="auto"/>
            </w:tcBorders>
            <w:vAlign w:val="center"/>
          </w:tcPr>
          <w:p w14:paraId="187DABFC" w14:textId="0C23849F" w:rsidR="00005478" w:rsidRDefault="00005478" w:rsidP="00005478">
            <w:pPr>
              <w:jc w:val="right"/>
              <w:rPr>
                <w:rFonts w:eastAsia="標楷體"/>
              </w:rPr>
            </w:pPr>
            <w:r>
              <w:rPr>
                <w:rFonts w:hint="eastAsia"/>
              </w:rPr>
              <w:t>2</w:t>
            </w:r>
            <w:r>
              <w:t>46,366</w:t>
            </w:r>
          </w:p>
        </w:tc>
      </w:tr>
    </w:tbl>
    <w:p w14:paraId="504E49D5" w14:textId="77777777" w:rsidR="00BF2E8D" w:rsidRDefault="00BF2E8D">
      <w:pPr>
        <w:jc w:val="both"/>
        <w:rPr>
          <w:rFonts w:ascii="新細明體" w:hAnsi="新細明體"/>
        </w:rPr>
      </w:pPr>
    </w:p>
    <w:p w14:paraId="6849619D" w14:textId="77777777" w:rsidR="00BF2E8D" w:rsidRDefault="00BF2E8D">
      <w:pPr>
        <w:jc w:val="both"/>
        <w:rPr>
          <w:rFonts w:ascii="新細明體" w:hAnsi="新細明體"/>
        </w:rPr>
      </w:pPr>
    </w:p>
    <w:p w14:paraId="13B4964D" w14:textId="3BA8DCDA" w:rsidR="00161123" w:rsidRDefault="00161123">
      <w:pPr>
        <w:jc w:val="both"/>
        <w:rPr>
          <w:rFonts w:ascii="新細明體" w:hAnsi="新細明體"/>
        </w:rPr>
      </w:pPr>
      <w:r>
        <w:rPr>
          <w:rFonts w:ascii="新細明體" w:hAnsi="新細明體" w:hint="eastAsia"/>
        </w:rPr>
        <w:t xml:space="preserve">                                                                         </w:t>
      </w:r>
      <w:r w:rsidR="00041E13">
        <w:rPr>
          <w:rFonts w:ascii="新細明體" w:hAnsi="新細明體" w:hint="eastAsia"/>
          <w:noProof/>
        </w:rPr>
        <w:drawing>
          <wp:inline distT="0" distB="0" distL="0" distR="0" wp14:anchorId="36045950" wp14:editId="25B81A10">
            <wp:extent cx="407035" cy="153670"/>
            <wp:effectExtent l="0" t="0" r="0" b="0"/>
            <wp:docPr id="5" name="圖片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35" cy="153670"/>
                    </a:xfrm>
                    <a:prstGeom prst="rect">
                      <a:avLst/>
                    </a:prstGeom>
                    <a:noFill/>
                    <a:ln>
                      <a:noFill/>
                    </a:ln>
                  </pic:spPr>
                </pic:pic>
              </a:graphicData>
            </a:graphic>
          </wp:inline>
        </w:drawing>
      </w:r>
    </w:p>
    <w:tbl>
      <w:tblPr>
        <w:tblW w:w="1048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897"/>
      </w:tblGrid>
      <w:tr w:rsidR="00161123" w14:paraId="403A4B31" w14:textId="77777777" w:rsidTr="00F42CC0">
        <w:trPr>
          <w:cantSplit/>
          <w:trHeight w:val="707"/>
        </w:trPr>
        <w:tc>
          <w:tcPr>
            <w:tcW w:w="10485" w:type="dxa"/>
            <w:gridSpan w:val="5"/>
            <w:tcBorders>
              <w:bottom w:val="single" w:sz="6" w:space="0" w:color="auto"/>
            </w:tcBorders>
          </w:tcPr>
          <w:bookmarkStart w:id="6" w:name="最近三年度財務比率及股利發放情形"/>
          <w:bookmarkEnd w:id="6"/>
          <w:p w14:paraId="11F6B2E9" w14:textId="7C9ACB67" w:rsidR="00161123" w:rsidRDefault="00041E13">
            <w:pPr>
              <w:jc w:val="center"/>
              <w:rPr>
                <w:rFonts w:ascii="標楷體" w:eastAsia="標楷體" w:hAnsi="新細明體"/>
                <w:b/>
                <w:bCs/>
                <w:sz w:val="28"/>
              </w:rPr>
            </w:pPr>
            <w:r>
              <w:rPr>
                <w:rFonts w:ascii="標楷體" w:eastAsia="標楷體" w:hAnsi="新細明體" w:hint="eastAsia"/>
                <w:b/>
                <w:bCs/>
                <w:noProof/>
                <w:sz w:val="28"/>
              </w:rPr>
              <w:lastRenderedPageBreak/>
              <mc:AlternateContent>
                <mc:Choice Requires="wps">
                  <w:drawing>
                    <wp:anchor distT="0" distB="0" distL="114300" distR="114300" simplePos="0" relativeHeight="251661824" behindDoc="1" locked="0" layoutInCell="1" allowOverlap="1" wp14:anchorId="72DE9529" wp14:editId="1447D8CC">
                      <wp:simplePos x="0" y="0"/>
                      <wp:positionH relativeFrom="column">
                        <wp:posOffset>-1905</wp:posOffset>
                      </wp:positionH>
                      <wp:positionV relativeFrom="paragraph">
                        <wp:posOffset>-5080</wp:posOffset>
                      </wp:positionV>
                      <wp:extent cx="6642100" cy="450215"/>
                      <wp:effectExtent l="0" t="0" r="6350" b="6985"/>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F852" w14:textId="77777777" w:rsidR="00575729" w:rsidRDefault="005757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9529" id="Text Box 98" o:spid="_x0000_s1032" type="#_x0000_t202" style="position:absolute;left:0;text-align:left;margin-left:-.15pt;margin-top:-.4pt;width:523pt;height:3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" fillcolor="#ededed" stroked="f">
                      <v:fill rotate="t" focus="50%" type="gradient"/>
                      <v:textbox>
                        <w:txbxContent>
                          <w:p w14:paraId="3586F852" w14:textId="77777777" w:rsidR="00575729" w:rsidRDefault="00575729"/>
                        </w:txbxContent>
                      </v:textbox>
                    </v:shape>
                  </w:pict>
                </mc:Fallback>
              </mc:AlternateContent>
            </w:r>
            <w:r w:rsidR="00161123">
              <w:rPr>
                <w:rFonts w:ascii="標楷體" w:eastAsia="標楷體" w:hAnsi="新細明體" w:hint="eastAsia"/>
                <w:b/>
                <w:bCs/>
                <w:sz w:val="28"/>
              </w:rPr>
              <w:t>最近三年度財務比率</w:t>
            </w:r>
          </w:p>
        </w:tc>
      </w:tr>
      <w:tr w:rsidR="00005478" w14:paraId="2E8B099B" w14:textId="77777777" w:rsidTr="00F42CC0">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176379A2" w14:textId="77777777" w:rsidR="00005478" w:rsidRPr="00BF2E8D" w:rsidRDefault="00005478" w:rsidP="00005478">
            <w:pPr>
              <w:wordWrap w:val="0"/>
              <w:ind w:left="57" w:right="57"/>
              <w:jc w:val="right"/>
              <w:rPr>
                <w:rFonts w:eastAsia="標楷體"/>
              </w:rPr>
            </w:pPr>
            <w:r w:rsidRPr="00BF2E8D">
              <w:rPr>
                <w:rFonts w:eastAsia="標楷體"/>
              </w:rPr>
              <w:t>年</w:t>
            </w:r>
            <w:r w:rsidRPr="00BF2E8D">
              <w:rPr>
                <w:rFonts w:eastAsia="標楷體"/>
              </w:rPr>
              <w:t xml:space="preserve">  </w:t>
            </w:r>
            <w:r w:rsidRPr="00BF2E8D">
              <w:rPr>
                <w:rFonts w:eastAsia="標楷體"/>
              </w:rPr>
              <w:t>度</w:t>
            </w:r>
          </w:p>
          <w:p w14:paraId="5E3E05BB" w14:textId="77777777" w:rsidR="00005478" w:rsidRPr="00BF2E8D" w:rsidRDefault="00005478" w:rsidP="00005478">
            <w:pPr>
              <w:ind w:firstLineChars="100" w:firstLine="240"/>
              <w:rPr>
                <w:rFonts w:eastAsia="標楷體"/>
              </w:rPr>
            </w:pPr>
            <w:r w:rsidRPr="00BF2E8D">
              <w:rPr>
                <w:rFonts w:eastAsia="標楷體"/>
              </w:rPr>
              <w:t>項</w:t>
            </w:r>
            <w:r w:rsidRPr="00BF2E8D">
              <w:rPr>
                <w:rFonts w:eastAsia="標楷體"/>
              </w:rPr>
              <w:t xml:space="preserve">  </w:t>
            </w:r>
            <w:r w:rsidRPr="00BF2E8D">
              <w:rPr>
                <w:rFonts w:eastAsia="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14:paraId="0C6EB486" w14:textId="2F0C17D8" w:rsidR="00005478" w:rsidRPr="00BF2E8D" w:rsidRDefault="00005478" w:rsidP="00005478">
            <w:pPr>
              <w:jc w:val="center"/>
              <w:rPr>
                <w:rFonts w:eastAsia="標楷體"/>
              </w:rPr>
            </w:pPr>
            <w:r w:rsidRPr="00BF2E8D">
              <w:rPr>
                <w:rFonts w:eastAsia="標楷體"/>
              </w:rPr>
              <w:t>107</w:t>
            </w:r>
            <w:r w:rsidRPr="00BF2E8D">
              <w:rPr>
                <w:rFonts w:eastAsia="標楷體"/>
              </w:rPr>
              <w:t>年</w:t>
            </w:r>
          </w:p>
        </w:tc>
        <w:tc>
          <w:tcPr>
            <w:tcW w:w="2160" w:type="dxa"/>
            <w:tcBorders>
              <w:top w:val="single" w:sz="6" w:space="0" w:color="auto"/>
              <w:left w:val="single" w:sz="6" w:space="0" w:color="auto"/>
              <w:bottom w:val="single" w:sz="6" w:space="0" w:color="auto"/>
              <w:right w:val="single" w:sz="6" w:space="0" w:color="auto"/>
            </w:tcBorders>
            <w:vAlign w:val="center"/>
          </w:tcPr>
          <w:p w14:paraId="0E102723" w14:textId="33B738C2" w:rsidR="00005478" w:rsidRPr="00BF2E8D" w:rsidRDefault="00005478" w:rsidP="00005478">
            <w:pPr>
              <w:jc w:val="center"/>
              <w:rPr>
                <w:rFonts w:eastAsia="標楷體"/>
              </w:rPr>
            </w:pPr>
            <w:r w:rsidRPr="00BF2E8D">
              <w:rPr>
                <w:rFonts w:eastAsia="標楷體"/>
              </w:rPr>
              <w:t>108</w:t>
            </w:r>
            <w:r w:rsidRPr="00BF2E8D">
              <w:rPr>
                <w:rFonts w:eastAsia="標楷體"/>
              </w:rPr>
              <w:t>年</w:t>
            </w:r>
          </w:p>
        </w:tc>
        <w:tc>
          <w:tcPr>
            <w:tcW w:w="2897" w:type="dxa"/>
            <w:tcBorders>
              <w:top w:val="single" w:sz="6" w:space="0" w:color="auto"/>
              <w:left w:val="single" w:sz="4" w:space="0" w:color="auto"/>
              <w:bottom w:val="single" w:sz="6" w:space="0" w:color="auto"/>
              <w:right w:val="single" w:sz="6" w:space="0" w:color="auto"/>
            </w:tcBorders>
            <w:vAlign w:val="center"/>
          </w:tcPr>
          <w:p w14:paraId="1CBA34DF" w14:textId="55EB5300" w:rsidR="00005478" w:rsidRPr="00BF2E8D" w:rsidRDefault="00005478" w:rsidP="00005478">
            <w:pPr>
              <w:jc w:val="center"/>
              <w:rPr>
                <w:rFonts w:eastAsia="標楷體"/>
              </w:rPr>
            </w:pPr>
            <w:r w:rsidRPr="00BF2E8D">
              <w:rPr>
                <w:rFonts w:eastAsia="標楷體"/>
              </w:rPr>
              <w:t>109</w:t>
            </w:r>
            <w:r w:rsidRPr="00BF2E8D">
              <w:rPr>
                <w:rFonts w:eastAsia="標楷體"/>
              </w:rPr>
              <w:t>年</w:t>
            </w:r>
          </w:p>
        </w:tc>
      </w:tr>
      <w:tr w:rsidR="00161123" w14:paraId="1B6A539E" w14:textId="77777777" w:rsidTr="00F42CC0">
        <w:trPr>
          <w:cantSplit/>
        </w:trPr>
        <w:tc>
          <w:tcPr>
            <w:tcW w:w="568" w:type="dxa"/>
            <w:vMerge w:val="restart"/>
            <w:shd w:val="clear" w:color="auto" w:fill="F9F9F9"/>
          </w:tcPr>
          <w:p w14:paraId="26FC5ACC" w14:textId="77777777" w:rsidR="00161123" w:rsidRPr="00CE1CF1" w:rsidRDefault="00161123">
            <w:pPr>
              <w:spacing w:beforeLines="50" w:before="180"/>
              <w:jc w:val="center"/>
              <w:rPr>
                <w:rFonts w:eastAsia="標楷體"/>
                <w:b/>
              </w:rPr>
            </w:pPr>
            <w:bookmarkStart w:id="7" w:name="財務比率"/>
            <w:bookmarkEnd w:id="7"/>
            <w:r w:rsidRPr="00CE1CF1">
              <w:rPr>
                <w:rFonts w:eastAsia="標楷體"/>
                <w:b/>
              </w:rPr>
              <w:t>財</w:t>
            </w:r>
          </w:p>
          <w:p w14:paraId="3A3415A2" w14:textId="77777777" w:rsidR="00161123" w:rsidRPr="00CE1CF1" w:rsidRDefault="00161123">
            <w:pPr>
              <w:jc w:val="center"/>
              <w:rPr>
                <w:rFonts w:eastAsia="標楷體"/>
                <w:b/>
              </w:rPr>
            </w:pPr>
            <w:r w:rsidRPr="00CE1CF1">
              <w:rPr>
                <w:rFonts w:eastAsia="標楷體"/>
                <w:b/>
              </w:rPr>
              <w:t>務</w:t>
            </w:r>
          </w:p>
          <w:p w14:paraId="7B2EB34D" w14:textId="77777777" w:rsidR="00161123" w:rsidRPr="00CE1CF1" w:rsidRDefault="00161123">
            <w:pPr>
              <w:jc w:val="center"/>
              <w:rPr>
                <w:rFonts w:eastAsia="標楷體"/>
                <w:b/>
              </w:rPr>
            </w:pPr>
            <w:r w:rsidRPr="00CE1CF1">
              <w:rPr>
                <w:rFonts w:eastAsia="標楷體"/>
                <w:b/>
              </w:rPr>
              <w:t>比</w:t>
            </w:r>
          </w:p>
          <w:p w14:paraId="49A18DCE" w14:textId="77777777" w:rsidR="00161123" w:rsidRPr="00CE1CF1" w:rsidRDefault="00161123">
            <w:pPr>
              <w:jc w:val="center"/>
              <w:rPr>
                <w:rFonts w:eastAsia="標楷體"/>
              </w:rPr>
            </w:pPr>
            <w:r w:rsidRPr="00CE1CF1">
              <w:rPr>
                <w:rFonts w:eastAsia="標楷體"/>
                <w:b/>
              </w:rPr>
              <w:t>率</w:t>
            </w:r>
          </w:p>
        </w:tc>
        <w:tc>
          <w:tcPr>
            <w:tcW w:w="2566" w:type="dxa"/>
            <w:shd w:val="clear" w:color="auto" w:fill="F9F9F9"/>
          </w:tcPr>
          <w:p w14:paraId="55C9E2FD" w14:textId="77777777" w:rsidR="00161123" w:rsidRPr="00CE1CF1" w:rsidRDefault="00161123">
            <w:pPr>
              <w:jc w:val="both"/>
              <w:rPr>
                <w:rFonts w:eastAsia="標楷體"/>
              </w:rPr>
            </w:pPr>
            <w:r w:rsidRPr="00CE1CF1">
              <w:rPr>
                <w:rFonts w:eastAsia="標楷體"/>
              </w:rPr>
              <w:t>毛利率</w:t>
            </w:r>
            <w:r w:rsidRPr="00CE1CF1">
              <w:rPr>
                <w:rFonts w:eastAsia="標楷體"/>
              </w:rPr>
              <w:t>(%)</w:t>
            </w:r>
          </w:p>
        </w:tc>
        <w:tc>
          <w:tcPr>
            <w:tcW w:w="2294" w:type="dxa"/>
          </w:tcPr>
          <w:p w14:paraId="3D15E4DE" w14:textId="1C2A36F8" w:rsidR="00161123" w:rsidRPr="00CE1CF1" w:rsidRDefault="00005478">
            <w:pPr>
              <w:jc w:val="center"/>
              <w:rPr>
                <w:rFonts w:ascii="新細明體" w:hAnsi="新細明體"/>
              </w:rPr>
            </w:pPr>
            <w:r w:rsidRPr="00CE1CF1">
              <w:rPr>
                <w:rFonts w:ascii="新細明體" w:hAnsi="新細明體" w:hint="eastAsia"/>
              </w:rPr>
              <w:t>-</w:t>
            </w:r>
          </w:p>
        </w:tc>
        <w:tc>
          <w:tcPr>
            <w:tcW w:w="2160" w:type="dxa"/>
          </w:tcPr>
          <w:p w14:paraId="0BF9F424" w14:textId="1A8B82FD" w:rsidR="00161123" w:rsidRPr="00CE1CF1" w:rsidRDefault="00005478">
            <w:pPr>
              <w:jc w:val="center"/>
              <w:rPr>
                <w:rFonts w:ascii="新細明體" w:hAnsi="新細明體"/>
              </w:rPr>
            </w:pPr>
            <w:r w:rsidRPr="00CE1CF1">
              <w:rPr>
                <w:rFonts w:ascii="新細明體" w:hAnsi="新細明體" w:hint="eastAsia"/>
              </w:rPr>
              <w:t>-</w:t>
            </w:r>
          </w:p>
        </w:tc>
        <w:tc>
          <w:tcPr>
            <w:tcW w:w="2897" w:type="dxa"/>
          </w:tcPr>
          <w:p w14:paraId="0F17B43D" w14:textId="752CF4E8" w:rsidR="00161123" w:rsidRPr="00CE1CF1" w:rsidRDefault="00005478">
            <w:pPr>
              <w:jc w:val="center"/>
              <w:rPr>
                <w:rFonts w:ascii="新細明體" w:hAnsi="新細明體"/>
              </w:rPr>
            </w:pPr>
            <w:r w:rsidRPr="00CE1CF1">
              <w:rPr>
                <w:rFonts w:ascii="新細明體" w:hAnsi="新細明體" w:hint="eastAsia"/>
              </w:rPr>
              <w:t>-</w:t>
            </w:r>
          </w:p>
        </w:tc>
      </w:tr>
      <w:tr w:rsidR="00005478" w14:paraId="63467C97" w14:textId="77777777" w:rsidTr="00F42CC0">
        <w:trPr>
          <w:cantSplit/>
        </w:trPr>
        <w:tc>
          <w:tcPr>
            <w:tcW w:w="568" w:type="dxa"/>
            <w:vMerge/>
          </w:tcPr>
          <w:p w14:paraId="59168480" w14:textId="77777777" w:rsidR="00005478" w:rsidRPr="00CE1CF1" w:rsidRDefault="00005478" w:rsidP="00005478">
            <w:pPr>
              <w:jc w:val="both"/>
              <w:rPr>
                <w:rFonts w:eastAsia="標楷體"/>
              </w:rPr>
            </w:pPr>
          </w:p>
        </w:tc>
        <w:tc>
          <w:tcPr>
            <w:tcW w:w="2566" w:type="dxa"/>
            <w:shd w:val="clear" w:color="auto" w:fill="F9F9F9"/>
          </w:tcPr>
          <w:p w14:paraId="4FE613DE" w14:textId="77777777" w:rsidR="00005478" w:rsidRPr="00CE1CF1" w:rsidRDefault="00005478" w:rsidP="00005478">
            <w:pPr>
              <w:jc w:val="both"/>
              <w:rPr>
                <w:rFonts w:eastAsia="標楷體"/>
              </w:rPr>
            </w:pPr>
            <w:r w:rsidRPr="00CE1CF1">
              <w:rPr>
                <w:rFonts w:eastAsia="標楷體"/>
              </w:rPr>
              <w:t>流動比率</w:t>
            </w:r>
            <w:r w:rsidRPr="00CE1CF1">
              <w:rPr>
                <w:rFonts w:eastAsia="標楷體"/>
              </w:rPr>
              <w:t>(%)</w:t>
            </w:r>
          </w:p>
        </w:tc>
        <w:tc>
          <w:tcPr>
            <w:tcW w:w="2294" w:type="dxa"/>
          </w:tcPr>
          <w:p w14:paraId="4894FEAB" w14:textId="794997DC" w:rsidR="00005478" w:rsidRPr="00CE1CF1" w:rsidRDefault="00005478" w:rsidP="00005478">
            <w:pPr>
              <w:jc w:val="center"/>
              <w:rPr>
                <w:rFonts w:ascii="新細明體" w:hAnsi="新細明體"/>
              </w:rPr>
            </w:pPr>
            <w:r w:rsidRPr="00CE1CF1">
              <w:t>1,907.58</w:t>
            </w:r>
          </w:p>
        </w:tc>
        <w:tc>
          <w:tcPr>
            <w:tcW w:w="2160" w:type="dxa"/>
          </w:tcPr>
          <w:p w14:paraId="16FAC9DA" w14:textId="1753C4AA" w:rsidR="00005478" w:rsidRPr="00CE1CF1" w:rsidRDefault="00005478" w:rsidP="00005478">
            <w:pPr>
              <w:jc w:val="center"/>
              <w:rPr>
                <w:rFonts w:ascii="新細明體" w:hAnsi="新細明體"/>
              </w:rPr>
            </w:pPr>
            <w:r w:rsidRPr="00CE1CF1">
              <w:t>1,630.16</w:t>
            </w:r>
          </w:p>
        </w:tc>
        <w:tc>
          <w:tcPr>
            <w:tcW w:w="2897" w:type="dxa"/>
          </w:tcPr>
          <w:p w14:paraId="2E1E80F8" w14:textId="03AC7D69" w:rsidR="00005478" w:rsidRPr="00CE1CF1" w:rsidRDefault="00005478" w:rsidP="00005478">
            <w:pPr>
              <w:jc w:val="center"/>
              <w:rPr>
                <w:rFonts w:ascii="新細明體" w:hAnsi="新細明體"/>
              </w:rPr>
            </w:pPr>
            <w:r w:rsidRPr="00CE1CF1">
              <w:t>1,218.37</w:t>
            </w:r>
          </w:p>
        </w:tc>
      </w:tr>
      <w:tr w:rsidR="00005478" w14:paraId="0A218B74" w14:textId="77777777" w:rsidTr="00F42CC0">
        <w:trPr>
          <w:cantSplit/>
        </w:trPr>
        <w:tc>
          <w:tcPr>
            <w:tcW w:w="568" w:type="dxa"/>
            <w:vMerge/>
          </w:tcPr>
          <w:p w14:paraId="2226862C" w14:textId="77777777" w:rsidR="00005478" w:rsidRPr="00CE1CF1" w:rsidRDefault="00005478" w:rsidP="00005478">
            <w:pPr>
              <w:jc w:val="both"/>
              <w:rPr>
                <w:rFonts w:eastAsia="標楷體"/>
              </w:rPr>
            </w:pPr>
          </w:p>
        </w:tc>
        <w:tc>
          <w:tcPr>
            <w:tcW w:w="2566" w:type="dxa"/>
            <w:shd w:val="clear" w:color="auto" w:fill="F9F9F9"/>
          </w:tcPr>
          <w:p w14:paraId="3AF60D3E" w14:textId="77777777" w:rsidR="00005478" w:rsidRPr="00CE1CF1" w:rsidRDefault="00005478" w:rsidP="00005478">
            <w:pPr>
              <w:jc w:val="both"/>
              <w:rPr>
                <w:rFonts w:eastAsia="標楷體"/>
              </w:rPr>
            </w:pPr>
            <w:r w:rsidRPr="00CE1CF1">
              <w:rPr>
                <w:rFonts w:eastAsia="標楷體"/>
              </w:rPr>
              <w:t>應收帳款天數</w:t>
            </w:r>
            <w:r w:rsidRPr="00CE1CF1">
              <w:rPr>
                <w:rFonts w:eastAsia="標楷體"/>
              </w:rPr>
              <w:t>(</w:t>
            </w:r>
            <w:r w:rsidRPr="00CE1CF1">
              <w:rPr>
                <w:rFonts w:eastAsia="標楷體"/>
              </w:rPr>
              <w:t>天</w:t>
            </w:r>
            <w:r w:rsidRPr="00CE1CF1">
              <w:rPr>
                <w:rFonts w:eastAsia="標楷體"/>
              </w:rPr>
              <w:t>)</w:t>
            </w:r>
          </w:p>
        </w:tc>
        <w:tc>
          <w:tcPr>
            <w:tcW w:w="2294" w:type="dxa"/>
          </w:tcPr>
          <w:p w14:paraId="0C66D367" w14:textId="0224F80C" w:rsidR="00005478" w:rsidRPr="00CE1CF1" w:rsidRDefault="00005478" w:rsidP="00005478">
            <w:pPr>
              <w:jc w:val="center"/>
              <w:rPr>
                <w:rFonts w:ascii="新細明體" w:hAnsi="新細明體"/>
              </w:rPr>
            </w:pPr>
            <w:r w:rsidRPr="00CE1CF1">
              <w:rPr>
                <w:rFonts w:ascii="新細明體" w:hAnsi="新細明體" w:hint="eastAsia"/>
              </w:rPr>
              <w:t>-</w:t>
            </w:r>
          </w:p>
        </w:tc>
        <w:tc>
          <w:tcPr>
            <w:tcW w:w="2160" w:type="dxa"/>
          </w:tcPr>
          <w:p w14:paraId="5FC8BBA8" w14:textId="5F4C8A6C" w:rsidR="00005478" w:rsidRPr="00CE1CF1" w:rsidRDefault="00005478" w:rsidP="00005478">
            <w:pPr>
              <w:jc w:val="center"/>
              <w:rPr>
                <w:rFonts w:ascii="新細明體" w:hAnsi="新細明體"/>
              </w:rPr>
            </w:pPr>
            <w:r w:rsidRPr="00CE1CF1">
              <w:rPr>
                <w:rFonts w:ascii="新細明體" w:hAnsi="新細明體" w:hint="eastAsia"/>
              </w:rPr>
              <w:t>-</w:t>
            </w:r>
          </w:p>
        </w:tc>
        <w:tc>
          <w:tcPr>
            <w:tcW w:w="2897" w:type="dxa"/>
          </w:tcPr>
          <w:p w14:paraId="32D40070" w14:textId="16673592" w:rsidR="00005478" w:rsidRPr="00CE1CF1" w:rsidRDefault="00005478" w:rsidP="00005478">
            <w:pPr>
              <w:jc w:val="center"/>
              <w:rPr>
                <w:rFonts w:ascii="新細明體" w:hAnsi="新細明體"/>
              </w:rPr>
            </w:pPr>
            <w:r w:rsidRPr="00CE1CF1">
              <w:rPr>
                <w:rFonts w:ascii="新細明體" w:hAnsi="新細明體" w:hint="eastAsia"/>
              </w:rPr>
              <w:t>-</w:t>
            </w:r>
          </w:p>
        </w:tc>
      </w:tr>
      <w:tr w:rsidR="00005478" w14:paraId="6C5567DB" w14:textId="77777777" w:rsidTr="00F42CC0">
        <w:trPr>
          <w:cantSplit/>
        </w:trPr>
        <w:tc>
          <w:tcPr>
            <w:tcW w:w="568" w:type="dxa"/>
            <w:vMerge/>
          </w:tcPr>
          <w:p w14:paraId="43EF8E8C" w14:textId="77777777" w:rsidR="00005478" w:rsidRPr="00CE1CF1" w:rsidRDefault="00005478" w:rsidP="00005478">
            <w:pPr>
              <w:jc w:val="both"/>
              <w:rPr>
                <w:rFonts w:eastAsia="標楷體"/>
              </w:rPr>
            </w:pPr>
          </w:p>
        </w:tc>
        <w:tc>
          <w:tcPr>
            <w:tcW w:w="2566" w:type="dxa"/>
            <w:shd w:val="clear" w:color="auto" w:fill="F9F9F9"/>
          </w:tcPr>
          <w:p w14:paraId="583C6D8B" w14:textId="77777777" w:rsidR="00005478" w:rsidRPr="00CE1CF1" w:rsidRDefault="00005478" w:rsidP="00005478">
            <w:pPr>
              <w:jc w:val="both"/>
              <w:rPr>
                <w:rFonts w:eastAsia="標楷體"/>
              </w:rPr>
            </w:pPr>
            <w:r w:rsidRPr="00CE1CF1">
              <w:rPr>
                <w:rFonts w:eastAsia="標楷體"/>
              </w:rPr>
              <w:t>存貨週轉天數</w:t>
            </w:r>
            <w:r w:rsidRPr="00CE1CF1">
              <w:rPr>
                <w:rFonts w:eastAsia="標楷體"/>
              </w:rPr>
              <w:t>(</w:t>
            </w:r>
            <w:r w:rsidRPr="00CE1CF1">
              <w:rPr>
                <w:rFonts w:eastAsia="標楷體"/>
              </w:rPr>
              <w:t>天</w:t>
            </w:r>
            <w:r w:rsidRPr="00CE1CF1">
              <w:rPr>
                <w:rFonts w:eastAsia="標楷體"/>
              </w:rPr>
              <w:t>)</w:t>
            </w:r>
          </w:p>
        </w:tc>
        <w:tc>
          <w:tcPr>
            <w:tcW w:w="2294" w:type="dxa"/>
          </w:tcPr>
          <w:p w14:paraId="214361C9" w14:textId="107ECE7A" w:rsidR="00005478" w:rsidRPr="00CE1CF1" w:rsidRDefault="00005478" w:rsidP="00005478">
            <w:pPr>
              <w:jc w:val="center"/>
              <w:rPr>
                <w:rFonts w:ascii="新細明體" w:hAnsi="新細明體"/>
              </w:rPr>
            </w:pPr>
            <w:r w:rsidRPr="00CE1CF1">
              <w:rPr>
                <w:rFonts w:ascii="新細明體" w:hAnsi="新細明體" w:hint="eastAsia"/>
              </w:rPr>
              <w:t>-</w:t>
            </w:r>
          </w:p>
        </w:tc>
        <w:tc>
          <w:tcPr>
            <w:tcW w:w="2160" w:type="dxa"/>
          </w:tcPr>
          <w:p w14:paraId="310B3243" w14:textId="6BC3C6C7" w:rsidR="00005478" w:rsidRPr="00CE1CF1" w:rsidRDefault="00005478" w:rsidP="00005478">
            <w:pPr>
              <w:jc w:val="center"/>
              <w:rPr>
                <w:rFonts w:ascii="新細明體" w:hAnsi="新細明體"/>
              </w:rPr>
            </w:pPr>
            <w:r w:rsidRPr="00CE1CF1">
              <w:rPr>
                <w:rFonts w:ascii="新細明體" w:hAnsi="新細明體" w:hint="eastAsia"/>
              </w:rPr>
              <w:t>-</w:t>
            </w:r>
          </w:p>
        </w:tc>
        <w:tc>
          <w:tcPr>
            <w:tcW w:w="2897" w:type="dxa"/>
          </w:tcPr>
          <w:p w14:paraId="159410CE" w14:textId="50ADC3CB" w:rsidR="00005478" w:rsidRPr="00CE1CF1" w:rsidRDefault="00005478" w:rsidP="00005478">
            <w:pPr>
              <w:jc w:val="center"/>
              <w:rPr>
                <w:rFonts w:ascii="新細明體" w:hAnsi="新細明體"/>
              </w:rPr>
            </w:pPr>
            <w:r w:rsidRPr="00CE1CF1">
              <w:rPr>
                <w:rFonts w:ascii="新細明體" w:hAnsi="新細明體" w:hint="eastAsia"/>
              </w:rPr>
              <w:t>-</w:t>
            </w:r>
          </w:p>
        </w:tc>
      </w:tr>
      <w:tr w:rsidR="00005478" w14:paraId="079A2D7E" w14:textId="77777777" w:rsidTr="00F42CC0">
        <w:trPr>
          <w:cantSplit/>
        </w:trPr>
        <w:tc>
          <w:tcPr>
            <w:tcW w:w="568" w:type="dxa"/>
            <w:vMerge/>
          </w:tcPr>
          <w:p w14:paraId="237E1F2B" w14:textId="77777777" w:rsidR="00005478" w:rsidRPr="00CE1CF1" w:rsidRDefault="00005478" w:rsidP="00005478">
            <w:pPr>
              <w:jc w:val="both"/>
              <w:rPr>
                <w:rFonts w:eastAsia="標楷體"/>
              </w:rPr>
            </w:pPr>
          </w:p>
        </w:tc>
        <w:tc>
          <w:tcPr>
            <w:tcW w:w="2566" w:type="dxa"/>
            <w:shd w:val="clear" w:color="auto" w:fill="F9F9F9"/>
          </w:tcPr>
          <w:p w14:paraId="387E6999" w14:textId="77777777" w:rsidR="00005478" w:rsidRPr="00CE1CF1" w:rsidRDefault="00005478" w:rsidP="00005478">
            <w:pPr>
              <w:jc w:val="both"/>
              <w:rPr>
                <w:rFonts w:eastAsia="標楷體"/>
              </w:rPr>
            </w:pPr>
            <w:r w:rsidRPr="00CE1CF1">
              <w:rPr>
                <w:rFonts w:eastAsia="標楷體"/>
              </w:rPr>
              <w:t>負債比率</w:t>
            </w:r>
            <w:r w:rsidRPr="00CE1CF1">
              <w:rPr>
                <w:rFonts w:eastAsia="標楷體"/>
              </w:rPr>
              <w:t>(%)</w:t>
            </w:r>
          </w:p>
        </w:tc>
        <w:tc>
          <w:tcPr>
            <w:tcW w:w="2294" w:type="dxa"/>
          </w:tcPr>
          <w:p w14:paraId="64A5D62A" w14:textId="295920F4" w:rsidR="00005478" w:rsidRPr="00CE1CF1" w:rsidRDefault="00005478" w:rsidP="00005478">
            <w:pPr>
              <w:jc w:val="center"/>
              <w:rPr>
                <w:rFonts w:ascii="新細明體" w:hAnsi="新細明體"/>
              </w:rPr>
            </w:pPr>
            <w:r w:rsidRPr="00CE1CF1">
              <w:t>4.91</w:t>
            </w:r>
          </w:p>
        </w:tc>
        <w:tc>
          <w:tcPr>
            <w:tcW w:w="2160" w:type="dxa"/>
          </w:tcPr>
          <w:p w14:paraId="49160351" w14:textId="5B51FC18" w:rsidR="00005478" w:rsidRPr="00CE1CF1" w:rsidRDefault="00005478" w:rsidP="00005478">
            <w:pPr>
              <w:jc w:val="center"/>
              <w:rPr>
                <w:rFonts w:ascii="新細明體" w:hAnsi="新細明體"/>
              </w:rPr>
            </w:pPr>
            <w:r w:rsidRPr="00CE1CF1">
              <w:t>5.69</w:t>
            </w:r>
          </w:p>
        </w:tc>
        <w:tc>
          <w:tcPr>
            <w:tcW w:w="2897" w:type="dxa"/>
          </w:tcPr>
          <w:p w14:paraId="6C8A1024" w14:textId="7340FB2F" w:rsidR="00005478" w:rsidRPr="00CE1CF1" w:rsidRDefault="00005478" w:rsidP="00005478">
            <w:pPr>
              <w:jc w:val="center"/>
              <w:rPr>
                <w:rFonts w:ascii="新細明體" w:hAnsi="新細明體"/>
              </w:rPr>
            </w:pPr>
            <w:r w:rsidRPr="00CE1CF1">
              <w:t>7.08</w:t>
            </w:r>
          </w:p>
        </w:tc>
      </w:tr>
    </w:tbl>
    <w:p w14:paraId="40CFEA5A" w14:textId="65695308" w:rsidR="00161123" w:rsidRDefault="00161123">
      <w:pPr>
        <w:jc w:val="both"/>
        <w:rPr>
          <w:rFonts w:ascii="新細明體" w:hAnsi="新細明體"/>
        </w:rPr>
      </w:pPr>
      <w:r>
        <w:rPr>
          <w:rFonts w:ascii="新細明體" w:hAnsi="新細明體" w:hint="eastAsia"/>
        </w:rPr>
        <w:t xml:space="preserve">                                                                          </w:t>
      </w:r>
      <w:r w:rsidR="00041E13">
        <w:rPr>
          <w:rFonts w:ascii="新細明體" w:hAnsi="新細明體" w:hint="eastAsia"/>
          <w:noProof/>
        </w:rPr>
        <w:drawing>
          <wp:inline distT="0" distB="0" distL="0" distR="0" wp14:anchorId="5FE31A71" wp14:editId="79B665B9">
            <wp:extent cx="407035" cy="153670"/>
            <wp:effectExtent l="0" t="0" r="0" b="0"/>
            <wp:docPr id="6" name="圖片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35" cy="153670"/>
                    </a:xfrm>
                    <a:prstGeom prst="rect">
                      <a:avLst/>
                    </a:prstGeom>
                    <a:noFill/>
                    <a:ln>
                      <a:noFill/>
                    </a:ln>
                  </pic:spPr>
                </pic:pic>
              </a:graphicData>
            </a:graphic>
          </wp:inline>
        </w:drawing>
      </w:r>
    </w:p>
    <w:p w14:paraId="576E5ACF" w14:textId="03D5AFA0" w:rsidR="00161123" w:rsidRDefault="00161123">
      <w:pPr>
        <w:rPr>
          <w:color w:val="FE8531"/>
          <w:sz w:val="20"/>
          <w:szCs w:val="20"/>
        </w:rPr>
      </w:pPr>
      <w:r>
        <w:rPr>
          <w:color w:val="FF6600"/>
          <w:sz w:val="20"/>
          <w:szCs w:val="20"/>
        </w:rPr>
        <w:t>投資人若欲查詢該公司更詳細之資料請連結至</w:t>
      </w:r>
      <w:hyperlink r:id="rId23" w:history="1">
        <w:r>
          <w:rPr>
            <w:rStyle w:val="a6"/>
            <w:rFonts w:ascii="新細明體" w:hAnsi="新細明體" w:hint="eastAsia"/>
            <w:b/>
            <w:color w:val="3366FF"/>
            <w:sz w:val="20"/>
            <w:szCs w:val="20"/>
          </w:rPr>
          <w:t>公開資訊觀測站</w:t>
        </w:r>
      </w:hyperlink>
      <w:r>
        <w:rPr>
          <w:color w:val="FF6600"/>
          <w:sz w:val="20"/>
          <w:szCs w:val="20"/>
        </w:rPr>
        <w:t>!!</w:t>
      </w:r>
    </w:p>
    <w:sectPr w:rsidR="00161123">
      <w:footerReference w:type="even" r:id="rId24"/>
      <w:footerReference w:type="default" r:id="rId25"/>
      <w:pgSz w:w="11906" w:h="16838" w:code="9"/>
      <w:pgMar w:top="1079"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8C0B" w14:textId="77777777" w:rsidR="008411B8" w:rsidRDefault="008411B8">
      <w:r>
        <w:separator/>
      </w:r>
    </w:p>
  </w:endnote>
  <w:endnote w:type="continuationSeparator" w:id="0">
    <w:p w14:paraId="0EA770EC" w14:textId="77777777" w:rsidR="008411B8" w:rsidRDefault="0084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B360" w14:textId="77777777" w:rsidR="00575729" w:rsidRDefault="0057572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AD2322D" w14:textId="77777777" w:rsidR="00575729" w:rsidRDefault="005757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824" w14:textId="3D6249DB" w:rsidR="00575729" w:rsidRDefault="0057572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6106F">
      <w:rPr>
        <w:rStyle w:val="ad"/>
        <w:noProof/>
      </w:rPr>
      <w:t>2</w:t>
    </w:r>
    <w:r>
      <w:rPr>
        <w:rStyle w:val="ad"/>
      </w:rPr>
      <w:fldChar w:fldCharType="end"/>
    </w:r>
  </w:p>
  <w:p w14:paraId="614336CD" w14:textId="77777777" w:rsidR="00575729" w:rsidRDefault="005757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8550" w14:textId="77777777" w:rsidR="008411B8" w:rsidRDefault="008411B8">
      <w:r>
        <w:separator/>
      </w:r>
    </w:p>
  </w:footnote>
  <w:footnote w:type="continuationSeparator" w:id="0">
    <w:p w14:paraId="79EE0488" w14:textId="77777777" w:rsidR="008411B8" w:rsidRDefault="0084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F9E98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 o:bullet="t">
        <v:imagedata r:id="rId1" o:title="icon_page_title"/>
      </v:shape>
    </w:pict>
  </w:numPicBullet>
  <w:abstractNum w:abstractNumId="0"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3F4D2C4E"/>
    <w:multiLevelType w:val="hybridMultilevel"/>
    <w:tmpl w:val="26061492"/>
    <w:lvl w:ilvl="0" w:tplc="97DA33EE">
      <w:start w:val="1"/>
      <w:numFmt w:val="upperLetter"/>
      <w:lvlText w:val="%1."/>
      <w:lvlJc w:val="left"/>
      <w:pPr>
        <w:ind w:left="2094" w:hanging="480"/>
      </w:pPr>
      <w:rPr>
        <w:rFonts w:ascii="Times New Roman" w:hAnsi="Times New Roman" w:cs="Times New Roman" w:hint="default"/>
      </w:rPr>
    </w:lvl>
    <w:lvl w:ilvl="1" w:tplc="352887C0">
      <w:start w:val="1"/>
      <w:numFmt w:val="upperLetter"/>
      <w:lvlText w:val="%2."/>
      <w:lvlJc w:val="left"/>
      <w:pPr>
        <w:ind w:left="2574" w:hanging="480"/>
      </w:pPr>
      <w:rPr>
        <w:rFonts w:ascii="Book Antiqua" w:eastAsia="標楷體" w:hAnsi="Book Antiqua" w:hint="default"/>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751042A0"/>
    <w:multiLevelType w:val="hybridMultilevel"/>
    <w:tmpl w:val="6B46C1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8A"/>
    <w:rsid w:val="00005478"/>
    <w:rsid w:val="00010451"/>
    <w:rsid w:val="0002364F"/>
    <w:rsid w:val="00041E13"/>
    <w:rsid w:val="000473E9"/>
    <w:rsid w:val="000676E2"/>
    <w:rsid w:val="00070C0D"/>
    <w:rsid w:val="000D73A8"/>
    <w:rsid w:val="000E3F79"/>
    <w:rsid w:val="000E54F9"/>
    <w:rsid w:val="001054EA"/>
    <w:rsid w:val="001120B0"/>
    <w:rsid w:val="001155CE"/>
    <w:rsid w:val="00124109"/>
    <w:rsid w:val="00161123"/>
    <w:rsid w:val="0019438A"/>
    <w:rsid w:val="001A6992"/>
    <w:rsid w:val="001A7238"/>
    <w:rsid w:val="001B0147"/>
    <w:rsid w:val="0020043D"/>
    <w:rsid w:val="00270437"/>
    <w:rsid w:val="00273660"/>
    <w:rsid w:val="00287D41"/>
    <w:rsid w:val="002F73CE"/>
    <w:rsid w:val="00312430"/>
    <w:rsid w:val="003152E9"/>
    <w:rsid w:val="00321BEE"/>
    <w:rsid w:val="00346FDC"/>
    <w:rsid w:val="00385C47"/>
    <w:rsid w:val="00450F2B"/>
    <w:rsid w:val="004635BF"/>
    <w:rsid w:val="004B5F74"/>
    <w:rsid w:val="004C3DE1"/>
    <w:rsid w:val="004C7511"/>
    <w:rsid w:val="005071DA"/>
    <w:rsid w:val="00541FDE"/>
    <w:rsid w:val="00553CD3"/>
    <w:rsid w:val="00572CAF"/>
    <w:rsid w:val="00575729"/>
    <w:rsid w:val="00597A3E"/>
    <w:rsid w:val="005B52E4"/>
    <w:rsid w:val="00611233"/>
    <w:rsid w:val="00657B7F"/>
    <w:rsid w:val="0066365D"/>
    <w:rsid w:val="006B0756"/>
    <w:rsid w:val="006B2237"/>
    <w:rsid w:val="006B3623"/>
    <w:rsid w:val="006D52DB"/>
    <w:rsid w:val="006E1246"/>
    <w:rsid w:val="006F174E"/>
    <w:rsid w:val="006F721A"/>
    <w:rsid w:val="00712A14"/>
    <w:rsid w:val="00724899"/>
    <w:rsid w:val="00730D2B"/>
    <w:rsid w:val="007609BE"/>
    <w:rsid w:val="00775E68"/>
    <w:rsid w:val="00793B31"/>
    <w:rsid w:val="007B680F"/>
    <w:rsid w:val="007D5D44"/>
    <w:rsid w:val="007D7AC4"/>
    <w:rsid w:val="007E0FDC"/>
    <w:rsid w:val="007E2084"/>
    <w:rsid w:val="00802465"/>
    <w:rsid w:val="008222A3"/>
    <w:rsid w:val="00827942"/>
    <w:rsid w:val="008411B8"/>
    <w:rsid w:val="0086097A"/>
    <w:rsid w:val="0087625D"/>
    <w:rsid w:val="008B22A8"/>
    <w:rsid w:val="008C77C4"/>
    <w:rsid w:val="008D522D"/>
    <w:rsid w:val="00932A8B"/>
    <w:rsid w:val="00936BE1"/>
    <w:rsid w:val="0094454A"/>
    <w:rsid w:val="00953E66"/>
    <w:rsid w:val="00954BC6"/>
    <w:rsid w:val="00976A47"/>
    <w:rsid w:val="0097783D"/>
    <w:rsid w:val="00990D3C"/>
    <w:rsid w:val="009F6DA5"/>
    <w:rsid w:val="00A277D2"/>
    <w:rsid w:val="00A37899"/>
    <w:rsid w:val="00A6106F"/>
    <w:rsid w:val="00A7042E"/>
    <w:rsid w:val="00AB245A"/>
    <w:rsid w:val="00AB2E88"/>
    <w:rsid w:val="00AE291E"/>
    <w:rsid w:val="00AE364A"/>
    <w:rsid w:val="00B32771"/>
    <w:rsid w:val="00B40A0A"/>
    <w:rsid w:val="00B837D0"/>
    <w:rsid w:val="00BA6B3A"/>
    <w:rsid w:val="00BB073B"/>
    <w:rsid w:val="00BD37C6"/>
    <w:rsid w:val="00BF2B97"/>
    <w:rsid w:val="00BF2E8D"/>
    <w:rsid w:val="00BF31E3"/>
    <w:rsid w:val="00C178A0"/>
    <w:rsid w:val="00C42ACC"/>
    <w:rsid w:val="00C44C44"/>
    <w:rsid w:val="00C62170"/>
    <w:rsid w:val="00C96E93"/>
    <w:rsid w:val="00CD51B6"/>
    <w:rsid w:val="00CE1CF1"/>
    <w:rsid w:val="00D00024"/>
    <w:rsid w:val="00D07F59"/>
    <w:rsid w:val="00D22FA1"/>
    <w:rsid w:val="00D25B6B"/>
    <w:rsid w:val="00D364AD"/>
    <w:rsid w:val="00D53D51"/>
    <w:rsid w:val="00D53FD9"/>
    <w:rsid w:val="00D8515F"/>
    <w:rsid w:val="00D85D5C"/>
    <w:rsid w:val="00D959C5"/>
    <w:rsid w:val="00DA3592"/>
    <w:rsid w:val="00DA472B"/>
    <w:rsid w:val="00DA49F5"/>
    <w:rsid w:val="00DA5A8A"/>
    <w:rsid w:val="00DA75FC"/>
    <w:rsid w:val="00E2006D"/>
    <w:rsid w:val="00E245CA"/>
    <w:rsid w:val="00E4567D"/>
    <w:rsid w:val="00E8625F"/>
    <w:rsid w:val="00EB66BA"/>
    <w:rsid w:val="00EE4C00"/>
    <w:rsid w:val="00EF10AF"/>
    <w:rsid w:val="00F22984"/>
    <w:rsid w:val="00F23D95"/>
    <w:rsid w:val="00F42CC0"/>
    <w:rsid w:val="00F85A95"/>
    <w:rsid w:val="00F97EB6"/>
    <w:rsid w:val="00FC4DC8"/>
    <w:rsid w:val="00FD1CF9"/>
    <w:rsid w:val="00FF5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4:docId w14:val="56566C24"/>
  <w15:chartTrackingRefBased/>
  <w15:docId w15:val="{94CE82F4-49AB-45E6-AA6B-D8832BED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1">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paragraph" w:styleId="a9">
    <w:name w:val="caption"/>
    <w:basedOn w:val="a"/>
    <w:next w:val="a"/>
    <w:qFormat/>
    <w:rPr>
      <w:sz w:val="20"/>
      <w:szCs w:val="20"/>
    </w:rPr>
  </w:style>
  <w:style w:type="character" w:styleId="aa">
    <w:name w:val="FollowedHyperlink"/>
    <w:semiHidden/>
    <w:rPr>
      <w:color w:val="800080"/>
      <w:u w:val="single"/>
    </w:r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style>
  <w:style w:type="table" w:styleId="ae">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paragraph" w:styleId="af1">
    <w:name w:val="List Paragraph"/>
    <w:basedOn w:val="a"/>
    <w:link w:val="af2"/>
    <w:uiPriority w:val="34"/>
    <w:qFormat/>
    <w:rsid w:val="008D522D"/>
    <w:pPr>
      <w:ind w:leftChars="200" w:left="480"/>
    </w:pPr>
    <w:rPr>
      <w:rFonts w:asciiTheme="minorHAnsi" w:eastAsiaTheme="minorEastAsia" w:hAnsiTheme="minorHAnsi" w:cstheme="minorBidi"/>
      <w:szCs w:val="22"/>
    </w:rPr>
  </w:style>
  <w:style w:type="character" w:customStyle="1" w:styleId="af2">
    <w:name w:val="清單段落 字元"/>
    <w:link w:val="af1"/>
    <w:uiPriority w:val="34"/>
    <w:rsid w:val="008D522D"/>
    <w:rPr>
      <w:rFonts w:asciiTheme="minorHAnsi" w:eastAsiaTheme="minorEastAsia" w:hAnsiTheme="minorHAnsi" w:cstheme="minorBidi"/>
      <w:kern w:val="2"/>
      <w:sz w:val="24"/>
      <w:szCs w:val="22"/>
    </w:rPr>
  </w:style>
  <w:style w:type="character" w:customStyle="1" w:styleId="HTML0">
    <w:name w:val="HTML 預設格式 字元"/>
    <w:basedOn w:val="a0"/>
    <w:link w:val="HTML"/>
    <w:semiHidden/>
    <w:rsid w:val="00541FDE"/>
    <w:rPr>
      <w:rFonts w:ascii="Arial Unicode MS" w:eastAsia="Arial Unicode MS" w:hAnsi="Arial Unicode MS" w:cs="Arial Unicode MS"/>
    </w:rPr>
  </w:style>
  <w:style w:type="character" w:styleId="af3">
    <w:name w:val="annotation reference"/>
    <w:basedOn w:val="a0"/>
    <w:uiPriority w:val="99"/>
    <w:semiHidden/>
    <w:unhideWhenUsed/>
    <w:rsid w:val="00010451"/>
    <w:rPr>
      <w:sz w:val="18"/>
      <w:szCs w:val="18"/>
    </w:rPr>
  </w:style>
  <w:style w:type="paragraph" w:styleId="af4">
    <w:name w:val="annotation text"/>
    <w:basedOn w:val="a"/>
    <w:link w:val="af5"/>
    <w:uiPriority w:val="99"/>
    <w:semiHidden/>
    <w:unhideWhenUsed/>
    <w:rsid w:val="00010451"/>
  </w:style>
  <w:style w:type="character" w:customStyle="1" w:styleId="af5">
    <w:name w:val="註解文字 字元"/>
    <w:basedOn w:val="a0"/>
    <w:link w:val="af4"/>
    <w:uiPriority w:val="99"/>
    <w:semiHidden/>
    <w:rsid w:val="00010451"/>
    <w:rPr>
      <w:kern w:val="2"/>
      <w:sz w:val="24"/>
      <w:szCs w:val="24"/>
    </w:rPr>
  </w:style>
  <w:style w:type="paragraph" w:styleId="af6">
    <w:name w:val="annotation subject"/>
    <w:basedOn w:val="af4"/>
    <w:next w:val="af4"/>
    <w:link w:val="af7"/>
    <w:uiPriority w:val="99"/>
    <w:semiHidden/>
    <w:unhideWhenUsed/>
    <w:rsid w:val="00010451"/>
    <w:rPr>
      <w:b/>
      <w:bCs/>
    </w:rPr>
  </w:style>
  <w:style w:type="character" w:customStyle="1" w:styleId="af7">
    <w:name w:val="註解主旨 字元"/>
    <w:basedOn w:val="af5"/>
    <w:link w:val="af6"/>
    <w:uiPriority w:val="99"/>
    <w:semiHidden/>
    <w:rsid w:val="0001045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87963">
      <w:bodyDiv w:val="1"/>
      <w:marLeft w:val="0"/>
      <w:marRight w:val="0"/>
      <w:marTop w:val="0"/>
      <w:marBottom w:val="0"/>
      <w:divBdr>
        <w:top w:val="none" w:sz="0" w:space="0" w:color="auto"/>
        <w:left w:val="none" w:sz="0" w:space="0" w:color="auto"/>
        <w:bottom w:val="none" w:sz="0" w:space="0" w:color="auto"/>
        <w:right w:val="none" w:sz="0" w:space="0" w:color="auto"/>
      </w:divBdr>
    </w:div>
    <w:div w:id="787242569">
      <w:bodyDiv w:val="1"/>
      <w:marLeft w:val="0"/>
      <w:marRight w:val="0"/>
      <w:marTop w:val="0"/>
      <w:marBottom w:val="0"/>
      <w:divBdr>
        <w:top w:val="none" w:sz="0" w:space="0" w:color="auto"/>
        <w:left w:val="none" w:sz="0" w:space="0" w:color="auto"/>
        <w:bottom w:val="none" w:sz="0" w:space="0" w:color="auto"/>
        <w:right w:val="none" w:sz="0" w:space="0" w:color="auto"/>
      </w:divBdr>
    </w:div>
    <w:div w:id="1067532481">
      <w:bodyDiv w:val="1"/>
      <w:marLeft w:val="0"/>
      <w:marRight w:val="0"/>
      <w:marTop w:val="0"/>
      <w:marBottom w:val="0"/>
      <w:divBdr>
        <w:top w:val="none" w:sz="0" w:space="0" w:color="auto"/>
        <w:left w:val="none" w:sz="0" w:space="0" w:color="auto"/>
        <w:bottom w:val="none" w:sz="0" w:space="0" w:color="auto"/>
        <w:right w:val="none" w:sz="0" w:space="0" w:color="auto"/>
      </w:divBdr>
    </w:div>
    <w:div w:id="1614824919">
      <w:bodyDiv w:val="1"/>
      <w:marLeft w:val="0"/>
      <w:marRight w:val="0"/>
      <w:marTop w:val="0"/>
      <w:marBottom w:val="0"/>
      <w:divBdr>
        <w:top w:val="none" w:sz="0" w:space="0" w:color="auto"/>
        <w:left w:val="none" w:sz="0" w:space="0" w:color="auto"/>
        <w:bottom w:val="none" w:sz="0" w:space="0" w:color="auto"/>
        <w:right w:val="none" w:sz="0" w:space="0" w:color="auto"/>
      </w:divBdr>
    </w:div>
    <w:div w:id="19222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emf"/><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31532;&#19968;&#38913;"/><Relationship Id="rId23" Type="http://schemas.openxmlformats.org/officeDocument/2006/relationships/hyperlink" Target="http://newmops.tse.com.tw" TargetMode="Externa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D108F5-18EE-4BCF-A78E-19F0470521AF}" type="doc">
      <dgm:prSet loTypeId="urn:microsoft.com/office/officeart/2005/8/layout/chevron1" loCatId="process" qsTypeId="urn:microsoft.com/office/officeart/2005/8/quickstyle/simple1" qsCatId="simple" csTypeId="urn:microsoft.com/office/officeart/2005/8/colors/accent3_4" csCatId="accent3" phldr="1"/>
      <dgm:spPr/>
    </dgm:pt>
    <dgm:pt modelId="{F70413B1-84D3-4069-B647-CD8BC52949B4}">
      <dgm:prSet phldrT="[文字]" custT="1"/>
      <dgm:spPr>
        <a:solidFill>
          <a:srgbClr val="525252"/>
        </a:solidFill>
      </dgm:spPr>
      <dgm:t>
        <a:bodyPr/>
        <a:lstStyle/>
        <a:p>
          <a:r>
            <a:rPr lang="zh-TW" altLang="en-US" sz="1050">
              <a:latin typeface="標楷體" panose="03000509000000000000" pitchFamily="65" charset="-120"/>
              <a:ea typeface="標楷體" panose="03000509000000000000" pitchFamily="65" charset="-120"/>
            </a:rPr>
            <a:t>上游</a:t>
          </a:r>
          <a:endParaRPr lang="en-US" altLang="zh-TW" sz="1050">
            <a:latin typeface="標楷體" panose="03000509000000000000" pitchFamily="65" charset="-120"/>
            <a:ea typeface="標楷體" panose="03000509000000000000" pitchFamily="65" charset="-120"/>
          </a:endParaRPr>
        </a:p>
        <a:p>
          <a:r>
            <a:rPr lang="zh-TW" altLang="en-US" sz="1050">
              <a:latin typeface="標楷體" panose="03000509000000000000" pitchFamily="65" charset="-120"/>
              <a:ea typeface="標楷體" panose="03000509000000000000" pitchFamily="65" charset="-120"/>
            </a:rPr>
            <a:t>原材料</a:t>
          </a:r>
        </a:p>
      </dgm:t>
    </dgm:pt>
    <dgm:pt modelId="{17D3BA6A-9D2E-4810-A0B8-1A3871183AC0}" type="parTrans" cxnId="{6F64F1CC-7CAE-41D6-8993-84F68E698FD8}">
      <dgm:prSet/>
      <dgm:spPr/>
      <dgm:t>
        <a:bodyPr/>
        <a:lstStyle/>
        <a:p>
          <a:endParaRPr lang="zh-TW" altLang="en-US" sz="1050">
            <a:latin typeface="標楷體" panose="03000509000000000000" pitchFamily="65" charset="-120"/>
            <a:ea typeface="標楷體" panose="03000509000000000000" pitchFamily="65" charset="-120"/>
          </a:endParaRPr>
        </a:p>
      </dgm:t>
    </dgm:pt>
    <dgm:pt modelId="{2029CBC6-427E-4C40-A1CB-4281A63F8C0F}" type="sibTrans" cxnId="{6F64F1CC-7CAE-41D6-8993-84F68E698FD8}">
      <dgm:prSet/>
      <dgm:spPr/>
      <dgm:t>
        <a:bodyPr/>
        <a:lstStyle/>
        <a:p>
          <a:endParaRPr lang="zh-TW" altLang="en-US" sz="1050">
            <a:latin typeface="標楷體" panose="03000509000000000000" pitchFamily="65" charset="-120"/>
            <a:ea typeface="標楷體" panose="03000509000000000000" pitchFamily="65" charset="-120"/>
          </a:endParaRPr>
        </a:p>
      </dgm:t>
    </dgm:pt>
    <dgm:pt modelId="{C247D76A-5F48-400E-972A-7DDF8CCEF5E7}">
      <dgm:prSet phldrT="[文字]" custT="1"/>
      <dgm:spPr/>
      <dgm:t>
        <a:bodyPr/>
        <a:lstStyle/>
        <a:p>
          <a:r>
            <a:rPr lang="zh-TW" altLang="en-US" sz="1050">
              <a:latin typeface="標楷體" panose="03000509000000000000" pitchFamily="65" charset="-120"/>
              <a:ea typeface="標楷體" panose="03000509000000000000" pitchFamily="65" charset="-120"/>
            </a:rPr>
            <a:t>下游中西藥製劑產品</a:t>
          </a:r>
        </a:p>
        <a:p>
          <a:r>
            <a:rPr lang="zh-TW" altLang="en-US" sz="1050">
              <a:latin typeface="標楷體" panose="03000509000000000000" pitchFamily="65" charset="-120"/>
              <a:ea typeface="標楷體" panose="03000509000000000000" pitchFamily="65" charset="-120"/>
            </a:rPr>
            <a:t>藥品銷售及通路</a:t>
          </a:r>
        </a:p>
      </dgm:t>
    </dgm:pt>
    <dgm:pt modelId="{78B34511-8602-424B-B01C-ECBEAB4F6BC0}" type="parTrans" cxnId="{D446C04B-7449-4390-A770-C8EA46907139}">
      <dgm:prSet/>
      <dgm:spPr/>
      <dgm:t>
        <a:bodyPr/>
        <a:lstStyle/>
        <a:p>
          <a:endParaRPr lang="zh-TW" altLang="en-US" sz="1050">
            <a:latin typeface="標楷體" panose="03000509000000000000" pitchFamily="65" charset="-120"/>
            <a:ea typeface="標楷體" panose="03000509000000000000" pitchFamily="65" charset="-120"/>
          </a:endParaRPr>
        </a:p>
      </dgm:t>
    </dgm:pt>
    <dgm:pt modelId="{4B4BA37C-9A8A-4BFC-9633-7B0D47FD5015}" type="sibTrans" cxnId="{D446C04B-7449-4390-A770-C8EA46907139}">
      <dgm:prSet/>
      <dgm:spPr/>
      <dgm:t>
        <a:bodyPr/>
        <a:lstStyle/>
        <a:p>
          <a:endParaRPr lang="zh-TW" altLang="en-US" sz="1050">
            <a:latin typeface="標楷體" panose="03000509000000000000" pitchFamily="65" charset="-120"/>
            <a:ea typeface="標楷體" panose="03000509000000000000" pitchFamily="65" charset="-120"/>
          </a:endParaRPr>
        </a:p>
      </dgm:t>
    </dgm:pt>
    <dgm:pt modelId="{8387A06E-7B70-4A3D-8BC6-08C67301CE61}">
      <dgm:prSet phldrT="[文字]" custT="1"/>
      <dgm:spPr>
        <a:solidFill>
          <a:schemeClr val="bg1">
            <a:lumMod val="50000"/>
          </a:schemeClr>
        </a:solidFill>
      </dgm:spPr>
      <dgm:t>
        <a:bodyPr/>
        <a:lstStyle/>
        <a:p>
          <a:r>
            <a:rPr lang="zh-TW" altLang="en-US" sz="1050">
              <a:latin typeface="標楷體" panose="03000509000000000000" pitchFamily="65" charset="-120"/>
              <a:ea typeface="標楷體" panose="03000509000000000000" pitchFamily="65" charset="-120"/>
            </a:rPr>
            <a:t>中游</a:t>
          </a:r>
          <a:endParaRPr lang="en-US" altLang="zh-TW" sz="1050">
            <a:latin typeface="標楷體" panose="03000509000000000000" pitchFamily="65" charset="-120"/>
            <a:ea typeface="標楷體" panose="03000509000000000000" pitchFamily="65" charset="-120"/>
          </a:endParaRPr>
        </a:p>
        <a:p>
          <a:r>
            <a:rPr lang="zh-TW" altLang="zh-TW" sz="1050">
              <a:latin typeface="標楷體" panose="03000509000000000000" pitchFamily="65" charset="-120"/>
              <a:ea typeface="標楷體" panose="03000509000000000000" pitchFamily="65" charset="-120"/>
            </a:rPr>
            <a:t>中藥材、原料藥</a:t>
          </a:r>
          <a:endParaRPr lang="zh-TW" altLang="en-US" sz="1050">
            <a:latin typeface="標楷體" panose="03000509000000000000" pitchFamily="65" charset="-120"/>
            <a:ea typeface="標楷體" panose="03000509000000000000" pitchFamily="65" charset="-120"/>
          </a:endParaRPr>
        </a:p>
      </dgm:t>
    </dgm:pt>
    <dgm:pt modelId="{BC7CFCE3-8D89-4F40-B92D-D6223E8C9B4B}" type="sibTrans" cxnId="{DF45C0F4-55E1-466F-A496-B754EDEA2B86}">
      <dgm:prSet/>
      <dgm:spPr/>
      <dgm:t>
        <a:bodyPr/>
        <a:lstStyle/>
        <a:p>
          <a:endParaRPr lang="zh-TW" altLang="en-US" sz="1050">
            <a:latin typeface="標楷體" panose="03000509000000000000" pitchFamily="65" charset="-120"/>
            <a:ea typeface="標楷體" panose="03000509000000000000" pitchFamily="65" charset="-120"/>
          </a:endParaRPr>
        </a:p>
      </dgm:t>
    </dgm:pt>
    <dgm:pt modelId="{9A996681-422B-46A1-8704-DB23D1D4B187}" type="parTrans" cxnId="{DF45C0F4-55E1-466F-A496-B754EDEA2B86}">
      <dgm:prSet/>
      <dgm:spPr/>
      <dgm:t>
        <a:bodyPr/>
        <a:lstStyle/>
        <a:p>
          <a:endParaRPr lang="zh-TW" altLang="en-US" sz="1050">
            <a:latin typeface="標楷體" panose="03000509000000000000" pitchFamily="65" charset="-120"/>
            <a:ea typeface="標楷體" panose="03000509000000000000" pitchFamily="65" charset="-120"/>
          </a:endParaRPr>
        </a:p>
      </dgm:t>
    </dgm:pt>
    <dgm:pt modelId="{46CC8FA4-FC31-452E-AF8F-6DA4E2415547}" type="pres">
      <dgm:prSet presAssocID="{25D108F5-18EE-4BCF-A78E-19F0470521AF}" presName="Name0" presStyleCnt="0">
        <dgm:presLayoutVars>
          <dgm:dir/>
          <dgm:animLvl val="lvl"/>
          <dgm:resizeHandles val="exact"/>
        </dgm:presLayoutVars>
      </dgm:prSet>
      <dgm:spPr/>
    </dgm:pt>
    <dgm:pt modelId="{F99ED8FA-AC27-4456-B912-7C28289652E9}" type="pres">
      <dgm:prSet presAssocID="{F70413B1-84D3-4069-B647-CD8BC52949B4}" presName="parTxOnly" presStyleLbl="node1" presStyleIdx="0" presStyleCnt="3" custScaleX="54322">
        <dgm:presLayoutVars>
          <dgm:chMax val="0"/>
          <dgm:chPref val="0"/>
          <dgm:bulletEnabled val="1"/>
        </dgm:presLayoutVars>
      </dgm:prSet>
      <dgm:spPr/>
    </dgm:pt>
    <dgm:pt modelId="{4434249D-9D7C-4970-8CC8-B315BE288E39}" type="pres">
      <dgm:prSet presAssocID="{2029CBC6-427E-4C40-A1CB-4281A63F8C0F}" presName="parTxOnlySpace" presStyleCnt="0"/>
      <dgm:spPr/>
    </dgm:pt>
    <dgm:pt modelId="{F9083AA0-0090-49DD-A8E2-6B662CAAC0AC}" type="pres">
      <dgm:prSet presAssocID="{8387A06E-7B70-4A3D-8BC6-08C67301CE61}" presName="parTxOnly" presStyleLbl="node1" presStyleIdx="1" presStyleCnt="3" custScaleX="75052">
        <dgm:presLayoutVars>
          <dgm:chMax val="0"/>
          <dgm:chPref val="0"/>
          <dgm:bulletEnabled val="1"/>
        </dgm:presLayoutVars>
      </dgm:prSet>
      <dgm:spPr/>
    </dgm:pt>
    <dgm:pt modelId="{7597E151-EFEC-4350-8AB8-33B79BD70DAB}" type="pres">
      <dgm:prSet presAssocID="{BC7CFCE3-8D89-4F40-B92D-D6223E8C9B4B}" presName="parTxOnlySpace" presStyleCnt="0"/>
      <dgm:spPr/>
    </dgm:pt>
    <dgm:pt modelId="{436B20B0-15C8-4F27-AEAC-36B1871C1C55}" type="pres">
      <dgm:prSet presAssocID="{C247D76A-5F48-400E-972A-7DDF8CCEF5E7}" presName="parTxOnly" presStyleLbl="node1" presStyleIdx="2" presStyleCnt="3">
        <dgm:presLayoutVars>
          <dgm:chMax val="0"/>
          <dgm:chPref val="0"/>
          <dgm:bulletEnabled val="1"/>
        </dgm:presLayoutVars>
      </dgm:prSet>
      <dgm:spPr/>
    </dgm:pt>
  </dgm:ptLst>
  <dgm:cxnLst>
    <dgm:cxn modelId="{C7CA4243-CA04-451F-A54F-E86404DC81B3}" type="presOf" srcId="{F70413B1-84D3-4069-B647-CD8BC52949B4}" destId="{F99ED8FA-AC27-4456-B912-7C28289652E9}" srcOrd="0" destOrd="0" presId="urn:microsoft.com/office/officeart/2005/8/layout/chevron1"/>
    <dgm:cxn modelId="{D446C04B-7449-4390-A770-C8EA46907139}" srcId="{25D108F5-18EE-4BCF-A78E-19F0470521AF}" destId="{C247D76A-5F48-400E-972A-7DDF8CCEF5E7}" srcOrd="2" destOrd="0" parTransId="{78B34511-8602-424B-B01C-ECBEAB4F6BC0}" sibTransId="{4B4BA37C-9A8A-4BFC-9633-7B0D47FD5015}"/>
    <dgm:cxn modelId="{3796F281-1B8B-44BB-8BE0-7D343556D14A}" type="presOf" srcId="{25D108F5-18EE-4BCF-A78E-19F0470521AF}" destId="{46CC8FA4-FC31-452E-AF8F-6DA4E2415547}" srcOrd="0" destOrd="0" presId="urn:microsoft.com/office/officeart/2005/8/layout/chevron1"/>
    <dgm:cxn modelId="{10EA269E-0B0F-48A9-AEB5-DF6FB92801B9}" type="presOf" srcId="{C247D76A-5F48-400E-972A-7DDF8CCEF5E7}" destId="{436B20B0-15C8-4F27-AEAC-36B1871C1C55}" srcOrd="0" destOrd="0" presId="urn:microsoft.com/office/officeart/2005/8/layout/chevron1"/>
    <dgm:cxn modelId="{6F64F1CC-7CAE-41D6-8993-84F68E698FD8}" srcId="{25D108F5-18EE-4BCF-A78E-19F0470521AF}" destId="{F70413B1-84D3-4069-B647-CD8BC52949B4}" srcOrd="0" destOrd="0" parTransId="{17D3BA6A-9D2E-4810-A0B8-1A3871183AC0}" sibTransId="{2029CBC6-427E-4C40-A1CB-4281A63F8C0F}"/>
    <dgm:cxn modelId="{8221EECF-D3CD-40E8-BECD-403B3668F8F3}" type="presOf" srcId="{8387A06E-7B70-4A3D-8BC6-08C67301CE61}" destId="{F9083AA0-0090-49DD-A8E2-6B662CAAC0AC}" srcOrd="0" destOrd="0" presId="urn:microsoft.com/office/officeart/2005/8/layout/chevron1"/>
    <dgm:cxn modelId="{DF45C0F4-55E1-466F-A496-B754EDEA2B86}" srcId="{25D108F5-18EE-4BCF-A78E-19F0470521AF}" destId="{8387A06E-7B70-4A3D-8BC6-08C67301CE61}" srcOrd="1" destOrd="0" parTransId="{9A996681-422B-46A1-8704-DB23D1D4B187}" sibTransId="{BC7CFCE3-8D89-4F40-B92D-D6223E8C9B4B}"/>
    <dgm:cxn modelId="{C8FCF7CB-1F21-46E5-9DA2-AD05AC2592E2}" type="presParOf" srcId="{46CC8FA4-FC31-452E-AF8F-6DA4E2415547}" destId="{F99ED8FA-AC27-4456-B912-7C28289652E9}" srcOrd="0" destOrd="0" presId="urn:microsoft.com/office/officeart/2005/8/layout/chevron1"/>
    <dgm:cxn modelId="{5216C6B6-B54C-44C5-BFAF-351BBFA3C0E3}" type="presParOf" srcId="{46CC8FA4-FC31-452E-AF8F-6DA4E2415547}" destId="{4434249D-9D7C-4970-8CC8-B315BE288E39}" srcOrd="1" destOrd="0" presId="urn:microsoft.com/office/officeart/2005/8/layout/chevron1"/>
    <dgm:cxn modelId="{08CE315B-9F36-437E-B5FB-0ECFEAAA3874}" type="presParOf" srcId="{46CC8FA4-FC31-452E-AF8F-6DA4E2415547}" destId="{F9083AA0-0090-49DD-A8E2-6B662CAAC0AC}" srcOrd="2" destOrd="0" presId="urn:microsoft.com/office/officeart/2005/8/layout/chevron1"/>
    <dgm:cxn modelId="{96752BFB-42BB-44B5-87CC-53DD5D538CE0}" type="presParOf" srcId="{46CC8FA4-FC31-452E-AF8F-6DA4E2415547}" destId="{7597E151-EFEC-4350-8AB8-33B79BD70DAB}" srcOrd="3" destOrd="0" presId="urn:microsoft.com/office/officeart/2005/8/layout/chevron1"/>
    <dgm:cxn modelId="{3E4E841D-1805-453B-90C3-7C98DF67001C}" type="presParOf" srcId="{46CC8FA4-FC31-452E-AF8F-6DA4E2415547}" destId="{436B20B0-15C8-4F27-AEAC-36B1871C1C55}" srcOrd="4" destOrd="0" presId="urn:microsoft.com/office/officeart/2005/8/layout/chevron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9ED8FA-AC27-4456-B912-7C28289652E9}">
      <dsp:nvSpPr>
        <dsp:cNvPr id="0" name=""/>
        <dsp:cNvSpPr/>
      </dsp:nvSpPr>
      <dsp:spPr>
        <a:xfrm>
          <a:off x="363" y="0"/>
          <a:ext cx="1199194" cy="596900"/>
        </a:xfrm>
        <a:prstGeom prst="chevron">
          <a:avLst/>
        </a:prstGeom>
        <a:solidFill>
          <a:srgbClr val="52525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上游</a:t>
          </a:r>
          <a:endParaRPr lang="en-US" altLang="zh-TW" sz="1050" kern="1200">
            <a:latin typeface="標楷體" panose="03000509000000000000" pitchFamily="65" charset="-120"/>
            <a:ea typeface="標楷體" panose="03000509000000000000" pitchFamily="65" charset="-120"/>
          </a:endParaRPr>
        </a:p>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原材料</a:t>
          </a:r>
        </a:p>
      </dsp:txBody>
      <dsp:txXfrm>
        <a:off x="298813" y="0"/>
        <a:ext cx="602294" cy="596900"/>
      </dsp:txXfrm>
    </dsp:sp>
    <dsp:sp modelId="{F9083AA0-0090-49DD-A8E2-6B662CAAC0AC}">
      <dsp:nvSpPr>
        <dsp:cNvPr id="0" name=""/>
        <dsp:cNvSpPr/>
      </dsp:nvSpPr>
      <dsp:spPr>
        <a:xfrm>
          <a:off x="978801" y="0"/>
          <a:ext cx="1656823" cy="596900"/>
        </a:xfrm>
        <a:prstGeom prst="chevron">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中游</a:t>
          </a:r>
          <a:endParaRPr lang="en-US" altLang="zh-TW" sz="1050" kern="1200">
            <a:latin typeface="標楷體" panose="03000509000000000000" pitchFamily="65" charset="-120"/>
            <a:ea typeface="標楷體" panose="03000509000000000000" pitchFamily="65" charset="-120"/>
          </a:endParaRPr>
        </a:p>
        <a:p>
          <a:pPr marL="0" lvl="0" indent="0" algn="ctr" defTabSz="466725">
            <a:lnSpc>
              <a:spcPct val="90000"/>
            </a:lnSpc>
            <a:spcBef>
              <a:spcPct val="0"/>
            </a:spcBef>
            <a:spcAft>
              <a:spcPct val="35000"/>
            </a:spcAft>
            <a:buNone/>
          </a:pPr>
          <a:r>
            <a:rPr lang="zh-TW" altLang="zh-TW" sz="1050" kern="1200">
              <a:latin typeface="標楷體" panose="03000509000000000000" pitchFamily="65" charset="-120"/>
              <a:ea typeface="標楷體" panose="03000509000000000000" pitchFamily="65" charset="-120"/>
            </a:rPr>
            <a:t>中藥材、原料藥</a:t>
          </a:r>
          <a:endParaRPr lang="zh-TW" altLang="en-US" sz="1050" kern="1200">
            <a:latin typeface="標楷體" panose="03000509000000000000" pitchFamily="65" charset="-120"/>
            <a:ea typeface="標楷體" panose="03000509000000000000" pitchFamily="65" charset="-120"/>
          </a:endParaRPr>
        </a:p>
      </dsp:txBody>
      <dsp:txXfrm>
        <a:off x="1277251" y="0"/>
        <a:ext cx="1059923" cy="596900"/>
      </dsp:txXfrm>
    </dsp:sp>
    <dsp:sp modelId="{436B20B0-15C8-4F27-AEAC-36B1871C1C55}">
      <dsp:nvSpPr>
        <dsp:cNvPr id="0" name=""/>
        <dsp:cNvSpPr/>
      </dsp:nvSpPr>
      <dsp:spPr>
        <a:xfrm>
          <a:off x="2414868" y="0"/>
          <a:ext cx="2207567" cy="596900"/>
        </a:xfrm>
        <a:prstGeom prst="chevron">
          <a:avLst/>
        </a:prstGeom>
        <a:solidFill>
          <a:schemeClr val="accent3">
            <a:shade val="50000"/>
            <a:hueOff val="0"/>
            <a:satOff val="0"/>
            <a:lumOff val="239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下游中西藥製劑產品</a:t>
          </a:r>
        </a:p>
        <a:p>
          <a:pPr marL="0" lvl="0" indent="0" algn="ctr" defTabSz="466725">
            <a:lnSpc>
              <a:spcPct val="90000"/>
            </a:lnSpc>
            <a:spcBef>
              <a:spcPct val="0"/>
            </a:spcBef>
            <a:spcAft>
              <a:spcPct val="35000"/>
            </a:spcAft>
            <a:buNone/>
          </a:pPr>
          <a:r>
            <a:rPr lang="zh-TW" altLang="en-US" sz="1050" kern="1200">
              <a:latin typeface="標楷體" panose="03000509000000000000" pitchFamily="65" charset="-120"/>
              <a:ea typeface="標楷體" panose="03000509000000000000" pitchFamily="65" charset="-120"/>
            </a:rPr>
            <a:t>藥品銷售及通路</a:t>
          </a:r>
        </a:p>
      </dsp:txBody>
      <dsp:txXfrm>
        <a:off x="2713318" y="0"/>
        <a:ext cx="1610667" cy="5969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87__x5b57_ xmlns="7c9b6e7a-c39e-4ce6-8c34-efa4ecadc2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C793DFCDED642441B2F0BE9F466CAC9F" ma:contentTypeVersion="17" ma:contentTypeDescription="建立新的文件。" ma:contentTypeScope="" ma:versionID="7bccba9c7069fb82e83980ab78c1789c">
  <xsd:schema xmlns:xsd="http://www.w3.org/2001/XMLSchema" xmlns:xs="http://www.w3.org/2001/XMLSchema" xmlns:p="http://schemas.microsoft.com/office/2006/metadata/properties" xmlns:ns2="7c9b6e7a-c39e-4ce6-8c34-efa4ecadc213" xmlns:ns3="c2a3b60f-8b48-405c-b810-939207fbbf1a" targetNamespace="http://schemas.microsoft.com/office/2006/metadata/properties" ma:root="true" ma:fieldsID="0f2dde10d9971c803d1d6b7c2d26ae85" ns2:_="" ns3:_="">
    <xsd:import namespace="7c9b6e7a-c39e-4ce6-8c34-efa4ecadc213"/>
    <xsd:import namespace="c2a3b60f-8b48-405c-b810-939207fbbf1a"/>
    <xsd:element name="properties">
      <xsd:complexType>
        <xsd:sequence>
          <xsd:element name="documentManagement">
            <xsd:complexType>
              <xsd:all>
                <xsd:element ref="ns2:_x6587__x5b57_"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6e7a-c39e-4ce6-8c34-efa4ecadc213" elementFormDefault="qualified">
    <xsd:import namespace="http://schemas.microsoft.com/office/2006/documentManagement/types"/>
    <xsd:import namespace="http://schemas.microsoft.com/office/infopath/2007/PartnerControls"/>
    <xsd:element name="_x6587__x5b57_" ma:index="2" nillable="true" ma:displayName="文字" ma:internalName="_x6587__x5b57_">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AutoTags" ma:index="7" nillable="true" ma:displayName="MediaServiceAutoTags" ma:description="" ma:internalName="MediaServiceAutoTags"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3b60f-8b48-405c-b810-939207fbbf1a" elementFormDefault="qualified">
    <xsd:import namespace="http://schemas.microsoft.com/office/2006/documentManagement/types"/>
    <xsd:import namespace="http://schemas.microsoft.com/office/infopath/2007/PartnerControls"/>
    <xsd:element name="SharedWithUsers" ma:index="13"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用詳細資料"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內容類型"/>
        <xsd:element ref="dc:title" minOccurs="0" maxOccurs="1" ma:index="1"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9FAF-E624-4B0B-A3D5-973D5D8EB093}">
  <ds:schemaRefs>
    <ds:schemaRef ds:uri="http://schemas.microsoft.com/sharepoint/v3/contenttype/forms"/>
  </ds:schemaRefs>
</ds:datastoreItem>
</file>

<file path=customXml/itemProps2.xml><?xml version="1.0" encoding="utf-8"?>
<ds:datastoreItem xmlns:ds="http://schemas.openxmlformats.org/officeDocument/2006/customXml" ds:itemID="{0BECE9AE-93C2-4A63-A1A0-D9B8D85058C8}">
  <ds:schemaRefs>
    <ds:schemaRef ds:uri="http://schemas.openxmlformats.org/officeDocument/2006/bibliography"/>
  </ds:schemaRefs>
</ds:datastoreItem>
</file>

<file path=customXml/itemProps3.xml><?xml version="1.0" encoding="utf-8"?>
<ds:datastoreItem xmlns:ds="http://schemas.openxmlformats.org/officeDocument/2006/customXml" ds:itemID="{4AC4C7B2-E17B-4AF0-9F5A-06595A230AA2}">
  <ds:schemaRefs>
    <ds:schemaRef ds:uri="http://schemas.microsoft.com/office/2006/metadata/properties"/>
    <ds:schemaRef ds:uri="http://schemas.microsoft.com/office/infopath/2007/PartnerControls"/>
    <ds:schemaRef ds:uri="7c9b6e7a-c39e-4ce6-8c34-efa4ecadc213"/>
  </ds:schemaRefs>
</ds:datastoreItem>
</file>

<file path=customXml/itemProps4.xml><?xml version="1.0" encoding="utf-8"?>
<ds:datastoreItem xmlns:ds="http://schemas.openxmlformats.org/officeDocument/2006/customXml" ds:itemID="{77A73800-1F56-4E15-A94B-B9EFD347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6e7a-c39e-4ce6-8c34-efa4ecadc213"/>
    <ds:schemaRef ds:uri="c2a3b60f-8b48-405c-b810-939207fbb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5846</Words>
  <Characters>2757</Characters>
  <Application>Microsoft Office Word</Application>
  <DocSecurity>0</DocSecurity>
  <Lines>22</Lines>
  <Paragraphs>17</Paragraphs>
  <ScaleCrop>false</ScaleCrop>
  <Company>abc</Company>
  <LinksUpToDate>false</LinksUpToDate>
  <CharactersWithSpaces>8586</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keywords/>
  <cp:lastModifiedBy>周詩涵</cp:lastModifiedBy>
  <cp:revision>6</cp:revision>
  <cp:lastPrinted>2020-12-11T05:37:00Z</cp:lastPrinted>
  <dcterms:created xsi:type="dcterms:W3CDTF">2021-09-29T04:46:00Z</dcterms:created>
  <dcterms:modified xsi:type="dcterms:W3CDTF">2021-10-06T04:00:00Z</dcterms:modified>
</cp:coreProperties>
</file>